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B2" w:rsidRPr="00537AEF" w:rsidRDefault="00427BB2" w:rsidP="00427BB2">
      <w:pPr>
        <w:spacing w:line="480" w:lineRule="auto"/>
        <w:jc w:val="both"/>
        <w:rPr>
          <w:b/>
          <w:lang w:val="en-US"/>
        </w:rPr>
      </w:pPr>
    </w:p>
    <w:p w:rsidR="00427BB2" w:rsidRPr="00870450" w:rsidRDefault="00427BB2" w:rsidP="00427BB2">
      <w:pPr>
        <w:spacing w:line="480" w:lineRule="auto"/>
        <w:jc w:val="both"/>
        <w:rPr>
          <w:b/>
          <w:lang w:val="en-US"/>
        </w:rPr>
      </w:pPr>
      <w:r w:rsidRPr="00870450">
        <w:rPr>
          <w:b/>
          <w:color w:val="FF0000"/>
          <w:lang w:val="en-US"/>
        </w:rPr>
        <w:t>Supplemental</w:t>
      </w:r>
      <w:r>
        <w:rPr>
          <w:b/>
          <w:lang w:val="en-US"/>
        </w:rPr>
        <w:t xml:space="preserve"> t</w:t>
      </w:r>
      <w:r w:rsidRPr="00537AEF">
        <w:rPr>
          <w:b/>
          <w:lang w:val="en-US"/>
        </w:rPr>
        <w:t xml:space="preserve">able </w:t>
      </w:r>
      <w:r>
        <w:rPr>
          <w:b/>
          <w:lang w:val="en-US"/>
        </w:rPr>
        <w:t>1</w:t>
      </w:r>
      <w:r w:rsidRPr="00537AEF">
        <w:rPr>
          <w:b/>
          <w:lang w:val="en-US"/>
        </w:rPr>
        <w:t>:</w:t>
      </w:r>
      <w:r w:rsidRPr="00537AEF">
        <w:rPr>
          <w:lang w:val="en-US"/>
        </w:rPr>
        <w:t xml:space="preserve"> Number of </w:t>
      </w:r>
      <w:proofErr w:type="spellStart"/>
      <w:r>
        <w:rPr>
          <w:lang w:val="en-US"/>
        </w:rPr>
        <w:t>faecal</w:t>
      </w:r>
      <w:proofErr w:type="spellEnd"/>
      <w:r w:rsidRPr="00537AEF">
        <w:rPr>
          <w:lang w:val="en-US"/>
        </w:rPr>
        <w:t xml:space="preserve"> samples measured in the different experiments.</w:t>
      </w: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235"/>
        <w:gridCol w:w="283"/>
        <w:gridCol w:w="1134"/>
        <w:gridCol w:w="992"/>
        <w:gridCol w:w="993"/>
        <w:gridCol w:w="992"/>
        <w:gridCol w:w="992"/>
        <w:gridCol w:w="992"/>
      </w:tblGrid>
      <w:tr w:rsidR="00427BB2" w:rsidRPr="00537AEF" w:rsidTr="00D94065">
        <w:trPr>
          <w:trHeight w:val="474"/>
        </w:trPr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Experiments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Healthy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Healthy 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GFD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Celiac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Celiac 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GFD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Relatives 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Relatives 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37AEF">
              <w:rPr>
                <w:rFonts w:eastAsia="Times New Roman"/>
                <w:color w:val="000000"/>
                <w:sz w:val="20"/>
                <w:szCs w:val="20"/>
                <w:lang w:val="en-US"/>
              </w:rPr>
              <w:t>GFD</w:t>
            </w:r>
          </w:p>
        </w:tc>
      </w:tr>
      <w:tr w:rsidR="00427BB2" w:rsidRPr="00537AEF" w:rsidTr="00D94065">
        <w:trPr>
          <w:trHeight w:val="576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37AEF">
              <w:rPr>
                <w:rFonts w:eastAsia="Times New Roman"/>
                <w:color w:val="000000"/>
                <w:sz w:val="18"/>
                <w:szCs w:val="18"/>
                <w:lang w:val="en-US"/>
              </w:rPr>
              <w:t>Proteolytic</w:t>
            </w:r>
            <w:proofErr w:type="spellEnd"/>
            <w:r w:rsidRPr="00537AE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activities (FGA, FTA, FDPPIV, FPEP)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69</w:t>
            </w:r>
          </w:p>
        </w:tc>
      </w:tr>
      <w:tr w:rsidR="00427BB2" w:rsidRPr="00537AEF" w:rsidTr="00D94065">
        <w:trPr>
          <w:trHeight w:val="4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37AE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33-mer hydrolysis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27BB2" w:rsidRPr="00537AEF" w:rsidTr="00D94065">
        <w:trPr>
          <w:trHeight w:val="42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37AEF">
              <w:rPr>
                <w:rFonts w:eastAsia="Times New Roman"/>
                <w:color w:val="000000"/>
                <w:sz w:val="18"/>
                <w:szCs w:val="18"/>
                <w:lang w:val="en-US"/>
              </w:rPr>
              <w:t>Short chain fatty acids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69</w:t>
            </w:r>
          </w:p>
        </w:tc>
      </w:tr>
      <w:tr w:rsidR="00427BB2" w:rsidRPr="00537AEF" w:rsidTr="00D94065">
        <w:trPr>
          <w:trHeight w:val="4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537AE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Gluten excretion in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faeces</w:t>
            </w:r>
            <w:proofErr w:type="spellEnd"/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 w:rsidRPr="00537AEF"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15</w:t>
            </w:r>
          </w:p>
        </w:tc>
      </w:tr>
      <w:tr w:rsidR="00427BB2" w:rsidRPr="00537AEF" w:rsidTr="00D94065">
        <w:trPr>
          <w:trHeight w:val="474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Bacterial culture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val="en-US"/>
              </w:rPr>
              <w:t>10</w:t>
            </w:r>
          </w:p>
        </w:tc>
      </w:tr>
    </w:tbl>
    <w:p w:rsidR="00427BB2" w:rsidRPr="00F719AB" w:rsidRDefault="00427BB2" w:rsidP="00427BB2">
      <w:pPr>
        <w:spacing w:line="480" w:lineRule="auto"/>
        <w:jc w:val="both"/>
        <w:rPr>
          <w:sz w:val="18"/>
          <w:szCs w:val="18"/>
        </w:rPr>
      </w:pPr>
      <w:r w:rsidRPr="00F719AB">
        <w:rPr>
          <w:sz w:val="18"/>
          <w:szCs w:val="18"/>
        </w:rPr>
        <w:t xml:space="preserve">FGA: </w:t>
      </w:r>
      <w:proofErr w:type="spellStart"/>
      <w:r>
        <w:rPr>
          <w:sz w:val="18"/>
          <w:szCs w:val="18"/>
        </w:rPr>
        <w:t>Faecal</w:t>
      </w:r>
      <w:proofErr w:type="spellEnd"/>
      <w:r w:rsidRPr="00F719AB">
        <w:rPr>
          <w:sz w:val="18"/>
          <w:szCs w:val="18"/>
        </w:rPr>
        <w:t xml:space="preserve"> </w:t>
      </w:r>
      <w:proofErr w:type="spellStart"/>
      <w:r w:rsidRPr="00F719AB">
        <w:rPr>
          <w:sz w:val="18"/>
          <w:szCs w:val="18"/>
        </w:rPr>
        <w:t>glutenasic</w:t>
      </w:r>
      <w:proofErr w:type="spellEnd"/>
      <w:r w:rsidRPr="00F719AB">
        <w:rPr>
          <w:sz w:val="18"/>
          <w:szCs w:val="18"/>
        </w:rPr>
        <w:t xml:space="preserve"> </w:t>
      </w:r>
      <w:proofErr w:type="spellStart"/>
      <w:r w:rsidRPr="00F719AB">
        <w:rPr>
          <w:sz w:val="18"/>
          <w:szCs w:val="18"/>
        </w:rPr>
        <w:t>activity</w:t>
      </w:r>
      <w:proofErr w:type="spellEnd"/>
      <w:r w:rsidRPr="00F719AB">
        <w:rPr>
          <w:sz w:val="18"/>
          <w:szCs w:val="18"/>
        </w:rPr>
        <w:t xml:space="preserve">, FTA: </w:t>
      </w:r>
      <w:proofErr w:type="spellStart"/>
      <w:r>
        <w:rPr>
          <w:sz w:val="18"/>
          <w:szCs w:val="18"/>
        </w:rPr>
        <w:t>Faecal</w:t>
      </w:r>
      <w:proofErr w:type="spellEnd"/>
      <w:r w:rsidRPr="00F719AB">
        <w:rPr>
          <w:sz w:val="18"/>
          <w:szCs w:val="18"/>
        </w:rPr>
        <w:t xml:space="preserve"> </w:t>
      </w:r>
      <w:proofErr w:type="spellStart"/>
      <w:r w:rsidRPr="00F719AB">
        <w:rPr>
          <w:sz w:val="18"/>
          <w:szCs w:val="18"/>
        </w:rPr>
        <w:t>tryptic</w:t>
      </w:r>
      <w:proofErr w:type="spellEnd"/>
      <w:r w:rsidRPr="00F719AB">
        <w:rPr>
          <w:sz w:val="18"/>
          <w:szCs w:val="18"/>
        </w:rPr>
        <w:t xml:space="preserve"> </w:t>
      </w:r>
      <w:proofErr w:type="spellStart"/>
      <w:r w:rsidRPr="00F719AB">
        <w:rPr>
          <w:sz w:val="18"/>
          <w:szCs w:val="18"/>
        </w:rPr>
        <w:t>activity</w:t>
      </w:r>
      <w:proofErr w:type="spellEnd"/>
      <w:r w:rsidRPr="00F719AB">
        <w:rPr>
          <w:sz w:val="18"/>
          <w:szCs w:val="18"/>
        </w:rPr>
        <w:t xml:space="preserve">, FDPPIV: </w:t>
      </w:r>
      <w:proofErr w:type="spellStart"/>
      <w:r>
        <w:rPr>
          <w:sz w:val="18"/>
          <w:szCs w:val="18"/>
        </w:rPr>
        <w:t>Faecal</w:t>
      </w:r>
      <w:proofErr w:type="spellEnd"/>
      <w:r w:rsidRPr="00F719AB">
        <w:rPr>
          <w:sz w:val="18"/>
          <w:szCs w:val="18"/>
        </w:rPr>
        <w:t xml:space="preserve"> </w:t>
      </w:r>
      <w:proofErr w:type="spellStart"/>
      <w:r w:rsidRPr="00F719AB">
        <w:rPr>
          <w:sz w:val="18"/>
          <w:szCs w:val="18"/>
        </w:rPr>
        <w:t>dipeptidyl</w:t>
      </w:r>
      <w:proofErr w:type="spellEnd"/>
      <w:r w:rsidRPr="00F719AB">
        <w:rPr>
          <w:sz w:val="18"/>
          <w:szCs w:val="18"/>
        </w:rPr>
        <w:t xml:space="preserve"> </w:t>
      </w:r>
      <w:proofErr w:type="spellStart"/>
      <w:r w:rsidRPr="00F719AB">
        <w:rPr>
          <w:sz w:val="18"/>
          <w:szCs w:val="18"/>
        </w:rPr>
        <w:t>peptidase</w:t>
      </w:r>
      <w:proofErr w:type="spellEnd"/>
      <w:r w:rsidRPr="00F719AB">
        <w:rPr>
          <w:sz w:val="18"/>
          <w:szCs w:val="18"/>
        </w:rPr>
        <w:t xml:space="preserve"> IV, FPEP: </w:t>
      </w:r>
      <w:proofErr w:type="spellStart"/>
      <w:r>
        <w:rPr>
          <w:sz w:val="18"/>
          <w:szCs w:val="18"/>
        </w:rPr>
        <w:t>Faecal</w:t>
      </w:r>
      <w:proofErr w:type="spellEnd"/>
      <w:r w:rsidRPr="00F719AB">
        <w:rPr>
          <w:sz w:val="18"/>
          <w:szCs w:val="18"/>
        </w:rPr>
        <w:t xml:space="preserve"> </w:t>
      </w:r>
      <w:proofErr w:type="spellStart"/>
      <w:r w:rsidRPr="00F719AB">
        <w:rPr>
          <w:sz w:val="18"/>
          <w:szCs w:val="18"/>
        </w:rPr>
        <w:t>prolylendo-peptidase</w:t>
      </w:r>
      <w:proofErr w:type="spellEnd"/>
      <w:r w:rsidRPr="00F719AB">
        <w:rPr>
          <w:sz w:val="18"/>
          <w:szCs w:val="18"/>
        </w:rPr>
        <w:t>.</w:t>
      </w:r>
    </w:p>
    <w:p w:rsidR="00427BB2" w:rsidRPr="00F719AB" w:rsidRDefault="00427BB2" w:rsidP="00427BB2">
      <w:pPr>
        <w:spacing w:line="480" w:lineRule="auto"/>
        <w:jc w:val="both"/>
        <w:rPr>
          <w:rFonts w:cs="Arial"/>
          <w:sz w:val="24"/>
          <w:szCs w:val="24"/>
        </w:rPr>
        <w:sectPr w:rsidR="00427BB2" w:rsidRPr="00F719AB" w:rsidSect="00FC659E">
          <w:footerReference w:type="default" r:id="rId4"/>
          <w:pgSz w:w="11906" w:h="16838"/>
          <w:pgMar w:top="1418" w:right="1531" w:bottom="1418" w:left="1531" w:header="708" w:footer="708" w:gutter="0"/>
          <w:lnNumType w:countBy="1" w:restart="continuous"/>
          <w:cols w:space="708"/>
          <w:docGrid w:linePitch="360"/>
        </w:sectPr>
      </w:pPr>
    </w:p>
    <w:p w:rsidR="00427BB2" w:rsidRPr="00537AEF" w:rsidRDefault="00427BB2" w:rsidP="00427BB2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lastRenderedPageBreak/>
        <w:t>Table 1</w:t>
      </w:r>
      <w:r w:rsidRPr="00537AEF">
        <w:rPr>
          <w:b/>
          <w:lang w:val="en-US"/>
        </w:rPr>
        <w:t>:</w:t>
      </w:r>
      <w:r w:rsidRPr="00537AEF">
        <w:rPr>
          <w:lang w:val="en-US"/>
        </w:rPr>
        <w:t xml:space="preserve"> Short chain fatty acids (SCFA) content in </w:t>
      </w:r>
      <w:proofErr w:type="spellStart"/>
      <w:r>
        <w:rPr>
          <w:lang w:val="en-US"/>
        </w:rPr>
        <w:t>faecal</w:t>
      </w:r>
      <w:proofErr w:type="spellEnd"/>
      <w:r w:rsidRPr="00537AEF">
        <w:rPr>
          <w:lang w:val="en-US"/>
        </w:rPr>
        <w:t xml:space="preserve"> sa</w:t>
      </w:r>
      <w:r>
        <w:rPr>
          <w:lang w:val="en-US"/>
        </w:rPr>
        <w:t>mples of 16 healthy volunteers o</w:t>
      </w:r>
      <w:r w:rsidRPr="00537AEF">
        <w:rPr>
          <w:lang w:val="en-US"/>
        </w:rPr>
        <w:t>n norm</w:t>
      </w:r>
      <w:r>
        <w:rPr>
          <w:lang w:val="en-US"/>
        </w:rPr>
        <w:t>al diet, 11 healthy volunteers o</w:t>
      </w:r>
      <w:r w:rsidRPr="00537AEF">
        <w:rPr>
          <w:lang w:val="en-US"/>
        </w:rPr>
        <w:t>n gluten free diet, 22 untreated celiac disease patients, 18 treated celiac disease patients, 71 first-degree relatives of celiac disea</w:t>
      </w:r>
      <w:r>
        <w:rPr>
          <w:lang w:val="en-US"/>
        </w:rPr>
        <w:t>se patients on normal diet and 57 relatives o</w:t>
      </w:r>
      <w:r w:rsidRPr="00537AEF">
        <w:rPr>
          <w:lang w:val="en-US"/>
        </w:rPr>
        <w:t xml:space="preserve">n gluten free diet. </w:t>
      </w:r>
    </w:p>
    <w:tbl>
      <w:tblPr>
        <w:tblW w:w="1400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2126"/>
        <w:gridCol w:w="1843"/>
        <w:gridCol w:w="1984"/>
        <w:gridCol w:w="2410"/>
      </w:tblGrid>
      <w:tr w:rsidR="00427BB2" w:rsidRPr="00537AEF" w:rsidTr="00D94065">
        <w:trPr>
          <w:trHeight w:val="4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Type of metabolite*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Healthy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 xml:space="preserve"> ND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 xml:space="preserve">Healthy 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GFD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Celiac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ND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 xml:space="preserve">Celiac 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GFD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 xml:space="preserve">Relatives 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ND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 xml:space="preserve">Relatives </w:t>
            </w:r>
          </w:p>
          <w:p w:rsidR="00427BB2" w:rsidRPr="00537AEF" w:rsidRDefault="00427BB2" w:rsidP="00D9406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GFD</w:t>
            </w:r>
          </w:p>
        </w:tc>
      </w:tr>
      <w:tr w:rsidR="00427BB2" w:rsidRPr="00537AEF" w:rsidTr="00D94065">
        <w:trPr>
          <w:trHeight w:val="576"/>
        </w:trPr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Acetic acid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26.76±12.23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20.60±10.46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42.68±19.97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50.96±22.02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48.38±24.61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48.68±28.21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</w:tr>
      <w:tr w:rsidR="00427BB2" w:rsidRPr="00537AEF" w:rsidTr="00D94065">
        <w:trPr>
          <w:trHeight w:val="490"/>
        </w:trPr>
        <w:tc>
          <w:tcPr>
            <w:tcW w:w="1668" w:type="dxa"/>
            <w:tcBorders>
              <w:top w:val="nil"/>
            </w:tcBorders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537AEF">
              <w:rPr>
                <w:rFonts w:eastAsia="Times New Roman"/>
                <w:color w:val="000000"/>
                <w:lang w:val="en-US"/>
              </w:rPr>
              <w:t>Propionic</w:t>
            </w:r>
            <w:proofErr w:type="spellEnd"/>
            <w:r w:rsidRPr="00537AEF">
              <w:rPr>
                <w:rFonts w:eastAsia="Times New Roman"/>
                <w:color w:val="000000"/>
                <w:lang w:val="en-US"/>
              </w:rPr>
              <w:t xml:space="preserve"> acid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7.24±2.95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5.82±2.27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10.92±5.46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14.78±9.80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12.43±8.53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11.82±9.73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</w:tr>
      <w:tr w:rsidR="00427BB2" w:rsidRPr="00537AEF" w:rsidTr="00D94065">
        <w:trPr>
          <w:trHeight w:val="428"/>
        </w:trPr>
        <w:tc>
          <w:tcPr>
            <w:tcW w:w="1668" w:type="dxa"/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537AEF">
              <w:rPr>
                <w:rFonts w:eastAsia="Times New Roman"/>
                <w:color w:val="000000"/>
                <w:lang w:val="en-US"/>
              </w:rPr>
              <w:t>i</w:t>
            </w:r>
            <w:proofErr w:type="spellEnd"/>
            <w:r w:rsidRPr="00537AEF">
              <w:rPr>
                <w:rFonts w:eastAsia="Times New Roman"/>
                <w:color w:val="000000"/>
                <w:lang w:val="en-US"/>
              </w:rPr>
              <w:t>-Butyric acid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0.95±0.34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0.90±0.49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1.31±0.65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0.93±0.43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1.35±0.79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1.32±0.77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3</w:t>
            </w:r>
          </w:p>
        </w:tc>
      </w:tr>
      <w:tr w:rsidR="00427BB2" w:rsidRPr="00537AEF" w:rsidTr="00D94065">
        <w:trPr>
          <w:trHeight w:val="474"/>
        </w:trPr>
        <w:tc>
          <w:tcPr>
            <w:tcW w:w="1668" w:type="dxa"/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n-</w:t>
            </w:r>
            <w:proofErr w:type="spellStart"/>
            <w:r w:rsidRPr="00537AEF">
              <w:rPr>
                <w:rFonts w:eastAsia="Times New Roman"/>
                <w:color w:val="000000"/>
                <w:lang w:val="en-US"/>
              </w:rPr>
              <w:t>Butiric</w:t>
            </w:r>
            <w:proofErr w:type="spellEnd"/>
            <w:r w:rsidRPr="00537AEF">
              <w:rPr>
                <w:rFonts w:eastAsia="Times New Roman"/>
                <w:color w:val="000000"/>
                <w:lang w:val="en-US"/>
              </w:rPr>
              <w:t xml:space="preserve"> acid</w:t>
            </w:r>
          </w:p>
        </w:tc>
        <w:tc>
          <w:tcPr>
            <w:tcW w:w="1984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5.19±3.11</w:t>
            </w:r>
          </w:p>
        </w:tc>
        <w:tc>
          <w:tcPr>
            <w:tcW w:w="1985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4.22±2.15</w:t>
            </w:r>
          </w:p>
        </w:tc>
        <w:tc>
          <w:tcPr>
            <w:tcW w:w="2126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ind w:left="34" w:hanging="34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8.77±5.78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843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9.95±5.54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984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10.58±9.55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2410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10.77±8.48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</w:tr>
      <w:tr w:rsidR="00427BB2" w:rsidRPr="00537AEF" w:rsidTr="00D94065">
        <w:trPr>
          <w:trHeight w:val="428"/>
        </w:trPr>
        <w:tc>
          <w:tcPr>
            <w:tcW w:w="1668" w:type="dxa"/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537AEF">
              <w:rPr>
                <w:rFonts w:eastAsia="Times New Roman"/>
                <w:color w:val="000000"/>
                <w:lang w:val="en-US"/>
              </w:rPr>
              <w:t>i-Valeric</w:t>
            </w:r>
            <w:proofErr w:type="spellEnd"/>
            <w:r w:rsidRPr="00537AEF">
              <w:rPr>
                <w:rFonts w:eastAsia="Times New Roman"/>
                <w:color w:val="000000"/>
                <w:lang w:val="en-US"/>
              </w:rPr>
              <w:t xml:space="preserve"> acid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1.37±0.60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1.18±0.55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1.77±1.01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1.18±0.60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1.90±1.42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1.90±1.32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1,2,3</w:t>
            </w:r>
          </w:p>
        </w:tc>
      </w:tr>
      <w:tr w:rsidR="00427BB2" w:rsidRPr="00537AEF" w:rsidTr="00D94065">
        <w:trPr>
          <w:trHeight w:val="428"/>
        </w:trPr>
        <w:tc>
          <w:tcPr>
            <w:tcW w:w="1668" w:type="dxa"/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n-</w:t>
            </w:r>
            <w:proofErr w:type="spellStart"/>
            <w:r w:rsidRPr="00537AEF">
              <w:rPr>
                <w:rFonts w:eastAsia="Times New Roman"/>
                <w:color w:val="000000"/>
                <w:lang w:val="en-US"/>
              </w:rPr>
              <w:t>Valeric</w:t>
            </w:r>
            <w:proofErr w:type="spellEnd"/>
            <w:r w:rsidRPr="00537AEF">
              <w:rPr>
                <w:rFonts w:eastAsia="Times New Roman"/>
                <w:color w:val="000000"/>
                <w:lang w:val="en-US"/>
              </w:rPr>
              <w:t xml:space="preserve"> acid</w:t>
            </w:r>
          </w:p>
        </w:tc>
        <w:tc>
          <w:tcPr>
            <w:tcW w:w="1984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0.90±0.41</w:t>
            </w:r>
          </w:p>
        </w:tc>
        <w:tc>
          <w:tcPr>
            <w:tcW w:w="1985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0.77±0.42</w:t>
            </w:r>
          </w:p>
        </w:tc>
        <w:tc>
          <w:tcPr>
            <w:tcW w:w="2126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1.42±0.87</w:t>
            </w:r>
          </w:p>
        </w:tc>
        <w:tc>
          <w:tcPr>
            <w:tcW w:w="1843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1.28±0.62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984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1.66±1.02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2410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1.54±1.02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</w:tr>
      <w:tr w:rsidR="00427BB2" w:rsidRPr="00537AEF" w:rsidTr="00D94065">
        <w:trPr>
          <w:trHeight w:val="428"/>
        </w:trPr>
        <w:tc>
          <w:tcPr>
            <w:tcW w:w="1668" w:type="dxa"/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537AEF">
              <w:rPr>
                <w:rFonts w:eastAsia="Times New Roman"/>
                <w:color w:val="000000"/>
                <w:lang w:val="en-US"/>
              </w:rPr>
              <w:t>Hexanoic</w:t>
            </w:r>
            <w:proofErr w:type="spellEnd"/>
            <w:r w:rsidRPr="00537AEF">
              <w:rPr>
                <w:rFonts w:eastAsia="Times New Roman"/>
                <w:color w:val="000000"/>
                <w:lang w:val="en-US"/>
              </w:rPr>
              <w:t xml:space="preserve"> acid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0.35±0.31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0.36±0.33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0.49±0.50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0.50±0.48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0.67±0.79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0.64±0.59</w:t>
            </w:r>
          </w:p>
        </w:tc>
      </w:tr>
      <w:tr w:rsidR="00427BB2" w:rsidRPr="00537AEF" w:rsidTr="00D94065">
        <w:trPr>
          <w:trHeight w:val="474"/>
        </w:trPr>
        <w:tc>
          <w:tcPr>
            <w:tcW w:w="1668" w:type="dxa"/>
            <w:shd w:val="clear" w:color="auto" w:fill="FFFFFF"/>
            <w:vAlign w:val="center"/>
          </w:tcPr>
          <w:p w:rsidR="00427BB2" w:rsidRPr="00537AEF" w:rsidRDefault="00427BB2" w:rsidP="00D94065">
            <w:pPr>
              <w:spacing w:after="0" w:line="480" w:lineRule="auto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Total*</w:t>
            </w:r>
          </w:p>
        </w:tc>
        <w:tc>
          <w:tcPr>
            <w:tcW w:w="1984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42.84±14.75</w:t>
            </w:r>
          </w:p>
        </w:tc>
        <w:tc>
          <w:tcPr>
            <w:tcW w:w="1985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37AEF">
              <w:rPr>
                <w:rFonts w:eastAsia="Times New Roman"/>
                <w:color w:val="000000"/>
                <w:lang w:val="en-US"/>
              </w:rPr>
              <w:t>33.94±14.95</w:t>
            </w:r>
          </w:p>
        </w:tc>
        <w:tc>
          <w:tcPr>
            <w:tcW w:w="2126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67.52±28.81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843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79.74±34.37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1984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77.19±42.44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  <w:tc>
          <w:tcPr>
            <w:tcW w:w="2410" w:type="dxa"/>
            <w:vAlign w:val="center"/>
          </w:tcPr>
          <w:p w:rsidR="00427BB2" w:rsidRPr="00537AEF" w:rsidRDefault="00427BB2" w:rsidP="00D94065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537AEF">
              <w:rPr>
                <w:rFonts w:eastAsia="Times New Roman"/>
                <w:b/>
                <w:color w:val="000000"/>
                <w:lang w:val="en-US"/>
              </w:rPr>
              <w:t>79.76±45.21</w:t>
            </w:r>
            <w:r w:rsidRPr="00537AEF">
              <w:rPr>
                <w:rFonts w:eastAsia="Times New Roman"/>
                <w:b/>
                <w:color w:val="000000"/>
                <w:vertAlign w:val="superscript"/>
                <w:lang w:val="en-US"/>
              </w:rPr>
              <w:t>1,2</w:t>
            </w:r>
          </w:p>
        </w:tc>
      </w:tr>
    </w:tbl>
    <w:p w:rsidR="00427BB2" w:rsidRPr="00537AEF" w:rsidRDefault="00427BB2" w:rsidP="00427BB2">
      <w:pPr>
        <w:spacing w:after="0" w:line="240" w:lineRule="auto"/>
        <w:jc w:val="both"/>
        <w:rPr>
          <w:i/>
          <w:sz w:val="18"/>
          <w:szCs w:val="18"/>
          <w:lang w:val="en-US"/>
        </w:rPr>
      </w:pPr>
      <w:r w:rsidRPr="00537AEF">
        <w:rPr>
          <w:i/>
          <w:sz w:val="18"/>
          <w:szCs w:val="18"/>
          <w:lang w:val="en-US"/>
        </w:rPr>
        <w:t>ND normal diet, GFD gluten free diet</w:t>
      </w:r>
    </w:p>
    <w:p w:rsidR="00427BB2" w:rsidRPr="00537AEF" w:rsidRDefault="00427BB2" w:rsidP="00427BB2">
      <w:pPr>
        <w:spacing w:after="0" w:line="240" w:lineRule="auto"/>
        <w:jc w:val="both"/>
        <w:rPr>
          <w:sz w:val="18"/>
          <w:szCs w:val="18"/>
          <w:lang w:val="en-US"/>
        </w:rPr>
      </w:pPr>
      <w:r w:rsidRPr="00537AEF">
        <w:rPr>
          <w:sz w:val="18"/>
          <w:szCs w:val="18"/>
          <w:lang w:val="en-US"/>
        </w:rPr>
        <w:t>*Mean of samples (</w:t>
      </w:r>
      <w:proofErr w:type="spellStart"/>
      <w:r w:rsidRPr="00537AEF">
        <w:rPr>
          <w:sz w:val="18"/>
          <w:szCs w:val="18"/>
          <w:lang w:val="en-US"/>
        </w:rPr>
        <w:t>mmol</w:t>
      </w:r>
      <w:proofErr w:type="spellEnd"/>
      <w:r w:rsidRPr="00537AEF">
        <w:rPr>
          <w:sz w:val="18"/>
          <w:szCs w:val="18"/>
          <w:lang w:val="en-US"/>
        </w:rPr>
        <w:t xml:space="preserve">/Kg </w:t>
      </w:r>
      <w:proofErr w:type="spellStart"/>
      <w:r>
        <w:rPr>
          <w:sz w:val="18"/>
          <w:szCs w:val="18"/>
          <w:lang w:val="en-US"/>
        </w:rPr>
        <w:t>faeces</w:t>
      </w:r>
      <w:proofErr w:type="spellEnd"/>
      <w:r w:rsidRPr="00537AEF">
        <w:rPr>
          <w:sz w:val="18"/>
          <w:szCs w:val="18"/>
          <w:lang w:val="en-US"/>
        </w:rPr>
        <w:t>)</w:t>
      </w:r>
    </w:p>
    <w:p w:rsidR="00427BB2" w:rsidRPr="00537AEF" w:rsidRDefault="00427BB2" w:rsidP="00427BB2">
      <w:pPr>
        <w:spacing w:after="0" w:line="240" w:lineRule="auto"/>
        <w:jc w:val="both"/>
        <w:rPr>
          <w:sz w:val="18"/>
          <w:szCs w:val="18"/>
          <w:lang w:val="en-US"/>
        </w:rPr>
      </w:pPr>
      <w:r w:rsidRPr="00537AEF">
        <w:rPr>
          <w:sz w:val="18"/>
          <w:szCs w:val="18"/>
          <w:vertAlign w:val="superscript"/>
          <w:lang w:val="en-US"/>
        </w:rPr>
        <w:t xml:space="preserve">1 </w:t>
      </w:r>
      <w:r w:rsidRPr="00537AEF">
        <w:rPr>
          <w:sz w:val="18"/>
          <w:szCs w:val="18"/>
          <w:lang w:val="en-US"/>
        </w:rPr>
        <w:t xml:space="preserve">Significant differences </w:t>
      </w:r>
      <w:r w:rsidRPr="00537AEF">
        <w:rPr>
          <w:i/>
          <w:sz w:val="18"/>
          <w:szCs w:val="18"/>
          <w:lang w:val="en-US"/>
        </w:rPr>
        <w:t>versus</w:t>
      </w:r>
      <w:r w:rsidRPr="00537AEF">
        <w:rPr>
          <w:sz w:val="18"/>
          <w:szCs w:val="18"/>
          <w:lang w:val="en-US"/>
        </w:rPr>
        <w:t xml:space="preserve"> healthy volunteers in ND (p</w:t>
      </w:r>
      <w:r>
        <w:rPr>
          <w:sz w:val="18"/>
          <w:szCs w:val="18"/>
          <w:lang w:val="en-US"/>
        </w:rPr>
        <w:t>&lt;0.0</w:t>
      </w:r>
      <w:r w:rsidRPr="00537AEF">
        <w:rPr>
          <w:sz w:val="18"/>
          <w:szCs w:val="18"/>
          <w:lang w:val="en-US"/>
        </w:rPr>
        <w:t>5)</w:t>
      </w:r>
    </w:p>
    <w:p w:rsidR="00427BB2" w:rsidRPr="00537AEF" w:rsidRDefault="00427BB2" w:rsidP="00427BB2">
      <w:pPr>
        <w:spacing w:after="0" w:line="240" w:lineRule="auto"/>
        <w:jc w:val="both"/>
        <w:rPr>
          <w:sz w:val="18"/>
          <w:szCs w:val="18"/>
          <w:vertAlign w:val="superscript"/>
          <w:lang w:val="en-US"/>
        </w:rPr>
      </w:pPr>
      <w:r w:rsidRPr="00537AEF">
        <w:rPr>
          <w:sz w:val="18"/>
          <w:szCs w:val="18"/>
          <w:vertAlign w:val="superscript"/>
          <w:lang w:val="en-US"/>
        </w:rPr>
        <w:t xml:space="preserve">2 </w:t>
      </w:r>
      <w:r w:rsidRPr="00537AEF">
        <w:rPr>
          <w:sz w:val="18"/>
          <w:szCs w:val="18"/>
          <w:lang w:val="en-US"/>
        </w:rPr>
        <w:t xml:space="preserve">Significant differences </w:t>
      </w:r>
      <w:r w:rsidRPr="00537AEF">
        <w:rPr>
          <w:i/>
          <w:sz w:val="18"/>
          <w:szCs w:val="18"/>
          <w:lang w:val="en-US"/>
        </w:rPr>
        <w:t>versus</w:t>
      </w:r>
      <w:r w:rsidRPr="00537AEF">
        <w:rPr>
          <w:sz w:val="18"/>
          <w:szCs w:val="18"/>
          <w:lang w:val="en-US"/>
        </w:rPr>
        <w:t xml:space="preserve"> healthy </w:t>
      </w:r>
      <w:r>
        <w:rPr>
          <w:sz w:val="18"/>
          <w:szCs w:val="18"/>
          <w:lang w:val="en-US"/>
        </w:rPr>
        <w:t>on</w:t>
      </w:r>
      <w:r w:rsidRPr="00537AEF">
        <w:rPr>
          <w:sz w:val="18"/>
          <w:szCs w:val="18"/>
          <w:lang w:val="en-US"/>
        </w:rPr>
        <w:t xml:space="preserve"> GFD (p&lt;0.05)</w:t>
      </w:r>
    </w:p>
    <w:p w:rsidR="00427BB2" w:rsidRPr="00537AEF" w:rsidRDefault="00427BB2" w:rsidP="00427BB2">
      <w:pPr>
        <w:spacing w:after="0" w:line="240" w:lineRule="auto"/>
        <w:jc w:val="both"/>
        <w:rPr>
          <w:sz w:val="18"/>
          <w:szCs w:val="18"/>
          <w:lang w:val="en-US"/>
        </w:rPr>
      </w:pPr>
      <w:r w:rsidRPr="00537AEF">
        <w:rPr>
          <w:sz w:val="18"/>
          <w:szCs w:val="18"/>
          <w:vertAlign w:val="superscript"/>
          <w:lang w:val="en-US"/>
        </w:rPr>
        <w:t xml:space="preserve">3 </w:t>
      </w:r>
      <w:r w:rsidRPr="00537AEF">
        <w:rPr>
          <w:sz w:val="18"/>
          <w:szCs w:val="18"/>
          <w:lang w:val="en-US"/>
        </w:rPr>
        <w:t xml:space="preserve">Significant differences </w:t>
      </w:r>
      <w:r w:rsidRPr="00537AEF">
        <w:rPr>
          <w:i/>
          <w:sz w:val="18"/>
          <w:szCs w:val="18"/>
          <w:lang w:val="en-US"/>
        </w:rPr>
        <w:t>versus</w:t>
      </w:r>
      <w:r w:rsidRPr="00537AEF">
        <w:rPr>
          <w:sz w:val="18"/>
          <w:szCs w:val="18"/>
          <w:lang w:val="en-US"/>
        </w:rPr>
        <w:t xml:space="preserve"> celiac disease patients </w:t>
      </w:r>
      <w:r>
        <w:rPr>
          <w:sz w:val="18"/>
          <w:szCs w:val="18"/>
          <w:lang w:val="en-US"/>
        </w:rPr>
        <w:t>on</w:t>
      </w:r>
      <w:r w:rsidRPr="00537AEF">
        <w:rPr>
          <w:sz w:val="18"/>
          <w:szCs w:val="18"/>
          <w:lang w:val="en-US"/>
        </w:rPr>
        <w:t xml:space="preserve"> GFD (p&lt;0.05)</w:t>
      </w:r>
    </w:p>
    <w:p w:rsidR="00427BB2" w:rsidRPr="00537AEF" w:rsidRDefault="00427BB2" w:rsidP="00427BB2">
      <w:pPr>
        <w:spacing w:line="360" w:lineRule="auto"/>
        <w:jc w:val="both"/>
        <w:rPr>
          <w:b/>
          <w:lang w:val="en-US"/>
        </w:rPr>
        <w:sectPr w:rsidR="00427BB2" w:rsidRPr="00537AEF">
          <w:pgSz w:w="16838" w:h="11906" w:orient="landscape"/>
          <w:pgMar w:top="1531" w:right="1418" w:bottom="1531" w:left="1418" w:header="708" w:footer="708" w:gutter="0"/>
          <w:cols w:space="708"/>
          <w:docGrid w:linePitch="360"/>
        </w:sectPr>
      </w:pPr>
    </w:p>
    <w:p w:rsidR="00427BB2" w:rsidRPr="000D3973" w:rsidRDefault="00427BB2" w:rsidP="00427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Table 2</w:t>
      </w:r>
      <w:r w:rsidRPr="000760F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760F9">
        <w:rPr>
          <w:rFonts w:ascii="Times New Roman" w:hAnsi="Times New Roman"/>
          <w:sz w:val="24"/>
          <w:szCs w:val="24"/>
          <w:lang w:val="en-US"/>
        </w:rPr>
        <w:t xml:space="preserve"> Cultivable bacteria involved in gluten metabolism isolated from feces of healthy subjects, active CD patients, and First-degree relatives.</w:t>
      </w:r>
    </w:p>
    <w:tbl>
      <w:tblPr>
        <w:tblStyle w:val="LightList1"/>
        <w:tblpPr w:leftFromText="141" w:rightFromText="141" w:vertAnchor="text" w:horzAnchor="margin" w:tblpXSpec="center" w:tblpY="274"/>
        <w:tblW w:w="8094" w:type="dxa"/>
        <w:tblLook w:val="04A0"/>
      </w:tblPr>
      <w:tblGrid>
        <w:gridCol w:w="1668"/>
        <w:gridCol w:w="2032"/>
        <w:gridCol w:w="1511"/>
        <w:gridCol w:w="142"/>
        <w:gridCol w:w="1276"/>
        <w:gridCol w:w="142"/>
        <w:gridCol w:w="1323"/>
      </w:tblGrid>
      <w:tr w:rsidR="00427BB2" w:rsidRPr="00286AB2" w:rsidTr="00D94065">
        <w:trPr>
          <w:cnfStyle w:val="100000000000"/>
          <w:trHeight w:val="303"/>
        </w:trPr>
        <w:tc>
          <w:tcPr>
            <w:cnfStyle w:val="001000000000"/>
            <w:tcW w:w="1668" w:type="dxa"/>
          </w:tcPr>
          <w:p w:rsidR="00427BB2" w:rsidRPr="006C24A1" w:rsidRDefault="00427BB2" w:rsidP="00D94065">
            <w:pPr>
              <w:autoSpaceDE w:val="0"/>
              <w:autoSpaceDN w:val="0"/>
              <w:adjustRightInd w:val="0"/>
              <w:jc w:val="both"/>
              <w:rPr>
                <w:rFonts w:cs="AdvOT863180fb"/>
                <w:i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</w:tcPr>
          <w:p w:rsidR="00427BB2" w:rsidRPr="006C24A1" w:rsidRDefault="00427BB2" w:rsidP="00D94065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cs="AdvOT863180fb"/>
                <w:i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D3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Coeliac</w:t>
            </w:r>
            <w:proofErr w:type="spellEnd"/>
          </w:p>
        </w:tc>
        <w:tc>
          <w:tcPr>
            <w:tcW w:w="1323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</w:t>
            </w:r>
          </w:p>
        </w:tc>
      </w:tr>
      <w:tr w:rsidR="00427BB2" w:rsidRPr="006B7D9A" w:rsidTr="00D94065">
        <w:trPr>
          <w:cnfStyle w:val="000000100000"/>
          <w:trHeight w:val="303"/>
        </w:trPr>
        <w:tc>
          <w:tcPr>
            <w:cnfStyle w:val="001000000000"/>
            <w:tcW w:w="1668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426" w:type="dxa"/>
            <w:gridSpan w:val="6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 xml:space="preserve">%  of clones  (nº samples with specific </w:t>
            </w:r>
            <w:proofErr w:type="spellStart"/>
            <w:r w:rsidRPr="000D3973">
              <w:rPr>
                <w:rFonts w:ascii="Times New Roman" w:hAnsi="Times New Roman" w:cs="Times New Roman"/>
                <w:lang w:val="en-US"/>
              </w:rPr>
              <w:t>taxa</w:t>
            </w:r>
            <w:proofErr w:type="spellEnd"/>
            <w:r w:rsidRPr="000D3973">
              <w:rPr>
                <w:rFonts w:ascii="Times New Roman" w:hAnsi="Times New Roman" w:cs="Times New Roman"/>
                <w:lang w:val="en-US"/>
              </w:rPr>
              <w:t xml:space="preserve">/ Total samples ) </w:t>
            </w:r>
          </w:p>
        </w:tc>
      </w:tr>
      <w:tr w:rsidR="00427BB2" w:rsidRPr="00286AB2" w:rsidTr="00D94065">
        <w:trPr>
          <w:trHeight w:val="303"/>
        </w:trPr>
        <w:tc>
          <w:tcPr>
            <w:cnfStyle w:val="001000000000"/>
            <w:tcW w:w="1668" w:type="dxa"/>
            <w:vMerge w:val="restart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Firmicutes</w:t>
            </w:r>
            <w:proofErr w:type="spellEnd"/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100% (7/7)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100% (5/5)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100% (10/10)</w:t>
            </w:r>
          </w:p>
        </w:tc>
      </w:tr>
      <w:tr w:rsidR="00427BB2" w:rsidRPr="00286AB2" w:rsidTr="00D94065">
        <w:trPr>
          <w:cnfStyle w:val="000000100000"/>
          <w:trHeight w:val="303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0D3973">
              <w:rPr>
                <w:rFonts w:ascii="Times New Roman" w:hAnsi="Times New Roman" w:cs="Times New Roman"/>
                <w:i/>
                <w:lang w:val="en-US"/>
              </w:rPr>
              <w:t>Bacillus</w:t>
            </w: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14.2% (1/7)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20% (2/10)</w:t>
            </w:r>
          </w:p>
        </w:tc>
      </w:tr>
      <w:tr w:rsidR="00427BB2" w:rsidRPr="00286AB2" w:rsidTr="00D94065">
        <w:trPr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0D3973">
              <w:rPr>
                <w:rFonts w:ascii="Times New Roman" w:hAnsi="Times New Roman" w:cs="Times New Roman"/>
                <w:i/>
                <w:lang w:val="en-US"/>
              </w:rPr>
              <w:t>Clostridium</w:t>
            </w: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28.5% (2/7)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60% (3/5)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40% (4/10)</w:t>
            </w:r>
          </w:p>
        </w:tc>
      </w:tr>
      <w:tr w:rsidR="00427BB2" w:rsidRPr="00286AB2" w:rsidTr="00D94065">
        <w:trPr>
          <w:cnfStyle w:val="000000100000"/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Enterococcus</w:t>
            </w:r>
            <w:proofErr w:type="spellEnd"/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57.1% (4/7)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40% (2/5)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30% (3/10)</w:t>
            </w:r>
          </w:p>
        </w:tc>
      </w:tr>
      <w:tr w:rsidR="00427BB2" w:rsidRPr="00286AB2" w:rsidTr="00D94065">
        <w:trPr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0D3973">
              <w:rPr>
                <w:rFonts w:ascii="Times New Roman" w:hAnsi="Times New Roman" w:cs="Times New Roman"/>
                <w:i/>
                <w:lang w:val="en-US"/>
              </w:rPr>
              <w:t>Lactobacillus</w:t>
            </w: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71.4% (5/7)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  <w:r w:rsidRPr="000D3973">
              <w:rPr>
                <w:rFonts w:ascii="Times New Roman" w:hAnsi="Times New Roman" w:cs="Times New Roman"/>
                <w:b/>
                <w:lang w:val="en-US"/>
              </w:rPr>
              <w:t>0% (0/5)*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60% (6/10)</w:t>
            </w:r>
          </w:p>
        </w:tc>
      </w:tr>
      <w:tr w:rsidR="00427BB2" w:rsidRPr="00286AB2" w:rsidTr="00D94065">
        <w:trPr>
          <w:cnfStyle w:val="000000100000"/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Pediococcus</w:t>
            </w:r>
            <w:proofErr w:type="spellEnd"/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10% (1/10)</w:t>
            </w:r>
          </w:p>
        </w:tc>
      </w:tr>
      <w:tr w:rsidR="00427BB2" w:rsidRPr="00286AB2" w:rsidTr="00D94065">
        <w:trPr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0D3973">
              <w:rPr>
                <w:rFonts w:ascii="Times New Roman" w:hAnsi="Times New Roman" w:cs="Times New Roman"/>
                <w:i/>
                <w:lang w:val="en-US"/>
              </w:rPr>
              <w:t>Staphylococcus</w:t>
            </w: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57.1% (4/7)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20% (1/5)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30% (3/10)</w:t>
            </w:r>
          </w:p>
        </w:tc>
      </w:tr>
      <w:tr w:rsidR="00427BB2" w:rsidRPr="00286AB2" w:rsidTr="00D94065">
        <w:trPr>
          <w:cnfStyle w:val="000000100000"/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0D3973">
              <w:rPr>
                <w:rFonts w:ascii="Times New Roman" w:hAnsi="Times New Roman" w:cs="Times New Roman"/>
                <w:i/>
                <w:lang w:val="en-US"/>
              </w:rPr>
              <w:t>Streptococcus</w:t>
            </w: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28.6% (2/7)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20% (2/10)</w:t>
            </w:r>
          </w:p>
        </w:tc>
      </w:tr>
      <w:tr w:rsidR="00427BB2" w:rsidRPr="00286AB2" w:rsidTr="00D94065">
        <w:trPr>
          <w:trHeight w:val="175"/>
        </w:trPr>
        <w:tc>
          <w:tcPr>
            <w:cnfStyle w:val="001000000000"/>
            <w:tcW w:w="1668" w:type="dxa"/>
            <w:vMerge w:val="restart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Actinobacteria</w:t>
            </w:r>
            <w:proofErr w:type="spellEnd"/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57.1% (4/7)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20% (2/5)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50% (5/10)</w:t>
            </w:r>
          </w:p>
        </w:tc>
      </w:tr>
      <w:tr w:rsidR="00427BB2" w:rsidRPr="00286AB2" w:rsidTr="00D94065">
        <w:trPr>
          <w:cnfStyle w:val="000000100000"/>
          <w:trHeight w:val="273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Bifidobacterium</w:t>
            </w:r>
            <w:proofErr w:type="spellEnd"/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42.8% (3/7)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20% (2/5)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50% (5/10)</w:t>
            </w:r>
          </w:p>
        </w:tc>
      </w:tr>
      <w:tr w:rsidR="00427BB2" w:rsidRPr="00286AB2" w:rsidTr="00D94065">
        <w:trPr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Corynebacterium</w:t>
            </w:r>
            <w:proofErr w:type="spellEnd"/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14.2% (1/7)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(0/10)</w:t>
            </w:r>
          </w:p>
        </w:tc>
      </w:tr>
      <w:tr w:rsidR="00427BB2" w:rsidRPr="00286AB2" w:rsidTr="00D94065">
        <w:trPr>
          <w:cnfStyle w:val="000000100000"/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Propionibacterium</w:t>
            </w:r>
            <w:proofErr w:type="spellEnd"/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10% (1/10)</w:t>
            </w:r>
          </w:p>
        </w:tc>
      </w:tr>
      <w:tr w:rsidR="00427BB2" w:rsidRPr="00286AB2" w:rsidTr="00D94065">
        <w:trPr>
          <w:trHeight w:val="175"/>
        </w:trPr>
        <w:tc>
          <w:tcPr>
            <w:cnfStyle w:val="001000000000"/>
            <w:tcW w:w="1668" w:type="dxa"/>
            <w:vMerge w:val="restart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Proteobacteria</w:t>
            </w:r>
            <w:proofErr w:type="spellEnd"/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57.1% (4/7)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20% (1/5)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20% (2/10)</w:t>
            </w:r>
          </w:p>
        </w:tc>
      </w:tr>
      <w:tr w:rsidR="00427BB2" w:rsidRPr="00286AB2" w:rsidTr="00D94065">
        <w:trPr>
          <w:cnfStyle w:val="000000100000"/>
          <w:trHeight w:val="273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Enterobacter</w:t>
            </w:r>
            <w:proofErr w:type="spellEnd"/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10% (1/10)</w:t>
            </w:r>
          </w:p>
        </w:tc>
      </w:tr>
      <w:tr w:rsidR="00427BB2" w:rsidRPr="00286AB2" w:rsidTr="00D94065">
        <w:trPr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0D3973">
              <w:rPr>
                <w:rFonts w:ascii="Times New Roman" w:hAnsi="Times New Roman" w:cs="Times New Roman"/>
                <w:i/>
                <w:lang w:val="en-US"/>
              </w:rPr>
              <w:t>Escherichia</w:t>
            </w:r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42.8% (3/7)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(0/10)</w:t>
            </w:r>
          </w:p>
        </w:tc>
      </w:tr>
      <w:tr w:rsidR="00427BB2" w:rsidRPr="00286AB2" w:rsidTr="00D94065">
        <w:trPr>
          <w:cnfStyle w:val="000000100000"/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Klebsiella</w:t>
            </w:r>
            <w:proofErr w:type="spellEnd"/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14.2% (1/7)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10% (1/10)</w:t>
            </w:r>
          </w:p>
        </w:tc>
      </w:tr>
      <w:tr w:rsidR="00427BB2" w:rsidRPr="00286AB2" w:rsidTr="00D94065">
        <w:trPr>
          <w:trHeight w:val="175"/>
        </w:trPr>
        <w:tc>
          <w:tcPr>
            <w:cnfStyle w:val="001000000000"/>
            <w:tcW w:w="1668" w:type="dxa"/>
            <w:vMerge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32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D3973">
              <w:rPr>
                <w:rFonts w:ascii="Times New Roman" w:hAnsi="Times New Roman" w:cs="Times New Roman"/>
                <w:i/>
                <w:lang w:val="en-US"/>
              </w:rPr>
              <w:t>Stenotrophomonas</w:t>
            </w:r>
            <w:proofErr w:type="spellEnd"/>
          </w:p>
        </w:tc>
        <w:tc>
          <w:tcPr>
            <w:tcW w:w="1511" w:type="dxa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(0/7)</w:t>
            </w:r>
          </w:p>
        </w:tc>
        <w:tc>
          <w:tcPr>
            <w:tcW w:w="1418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20% (1/5)</w:t>
            </w:r>
          </w:p>
        </w:tc>
        <w:tc>
          <w:tcPr>
            <w:tcW w:w="1465" w:type="dxa"/>
            <w:gridSpan w:val="2"/>
          </w:tcPr>
          <w:p w:rsidR="00427BB2" w:rsidRPr="000D3973" w:rsidRDefault="00427BB2" w:rsidP="00D940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0D3973">
              <w:rPr>
                <w:rFonts w:ascii="Times New Roman" w:hAnsi="Times New Roman" w:cs="Times New Roman"/>
                <w:lang w:val="en-US"/>
              </w:rPr>
              <w:t>0% (0/10)</w:t>
            </w:r>
          </w:p>
        </w:tc>
      </w:tr>
    </w:tbl>
    <w:p w:rsidR="00427BB2" w:rsidRDefault="00427BB2" w:rsidP="00427BB2">
      <w:pPr>
        <w:autoSpaceDE w:val="0"/>
        <w:autoSpaceDN w:val="0"/>
        <w:adjustRightInd w:val="0"/>
        <w:spacing w:after="0"/>
        <w:jc w:val="both"/>
        <w:rPr>
          <w:rFonts w:cs="AdvOT863180fb"/>
          <w:lang w:val="en-US"/>
        </w:rPr>
      </w:pPr>
    </w:p>
    <w:p w:rsidR="00427BB2" w:rsidRPr="00164752" w:rsidRDefault="00427BB2" w:rsidP="00427BB2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164752">
        <w:rPr>
          <w:rFonts w:ascii="Times New Roman" w:hAnsi="Times New Roman"/>
          <w:sz w:val="20"/>
          <w:szCs w:val="20"/>
          <w:lang w:val="en-US"/>
        </w:rPr>
        <w:t>* Significant differences vs. healthy volunteers and vs. first-degree relatives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16475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64752">
        <w:rPr>
          <w:rFonts w:ascii="Times New Roman" w:hAnsi="Times New Roman"/>
          <w:sz w:val="20"/>
          <w:szCs w:val="20"/>
          <w:lang w:val="en-US"/>
        </w:rPr>
        <w:t>p</w:t>
      </w:r>
      <w:proofErr w:type="gramEnd"/>
      <w:r w:rsidRPr="00164752">
        <w:rPr>
          <w:rFonts w:ascii="Times New Roman" w:hAnsi="Times New Roman"/>
          <w:sz w:val="20"/>
          <w:szCs w:val="20"/>
          <w:lang w:val="en-US"/>
        </w:rPr>
        <w:t xml:space="preserve"> &lt; 0.05.</w:t>
      </w:r>
    </w:p>
    <w:p w:rsidR="00427BB2" w:rsidRDefault="00427BB2" w:rsidP="00427BB2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:rsidR="006614D8" w:rsidRDefault="006614D8"/>
    <w:sectPr w:rsidR="006614D8" w:rsidSect="00027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533"/>
      <w:docPartObj>
        <w:docPartGallery w:val="Page Numbers (Bottom of Page)"/>
        <w:docPartUnique/>
      </w:docPartObj>
    </w:sdtPr>
    <w:sdtEndPr/>
    <w:sdtContent>
      <w:p w:rsidR="00DA304F" w:rsidRDefault="00427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304F" w:rsidRDefault="00427BB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427BB2"/>
    <w:rsid w:val="000012EB"/>
    <w:rsid w:val="0001341F"/>
    <w:rsid w:val="0001405F"/>
    <w:rsid w:val="00027EAD"/>
    <w:rsid w:val="00033D0D"/>
    <w:rsid w:val="00035E2F"/>
    <w:rsid w:val="00047EAB"/>
    <w:rsid w:val="000505B6"/>
    <w:rsid w:val="00053F2D"/>
    <w:rsid w:val="0006531B"/>
    <w:rsid w:val="00070840"/>
    <w:rsid w:val="00071B39"/>
    <w:rsid w:val="000742DC"/>
    <w:rsid w:val="00084801"/>
    <w:rsid w:val="00086159"/>
    <w:rsid w:val="000A6B72"/>
    <w:rsid w:val="000A6C7E"/>
    <w:rsid w:val="000B412E"/>
    <w:rsid w:val="000E4F46"/>
    <w:rsid w:val="000F0745"/>
    <w:rsid w:val="000F07E3"/>
    <w:rsid w:val="001033D7"/>
    <w:rsid w:val="0010514D"/>
    <w:rsid w:val="00113EA4"/>
    <w:rsid w:val="001163FA"/>
    <w:rsid w:val="00117362"/>
    <w:rsid w:val="00153350"/>
    <w:rsid w:val="00153C44"/>
    <w:rsid w:val="001702B4"/>
    <w:rsid w:val="00171D4F"/>
    <w:rsid w:val="00177B74"/>
    <w:rsid w:val="001824D8"/>
    <w:rsid w:val="00193224"/>
    <w:rsid w:val="0019539F"/>
    <w:rsid w:val="001A5157"/>
    <w:rsid w:val="001A78C7"/>
    <w:rsid w:val="001B5331"/>
    <w:rsid w:val="001E1EE5"/>
    <w:rsid w:val="001E59CF"/>
    <w:rsid w:val="001F1D63"/>
    <w:rsid w:val="001F2C3A"/>
    <w:rsid w:val="001F35A2"/>
    <w:rsid w:val="001F4AC7"/>
    <w:rsid w:val="001F50ED"/>
    <w:rsid w:val="00201980"/>
    <w:rsid w:val="00223E1A"/>
    <w:rsid w:val="00233362"/>
    <w:rsid w:val="002423CA"/>
    <w:rsid w:val="0025011E"/>
    <w:rsid w:val="00250DB9"/>
    <w:rsid w:val="00257BC9"/>
    <w:rsid w:val="002823C6"/>
    <w:rsid w:val="00285CBF"/>
    <w:rsid w:val="002869A1"/>
    <w:rsid w:val="00294862"/>
    <w:rsid w:val="00295253"/>
    <w:rsid w:val="002A07AC"/>
    <w:rsid w:val="002A53EC"/>
    <w:rsid w:val="002C6193"/>
    <w:rsid w:val="002D4F73"/>
    <w:rsid w:val="002D6C6E"/>
    <w:rsid w:val="002D73FB"/>
    <w:rsid w:val="003024B6"/>
    <w:rsid w:val="00304E9B"/>
    <w:rsid w:val="00304EE6"/>
    <w:rsid w:val="0031077F"/>
    <w:rsid w:val="0032796B"/>
    <w:rsid w:val="00336DEF"/>
    <w:rsid w:val="0033706D"/>
    <w:rsid w:val="003421A2"/>
    <w:rsid w:val="0034667C"/>
    <w:rsid w:val="00350693"/>
    <w:rsid w:val="003677D4"/>
    <w:rsid w:val="003701E1"/>
    <w:rsid w:val="003714B1"/>
    <w:rsid w:val="00373513"/>
    <w:rsid w:val="00374D6B"/>
    <w:rsid w:val="00387318"/>
    <w:rsid w:val="003A29A5"/>
    <w:rsid w:val="003A2C48"/>
    <w:rsid w:val="003B126A"/>
    <w:rsid w:val="003B2B44"/>
    <w:rsid w:val="003B616A"/>
    <w:rsid w:val="003C4215"/>
    <w:rsid w:val="003D2BDA"/>
    <w:rsid w:val="003D77B1"/>
    <w:rsid w:val="003E3280"/>
    <w:rsid w:val="003E38D0"/>
    <w:rsid w:val="003F4DB5"/>
    <w:rsid w:val="00403D48"/>
    <w:rsid w:val="00404D2B"/>
    <w:rsid w:val="00417061"/>
    <w:rsid w:val="00427BB2"/>
    <w:rsid w:val="004374C8"/>
    <w:rsid w:val="004405F4"/>
    <w:rsid w:val="00464F45"/>
    <w:rsid w:val="00472543"/>
    <w:rsid w:val="00477733"/>
    <w:rsid w:val="004809E8"/>
    <w:rsid w:val="00480F81"/>
    <w:rsid w:val="004846C2"/>
    <w:rsid w:val="00495414"/>
    <w:rsid w:val="004A6E0F"/>
    <w:rsid w:val="004C18FC"/>
    <w:rsid w:val="004C268E"/>
    <w:rsid w:val="004C2DB3"/>
    <w:rsid w:val="004D207D"/>
    <w:rsid w:val="004D2365"/>
    <w:rsid w:val="004D6D39"/>
    <w:rsid w:val="004D7526"/>
    <w:rsid w:val="004F15FE"/>
    <w:rsid w:val="004F7992"/>
    <w:rsid w:val="00501370"/>
    <w:rsid w:val="0051478A"/>
    <w:rsid w:val="00520CBC"/>
    <w:rsid w:val="00544FEB"/>
    <w:rsid w:val="00545B85"/>
    <w:rsid w:val="00550192"/>
    <w:rsid w:val="00550CFA"/>
    <w:rsid w:val="0055547B"/>
    <w:rsid w:val="00557F37"/>
    <w:rsid w:val="0058645C"/>
    <w:rsid w:val="00593D47"/>
    <w:rsid w:val="00593E20"/>
    <w:rsid w:val="005A13B6"/>
    <w:rsid w:val="005A1A07"/>
    <w:rsid w:val="005A6740"/>
    <w:rsid w:val="005C4641"/>
    <w:rsid w:val="005C7360"/>
    <w:rsid w:val="005D08F9"/>
    <w:rsid w:val="005E227F"/>
    <w:rsid w:val="005E430E"/>
    <w:rsid w:val="005E439C"/>
    <w:rsid w:val="005F05FF"/>
    <w:rsid w:val="005F5C83"/>
    <w:rsid w:val="005F7475"/>
    <w:rsid w:val="00613B00"/>
    <w:rsid w:val="00620FE4"/>
    <w:rsid w:val="00625080"/>
    <w:rsid w:val="00656BF0"/>
    <w:rsid w:val="006614D8"/>
    <w:rsid w:val="00675794"/>
    <w:rsid w:val="0067599A"/>
    <w:rsid w:val="006844B0"/>
    <w:rsid w:val="00684887"/>
    <w:rsid w:val="00690591"/>
    <w:rsid w:val="006911E4"/>
    <w:rsid w:val="0069275C"/>
    <w:rsid w:val="006A400C"/>
    <w:rsid w:val="006F0986"/>
    <w:rsid w:val="006F7C12"/>
    <w:rsid w:val="007229FC"/>
    <w:rsid w:val="0072584D"/>
    <w:rsid w:val="007261E8"/>
    <w:rsid w:val="00732B01"/>
    <w:rsid w:val="00743DA8"/>
    <w:rsid w:val="007457F2"/>
    <w:rsid w:val="00752F9A"/>
    <w:rsid w:val="00777281"/>
    <w:rsid w:val="00784C1F"/>
    <w:rsid w:val="007919F8"/>
    <w:rsid w:val="00792189"/>
    <w:rsid w:val="00792D61"/>
    <w:rsid w:val="007B0DEC"/>
    <w:rsid w:val="007B4A57"/>
    <w:rsid w:val="007C351D"/>
    <w:rsid w:val="007C6425"/>
    <w:rsid w:val="007C69C7"/>
    <w:rsid w:val="007C7558"/>
    <w:rsid w:val="007D0B85"/>
    <w:rsid w:val="007F08F7"/>
    <w:rsid w:val="007F3B25"/>
    <w:rsid w:val="007F3C78"/>
    <w:rsid w:val="007F4345"/>
    <w:rsid w:val="007F4782"/>
    <w:rsid w:val="007F60EC"/>
    <w:rsid w:val="007F6728"/>
    <w:rsid w:val="0081343F"/>
    <w:rsid w:val="00832884"/>
    <w:rsid w:val="0084040C"/>
    <w:rsid w:val="00844CD1"/>
    <w:rsid w:val="00845947"/>
    <w:rsid w:val="00855E3F"/>
    <w:rsid w:val="008579C2"/>
    <w:rsid w:val="00873ADC"/>
    <w:rsid w:val="00874128"/>
    <w:rsid w:val="00875A89"/>
    <w:rsid w:val="00885289"/>
    <w:rsid w:val="008A008E"/>
    <w:rsid w:val="008A2897"/>
    <w:rsid w:val="008A76BC"/>
    <w:rsid w:val="008C10CF"/>
    <w:rsid w:val="008C6D3C"/>
    <w:rsid w:val="008F1167"/>
    <w:rsid w:val="009053D8"/>
    <w:rsid w:val="0091060E"/>
    <w:rsid w:val="00911093"/>
    <w:rsid w:val="009128B2"/>
    <w:rsid w:val="009140A9"/>
    <w:rsid w:val="009211C0"/>
    <w:rsid w:val="009221A3"/>
    <w:rsid w:val="009260CA"/>
    <w:rsid w:val="009318A2"/>
    <w:rsid w:val="00931A27"/>
    <w:rsid w:val="00942635"/>
    <w:rsid w:val="00950B8C"/>
    <w:rsid w:val="0095365F"/>
    <w:rsid w:val="0095424D"/>
    <w:rsid w:val="00954511"/>
    <w:rsid w:val="00957CF3"/>
    <w:rsid w:val="0096012C"/>
    <w:rsid w:val="0096318B"/>
    <w:rsid w:val="00967E79"/>
    <w:rsid w:val="00974E05"/>
    <w:rsid w:val="0098596C"/>
    <w:rsid w:val="00990BA2"/>
    <w:rsid w:val="00991A78"/>
    <w:rsid w:val="0099641B"/>
    <w:rsid w:val="009B01A2"/>
    <w:rsid w:val="009B626C"/>
    <w:rsid w:val="009C46A4"/>
    <w:rsid w:val="009D3A96"/>
    <w:rsid w:val="009D3D3F"/>
    <w:rsid w:val="009E7887"/>
    <w:rsid w:val="009F0D92"/>
    <w:rsid w:val="009F4FF8"/>
    <w:rsid w:val="00A01595"/>
    <w:rsid w:val="00A02F78"/>
    <w:rsid w:val="00A07944"/>
    <w:rsid w:val="00A1013B"/>
    <w:rsid w:val="00A128C4"/>
    <w:rsid w:val="00A14E25"/>
    <w:rsid w:val="00A1543F"/>
    <w:rsid w:val="00A21CA1"/>
    <w:rsid w:val="00A24CE4"/>
    <w:rsid w:val="00A33DFE"/>
    <w:rsid w:val="00A40D82"/>
    <w:rsid w:val="00A563A4"/>
    <w:rsid w:val="00A5739C"/>
    <w:rsid w:val="00A6076F"/>
    <w:rsid w:val="00A64069"/>
    <w:rsid w:val="00A97247"/>
    <w:rsid w:val="00AA1723"/>
    <w:rsid w:val="00AA278B"/>
    <w:rsid w:val="00AA32C5"/>
    <w:rsid w:val="00AA3FF6"/>
    <w:rsid w:val="00AC7EFC"/>
    <w:rsid w:val="00AE1C8B"/>
    <w:rsid w:val="00AE1EF3"/>
    <w:rsid w:val="00B0167E"/>
    <w:rsid w:val="00B05122"/>
    <w:rsid w:val="00B121D1"/>
    <w:rsid w:val="00B17676"/>
    <w:rsid w:val="00B34571"/>
    <w:rsid w:val="00B35689"/>
    <w:rsid w:val="00B45204"/>
    <w:rsid w:val="00B66D09"/>
    <w:rsid w:val="00B827FF"/>
    <w:rsid w:val="00B967E2"/>
    <w:rsid w:val="00B97C5D"/>
    <w:rsid w:val="00BA26D7"/>
    <w:rsid w:val="00BA3483"/>
    <w:rsid w:val="00BB35D1"/>
    <w:rsid w:val="00C04A9C"/>
    <w:rsid w:val="00C22F4A"/>
    <w:rsid w:val="00C277E0"/>
    <w:rsid w:val="00C42E1C"/>
    <w:rsid w:val="00C50388"/>
    <w:rsid w:val="00C51587"/>
    <w:rsid w:val="00C54AAE"/>
    <w:rsid w:val="00C56959"/>
    <w:rsid w:val="00C7072C"/>
    <w:rsid w:val="00C772CA"/>
    <w:rsid w:val="00C86EC8"/>
    <w:rsid w:val="00C87CBF"/>
    <w:rsid w:val="00C92B56"/>
    <w:rsid w:val="00C96DC7"/>
    <w:rsid w:val="00CA708C"/>
    <w:rsid w:val="00CB31A9"/>
    <w:rsid w:val="00CB65A5"/>
    <w:rsid w:val="00CC2850"/>
    <w:rsid w:val="00CD1141"/>
    <w:rsid w:val="00CD2A82"/>
    <w:rsid w:val="00CD59FD"/>
    <w:rsid w:val="00CD6079"/>
    <w:rsid w:val="00CE65C7"/>
    <w:rsid w:val="00D01FC5"/>
    <w:rsid w:val="00D336B4"/>
    <w:rsid w:val="00D54567"/>
    <w:rsid w:val="00D54DFB"/>
    <w:rsid w:val="00D6338C"/>
    <w:rsid w:val="00D66637"/>
    <w:rsid w:val="00D70111"/>
    <w:rsid w:val="00D71496"/>
    <w:rsid w:val="00D726BD"/>
    <w:rsid w:val="00D76A83"/>
    <w:rsid w:val="00D84838"/>
    <w:rsid w:val="00D8658C"/>
    <w:rsid w:val="00D9303B"/>
    <w:rsid w:val="00D93F4C"/>
    <w:rsid w:val="00D96701"/>
    <w:rsid w:val="00D973CA"/>
    <w:rsid w:val="00DA526D"/>
    <w:rsid w:val="00DB20D4"/>
    <w:rsid w:val="00DB4337"/>
    <w:rsid w:val="00DB461A"/>
    <w:rsid w:val="00DC0313"/>
    <w:rsid w:val="00DC1F05"/>
    <w:rsid w:val="00DC789C"/>
    <w:rsid w:val="00DE1B16"/>
    <w:rsid w:val="00DF1700"/>
    <w:rsid w:val="00DF75A4"/>
    <w:rsid w:val="00E125D7"/>
    <w:rsid w:val="00E3239E"/>
    <w:rsid w:val="00E32C9D"/>
    <w:rsid w:val="00E4054A"/>
    <w:rsid w:val="00E43AB4"/>
    <w:rsid w:val="00E53C8D"/>
    <w:rsid w:val="00E66385"/>
    <w:rsid w:val="00E672A4"/>
    <w:rsid w:val="00E67DCC"/>
    <w:rsid w:val="00E7242E"/>
    <w:rsid w:val="00E76A52"/>
    <w:rsid w:val="00E9040A"/>
    <w:rsid w:val="00E92788"/>
    <w:rsid w:val="00E93156"/>
    <w:rsid w:val="00E9563F"/>
    <w:rsid w:val="00E961BC"/>
    <w:rsid w:val="00ED2DC2"/>
    <w:rsid w:val="00EE0961"/>
    <w:rsid w:val="00EE1EAE"/>
    <w:rsid w:val="00EE6BD3"/>
    <w:rsid w:val="00EF2513"/>
    <w:rsid w:val="00EF4099"/>
    <w:rsid w:val="00F029DB"/>
    <w:rsid w:val="00F03E2D"/>
    <w:rsid w:val="00F125CD"/>
    <w:rsid w:val="00F21E0F"/>
    <w:rsid w:val="00F24798"/>
    <w:rsid w:val="00F3025B"/>
    <w:rsid w:val="00F47A27"/>
    <w:rsid w:val="00F548A9"/>
    <w:rsid w:val="00F57DDA"/>
    <w:rsid w:val="00F6366E"/>
    <w:rsid w:val="00F844D4"/>
    <w:rsid w:val="00F8573D"/>
    <w:rsid w:val="00F8689A"/>
    <w:rsid w:val="00F93DB9"/>
    <w:rsid w:val="00F940C6"/>
    <w:rsid w:val="00F94593"/>
    <w:rsid w:val="00FA4156"/>
    <w:rsid w:val="00FA6209"/>
    <w:rsid w:val="00FA6D4B"/>
    <w:rsid w:val="00FB37A3"/>
    <w:rsid w:val="00FB54EB"/>
    <w:rsid w:val="00FC26EF"/>
    <w:rsid w:val="00FC3139"/>
    <w:rsid w:val="00FC676A"/>
    <w:rsid w:val="00FC7E65"/>
    <w:rsid w:val="00FD7C8F"/>
    <w:rsid w:val="00FD7FF9"/>
    <w:rsid w:val="00FE0DCC"/>
    <w:rsid w:val="00FE6C47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BB2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7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B2"/>
    <w:rPr>
      <w:rFonts w:ascii="Calibri" w:eastAsia="Calibri" w:hAnsi="Calibri"/>
      <w:sz w:val="22"/>
      <w:szCs w:val="22"/>
      <w:lang w:val="es-ES"/>
    </w:rPr>
  </w:style>
  <w:style w:type="table" w:customStyle="1" w:styleId="LightList1">
    <w:name w:val="Light List1"/>
    <w:basedOn w:val="TableNormal"/>
    <w:uiPriority w:val="61"/>
    <w:rsid w:val="00427BB2"/>
    <w:rPr>
      <w:rFonts w:asciiTheme="minorHAnsi" w:eastAsiaTheme="minorHAnsi" w:hAnsiTheme="minorHAnsi" w:cstheme="minorBidi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neNumber">
    <w:name w:val="line number"/>
    <w:basedOn w:val="DefaultParagraphFont"/>
    <w:rsid w:val="00427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D.Sandeep</dc:creator>
  <cp:keywords/>
  <dc:description/>
  <cp:lastModifiedBy>D.Sandeep</cp:lastModifiedBy>
  <cp:revision>1</cp:revision>
  <dcterms:created xsi:type="dcterms:W3CDTF">2015-08-25T15:51:00Z</dcterms:created>
  <dcterms:modified xsi:type="dcterms:W3CDTF">2015-08-25T15:52:00Z</dcterms:modified>
</cp:coreProperties>
</file>