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5FD6D" w14:textId="36A6FA20" w:rsidR="002E3C2E" w:rsidRDefault="002E3C2E" w:rsidP="002E3C2E">
      <w:pPr>
        <w:spacing w:after="0" w:line="360" w:lineRule="auto"/>
        <w:ind w:left="0" w:right="0" w:firstLine="0"/>
        <w:jc w:val="left"/>
        <w:rPr>
          <w:rFonts w:ascii="Times New Roman" w:hAnsi="Times New Roman" w:cs="Times New Roman"/>
          <w:b/>
          <w:bCs/>
          <w:sz w:val="24"/>
          <w:szCs w:val="24"/>
        </w:rPr>
      </w:pPr>
      <w:r>
        <w:rPr>
          <w:rFonts w:ascii="Times New Roman" w:eastAsia="Times New Roman" w:hAnsi="Times New Roman" w:cs="Times New Roman"/>
          <w:color w:val="auto"/>
        </w:rPr>
        <w:t xml:space="preserve">Supplementary material for </w:t>
      </w:r>
      <w:r>
        <w:rPr>
          <w:rFonts w:ascii="Times New Roman" w:hAnsi="Times New Roman" w:cs="Times New Roman"/>
          <w:b/>
          <w:bCs/>
          <w:sz w:val="24"/>
          <w:szCs w:val="24"/>
        </w:rPr>
        <w:t>Regional variations in the demographic response to the arrival of rice farming in prehistoric Japan</w:t>
      </w:r>
    </w:p>
    <w:p w14:paraId="7937FA76" w14:textId="77777777" w:rsidR="002E3C2E" w:rsidRPr="008A0FF6" w:rsidRDefault="002E3C2E" w:rsidP="002E3C2E">
      <w:pPr>
        <w:spacing w:line="360" w:lineRule="auto"/>
        <w:rPr>
          <w:rFonts w:ascii="Times New Roman" w:hAnsi="Times New Roman" w:cs="Times New Roman"/>
          <w:sz w:val="24"/>
          <w:szCs w:val="24"/>
        </w:rPr>
      </w:pPr>
      <w:r>
        <w:rPr>
          <w:rFonts w:ascii="Times New Roman" w:hAnsi="Times New Roman" w:cs="Times New Roman"/>
          <w:sz w:val="24"/>
          <w:szCs w:val="24"/>
        </w:rPr>
        <w:t>Enrico R. Crema</w:t>
      </w:r>
      <w:r>
        <w:rPr>
          <w:rFonts w:ascii="Times New Roman" w:hAnsi="Times New Roman" w:cs="Times New Roman"/>
          <w:sz w:val="24"/>
          <w:szCs w:val="24"/>
          <w:vertAlign w:val="superscript"/>
        </w:rPr>
        <w:t xml:space="preserve">1,2,* </w:t>
      </w:r>
      <w:r w:rsidRPr="00A451AE">
        <w:rPr>
          <w:rFonts w:ascii="Times New Roman" w:hAnsi="Times New Roman" w:cs="Times New Roman"/>
          <w:sz w:val="24"/>
          <w:szCs w:val="24"/>
        </w:rPr>
        <w:t>[ORCID 0000-0001-6727-5138],</w:t>
      </w:r>
      <w:r>
        <w:rPr>
          <w:rFonts w:ascii="Times New Roman" w:hAnsi="Times New Roman" w:cs="Times New Roman"/>
          <w:sz w:val="24"/>
          <w:szCs w:val="24"/>
        </w:rPr>
        <w:t xml:space="preserve"> Simon Carrignon</w:t>
      </w:r>
      <w:r>
        <w:rPr>
          <w:rFonts w:ascii="Times New Roman" w:hAnsi="Times New Roman" w:cs="Times New Roman"/>
          <w:sz w:val="24"/>
          <w:szCs w:val="24"/>
          <w:vertAlign w:val="superscript"/>
        </w:rPr>
        <w:t xml:space="preserve">2 </w:t>
      </w:r>
      <w:r w:rsidRPr="008A0FF6">
        <w:rPr>
          <w:rFonts w:ascii="Times New Roman" w:hAnsi="Times New Roman" w:cs="Times New Roman"/>
          <w:sz w:val="24"/>
          <w:szCs w:val="24"/>
        </w:rPr>
        <w:t>[ORCID 0000-0002-4416-1389],</w:t>
      </w:r>
      <w:r>
        <w:rPr>
          <w:rFonts w:ascii="Times New Roman" w:hAnsi="Times New Roman" w:cs="Times New Roman"/>
          <w:sz w:val="24"/>
          <w:szCs w:val="24"/>
        </w:rPr>
        <w:t xml:space="preserve"> Shinya Shoda</w:t>
      </w:r>
      <w:r>
        <w:rPr>
          <w:rFonts w:ascii="Times New Roman" w:hAnsi="Times New Roman" w:cs="Times New Roman"/>
          <w:sz w:val="24"/>
          <w:szCs w:val="24"/>
          <w:vertAlign w:val="superscript"/>
        </w:rPr>
        <w:t xml:space="preserve">3,4 </w:t>
      </w:r>
      <w:r w:rsidRPr="008A0FF6">
        <w:rPr>
          <w:rFonts w:ascii="Times New Roman" w:hAnsi="Times New Roman" w:cs="Times New Roman"/>
          <w:sz w:val="24"/>
          <w:szCs w:val="24"/>
        </w:rPr>
        <w:t>[ORCID 0000-0001-9525-3710]</w:t>
      </w:r>
      <w:r>
        <w:rPr>
          <w:rFonts w:ascii="Times New Roman" w:hAnsi="Times New Roman" w:cs="Times New Roman"/>
          <w:sz w:val="24"/>
          <w:szCs w:val="24"/>
        </w:rPr>
        <w:t xml:space="preserve"> &amp; Chris J. Stevens</w:t>
      </w:r>
      <w:r>
        <w:rPr>
          <w:rFonts w:ascii="Times New Roman" w:hAnsi="Times New Roman" w:cs="Times New Roman"/>
          <w:sz w:val="24"/>
          <w:szCs w:val="24"/>
          <w:vertAlign w:val="superscript"/>
        </w:rPr>
        <w:t xml:space="preserve">2 </w:t>
      </w:r>
      <w:r w:rsidRPr="008A0FF6">
        <w:rPr>
          <w:rFonts w:ascii="Times New Roman" w:hAnsi="Times New Roman" w:cs="Times New Roman"/>
          <w:sz w:val="24"/>
          <w:szCs w:val="24"/>
        </w:rPr>
        <w:t>[ORCID 0000-0002-2669-5715]</w:t>
      </w:r>
    </w:p>
    <w:p w14:paraId="73908616" w14:textId="77777777" w:rsidR="002E3C2E" w:rsidRDefault="002E3C2E" w:rsidP="002E3C2E">
      <w:pPr>
        <w:spacing w:line="360" w:lineRule="auto"/>
        <w:rPr>
          <w:rFonts w:ascii="Times New Roman" w:hAnsi="Times New Roman" w:cs="Times New Roman"/>
          <w:sz w:val="24"/>
          <w:szCs w:val="24"/>
        </w:rPr>
      </w:pPr>
    </w:p>
    <w:p w14:paraId="0A74F8B3" w14:textId="77777777" w:rsidR="002E3C2E" w:rsidRDefault="002E3C2E" w:rsidP="002E3C2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1 </w:t>
      </w:r>
      <w:r>
        <w:rPr>
          <w:rFonts w:ascii="Times New Roman" w:hAnsi="Times New Roman" w:cs="Times New Roman"/>
          <w:sz w:val="24"/>
          <w:szCs w:val="24"/>
        </w:rPr>
        <w:t>Department of Archaeology, University of Cambridge, UK</w:t>
      </w:r>
    </w:p>
    <w:p w14:paraId="4475A47F" w14:textId="77777777" w:rsidR="002E3C2E" w:rsidRDefault="002E3C2E" w:rsidP="002E3C2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2 </w:t>
      </w:r>
      <w:r>
        <w:rPr>
          <w:rFonts w:ascii="Times New Roman" w:hAnsi="Times New Roman" w:cs="Times New Roman"/>
          <w:sz w:val="24"/>
          <w:szCs w:val="24"/>
        </w:rPr>
        <w:t>McDonald Institute for Archaeological Research, University of Cambridge, UK</w:t>
      </w:r>
    </w:p>
    <w:p w14:paraId="70348230" w14:textId="77777777" w:rsidR="002E3C2E" w:rsidRDefault="002E3C2E" w:rsidP="002E3C2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3 </w:t>
      </w:r>
      <w:r>
        <w:rPr>
          <w:rFonts w:ascii="Times New Roman" w:hAnsi="Times New Roman" w:cs="Times New Roman"/>
          <w:sz w:val="24"/>
          <w:szCs w:val="24"/>
        </w:rPr>
        <w:t>Nara National Research Institute for Cultural Properties, Nara, Japan</w:t>
      </w:r>
    </w:p>
    <w:p w14:paraId="2973546A" w14:textId="77777777" w:rsidR="002E3C2E" w:rsidRDefault="002E3C2E" w:rsidP="002E3C2E">
      <w:pPr>
        <w:spacing w:line="360" w:lineRule="auto"/>
        <w:rPr>
          <w:rFonts w:ascii="Times New Roman" w:hAnsi="Times New Roman" w:cs="Times New Roman"/>
          <w:sz w:val="24"/>
          <w:szCs w:val="24"/>
        </w:rPr>
      </w:pPr>
      <w:r>
        <w:rPr>
          <w:rFonts w:ascii="Times New Roman" w:hAnsi="Times New Roman" w:cs="Times New Roman"/>
          <w:sz w:val="24"/>
          <w:szCs w:val="24"/>
          <w:vertAlign w:val="superscript"/>
        </w:rPr>
        <w:t xml:space="preserve">4 </w:t>
      </w:r>
      <w:proofErr w:type="spellStart"/>
      <w:r>
        <w:rPr>
          <w:rFonts w:ascii="Times New Roman" w:hAnsi="Times New Roman" w:cs="Times New Roman"/>
          <w:sz w:val="24"/>
          <w:szCs w:val="24"/>
        </w:rPr>
        <w:t>BioArCh</w:t>
      </w:r>
      <w:proofErr w:type="spellEnd"/>
      <w:r>
        <w:rPr>
          <w:rFonts w:ascii="Times New Roman" w:hAnsi="Times New Roman" w:cs="Times New Roman"/>
          <w:sz w:val="24"/>
          <w:szCs w:val="24"/>
        </w:rPr>
        <w:t>, University of York, UK</w:t>
      </w:r>
    </w:p>
    <w:p w14:paraId="487A2C6A" w14:textId="77777777" w:rsidR="002E3C2E" w:rsidRDefault="002E3C2E" w:rsidP="002E3C2E">
      <w:pPr>
        <w:suppressAutoHyphens w:val="0"/>
        <w:spacing w:line="36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vertAlign w:val="superscript"/>
          <w:lang w:eastAsia="en-US"/>
        </w:rPr>
        <w:t xml:space="preserve">* </w:t>
      </w:r>
      <w:r>
        <w:rPr>
          <w:rFonts w:ascii="Times New Roman" w:eastAsia="Times New Roman" w:hAnsi="Times New Roman" w:cs="Times New Roman"/>
          <w:sz w:val="24"/>
          <w:szCs w:val="24"/>
          <w:lang w:eastAsia="en-US"/>
        </w:rPr>
        <w:t xml:space="preserve">Author for correspondence </w:t>
      </w:r>
      <w:r>
        <w:rPr>
          <w:rFonts w:ascii="Segoe UI Symbol" w:eastAsia="Arial Unicode MS" w:hAnsi="Segoe UI Symbol" w:cs="Segoe UI Symbol"/>
          <w:sz w:val="24"/>
          <w:szCs w:val="24"/>
        </w:rPr>
        <w:t>✉</w:t>
      </w:r>
      <w:r>
        <w:rPr>
          <w:rFonts w:ascii="Times New Roman" w:eastAsia="Arial Unicode MS" w:hAnsi="Times New Roman" w:cs="Times New Roman"/>
          <w:sz w:val="24"/>
          <w:szCs w:val="24"/>
        </w:rPr>
        <w:t xml:space="preserve"> erc62@cam.ac.uk</w:t>
      </w:r>
    </w:p>
    <w:p w14:paraId="1206CA68" w14:textId="77777777" w:rsidR="002E3C2E" w:rsidRDefault="002E3C2E" w:rsidP="002E3C2E">
      <w:pPr>
        <w:suppressAutoHyphens w:val="0"/>
        <w:spacing w:line="360" w:lineRule="auto"/>
        <w:rPr>
          <w:rFonts w:ascii="Times New Roman" w:eastAsia="Arial Unicode MS" w:hAnsi="Times New Roman" w:cs="Times New Roman"/>
          <w:i/>
          <w:iCs/>
          <w:sz w:val="24"/>
          <w:szCs w:val="24"/>
        </w:rPr>
      </w:pPr>
      <w:r>
        <w:rPr>
          <w:rFonts w:ascii="Times New Roman" w:eastAsia="Arial Unicode MS" w:hAnsi="Times New Roman" w:cs="Times New Roman"/>
          <w:i/>
          <w:iCs/>
          <w:sz w:val="24"/>
          <w:szCs w:val="24"/>
        </w:rPr>
        <w:t>Received: 21 July 2023; Revised: 29 November 2023; Accepted: 8 February 2024</w:t>
      </w:r>
    </w:p>
    <w:p w14:paraId="55526F3F" w14:textId="77777777" w:rsidR="00232836" w:rsidRDefault="00232836">
      <w:pPr>
        <w:spacing w:after="0" w:line="360" w:lineRule="auto"/>
        <w:ind w:left="0" w:right="0" w:firstLine="0"/>
        <w:jc w:val="left"/>
        <w:rPr>
          <w:rFonts w:ascii="Times New Roman" w:eastAsia="Times New Roman" w:hAnsi="Times New Roman" w:cs="Times New Roman"/>
          <w:b/>
          <w:bCs/>
          <w:color w:val="auto"/>
        </w:rPr>
      </w:pPr>
    </w:p>
    <w:p w14:paraId="5682B720" w14:textId="77777777" w:rsidR="00232836" w:rsidRDefault="00232836">
      <w:pPr>
        <w:spacing w:after="0" w:line="360" w:lineRule="auto"/>
        <w:ind w:left="0" w:right="0" w:firstLine="0"/>
        <w:jc w:val="left"/>
        <w:rPr>
          <w:rFonts w:ascii="Times New Roman" w:eastAsia="Times New Roman" w:hAnsi="Times New Roman" w:cs="Times New Roman"/>
          <w:color w:val="auto"/>
        </w:rPr>
      </w:pPr>
    </w:p>
    <w:p w14:paraId="6FB82E66" w14:textId="77777777" w:rsidR="00232836" w:rsidRDefault="002E3C2E">
      <w:pPr>
        <w:pStyle w:val="Heading1"/>
        <w:spacing w:after="0" w:line="307" w:lineRule="auto"/>
        <w:ind w:left="-5" w:right="0" w:firstLine="0"/>
      </w:pPr>
      <w:r>
        <w:t>1. Data</w:t>
      </w:r>
    </w:p>
    <w:p w14:paraId="07D8EEDA" w14:textId="77777777" w:rsidR="00232836" w:rsidRDefault="002E3C2E">
      <w:pPr>
        <w:pStyle w:val="Heading2"/>
        <w:spacing w:after="0" w:line="307" w:lineRule="auto"/>
        <w:ind w:left="-5" w:right="2" w:firstLine="0"/>
      </w:pPr>
      <w:r>
        <w:t>1.1 Radiocarbon Data</w:t>
      </w:r>
    </w:p>
    <w:p w14:paraId="284FD4F9" w14:textId="77777777" w:rsidR="00232836" w:rsidRDefault="002E3C2E">
      <w:pPr>
        <w:spacing w:after="0"/>
        <w:ind w:left="-5" w:right="0" w:firstLine="0"/>
        <w:jc w:val="left"/>
      </w:pPr>
      <w:r>
        <w:t>We extracted and filtered entries from the translated version of the radiocarbon database published by the National Museum of Japanese History (Kudo</w:t>
      </w:r>
      <w:r>
        <w:t xml:space="preserve"> </w:t>
      </w:r>
      <w:r>
        <w:rPr>
          <w:i/>
        </w:rPr>
        <w:t xml:space="preserve">et al. </w:t>
      </w:r>
      <w:r>
        <w:t xml:space="preserve">2018, Kudo </w:t>
      </w:r>
      <w:r w:rsidRPr="002E3C2E">
        <w:rPr>
          <w:i/>
          <w:iCs/>
        </w:rPr>
        <w:t xml:space="preserve">et al. </w:t>
      </w:r>
      <w:r w:rsidRPr="002E3C2E">
        <w:t>2023</w:t>
      </w:r>
      <w:r>
        <w:t>)</w:t>
      </w:r>
      <w:r>
        <w:rPr>
          <w:sz w:val="26"/>
        </w:rPr>
        <w:t xml:space="preserve">. </w:t>
      </w:r>
      <w:r>
        <w:t>The original database</w:t>
      </w:r>
      <w:r>
        <w:rPr>
          <w:rStyle w:val="FootnoteReference"/>
          <w:sz w:val="20"/>
        </w:rPr>
        <w:footnoteReference w:id="1"/>
      </w:r>
      <w:r>
        <w:rPr>
          <w:sz w:val="20"/>
          <w:vertAlign w:val="superscript"/>
        </w:rPr>
        <w:t xml:space="preserve"> </w:t>
      </w:r>
      <w:r>
        <w:t xml:space="preserve">contains over 44,000 </w:t>
      </w:r>
      <w:r>
        <w:rPr>
          <w:sz w:val="20"/>
          <w:vertAlign w:val="superscript"/>
        </w:rPr>
        <w:t>14</w:t>
      </w:r>
      <w:r>
        <w:t>C dates collated from archaeological site reports in Japan, and the recently published translated version</w:t>
      </w:r>
      <w:r>
        <w:rPr>
          <w:rStyle w:val="FootnoteReference"/>
          <w:sz w:val="20"/>
        </w:rPr>
        <w:footnoteReference w:id="2"/>
      </w:r>
      <w:r>
        <w:rPr>
          <w:sz w:val="20"/>
          <w:vertAlign w:val="superscript"/>
        </w:rPr>
        <w:t xml:space="preserve"> </w:t>
      </w:r>
      <w:r>
        <w:t>includes a subset of ca 39,000 entries that have undergone a screeni</w:t>
      </w:r>
      <w:r>
        <w:t>ng process that removed duplicates, possible errors, and inconsistencies.</w:t>
      </w:r>
    </w:p>
    <w:p w14:paraId="4E158098" w14:textId="77777777" w:rsidR="00232836" w:rsidRDefault="002E3C2E">
      <w:pPr>
        <w:spacing w:after="0"/>
        <w:ind w:left="-5" w:right="0" w:firstLine="0"/>
        <w:jc w:val="left"/>
      </w:pPr>
      <w:r>
        <w:t xml:space="preserve">For the purpose of this paper, we considered only samples from sites in the islands of Honshu, Kyushu and Shikoku with known geographic coordinates. The radiocarbon database provides site names, but these do not necessarily constitute a meaningful spatial </w:t>
      </w:r>
      <w:r>
        <w:t>unit, given site names from the same location can vary across site reports, and a unique site identifier is currently not available. We have thus arbitrarily assigned a unique site ID by clustering sites in close spatial proximity using the DBSCAN clusteri</w:t>
      </w:r>
      <w:r>
        <w:t xml:space="preserve">ng algorithm (Ester </w:t>
      </w:r>
      <w:r>
        <w:rPr>
          <w:i/>
        </w:rPr>
        <w:t xml:space="preserve">et al. </w:t>
      </w:r>
      <w:r>
        <w:t>1996; as implemented in the R-package '</w:t>
      </w:r>
      <w:proofErr w:type="spellStart"/>
      <w:r>
        <w:t>dbscan</w:t>
      </w:r>
      <w:proofErr w:type="spellEnd"/>
      <w:r>
        <w:t xml:space="preserve">', </w:t>
      </w:r>
      <w:proofErr w:type="spellStart"/>
      <w:r>
        <w:t>Hashler</w:t>
      </w:r>
      <w:proofErr w:type="spellEnd"/>
      <w:r>
        <w:t xml:space="preserve"> et al. 2019), using a distance threshold of 100 meters.</w:t>
      </w:r>
    </w:p>
    <w:p w14:paraId="29F333DE" w14:textId="77777777" w:rsidR="00232836" w:rsidRDefault="002E3C2E">
      <w:pPr>
        <w:spacing w:after="0"/>
        <w:ind w:left="-5" w:right="0" w:firstLine="0"/>
        <w:jc w:val="left"/>
      </w:pPr>
      <w:r>
        <w:t>In order to consider only samples collected from known anthropogenic contexts, we joined the translated dataset to th</w:t>
      </w:r>
      <w:r>
        <w:t>e full original database and we carried out a text pattern search on the field “</w:t>
      </w:r>
      <w:proofErr w:type="spellStart"/>
      <w:r>
        <w:rPr>
          <w:rFonts w:ascii="MS PGothic" w:eastAsia="MS PGothic" w:hAnsi="MS PGothic" w:cs="MS PGothic"/>
        </w:rPr>
        <w:t>サンプル採取地点等</w:t>
      </w:r>
      <w:proofErr w:type="spellEnd"/>
      <w:r>
        <w:t>” (trans: “sampling location”). We redacted a list of 48 terms that included entries such as “</w:t>
      </w:r>
      <w:proofErr w:type="spellStart"/>
      <w:r>
        <w:rPr>
          <w:rFonts w:ascii="MS PGothic" w:eastAsia="MS PGothic" w:hAnsi="MS PGothic" w:cs="MS PGothic"/>
        </w:rPr>
        <w:t>住居</w:t>
      </w:r>
      <w:proofErr w:type="spellEnd"/>
      <w:r>
        <w:t>” (trans: “house”), “</w:t>
      </w:r>
      <w:r>
        <w:rPr>
          <w:rFonts w:ascii="MS PGothic" w:eastAsia="MS PGothic" w:hAnsi="MS PGothic" w:cs="MS PGothic"/>
        </w:rPr>
        <w:t>炉</w:t>
      </w:r>
      <w:r>
        <w:t>” (trans: “hearth”), “</w:t>
      </w:r>
      <w:r>
        <w:rPr>
          <w:rFonts w:ascii="MS PGothic" w:eastAsia="MS PGothic" w:hAnsi="MS PGothic" w:cs="MS PGothic"/>
        </w:rPr>
        <w:t>墓</w:t>
      </w:r>
      <w:r>
        <w:t>” (trans: “burial”), and “</w:t>
      </w:r>
      <w:proofErr w:type="spellStart"/>
      <w:r>
        <w:rPr>
          <w:rFonts w:ascii="MS PGothic" w:eastAsia="MS PGothic" w:hAnsi="MS PGothic" w:cs="MS PGothic"/>
        </w:rPr>
        <w:t>水田</w:t>
      </w:r>
      <w:proofErr w:type="spellEnd"/>
      <w:r>
        <w:t xml:space="preserve">” (trans: “paddy field”), and removed all </w:t>
      </w:r>
      <w:r>
        <w:rPr>
          <w:sz w:val="20"/>
          <w:vertAlign w:val="superscript"/>
        </w:rPr>
        <w:t>14</w:t>
      </w:r>
      <w:r>
        <w:t>C dates that did not have these keywords in the “</w:t>
      </w:r>
      <w:proofErr w:type="spellStart"/>
      <w:r>
        <w:rPr>
          <w:rFonts w:ascii="MS PGothic" w:eastAsia="MS PGothic" w:hAnsi="MS PGothic" w:cs="MS PGothic"/>
        </w:rPr>
        <w:t>サンプル採取地点等</w:t>
      </w:r>
      <w:proofErr w:type="spellEnd"/>
      <w:r>
        <w:t>” field.</w:t>
      </w:r>
    </w:p>
    <w:p w14:paraId="72198DA8" w14:textId="363CF271" w:rsidR="00232836" w:rsidRDefault="002E3C2E">
      <w:pPr>
        <w:spacing w:after="0"/>
        <w:ind w:left="-5" w:right="0" w:firstLine="0"/>
        <w:jc w:val="left"/>
      </w:pPr>
      <w:r>
        <w:t xml:space="preserve">The final filtering process was based on the temporal window of analyses. For the summed probability distribution used in the main text </w:t>
      </w:r>
      <w:r>
        <w:t>Figure 2, we considered dates with a cumulative calibrated probability above 0.5 between 2950 BP and 1650 BP</w:t>
      </w:r>
      <w:r>
        <w:t xml:space="preserve">(n=3,716), approximately corresponding to the conventional time span for the Yayoi period. For the Bayesian estimates of </w:t>
      </w:r>
      <w:r>
        <w:lastRenderedPageBreak/>
        <w:t>growth rates (see sectio</w:t>
      </w:r>
      <w:r>
        <w:t>n 3 below), we considered different temporal filters for each region, with a total of 1,892 dates for the short interval (500 years before/after the arrival of rice agriculture) and 3,132 dates for the longer interval (750 years before/after the arrival of</w:t>
      </w:r>
      <w:r>
        <w:t xml:space="preserve"> rice agriculture).</w:t>
      </w:r>
    </w:p>
    <w:p w14:paraId="48F03BCA" w14:textId="77777777" w:rsidR="00232836" w:rsidRDefault="00232836">
      <w:pPr>
        <w:spacing w:after="0"/>
        <w:ind w:left="-5" w:right="0" w:firstLine="0"/>
        <w:jc w:val="left"/>
      </w:pPr>
    </w:p>
    <w:p w14:paraId="43327E90" w14:textId="77777777" w:rsidR="00232836" w:rsidRDefault="002E3C2E">
      <w:pPr>
        <w:pStyle w:val="Heading2"/>
        <w:spacing w:after="0" w:line="307" w:lineRule="auto"/>
        <w:ind w:left="-5" w:right="2" w:firstLine="0"/>
      </w:pPr>
      <w:r>
        <w:t>1.2 Settlement Data</w:t>
      </w:r>
    </w:p>
    <w:p w14:paraId="032E2D69" w14:textId="77777777" w:rsidR="00232836" w:rsidRDefault="002E3C2E">
      <w:pPr>
        <w:spacing w:after="0"/>
        <w:ind w:left="-5" w:right="0" w:firstLine="0"/>
        <w:jc w:val="left"/>
      </w:pPr>
      <w:r>
        <w:t xml:space="preserve">The </w:t>
      </w:r>
      <w:proofErr w:type="spellStart"/>
      <w:r>
        <w:rPr>
          <w:rFonts w:ascii="MS PGothic" w:eastAsia="MS PGothic" w:hAnsi="MS PGothic" w:cs="MS PGothic"/>
        </w:rPr>
        <w:t>縄文・弥生集落データベース</w:t>
      </w:r>
      <w:proofErr w:type="spellEnd"/>
      <w:r>
        <w:rPr>
          <w:rFonts w:ascii="MS PGothic" w:eastAsia="MS PGothic" w:hAnsi="MS PGothic" w:cs="MS PGothic"/>
        </w:rPr>
        <w:t xml:space="preserve"> </w:t>
      </w:r>
      <w:r>
        <w:t xml:space="preserve">(trans: </w:t>
      </w:r>
      <w:r>
        <w:rPr>
          <w:i/>
        </w:rPr>
        <w:t>Jomon-Yayoi settlement database</w:t>
      </w:r>
      <w:r>
        <w:t>) published by the National Museum of Japanese History (2012) contains over 25,000 entries of settlement data from Jomon and Yayoi periods. The database conta</w:t>
      </w:r>
      <w:r>
        <w:t xml:space="preserve">ins for each entry an absolute time-span (start and end dates) based on the conversion of the archaeological period assigned by the excavator. It is worth noting that the time-span is a mixture of the occupational length </w:t>
      </w:r>
      <w:r>
        <w:rPr>
          <w:i/>
        </w:rPr>
        <w:t xml:space="preserve">and </w:t>
      </w:r>
      <w:r>
        <w:t>the uncertainty in the attribut</w:t>
      </w:r>
      <w:r>
        <w:t>ion of each site into a particular phase. Thus, a longer time-span can be either or both indicative of longer occupation and higher levels of chronological uncertainty. Sites with multiple occupational phases were entered separately, effectively capturing,</w:t>
      </w:r>
      <w:r>
        <w:t xml:space="preserve"> to some extent, sites with known long occupational time span.</w:t>
      </w:r>
    </w:p>
    <w:p w14:paraId="1D90D97B" w14:textId="3F0C2E4D" w:rsidR="00232836" w:rsidRDefault="002E3C2E">
      <w:pPr>
        <w:spacing w:after="0"/>
        <w:ind w:left="-5" w:right="0" w:firstLine="0"/>
        <w:jc w:val="left"/>
      </w:pPr>
      <w:r>
        <w:t>The database was downloaded and systematically cleaned by removing entries with inconsistencies and missing data . The final dataset includes 22,736 entries.</w:t>
      </w:r>
    </w:p>
    <w:p w14:paraId="58F41056" w14:textId="77777777" w:rsidR="00232836" w:rsidRDefault="00232836">
      <w:pPr>
        <w:spacing w:after="0"/>
        <w:ind w:left="-5" w:right="0" w:firstLine="0"/>
        <w:jc w:val="left"/>
      </w:pPr>
    </w:p>
    <w:p w14:paraId="26239D1E" w14:textId="77777777" w:rsidR="00232836" w:rsidRDefault="002E3C2E">
      <w:pPr>
        <w:pStyle w:val="Heading1"/>
        <w:spacing w:after="0" w:line="307" w:lineRule="auto"/>
        <w:ind w:left="-5" w:right="0" w:firstLine="0"/>
      </w:pPr>
      <w:r>
        <w:t>2. Settlement analyses</w:t>
      </w:r>
    </w:p>
    <w:p w14:paraId="3F4F54A0" w14:textId="77777777" w:rsidR="00232836" w:rsidRDefault="002E3C2E">
      <w:pPr>
        <w:spacing w:after="0"/>
        <w:ind w:left="-15" w:right="57" w:firstLine="0"/>
        <w:jc w:val="left"/>
      </w:pPr>
      <w:r>
        <w:t>We visualis</w:t>
      </w:r>
      <w:r>
        <w:t>ed changes in the number of Yayoi settlements by using a composite Kernel Density Estimate (</w:t>
      </w:r>
      <w:proofErr w:type="spellStart"/>
      <w:r>
        <w:t>cKDE</w:t>
      </w:r>
      <w:proofErr w:type="spellEnd"/>
      <w:r>
        <w:t>), loosely adapting similar algorithms used for depicting changes in the density of radiocarbon dates (Brown 2017; McLaughlin 2018). We randomly sampled a calen</w:t>
      </w:r>
      <w:r>
        <w:t>dar date within the time-span of each site phase, assuming a uniform distribution and computed a kernel density estimate using a bandwidth of 50 years. This process was iteratively repeated 1,000 times and the resulting KDE combined together to define, for</w:t>
      </w:r>
      <w:r>
        <w:t xml:space="preserve"> each calendar year, a 95% quantile interval.</w:t>
      </w:r>
    </w:p>
    <w:p w14:paraId="616E57F6" w14:textId="77777777" w:rsidR="00232836" w:rsidRDefault="00232836">
      <w:pPr>
        <w:spacing w:after="0"/>
        <w:ind w:left="-15" w:right="57" w:firstLine="0"/>
        <w:jc w:val="left"/>
      </w:pPr>
    </w:p>
    <w:p w14:paraId="61317067" w14:textId="77777777" w:rsidR="00232836" w:rsidRDefault="002E3C2E">
      <w:pPr>
        <w:pStyle w:val="Heading1"/>
        <w:spacing w:after="0" w:line="307" w:lineRule="auto"/>
        <w:ind w:left="-5" w:right="0" w:firstLine="0"/>
      </w:pPr>
      <w:r>
        <w:t>3. Growth rate estimates from time-frequency of radiocarbon dates</w:t>
      </w:r>
    </w:p>
    <w:p w14:paraId="40B1F8CF" w14:textId="77777777" w:rsidR="00232836" w:rsidRDefault="002E3C2E">
      <w:pPr>
        <w:pStyle w:val="Heading2"/>
        <w:spacing w:after="0" w:line="307" w:lineRule="auto"/>
        <w:ind w:left="-5" w:right="2" w:firstLine="0"/>
      </w:pPr>
      <w:r>
        <w:t>3.1 Bayesian Intrinsic Conditional Autoregressive (ICAR) model</w:t>
      </w:r>
    </w:p>
    <w:p w14:paraId="06A2EB6E" w14:textId="77777777" w:rsidR="00232836" w:rsidRDefault="002E3C2E">
      <w:pPr>
        <w:spacing w:after="0"/>
        <w:ind w:left="-5" w:right="0" w:firstLine="0"/>
        <w:jc w:val="left"/>
      </w:pPr>
      <w:r>
        <w:t>We used the time-frequency of radiocarbon dates as a proxy of demographic change</w:t>
      </w:r>
      <w:r>
        <w:t>s following the general principles of the so-called “dates as data” approach (Rick 1987). More specifically, we inferred annual growth rates before and after the estimated arrival of rice agriculture in each of the eight analytical regions defined by Crema</w:t>
      </w:r>
      <w:r>
        <w:t xml:space="preserve"> </w:t>
      </w:r>
      <w:r>
        <w:rPr>
          <w:i/>
          <w:iCs/>
        </w:rPr>
        <w:t>et al</w:t>
      </w:r>
      <w:r>
        <w:t>. (2022).</w:t>
      </w:r>
    </w:p>
    <w:p w14:paraId="332E805A" w14:textId="77777777" w:rsidR="00232836" w:rsidRDefault="002E3C2E">
      <w:pPr>
        <w:spacing w:after="0"/>
        <w:ind w:left="-5" w:right="0" w:firstLine="0"/>
        <w:jc w:val="left"/>
      </w:pPr>
      <w:r>
        <w:t xml:space="preserve">Estimates of growth rates </w:t>
      </w:r>
      <w:proofErr w:type="gramStart"/>
      <w:r>
        <w:t>are often been</w:t>
      </w:r>
      <w:proofErr w:type="gramEnd"/>
      <w:r>
        <w:t xml:space="preserve"> based on direct regression analyses on the summed probability distribution of calibrated radiocarbon dates (SPD). Several recent studies (Carleton &amp; </w:t>
      </w:r>
      <w:proofErr w:type="spellStart"/>
      <w:r>
        <w:t>Groucutt</w:t>
      </w:r>
      <w:proofErr w:type="spellEnd"/>
      <w:r>
        <w:t xml:space="preserve"> 2021; Crema 2022a) have demonstrated how </w:t>
      </w:r>
      <w:r>
        <w:t xml:space="preserve">such an approach does not account for sampling and measurement errors, nor the artificial peaks and troughs in SPDs caused by the calibration process. There are currently several statistical solutions (Carleton 2021; Crema &amp; </w:t>
      </w:r>
      <w:proofErr w:type="spellStart"/>
      <w:r>
        <w:t>Shoda</w:t>
      </w:r>
      <w:proofErr w:type="spellEnd"/>
      <w:r>
        <w:t xml:space="preserve"> 2021; Timpson </w:t>
      </w:r>
      <w:r>
        <w:rPr>
          <w:i/>
        </w:rPr>
        <w:t xml:space="preserve">et al. </w:t>
      </w:r>
      <w:r>
        <w:t>2021</w:t>
      </w:r>
      <w:r>
        <w:t xml:space="preserve">; Crema 2022a) that overcome these issues and can provide an unbiased estimate of the rate of changes in the density of radiocarbon dates. Here we employ and expand the Bayesian framework introduced by Crema and </w:t>
      </w:r>
      <w:proofErr w:type="spellStart"/>
      <w:r>
        <w:t>Shoda</w:t>
      </w:r>
      <w:proofErr w:type="spellEnd"/>
      <w:r>
        <w:t xml:space="preserve"> (2021) by </w:t>
      </w:r>
      <w:proofErr w:type="gramStart"/>
      <w:r>
        <w:t>taking into account</w:t>
      </w:r>
      <w:proofErr w:type="gramEnd"/>
      <w:r>
        <w:t xml:space="preserve"> the spat</w:t>
      </w:r>
      <w:r>
        <w:t>ial correlation between regions via an intrinsic conditional autoregressive model (</w:t>
      </w:r>
      <w:proofErr w:type="spellStart"/>
      <w:r>
        <w:t>iCAR</w:t>
      </w:r>
      <w:proofErr w:type="spellEnd"/>
      <w:r>
        <w:t>).</w:t>
      </w:r>
    </w:p>
    <w:p w14:paraId="19FEC8AD" w14:textId="77777777" w:rsidR="00232836" w:rsidRDefault="002E3C2E">
      <w:pPr>
        <w:spacing w:after="0"/>
        <w:ind w:left="-5" w:right="0" w:firstLine="0"/>
        <w:jc w:val="left"/>
      </w:pPr>
      <w:r>
        <w:t xml:space="preserve">Because our objective is to compare the growth rates before and after the putative arrival of rice agriculture in a given region </w:t>
      </w:r>
      <w:r>
        <w:rPr>
          <w:rFonts w:ascii="Times New Roman" w:eastAsia="Times New Roman" w:hAnsi="Times New Roman" w:cs="Times New Roman"/>
          <w:i/>
        </w:rPr>
        <w:t>k</w:t>
      </w:r>
      <w:r>
        <w:t>, we model the distribution of radio</w:t>
      </w:r>
      <w:r>
        <w:t>carbon dates using a discrete bounded double exponential growth model (see Figure S1):</w:t>
      </w:r>
    </w:p>
    <w:p w14:paraId="5E654F5D" w14:textId="77777777" w:rsidR="00232836" w:rsidRDefault="00232836">
      <w:pPr>
        <w:spacing w:after="0"/>
        <w:ind w:left="-5" w:right="0" w:firstLine="0"/>
        <w:jc w:val="left"/>
      </w:pPr>
    </w:p>
    <w:p w14:paraId="6FA29DAA" w14:textId="77777777" w:rsidR="00232836" w:rsidRDefault="002E3C2E">
      <w:pPr>
        <w:spacing w:after="0"/>
        <w:ind w:left="71" w:right="61" w:firstLine="0"/>
        <w:jc w:val="left"/>
        <w:rPr>
          <w:rFonts w:ascii="Times New Roman" w:eastAsia="Times New Roman" w:hAnsi="Times New Roman" w:cs="Times New Roman"/>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𝛳</w:t>
      </w:r>
      <w:proofErr w:type="spellStart"/>
      <w:r>
        <w:rPr>
          <w:rFonts w:ascii="Times New Roman" w:eastAsia="Times New Roman" w:hAnsi="Times New Roman" w:cs="Times New Roman"/>
          <w:sz w:val="20"/>
          <w:vertAlign w:val="subscript"/>
        </w:rPr>
        <w:t>i,k</w:t>
      </w:r>
      <w:proofErr w:type="spellEnd"/>
      <w:r>
        <w:rPr>
          <w:rFonts w:ascii="Times New Roman" w:eastAsia="Times New Roman" w:hAnsi="Times New Roman" w:cs="Times New Roman"/>
          <w:sz w:val="20"/>
          <w:vertAlign w:val="subscript"/>
        </w:rPr>
        <w:t xml:space="preserve"> </w:t>
      </w:r>
      <w:r>
        <w:rPr>
          <w:rFonts w:ascii="Times New Roman" w:eastAsia="Times New Roman" w:hAnsi="Times New Roman" w:cs="Times New Roman"/>
        </w:rPr>
        <w:t xml:space="preserve">~ </w:t>
      </w:r>
      <w:proofErr w:type="spellStart"/>
      <w:r>
        <w:rPr>
          <w:rFonts w:ascii="Times New Roman" w:eastAsia="Times New Roman" w:hAnsi="Times New Roman" w:cs="Times New Roman"/>
        </w:rPr>
        <w:t>DoubleExponentialGrowth</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a</w:t>
      </w:r>
      <w:r>
        <w:rPr>
          <w:rFonts w:ascii="Times New Roman" w:eastAsia="Times New Roman" w:hAnsi="Times New Roman" w:cs="Times New Roman"/>
          <w:sz w:val="20"/>
          <w:vertAlign w:val="subscript"/>
        </w:rPr>
        <w:t>k</w:t>
      </w:r>
      <w:proofErr w:type="spellEnd"/>
      <w:r>
        <w:rPr>
          <w:rFonts w:ascii="Times New Roman" w:eastAsia="Times New Roman" w:hAnsi="Times New Roman" w:cs="Times New Roman"/>
        </w:rPr>
        <w:t>, b</w:t>
      </w:r>
      <w:r>
        <w:rPr>
          <w:rFonts w:ascii="Times New Roman" w:eastAsia="Times New Roman" w:hAnsi="Times New Roman" w:cs="Times New Roman"/>
          <w:sz w:val="20"/>
          <w:vertAlign w:val="subscript"/>
        </w:rPr>
        <w:t>k</w:t>
      </w:r>
      <w:r>
        <w:rPr>
          <w:rFonts w:ascii="Times New Roman" w:eastAsia="Times New Roman" w:hAnsi="Times New Roman" w:cs="Times New Roman"/>
        </w:rPr>
        <w:t>, r</w:t>
      </w:r>
      <w:r>
        <w:rPr>
          <w:rFonts w:ascii="Times New Roman" w:eastAsia="Times New Roman" w:hAnsi="Times New Roman" w:cs="Times New Roman"/>
          <w:sz w:val="20"/>
          <w:vertAlign w:val="subscript"/>
        </w:rPr>
        <w:t>1,k</w:t>
      </w:r>
      <w:r>
        <w:rPr>
          <w:rFonts w:ascii="Times New Roman" w:eastAsia="Times New Roman" w:hAnsi="Times New Roman" w:cs="Times New Roman"/>
        </w:rPr>
        <w:t>, r</w:t>
      </w:r>
      <w:r>
        <w:rPr>
          <w:rFonts w:ascii="Times New Roman" w:eastAsia="Times New Roman" w:hAnsi="Times New Roman" w:cs="Times New Roman"/>
          <w:sz w:val="20"/>
          <w:vertAlign w:val="subscript"/>
        </w:rPr>
        <w:t>1,k</w:t>
      </w:r>
      <w:r>
        <w:rPr>
          <w:rFonts w:ascii="Times New Roman" w:eastAsia="Times New Roman" w:hAnsi="Times New Roman" w:cs="Times New Roman"/>
        </w:rPr>
        <w:t>, r</w:t>
      </w:r>
      <w:r>
        <w:rPr>
          <w:rFonts w:ascii="Times New Roman" w:eastAsia="Times New Roman" w:hAnsi="Times New Roman" w:cs="Times New Roman"/>
          <w:sz w:val="20"/>
          <w:vertAlign w:val="subscript"/>
        </w:rPr>
        <w:t xml:space="preserve">2,k </w:t>
      </w:r>
      <w:r>
        <w:rPr>
          <w:rFonts w:ascii="Times New Roman" w:eastAsia="Times New Roman" w:hAnsi="Times New Roman" w:cs="Times New Roman"/>
        </w:rPr>
        <w:t>c</w:t>
      </w:r>
      <w:r>
        <w:rPr>
          <w:rFonts w:ascii="Times New Roman" w:eastAsia="Times New Roman" w:hAnsi="Times New Roman" w:cs="Times New Roman"/>
          <w:sz w:val="20"/>
          <w:vertAlign w:val="subscript"/>
        </w:rPr>
        <w:t>k</w:t>
      </w:r>
      <w:r>
        <w:rPr>
          <w:rFonts w:ascii="Times New Roman" w:eastAsia="Times New Roman" w:hAnsi="Times New Roman" w:cs="Times New Roman"/>
        </w:rPr>
        <w:t>) [1]</w:t>
      </w:r>
    </w:p>
    <w:p w14:paraId="4C877EC4" w14:textId="77777777" w:rsidR="00232836" w:rsidRDefault="00232836">
      <w:pPr>
        <w:spacing w:after="0"/>
        <w:ind w:left="71" w:right="61" w:firstLine="0"/>
        <w:jc w:val="left"/>
      </w:pPr>
    </w:p>
    <w:p w14:paraId="0516F05C" w14:textId="77777777" w:rsidR="00232836" w:rsidRDefault="002E3C2E">
      <w:pPr>
        <w:spacing w:after="0"/>
        <w:ind w:left="-5" w:right="0" w:firstLine="0"/>
        <w:jc w:val="left"/>
      </w:pPr>
      <w:r>
        <w:t xml:space="preserve">where </w:t>
      </w:r>
      <w:r>
        <w:rPr>
          <w:rFonts w:ascii="Calibri" w:eastAsia="Calibri" w:hAnsi="Calibri" w:cs="Calibri"/>
        </w:rPr>
        <w:t>𝛳</w:t>
      </w:r>
      <w:proofErr w:type="spellStart"/>
      <w:r>
        <w:rPr>
          <w:rFonts w:ascii="Times New Roman" w:eastAsia="Times New Roman" w:hAnsi="Times New Roman" w:cs="Times New Roman"/>
          <w:sz w:val="20"/>
          <w:vertAlign w:val="subscript"/>
        </w:rPr>
        <w:t>i,k</w:t>
      </w:r>
      <w:proofErr w:type="spellEnd"/>
      <w:r>
        <w:rPr>
          <w:rFonts w:ascii="Times New Roman" w:eastAsia="Times New Roman" w:hAnsi="Times New Roman" w:cs="Times New Roman"/>
          <w:sz w:val="20"/>
          <w:vertAlign w:val="subscript"/>
        </w:rPr>
        <w:t xml:space="preserve"> </w:t>
      </w:r>
      <w:r>
        <w:t xml:space="preserve">is the calendar age of sample </w:t>
      </w:r>
      <w:proofErr w:type="spellStart"/>
      <w:r>
        <w:rPr>
          <w:i/>
        </w:rPr>
        <w:t>i</w:t>
      </w:r>
      <w:proofErr w:type="spellEnd"/>
      <w:r>
        <w:rPr>
          <w:i/>
        </w:rPr>
        <w:t xml:space="preserve"> </w:t>
      </w:r>
      <w:r>
        <w:t xml:space="preserve">from region </w:t>
      </w:r>
      <w:r>
        <w:rPr>
          <w:rFonts w:ascii="Times New Roman" w:eastAsia="Times New Roman" w:hAnsi="Times New Roman" w:cs="Times New Roman"/>
          <w:i/>
        </w:rPr>
        <w:t>k</w:t>
      </w:r>
      <w:r>
        <w:t xml:space="preserve">, </w:t>
      </w:r>
      <w:proofErr w:type="spellStart"/>
      <w:r>
        <w:rPr>
          <w:rFonts w:ascii="Times New Roman" w:eastAsia="Times New Roman" w:hAnsi="Times New Roman" w:cs="Times New Roman"/>
          <w:i/>
        </w:rPr>
        <w:t>a</w:t>
      </w:r>
      <w:r>
        <w:rPr>
          <w:rFonts w:ascii="Times New Roman" w:eastAsia="Times New Roman" w:hAnsi="Times New Roman" w:cs="Times New Roman"/>
          <w:i/>
          <w:sz w:val="20"/>
          <w:vertAlign w:val="subscript"/>
        </w:rPr>
        <w:t>k</w:t>
      </w:r>
      <w:proofErr w:type="spellEnd"/>
      <w:r>
        <w:rPr>
          <w:rFonts w:ascii="Times New Roman" w:eastAsia="Times New Roman" w:hAnsi="Times New Roman" w:cs="Times New Roman"/>
          <w:i/>
          <w:sz w:val="20"/>
          <w:vertAlign w:val="subscript"/>
        </w:rPr>
        <w:t xml:space="preserve"> </w:t>
      </w:r>
      <w:r>
        <w:t xml:space="preserve">and </w:t>
      </w:r>
      <w:r>
        <w:rPr>
          <w:rFonts w:ascii="Times New Roman" w:eastAsia="Times New Roman" w:hAnsi="Times New Roman" w:cs="Times New Roman"/>
          <w:i/>
        </w:rPr>
        <w:t>b</w:t>
      </w:r>
      <w:r>
        <w:rPr>
          <w:rFonts w:ascii="Times New Roman" w:eastAsia="Times New Roman" w:hAnsi="Times New Roman" w:cs="Times New Roman"/>
          <w:i/>
          <w:sz w:val="20"/>
          <w:vertAlign w:val="subscript"/>
        </w:rPr>
        <w:t xml:space="preserve">k </w:t>
      </w:r>
      <w:r>
        <w:t xml:space="preserve">are the start and end of the window of analyses in </w:t>
      </w:r>
      <w:proofErr w:type="spellStart"/>
      <w:r>
        <w:t>cal</w:t>
      </w:r>
      <w:proofErr w:type="spellEnd"/>
      <w:r>
        <w:t xml:space="preserve"> BP,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1,k </w:t>
      </w:r>
      <w:r>
        <w:t xml:space="preserve">is the growth rate between </w:t>
      </w:r>
      <w:proofErr w:type="spellStart"/>
      <w:r>
        <w:rPr>
          <w:rFonts w:ascii="Times New Roman" w:eastAsia="Times New Roman" w:hAnsi="Times New Roman" w:cs="Times New Roman"/>
          <w:i/>
        </w:rPr>
        <w:t>a</w:t>
      </w:r>
      <w:r>
        <w:rPr>
          <w:rFonts w:ascii="Times New Roman" w:eastAsia="Times New Roman" w:hAnsi="Times New Roman" w:cs="Times New Roman"/>
          <w:i/>
          <w:sz w:val="20"/>
          <w:vertAlign w:val="subscript"/>
        </w:rPr>
        <w:t>k</w:t>
      </w:r>
      <w:proofErr w:type="spellEnd"/>
      <w:r>
        <w:rPr>
          <w:rFonts w:ascii="Times New Roman" w:eastAsia="Times New Roman" w:hAnsi="Times New Roman" w:cs="Times New Roman"/>
          <w:i/>
          <w:sz w:val="20"/>
          <w:vertAlign w:val="subscript"/>
        </w:rPr>
        <w:t xml:space="preserve"> </w:t>
      </w:r>
      <w:r>
        <w:t xml:space="preserve">between and </w:t>
      </w:r>
      <w:r>
        <w:rPr>
          <w:rFonts w:ascii="Times New Roman" w:eastAsia="Times New Roman" w:hAnsi="Times New Roman" w:cs="Times New Roman"/>
          <w:i/>
        </w:rPr>
        <w:t>c</w:t>
      </w:r>
      <w:r>
        <w:rPr>
          <w:rFonts w:ascii="Times New Roman" w:eastAsia="Times New Roman" w:hAnsi="Times New Roman" w:cs="Times New Roman"/>
          <w:i/>
          <w:sz w:val="20"/>
          <w:vertAlign w:val="subscript"/>
        </w:rPr>
        <w:t>k</w:t>
      </w:r>
      <w:r>
        <w:t xml:space="preserve">, and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2,k </w:t>
      </w:r>
      <w:r>
        <w:t xml:space="preserve">is the growth rate between </w:t>
      </w:r>
      <w:r>
        <w:rPr>
          <w:rFonts w:ascii="Times New Roman" w:eastAsia="Times New Roman" w:hAnsi="Times New Roman" w:cs="Times New Roman"/>
          <w:i/>
        </w:rPr>
        <w:t>c</w:t>
      </w:r>
      <w:r>
        <w:rPr>
          <w:rFonts w:ascii="Times New Roman" w:eastAsia="Times New Roman" w:hAnsi="Times New Roman" w:cs="Times New Roman"/>
          <w:i/>
          <w:sz w:val="20"/>
          <w:vertAlign w:val="subscript"/>
        </w:rPr>
        <w:t xml:space="preserve">k </w:t>
      </w:r>
      <w:r>
        <w:t xml:space="preserve">between and </w:t>
      </w:r>
      <w:r>
        <w:rPr>
          <w:rFonts w:ascii="Times New Roman" w:eastAsia="Times New Roman" w:hAnsi="Times New Roman" w:cs="Times New Roman"/>
          <w:i/>
        </w:rPr>
        <w:t>b</w:t>
      </w:r>
      <w:r>
        <w:rPr>
          <w:rFonts w:ascii="Times New Roman" w:eastAsia="Times New Roman" w:hAnsi="Times New Roman" w:cs="Times New Roman"/>
          <w:i/>
          <w:sz w:val="20"/>
          <w:vertAlign w:val="subscript"/>
        </w:rPr>
        <w:t>k</w:t>
      </w:r>
      <w:r>
        <w:t>. In practical terms, the bounded double exponential growth model is effectively a re-paramet</w:t>
      </w:r>
      <w:r>
        <w:t xml:space="preserve">rised multinomial distribution with a probability assigned to each calendar year between </w:t>
      </w:r>
      <w:proofErr w:type="spellStart"/>
      <w:r>
        <w:rPr>
          <w:rFonts w:ascii="Times New Roman" w:eastAsia="Times New Roman" w:hAnsi="Times New Roman" w:cs="Times New Roman"/>
          <w:i/>
        </w:rPr>
        <w:t>a</w:t>
      </w:r>
      <w:r>
        <w:rPr>
          <w:rFonts w:ascii="Times New Roman" w:eastAsia="Times New Roman" w:hAnsi="Times New Roman" w:cs="Times New Roman"/>
          <w:i/>
          <w:sz w:val="20"/>
          <w:vertAlign w:val="subscript"/>
        </w:rPr>
        <w:t>k</w:t>
      </w:r>
      <w:proofErr w:type="spellEnd"/>
      <w:r>
        <w:rPr>
          <w:rFonts w:ascii="Times New Roman" w:eastAsia="Times New Roman" w:hAnsi="Times New Roman" w:cs="Times New Roman"/>
          <w:i/>
          <w:sz w:val="20"/>
          <w:vertAlign w:val="subscript"/>
        </w:rPr>
        <w:t xml:space="preserve"> </w:t>
      </w:r>
      <w:r>
        <w:t xml:space="preserve">and </w:t>
      </w:r>
      <w:r>
        <w:rPr>
          <w:rFonts w:ascii="Times New Roman" w:eastAsia="Times New Roman" w:hAnsi="Times New Roman" w:cs="Times New Roman"/>
          <w:i/>
        </w:rPr>
        <w:t>b</w:t>
      </w:r>
      <w:r>
        <w:rPr>
          <w:rFonts w:ascii="Times New Roman" w:eastAsia="Times New Roman" w:hAnsi="Times New Roman" w:cs="Times New Roman"/>
          <w:i/>
          <w:sz w:val="20"/>
          <w:vertAlign w:val="subscript"/>
        </w:rPr>
        <w:t>k</w:t>
      </w:r>
      <w:r>
        <w:t xml:space="preserve">. Observed radiocarbon ages are then modelled as Gaussian distribution with a mean equal to the </w:t>
      </w:r>
      <w:r>
        <w:rPr>
          <w:sz w:val="20"/>
          <w:vertAlign w:val="superscript"/>
        </w:rPr>
        <w:t>14</w:t>
      </w:r>
      <w:r>
        <w:t xml:space="preserve">C age corresponding to </w:t>
      </w:r>
      <w:r>
        <w:rPr>
          <w:rFonts w:ascii="Calibri" w:eastAsia="Calibri" w:hAnsi="Calibri" w:cs="Calibri"/>
        </w:rPr>
        <w:t>𝛳</w:t>
      </w:r>
      <w:proofErr w:type="spellStart"/>
      <w:r>
        <w:rPr>
          <w:rFonts w:ascii="Times New Roman" w:eastAsia="Times New Roman" w:hAnsi="Times New Roman" w:cs="Times New Roman"/>
          <w:sz w:val="20"/>
          <w:vertAlign w:val="subscript"/>
        </w:rPr>
        <w:t>i,k</w:t>
      </w:r>
      <w:proofErr w:type="spellEnd"/>
      <w:r>
        <w:rPr>
          <w:rFonts w:ascii="Times New Roman" w:eastAsia="Times New Roman" w:hAnsi="Times New Roman" w:cs="Times New Roman"/>
          <w:sz w:val="20"/>
          <w:vertAlign w:val="subscript"/>
        </w:rPr>
        <w:t xml:space="preserve"> </w:t>
      </w:r>
      <w:r>
        <w:t xml:space="preserve">in the calibration curve and a </w:t>
      </w:r>
      <w:r>
        <w:t xml:space="preserve">standard deviation equal to the square root of the sum of the squares of the sample </w:t>
      </w:r>
      <w:r>
        <w:rPr>
          <w:sz w:val="20"/>
          <w:vertAlign w:val="superscript"/>
        </w:rPr>
        <w:t>14</w:t>
      </w:r>
      <w:r>
        <w:t>C age error and the corresponding error in the calibration curve.</w:t>
      </w:r>
    </w:p>
    <w:p w14:paraId="5C0FB404" w14:textId="77777777" w:rsidR="00232836" w:rsidRDefault="002E3C2E">
      <w:pPr>
        <w:spacing w:after="0"/>
        <w:ind w:left="30" w:right="-37" w:firstLine="0"/>
        <w:jc w:val="left"/>
      </w:pPr>
      <w:r>
        <w:rPr>
          <w:noProof/>
        </w:rPr>
        <w:drawing>
          <wp:inline distT="0" distB="0" distL="0" distR="0" wp14:anchorId="5892229C" wp14:editId="79468DFD">
            <wp:extent cx="6124575" cy="6124575"/>
            <wp:effectExtent l="0" t="0" r="0" b="0"/>
            <wp:docPr id="1"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00"/>
                    <pic:cNvPicPr>
                      <a:picLocks noChangeAspect="1" noChangeArrowheads="1"/>
                    </pic:cNvPicPr>
                  </pic:nvPicPr>
                  <pic:blipFill>
                    <a:blip r:embed="rId6"/>
                    <a:stretch>
                      <a:fillRect/>
                    </a:stretch>
                  </pic:blipFill>
                  <pic:spPr bwMode="auto">
                    <a:xfrm>
                      <a:off x="0" y="0"/>
                      <a:ext cx="6124575" cy="6124575"/>
                    </a:xfrm>
                    <a:prstGeom prst="rect">
                      <a:avLst/>
                    </a:prstGeom>
                  </pic:spPr>
                </pic:pic>
              </a:graphicData>
            </a:graphic>
          </wp:inline>
        </w:drawing>
      </w:r>
    </w:p>
    <w:p w14:paraId="6179D8F0" w14:textId="77777777" w:rsidR="00232836" w:rsidRDefault="002E3C2E">
      <w:pPr>
        <w:spacing w:after="0"/>
        <w:ind w:left="-5" w:right="-8" w:firstLine="0"/>
        <w:jc w:val="left"/>
        <w:rPr>
          <w:i/>
          <w:iCs/>
          <w:sz w:val="18"/>
        </w:rPr>
      </w:pPr>
      <w:r>
        <w:rPr>
          <w:i/>
          <w:iCs/>
          <w:sz w:val="18"/>
        </w:rPr>
        <w:t>Figure S1. Double exponential growth model with r</w:t>
      </w:r>
      <w:r>
        <w:rPr>
          <w:i/>
          <w:iCs/>
          <w:sz w:val="17"/>
          <w:vertAlign w:val="subscript"/>
        </w:rPr>
        <w:t xml:space="preserve">1 </w:t>
      </w:r>
      <w:r>
        <w:rPr>
          <w:i/>
          <w:iCs/>
          <w:sz w:val="18"/>
        </w:rPr>
        <w:t>={0.005,0.001,-0.005}, r</w:t>
      </w:r>
      <w:r>
        <w:rPr>
          <w:i/>
          <w:iCs/>
          <w:sz w:val="17"/>
          <w:vertAlign w:val="subscript"/>
        </w:rPr>
        <w:t>2</w:t>
      </w:r>
      <w:r>
        <w:rPr>
          <w:i/>
          <w:iCs/>
          <w:sz w:val="18"/>
        </w:rPr>
        <w:t xml:space="preserve">={0.005,0.001,-0.005}, a= </w:t>
      </w:r>
      <w:r>
        <w:rPr>
          <w:i/>
          <w:iCs/>
          <w:sz w:val="18"/>
        </w:rPr>
        <w:t>3000 BP, b= 2000BP, and c= 2500BP.</w:t>
      </w:r>
    </w:p>
    <w:p w14:paraId="1A846713" w14:textId="77777777" w:rsidR="00232836" w:rsidRDefault="00232836">
      <w:pPr>
        <w:spacing w:after="0"/>
        <w:ind w:left="-5" w:right="-8" w:firstLine="0"/>
        <w:jc w:val="left"/>
        <w:rPr>
          <w:i/>
          <w:iCs/>
        </w:rPr>
      </w:pPr>
    </w:p>
    <w:p w14:paraId="64730F5A" w14:textId="77777777" w:rsidR="00232836" w:rsidRDefault="002E3C2E">
      <w:pPr>
        <w:spacing w:after="0"/>
        <w:ind w:left="-5" w:right="0" w:firstLine="0"/>
        <w:jc w:val="left"/>
      </w:pPr>
      <w:r>
        <w:t xml:space="preserve">Crema and </w:t>
      </w:r>
      <w:proofErr w:type="spellStart"/>
      <w:r>
        <w:t>Shoda</w:t>
      </w:r>
      <w:proofErr w:type="spellEnd"/>
      <w:r>
        <w:t xml:space="preserve"> (2021) applied equation [1] by predefining the parameters </w:t>
      </w:r>
      <w:r>
        <w:rPr>
          <w:rFonts w:ascii="Times New Roman" w:eastAsia="Times New Roman" w:hAnsi="Times New Roman" w:cs="Times New Roman"/>
          <w:i/>
        </w:rPr>
        <w:t xml:space="preserve">a </w:t>
      </w:r>
      <w:r>
        <w:t xml:space="preserve">and </w:t>
      </w:r>
      <w:r>
        <w:rPr>
          <w:rFonts w:ascii="Times New Roman" w:eastAsia="Times New Roman" w:hAnsi="Times New Roman" w:cs="Times New Roman"/>
          <w:i/>
        </w:rPr>
        <w:t>b</w:t>
      </w:r>
      <w:r>
        <w:t xml:space="preserve">, and estimating the growth rates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1 </w:t>
      </w:r>
      <w:r>
        <w:t xml:space="preserve">and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2 </w:t>
      </w:r>
      <w:r>
        <w:t xml:space="preserve">and the changepoint </w:t>
      </w:r>
      <w:r>
        <w:rPr>
          <w:i/>
        </w:rPr>
        <w:t xml:space="preserve">c </w:t>
      </w:r>
      <w:r>
        <w:t xml:space="preserve">from the data. The estimate of </w:t>
      </w:r>
      <w:r>
        <w:rPr>
          <w:rFonts w:ascii="Times New Roman" w:eastAsia="Times New Roman" w:hAnsi="Times New Roman" w:cs="Times New Roman"/>
          <w:i/>
        </w:rPr>
        <w:t xml:space="preserve">c </w:t>
      </w:r>
      <w:r>
        <w:t xml:space="preserve">was </w:t>
      </w:r>
      <w:r>
        <w:lastRenderedPageBreak/>
        <w:t xml:space="preserve">then compared to the earliest dates </w:t>
      </w:r>
      <w:r>
        <w:t>associated with rice in the island of Kyushu to argue for an offset between the appearance of rice agriculture and a change in the population growth rate as inferred from the time-frequency of radiocarbon dates. Here we take a slightly different approach b</w:t>
      </w:r>
      <w:r>
        <w:t xml:space="preserve">y predefining </w:t>
      </w:r>
      <w:proofErr w:type="spellStart"/>
      <w:r>
        <w:rPr>
          <w:rFonts w:ascii="Times New Roman" w:eastAsia="Times New Roman" w:hAnsi="Times New Roman" w:cs="Times New Roman"/>
          <w:i/>
        </w:rPr>
        <w:t>a</w:t>
      </w:r>
      <w:r>
        <w:rPr>
          <w:rFonts w:ascii="Times New Roman" w:eastAsia="Times New Roman" w:hAnsi="Times New Roman" w:cs="Times New Roman"/>
          <w:i/>
          <w:sz w:val="20"/>
          <w:vertAlign w:val="subscript"/>
        </w:rPr>
        <w:t>k</w:t>
      </w:r>
      <w:proofErr w:type="spellEnd"/>
      <w:r>
        <w:t xml:space="preserve">, </w:t>
      </w:r>
      <w:r>
        <w:rPr>
          <w:rFonts w:ascii="Times New Roman" w:eastAsia="Times New Roman" w:hAnsi="Times New Roman" w:cs="Times New Roman"/>
          <w:i/>
        </w:rPr>
        <w:t>b</w:t>
      </w:r>
      <w:r>
        <w:rPr>
          <w:rFonts w:ascii="Times New Roman" w:eastAsia="Times New Roman" w:hAnsi="Times New Roman" w:cs="Times New Roman"/>
          <w:i/>
          <w:sz w:val="20"/>
          <w:vertAlign w:val="subscript"/>
        </w:rPr>
        <w:t xml:space="preserve">k </w:t>
      </w:r>
      <w:r>
        <w:t xml:space="preserve">and </w:t>
      </w:r>
      <w:r>
        <w:rPr>
          <w:rFonts w:ascii="Times New Roman" w:eastAsia="Times New Roman" w:hAnsi="Times New Roman" w:cs="Times New Roman"/>
          <w:i/>
        </w:rPr>
        <w:t>c</w:t>
      </w:r>
      <w:r>
        <w:rPr>
          <w:rFonts w:ascii="Times New Roman" w:eastAsia="Times New Roman" w:hAnsi="Times New Roman" w:cs="Times New Roman"/>
          <w:i/>
          <w:sz w:val="20"/>
          <w:vertAlign w:val="subscript"/>
        </w:rPr>
        <w:t xml:space="preserve">k </w:t>
      </w:r>
      <w:r>
        <w:t xml:space="preserve">and limiting our estimating to the growth parameters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1,k </w:t>
      </w:r>
      <w:r>
        <w:t xml:space="preserve">and </w:t>
      </w:r>
      <w:r>
        <w:rPr>
          <w:rFonts w:ascii="Times New Roman" w:eastAsia="Times New Roman" w:hAnsi="Times New Roman" w:cs="Times New Roman"/>
          <w:i/>
        </w:rPr>
        <w:t>r</w:t>
      </w:r>
      <w:r>
        <w:rPr>
          <w:rFonts w:ascii="Times New Roman" w:eastAsia="Times New Roman" w:hAnsi="Times New Roman" w:cs="Times New Roman"/>
          <w:i/>
          <w:sz w:val="20"/>
          <w:vertAlign w:val="subscript"/>
        </w:rPr>
        <w:t>2,k</w:t>
      </w:r>
      <w:r>
        <w:t xml:space="preserve">. More specifically, for each region </w:t>
      </w:r>
      <w:r>
        <w:rPr>
          <w:rFonts w:ascii="Times New Roman" w:eastAsia="Times New Roman" w:hAnsi="Times New Roman" w:cs="Times New Roman"/>
          <w:i/>
        </w:rPr>
        <w:t xml:space="preserve">k </w:t>
      </w:r>
      <w:r>
        <w:t xml:space="preserve">we assign to </w:t>
      </w:r>
      <w:r>
        <w:rPr>
          <w:rFonts w:ascii="Times New Roman" w:eastAsia="Times New Roman" w:hAnsi="Times New Roman" w:cs="Times New Roman"/>
          <w:i/>
        </w:rPr>
        <w:t>c</w:t>
      </w:r>
      <w:r>
        <w:rPr>
          <w:rFonts w:ascii="Times New Roman" w:eastAsia="Times New Roman" w:hAnsi="Times New Roman" w:cs="Times New Roman"/>
          <w:i/>
          <w:sz w:val="20"/>
          <w:vertAlign w:val="subscript"/>
        </w:rPr>
        <w:t xml:space="preserve">k </w:t>
      </w:r>
      <w:r>
        <w:t xml:space="preserve">the mean posterior estimate of the arrival of rice agriculture in Crema </w:t>
      </w:r>
      <w:r>
        <w:rPr>
          <w:i/>
          <w:iCs/>
        </w:rPr>
        <w:t>et al</w:t>
      </w:r>
      <w:r>
        <w:t xml:space="preserve">. (2022) with </w:t>
      </w:r>
      <w:proofErr w:type="spellStart"/>
      <w:r>
        <w:rPr>
          <w:rFonts w:ascii="Times New Roman" w:eastAsia="Times New Roman" w:hAnsi="Times New Roman" w:cs="Times New Roman"/>
          <w:i/>
        </w:rPr>
        <w:t>a</w:t>
      </w:r>
      <w:r>
        <w:rPr>
          <w:rFonts w:ascii="Times New Roman" w:eastAsia="Times New Roman" w:hAnsi="Times New Roman" w:cs="Times New Roman"/>
          <w:i/>
          <w:sz w:val="20"/>
          <w:vertAlign w:val="subscript"/>
        </w:rPr>
        <w:t>k</w:t>
      </w:r>
      <w:proofErr w:type="spellEnd"/>
      <w:r>
        <w:rPr>
          <w:rFonts w:ascii="Times New Roman" w:eastAsia="Times New Roman" w:hAnsi="Times New Roman" w:cs="Times New Roman"/>
          <w:i/>
          <w:sz w:val="20"/>
          <w:vertAlign w:val="subscript"/>
        </w:rPr>
        <w:t xml:space="preserve"> </w:t>
      </w:r>
      <w:r>
        <w:rPr>
          <w:rFonts w:ascii="Times New Roman" w:eastAsia="Times New Roman" w:hAnsi="Times New Roman" w:cs="Times New Roman"/>
        </w:rPr>
        <w:t xml:space="preserve">= </w:t>
      </w:r>
      <w:r>
        <w:rPr>
          <w:rFonts w:ascii="Times New Roman" w:eastAsia="Times New Roman" w:hAnsi="Times New Roman" w:cs="Times New Roman"/>
          <w:i/>
        </w:rPr>
        <w:t>c</w:t>
      </w:r>
      <w:r>
        <w:rPr>
          <w:rFonts w:ascii="Times New Roman" w:eastAsia="Times New Roman" w:hAnsi="Times New Roman" w:cs="Times New Roman"/>
          <w:i/>
          <w:sz w:val="20"/>
          <w:vertAlign w:val="subscript"/>
        </w:rPr>
        <w:t xml:space="preserve">k </w:t>
      </w:r>
      <w:r>
        <w:rPr>
          <w:rFonts w:ascii="Times New Roman" w:eastAsia="Times New Roman" w:hAnsi="Times New Roman" w:cs="Times New Roman"/>
          <w:i/>
        </w:rPr>
        <w:t xml:space="preserve">+ </w:t>
      </w:r>
      <w:r>
        <w:rPr>
          <w:rFonts w:ascii="Calibri" w:eastAsia="Calibri" w:hAnsi="Calibri" w:cs="Calibri"/>
        </w:rPr>
        <w:t>𝛥</w:t>
      </w:r>
      <w:r>
        <w:rPr>
          <w:rFonts w:ascii="Times New Roman" w:eastAsia="Times New Roman" w:hAnsi="Times New Roman" w:cs="Times New Roman"/>
          <w:i/>
        </w:rPr>
        <w:t xml:space="preserve">t </w:t>
      </w:r>
      <w:r>
        <w:t xml:space="preserve">and </w:t>
      </w:r>
      <w:proofErr w:type="spellStart"/>
      <w:r>
        <w:rPr>
          <w:i/>
        </w:rPr>
        <w:t>a</w:t>
      </w:r>
      <w:r>
        <w:rPr>
          <w:rFonts w:ascii="Times New Roman" w:eastAsia="Times New Roman" w:hAnsi="Times New Roman" w:cs="Times New Roman"/>
          <w:i/>
          <w:sz w:val="20"/>
          <w:vertAlign w:val="subscript"/>
        </w:rPr>
        <w:t>k</w:t>
      </w:r>
      <w:proofErr w:type="spellEnd"/>
      <w:r>
        <w:rPr>
          <w:rFonts w:ascii="Times New Roman" w:eastAsia="Times New Roman" w:hAnsi="Times New Roman" w:cs="Times New Roman"/>
          <w:i/>
          <w:sz w:val="20"/>
          <w:vertAlign w:val="subscript"/>
        </w:rPr>
        <w:t xml:space="preserve"> </w:t>
      </w:r>
      <w:r>
        <w:rPr>
          <w:rFonts w:ascii="Times New Roman" w:eastAsia="Times New Roman" w:hAnsi="Times New Roman" w:cs="Times New Roman"/>
        </w:rPr>
        <w:t xml:space="preserve">= </w:t>
      </w:r>
      <w:r>
        <w:rPr>
          <w:rFonts w:ascii="Times New Roman" w:eastAsia="Times New Roman" w:hAnsi="Times New Roman" w:cs="Times New Roman"/>
          <w:i/>
        </w:rPr>
        <w:t>c</w:t>
      </w:r>
      <w:r>
        <w:rPr>
          <w:rFonts w:ascii="Times New Roman" w:eastAsia="Times New Roman" w:hAnsi="Times New Roman" w:cs="Times New Roman"/>
          <w:i/>
          <w:sz w:val="20"/>
          <w:vertAlign w:val="subscript"/>
        </w:rPr>
        <w:t xml:space="preserve">k </w:t>
      </w:r>
      <w:r>
        <w:rPr>
          <w:rFonts w:ascii="Times New Roman" w:eastAsia="Times New Roman" w:hAnsi="Times New Roman" w:cs="Times New Roman"/>
          <w:i/>
        </w:rPr>
        <w:t xml:space="preserve">- </w:t>
      </w:r>
      <w:r>
        <w:rPr>
          <w:rFonts w:ascii="Calibri" w:eastAsia="Calibri" w:hAnsi="Calibri" w:cs="Calibri"/>
        </w:rPr>
        <w:t>𝛥</w:t>
      </w:r>
      <w:r>
        <w:rPr>
          <w:rFonts w:ascii="Times New Roman" w:eastAsia="Times New Roman" w:hAnsi="Times New Roman" w:cs="Times New Roman"/>
          <w:i/>
        </w:rPr>
        <w:t>t</w:t>
      </w:r>
      <w:r>
        <w:t xml:space="preserve">. This effectively ensures that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1,k </w:t>
      </w:r>
      <w:r>
        <w:t xml:space="preserve">and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2,k </w:t>
      </w:r>
      <w:r>
        <w:t xml:space="preserve">are, respectively, growth rates in region </w:t>
      </w:r>
      <w:r>
        <w:rPr>
          <w:rFonts w:ascii="Times New Roman" w:eastAsia="Times New Roman" w:hAnsi="Times New Roman" w:cs="Times New Roman"/>
          <w:i/>
        </w:rPr>
        <w:t xml:space="preserve">k </w:t>
      </w:r>
      <w:r>
        <w:rPr>
          <w:rFonts w:ascii="Calibri" w:eastAsia="Calibri" w:hAnsi="Calibri" w:cs="Calibri"/>
        </w:rPr>
        <w:t>𝛥</w:t>
      </w:r>
      <w:r>
        <w:rPr>
          <w:rFonts w:ascii="Times New Roman" w:eastAsia="Times New Roman" w:hAnsi="Times New Roman" w:cs="Times New Roman"/>
          <w:i/>
        </w:rPr>
        <w:t xml:space="preserve">t </w:t>
      </w:r>
      <w:r>
        <w:t>years before and after the putative arri</w:t>
      </w:r>
      <w:r>
        <w:t>val time of rice agriculture.</w:t>
      </w:r>
    </w:p>
    <w:p w14:paraId="2D20EC87" w14:textId="77777777" w:rsidR="00232836" w:rsidRDefault="002E3C2E">
      <w:pPr>
        <w:spacing w:after="0"/>
        <w:ind w:left="-5" w:right="0" w:firstLine="0"/>
        <w:jc w:val="left"/>
      </w:pPr>
      <w:r>
        <w:t xml:space="preserve">To account for the potential autocorrelation in the growth rate between neighbouring regions we modelled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1,k </w:t>
      </w:r>
      <w:r>
        <w:t xml:space="preserve">and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2,k </w:t>
      </w:r>
      <w:r>
        <w:t>using the Intrinsic Conditional Autoregressive process (</w:t>
      </w:r>
      <w:proofErr w:type="spellStart"/>
      <w:r>
        <w:t>Besag</w:t>
      </w:r>
      <w:proofErr w:type="spellEnd"/>
      <w:r>
        <w:t xml:space="preserve"> 1974):</w:t>
      </w:r>
    </w:p>
    <w:p w14:paraId="631EC20B" w14:textId="77777777" w:rsidR="00232836" w:rsidRDefault="00232836">
      <w:pPr>
        <w:spacing w:after="0"/>
        <w:ind w:left="-5" w:right="0" w:firstLine="0"/>
        <w:jc w:val="left"/>
      </w:pPr>
    </w:p>
    <w:p w14:paraId="2E071962" w14:textId="77777777" w:rsidR="00232836" w:rsidRDefault="002E3C2E">
      <w:pPr>
        <w:spacing w:after="0"/>
        <w:ind w:left="71" w:right="0" w:firstLine="0"/>
        <w:jc w:val="left"/>
      </w:pPr>
      <w:r>
        <w:rPr>
          <w:i/>
        </w:rPr>
        <w:t>r</w:t>
      </w:r>
      <w:r>
        <w:rPr>
          <w:i/>
          <w:sz w:val="13"/>
        </w:rPr>
        <w:t xml:space="preserve">1,k </w:t>
      </w:r>
      <w:r>
        <w:rPr>
          <w:rFonts w:ascii="Times New Roman" w:eastAsia="Times New Roman" w:hAnsi="Times New Roman" w:cs="Times New Roman"/>
        </w:rPr>
        <w:t>~ Gaussian(1/</w:t>
      </w:r>
      <w:proofErr w:type="spellStart"/>
      <w:r>
        <w:rPr>
          <w:rFonts w:ascii="Times New Roman" w:eastAsia="Times New Roman" w:hAnsi="Times New Roman" w:cs="Times New Roman"/>
        </w:rPr>
        <w:t>w</w:t>
      </w:r>
      <w:r>
        <w:rPr>
          <w:rFonts w:ascii="Times New Roman" w:eastAsia="Times New Roman" w:hAnsi="Times New Roman" w:cs="Times New Roman"/>
          <w:sz w:val="13"/>
        </w:rPr>
        <w:t>k</w:t>
      </w:r>
      <w:proofErr w:type="spellEnd"/>
      <w:r>
        <w:rPr>
          <w:rFonts w:ascii="Times New Roman" w:eastAsia="Times New Roman" w:hAnsi="Times New Roman" w:cs="Times New Roman"/>
          <w:sz w:val="13"/>
        </w:rPr>
        <w:t xml:space="preserve">+ </w:t>
      </w:r>
      <w:r>
        <w:rPr>
          <w:rFonts w:ascii="Calibri" w:eastAsia="Calibri" w:hAnsi="Calibri" w:cs="Calibri"/>
        </w:rPr>
        <w:t>𝚺</w:t>
      </w:r>
      <w:proofErr w:type="spellStart"/>
      <w:r w:rsidRPr="007F4A9A">
        <w:rPr>
          <w:rFonts w:ascii="Times New Roman" w:eastAsia="Times New Roman" w:hAnsi="Times New Roman" w:cs="Times New Roman"/>
          <w:sz w:val="13"/>
          <w:vertAlign w:val="subscript"/>
        </w:rPr>
        <w:t>j</w:t>
      </w:r>
      <w:r w:rsidRPr="007F4A9A">
        <w:rPr>
          <w:rFonts w:ascii="Calibri" w:eastAsia="Calibri" w:hAnsi="Calibri" w:cs="Calibri"/>
          <w:sz w:val="13"/>
          <w:vertAlign w:val="subscript"/>
        </w:rPr>
        <w:t>∈</w:t>
      </w:r>
      <w:r w:rsidRPr="007F4A9A">
        <w:rPr>
          <w:rFonts w:ascii="Times New Roman" w:eastAsia="Times New Roman" w:hAnsi="Times New Roman" w:cs="Times New Roman"/>
          <w:sz w:val="13"/>
          <w:vertAlign w:val="subscript"/>
        </w:rPr>
        <w:t>N</w:t>
      </w:r>
      <w:proofErr w:type="spellEnd"/>
      <w:r w:rsidRPr="007F4A9A">
        <w:rPr>
          <w:rFonts w:ascii="Times New Roman" w:eastAsia="Times New Roman" w:hAnsi="Times New Roman" w:cs="Times New Roman"/>
          <w:sz w:val="13"/>
          <w:vertAlign w:val="subscript"/>
        </w:rPr>
        <w:t>(k)</w:t>
      </w:r>
      <w:r>
        <w:rPr>
          <w:rFonts w:ascii="Times New Roman" w:eastAsia="Times New Roman" w:hAnsi="Times New Roman" w:cs="Times New Roman"/>
        </w:rPr>
        <w:t>w</w:t>
      </w:r>
      <w:r>
        <w:rPr>
          <w:rFonts w:ascii="Times New Roman" w:eastAsia="Times New Roman" w:hAnsi="Times New Roman" w:cs="Times New Roman"/>
          <w:sz w:val="13"/>
        </w:rPr>
        <w:t>kj</w:t>
      </w:r>
      <w:r>
        <w:rPr>
          <w:rFonts w:ascii="Times New Roman" w:eastAsia="Times New Roman" w:hAnsi="Times New Roman" w:cs="Times New Roman"/>
        </w:rPr>
        <w:t>r</w:t>
      </w:r>
      <w:r>
        <w:rPr>
          <w:rFonts w:ascii="Times New Roman" w:eastAsia="Times New Roman" w:hAnsi="Times New Roman" w:cs="Times New Roman"/>
          <w:sz w:val="13"/>
        </w:rPr>
        <w:t>1,k</w:t>
      </w:r>
      <w:r>
        <w:rPr>
          <w:rFonts w:ascii="Times New Roman" w:eastAsia="Times New Roman" w:hAnsi="Times New Roman" w:cs="Times New Roman"/>
        </w:rPr>
        <w:t xml:space="preserve">, </w:t>
      </w:r>
      <w:proofErr w:type="spellStart"/>
      <w:r>
        <w:rPr>
          <w:rFonts w:ascii="Times New Roman" w:eastAsia="Times New Roman" w:hAnsi="Times New Roman" w:cs="Times New Roman"/>
        </w:rPr>
        <w:t>w</w:t>
      </w:r>
      <w:r>
        <w:rPr>
          <w:rFonts w:ascii="Times New Roman" w:eastAsia="Times New Roman" w:hAnsi="Times New Roman" w:cs="Times New Roman"/>
          <w:sz w:val="13"/>
        </w:rPr>
        <w:t>k</w:t>
      </w:r>
      <w:proofErr w:type="spellEnd"/>
      <w:r>
        <w:rPr>
          <w:rFonts w:ascii="Times New Roman" w:eastAsia="Times New Roman" w:hAnsi="Times New Roman" w:cs="Times New Roman"/>
          <w:sz w:val="13"/>
        </w:rPr>
        <w:t>+</w:t>
      </w:r>
      <w:r>
        <w:rPr>
          <w:rFonts w:ascii="Calibri" w:eastAsia="Calibri" w:hAnsi="Calibri" w:cs="Calibri"/>
        </w:rPr>
        <w:t>𝜏</w:t>
      </w:r>
      <w:r>
        <w:rPr>
          <w:rFonts w:ascii="Times New Roman" w:eastAsia="Times New Roman" w:hAnsi="Times New Roman" w:cs="Times New Roman"/>
          <w:sz w:val="13"/>
        </w:rPr>
        <w:t xml:space="preserve">1 </w:t>
      </w:r>
      <w:r>
        <w:rPr>
          <w:rFonts w:ascii="Times New Roman" w:eastAsia="Times New Roman" w:hAnsi="Times New Roman" w:cs="Times New Roman"/>
        </w:rPr>
        <w:t>) [2]</w:t>
      </w:r>
    </w:p>
    <w:p w14:paraId="616581F7" w14:textId="77777777" w:rsidR="00232836" w:rsidRDefault="002E3C2E">
      <w:pPr>
        <w:spacing w:after="0"/>
        <w:ind w:left="71" w:right="0" w:firstLine="0"/>
        <w:jc w:val="left"/>
        <w:rPr>
          <w:rFonts w:ascii="Times New Roman" w:eastAsia="Times New Roman" w:hAnsi="Times New Roman" w:cs="Times New Roman"/>
        </w:rPr>
      </w:pPr>
      <w:r>
        <w:rPr>
          <w:i/>
        </w:rPr>
        <w:t>r</w:t>
      </w:r>
      <w:r>
        <w:rPr>
          <w:i/>
          <w:sz w:val="13"/>
        </w:rPr>
        <w:t xml:space="preserve">2,k </w:t>
      </w:r>
      <w:r>
        <w:rPr>
          <w:rFonts w:ascii="Times New Roman" w:eastAsia="Times New Roman" w:hAnsi="Times New Roman" w:cs="Times New Roman"/>
        </w:rPr>
        <w:t>~ Gaussian(1/</w:t>
      </w:r>
      <w:proofErr w:type="spellStart"/>
      <w:r>
        <w:rPr>
          <w:rFonts w:ascii="Times New Roman" w:eastAsia="Times New Roman" w:hAnsi="Times New Roman" w:cs="Times New Roman"/>
        </w:rPr>
        <w:t>w</w:t>
      </w:r>
      <w:r>
        <w:rPr>
          <w:rFonts w:ascii="Times New Roman" w:eastAsia="Times New Roman" w:hAnsi="Times New Roman" w:cs="Times New Roman"/>
          <w:sz w:val="13"/>
        </w:rPr>
        <w:t>k</w:t>
      </w:r>
      <w:proofErr w:type="spellEnd"/>
      <w:r>
        <w:rPr>
          <w:rFonts w:ascii="Times New Roman" w:eastAsia="Times New Roman" w:hAnsi="Times New Roman" w:cs="Times New Roman"/>
          <w:sz w:val="13"/>
        </w:rPr>
        <w:t xml:space="preserve">+ </w:t>
      </w:r>
      <w:r>
        <w:rPr>
          <w:rFonts w:ascii="Calibri" w:eastAsia="Calibri" w:hAnsi="Calibri" w:cs="Calibri"/>
        </w:rPr>
        <w:t>𝚺</w:t>
      </w:r>
      <w:proofErr w:type="spellStart"/>
      <w:r w:rsidRPr="007F4A9A">
        <w:rPr>
          <w:rFonts w:ascii="Times New Roman" w:eastAsia="Times New Roman" w:hAnsi="Times New Roman" w:cs="Times New Roman"/>
          <w:sz w:val="13"/>
          <w:vertAlign w:val="subscript"/>
        </w:rPr>
        <w:t>j</w:t>
      </w:r>
      <w:r w:rsidRPr="007F4A9A">
        <w:rPr>
          <w:rFonts w:ascii="Calibri" w:eastAsia="Calibri" w:hAnsi="Calibri" w:cs="Calibri"/>
          <w:sz w:val="13"/>
          <w:vertAlign w:val="subscript"/>
        </w:rPr>
        <w:t>∈</w:t>
      </w:r>
      <w:r w:rsidRPr="007F4A9A">
        <w:rPr>
          <w:rFonts w:ascii="Times New Roman" w:eastAsia="Times New Roman" w:hAnsi="Times New Roman" w:cs="Times New Roman"/>
          <w:sz w:val="13"/>
          <w:vertAlign w:val="subscript"/>
        </w:rPr>
        <w:t>N</w:t>
      </w:r>
      <w:proofErr w:type="spellEnd"/>
      <w:r w:rsidRPr="007F4A9A">
        <w:rPr>
          <w:rFonts w:ascii="Times New Roman" w:eastAsia="Times New Roman" w:hAnsi="Times New Roman" w:cs="Times New Roman"/>
          <w:sz w:val="13"/>
          <w:vertAlign w:val="subscript"/>
        </w:rPr>
        <w:t>(k)</w:t>
      </w:r>
      <w:r>
        <w:rPr>
          <w:rFonts w:ascii="Times New Roman" w:eastAsia="Times New Roman" w:hAnsi="Times New Roman" w:cs="Times New Roman"/>
        </w:rPr>
        <w:t>w</w:t>
      </w:r>
      <w:r>
        <w:rPr>
          <w:rFonts w:ascii="Times New Roman" w:eastAsia="Times New Roman" w:hAnsi="Times New Roman" w:cs="Times New Roman"/>
          <w:sz w:val="13"/>
        </w:rPr>
        <w:t>kj</w:t>
      </w:r>
      <w:r>
        <w:rPr>
          <w:rFonts w:ascii="Times New Roman" w:eastAsia="Times New Roman" w:hAnsi="Times New Roman" w:cs="Times New Roman"/>
        </w:rPr>
        <w:t>r</w:t>
      </w:r>
      <w:r>
        <w:rPr>
          <w:rFonts w:ascii="Times New Roman" w:eastAsia="Times New Roman" w:hAnsi="Times New Roman" w:cs="Times New Roman"/>
          <w:sz w:val="13"/>
        </w:rPr>
        <w:t>2,k</w:t>
      </w:r>
      <w:r>
        <w:rPr>
          <w:rFonts w:ascii="Times New Roman" w:eastAsia="Times New Roman" w:hAnsi="Times New Roman" w:cs="Times New Roman"/>
        </w:rPr>
        <w:t xml:space="preserve">, </w:t>
      </w:r>
      <w:proofErr w:type="spellStart"/>
      <w:r>
        <w:rPr>
          <w:rFonts w:ascii="Times New Roman" w:eastAsia="Times New Roman" w:hAnsi="Times New Roman" w:cs="Times New Roman"/>
        </w:rPr>
        <w:t>w</w:t>
      </w:r>
      <w:r>
        <w:rPr>
          <w:rFonts w:ascii="Times New Roman" w:eastAsia="Times New Roman" w:hAnsi="Times New Roman" w:cs="Times New Roman"/>
          <w:sz w:val="13"/>
        </w:rPr>
        <w:t>k</w:t>
      </w:r>
      <w:proofErr w:type="spellEnd"/>
      <w:r>
        <w:rPr>
          <w:rFonts w:ascii="Times New Roman" w:eastAsia="Times New Roman" w:hAnsi="Times New Roman" w:cs="Times New Roman"/>
          <w:sz w:val="13"/>
        </w:rPr>
        <w:t>+</w:t>
      </w:r>
      <w:r>
        <w:rPr>
          <w:rFonts w:ascii="Calibri" w:eastAsia="Calibri" w:hAnsi="Calibri" w:cs="Calibri"/>
        </w:rPr>
        <w:t>𝜏</w:t>
      </w:r>
      <w:r>
        <w:rPr>
          <w:rFonts w:ascii="Times New Roman" w:eastAsia="Times New Roman" w:hAnsi="Times New Roman" w:cs="Times New Roman"/>
          <w:sz w:val="13"/>
        </w:rPr>
        <w:t xml:space="preserve">2 </w:t>
      </w:r>
      <w:r>
        <w:rPr>
          <w:rFonts w:ascii="Times New Roman" w:eastAsia="Times New Roman" w:hAnsi="Times New Roman" w:cs="Times New Roman"/>
        </w:rPr>
        <w:t>) [3]</w:t>
      </w:r>
    </w:p>
    <w:p w14:paraId="0E37D7DF" w14:textId="77777777" w:rsidR="00232836" w:rsidRDefault="00232836">
      <w:pPr>
        <w:spacing w:after="0"/>
        <w:ind w:left="71" w:right="0" w:firstLine="0"/>
        <w:jc w:val="left"/>
      </w:pPr>
    </w:p>
    <w:p w14:paraId="0F613226" w14:textId="77777777" w:rsidR="00232836" w:rsidRDefault="002E3C2E">
      <w:pPr>
        <w:spacing w:after="0"/>
        <w:ind w:left="-5" w:right="0" w:firstLine="0"/>
        <w:jc w:val="left"/>
      </w:pPr>
      <w:r>
        <w:t xml:space="preserve">Where </w:t>
      </w:r>
      <w:proofErr w:type="spellStart"/>
      <w:r>
        <w:rPr>
          <w:rFonts w:ascii="Times New Roman" w:eastAsia="Times New Roman" w:hAnsi="Times New Roman" w:cs="Times New Roman"/>
        </w:rPr>
        <w:t>w</w:t>
      </w:r>
      <w:r>
        <w:rPr>
          <w:rFonts w:ascii="Times New Roman" w:eastAsia="Times New Roman" w:hAnsi="Times New Roman" w:cs="Times New Roman"/>
          <w:sz w:val="20"/>
          <w:vertAlign w:val="subscript"/>
        </w:rPr>
        <w:t>kj</w:t>
      </w:r>
      <w:proofErr w:type="spellEnd"/>
      <w:r>
        <w:rPr>
          <w:rFonts w:ascii="Times New Roman" w:eastAsia="Times New Roman" w:hAnsi="Times New Roman" w:cs="Times New Roman"/>
          <w:sz w:val="20"/>
          <w:vertAlign w:val="subscript"/>
        </w:rPr>
        <w:t xml:space="preserve"> </w:t>
      </w:r>
      <w:r>
        <w:t xml:space="preserve">is the spatial weight between regions </w:t>
      </w:r>
      <w:r>
        <w:rPr>
          <w:i/>
        </w:rPr>
        <w:t xml:space="preserve">k </w:t>
      </w:r>
      <w:r>
        <w:t xml:space="preserve">and </w:t>
      </w:r>
      <w:r>
        <w:rPr>
          <w:i/>
        </w:rPr>
        <w:t xml:space="preserve">j </w:t>
      </w:r>
      <w:r>
        <w:t xml:space="preserve">(equal to 1 when adjacent, and 0 when not), </w:t>
      </w:r>
      <w:r>
        <w:rPr>
          <w:rFonts w:ascii="Times New Roman" w:eastAsia="Times New Roman" w:hAnsi="Times New Roman" w:cs="Times New Roman"/>
          <w:i/>
        </w:rPr>
        <w:t xml:space="preserve">N(k) </w:t>
      </w:r>
      <w:r>
        <w:t xml:space="preserve">is the neighbourhood of </w:t>
      </w:r>
      <w:r>
        <w:rPr>
          <w:rFonts w:ascii="Times New Roman" w:eastAsia="Times New Roman" w:hAnsi="Times New Roman" w:cs="Times New Roman"/>
          <w:i/>
        </w:rPr>
        <w:t>k</w:t>
      </w:r>
      <w:r>
        <w:t xml:space="preserve">, </w:t>
      </w:r>
      <w:proofErr w:type="spellStart"/>
      <w:r>
        <w:rPr>
          <w:rFonts w:ascii="Times New Roman" w:eastAsia="Times New Roman" w:hAnsi="Times New Roman" w:cs="Times New Roman"/>
        </w:rPr>
        <w:t>w</w:t>
      </w:r>
      <w:r>
        <w:rPr>
          <w:rFonts w:ascii="Times New Roman" w:eastAsia="Times New Roman" w:hAnsi="Times New Roman" w:cs="Times New Roman"/>
          <w:sz w:val="20"/>
          <w:vertAlign w:val="subscript"/>
        </w:rPr>
        <w:t>k</w:t>
      </w:r>
      <w:proofErr w:type="spellEnd"/>
      <w:r>
        <w:rPr>
          <w:rFonts w:ascii="Times New Roman" w:eastAsia="Times New Roman" w:hAnsi="Times New Roman" w:cs="Times New Roman"/>
          <w:sz w:val="20"/>
          <w:vertAlign w:val="subscript"/>
        </w:rPr>
        <w:t xml:space="preserve">+ </w:t>
      </w:r>
      <w:r>
        <w:t xml:space="preserve">is the sum of all spatial weights within </w:t>
      </w:r>
      <w:r>
        <w:rPr>
          <w:rFonts w:ascii="Times New Roman" w:eastAsia="Times New Roman" w:hAnsi="Times New Roman" w:cs="Times New Roman"/>
          <w:i/>
        </w:rPr>
        <w:t>N(k)</w:t>
      </w:r>
      <w:r>
        <w:t>, an</w:t>
      </w:r>
      <w:r>
        <w:t xml:space="preserve">d </w:t>
      </w:r>
      <w:r>
        <w:rPr>
          <w:rFonts w:ascii="Calibri" w:eastAsia="Calibri" w:hAnsi="Calibri" w:cs="Calibri"/>
        </w:rPr>
        <w:t>𝜏</w:t>
      </w:r>
      <w:r>
        <w:rPr>
          <w:rFonts w:ascii="Calibri" w:eastAsia="Calibri" w:hAnsi="Calibri" w:cs="Calibri"/>
        </w:rPr>
        <w:t xml:space="preserve"> </w:t>
      </w:r>
      <w:r>
        <w:t>is a precision parameter. In other words, equations [2] and [3] conditions the growth rates to be the weighted average between the neighbouring region with a precision parameter dependent on the size of the neighbourhood.</w:t>
      </w:r>
    </w:p>
    <w:p w14:paraId="1ECD8EC2" w14:textId="77777777" w:rsidR="00232836" w:rsidRDefault="00232836">
      <w:pPr>
        <w:spacing w:after="0"/>
        <w:ind w:left="-5" w:right="0" w:firstLine="0"/>
        <w:jc w:val="left"/>
      </w:pPr>
    </w:p>
    <w:p w14:paraId="4EEA6FBC" w14:textId="77777777" w:rsidR="00232836" w:rsidRDefault="002E3C2E">
      <w:pPr>
        <w:pStyle w:val="Heading2"/>
        <w:spacing w:after="0" w:line="307" w:lineRule="auto"/>
        <w:ind w:left="-5" w:right="2" w:firstLine="0"/>
      </w:pPr>
      <w:r>
        <w:t>3.1 Implementation</w:t>
      </w:r>
    </w:p>
    <w:p w14:paraId="12CD4F2C" w14:textId="77777777" w:rsidR="00232836" w:rsidRDefault="002E3C2E">
      <w:pPr>
        <w:spacing w:after="0"/>
        <w:ind w:left="-5" w:right="0" w:firstLine="0"/>
        <w:jc w:val="left"/>
      </w:pPr>
      <w:r>
        <w:t>We estima</w:t>
      </w:r>
      <w:r>
        <w:t xml:space="preserve">ted our parameters of interests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1,k </w:t>
      </w:r>
      <w:r>
        <w:t xml:space="preserve">and </w:t>
      </w:r>
      <w:r>
        <w:rPr>
          <w:rFonts w:ascii="Times New Roman" w:eastAsia="Times New Roman" w:hAnsi="Times New Roman" w:cs="Times New Roman"/>
          <w:i/>
        </w:rPr>
        <w:t>r</w:t>
      </w:r>
      <w:r>
        <w:rPr>
          <w:rFonts w:ascii="Times New Roman" w:eastAsia="Times New Roman" w:hAnsi="Times New Roman" w:cs="Times New Roman"/>
          <w:i/>
          <w:sz w:val="20"/>
          <w:vertAlign w:val="subscript"/>
        </w:rPr>
        <w:t xml:space="preserve">2,k </w:t>
      </w:r>
      <w:r>
        <w:t xml:space="preserve">using the NIMBLE probabilistic programming language (de </w:t>
      </w:r>
      <w:proofErr w:type="spellStart"/>
      <w:r>
        <w:t>Valpine</w:t>
      </w:r>
      <w:proofErr w:type="spellEnd"/>
      <w:r>
        <w:t xml:space="preserve"> </w:t>
      </w:r>
      <w:r>
        <w:rPr>
          <w:i/>
        </w:rPr>
        <w:t xml:space="preserve">et al. </w:t>
      </w:r>
      <w:r>
        <w:t xml:space="preserve">2020) and the </w:t>
      </w:r>
      <w:proofErr w:type="spellStart"/>
      <w:r>
        <w:rPr>
          <w:i/>
        </w:rPr>
        <w:t>nimbleCarbon</w:t>
      </w:r>
      <w:proofErr w:type="spellEnd"/>
      <w:r>
        <w:rPr>
          <w:i/>
        </w:rPr>
        <w:t xml:space="preserve"> (</w:t>
      </w:r>
      <w:r>
        <w:t xml:space="preserve">Crema &amp; </w:t>
      </w:r>
      <w:proofErr w:type="spellStart"/>
      <w:r>
        <w:t>Shoda</w:t>
      </w:r>
      <w:proofErr w:type="spellEnd"/>
      <w:r>
        <w:t xml:space="preserve"> 2021; Crema 2022b</w:t>
      </w:r>
      <w:r>
        <w:rPr>
          <w:i/>
        </w:rPr>
        <w:t xml:space="preserve">) </w:t>
      </w:r>
      <w:r>
        <w:t xml:space="preserve">package in R (R Core Team 2020). We fitted two versions of the model with </w:t>
      </w:r>
      <w:r>
        <w:rPr>
          <w:rFonts w:ascii="Calibri" w:eastAsia="Calibri" w:hAnsi="Calibri" w:cs="Calibri"/>
        </w:rPr>
        <w:t>𝛥</w:t>
      </w:r>
      <w:r>
        <w:rPr>
          <w:i/>
        </w:rPr>
        <w:t xml:space="preserve">t </w:t>
      </w:r>
      <w:r>
        <w:t>set at 500 and 750 years. For both instances, we filtered relevant dates in each region by considering only samples with a cumulative calibrated probability distribution over 0.5</w:t>
      </w:r>
      <w:r>
        <w:t xml:space="preserve"> within </w:t>
      </w:r>
      <w:proofErr w:type="spellStart"/>
      <w:r>
        <w:rPr>
          <w:rFonts w:ascii="Times New Roman" w:eastAsia="Times New Roman" w:hAnsi="Times New Roman" w:cs="Times New Roman"/>
          <w:i/>
        </w:rPr>
        <w:t>a</w:t>
      </w:r>
      <w:r>
        <w:rPr>
          <w:rFonts w:ascii="Times New Roman" w:eastAsia="Times New Roman" w:hAnsi="Times New Roman" w:cs="Times New Roman"/>
          <w:i/>
          <w:sz w:val="20"/>
          <w:vertAlign w:val="subscript"/>
        </w:rPr>
        <w:t>k</w:t>
      </w:r>
      <w:proofErr w:type="spellEnd"/>
      <w:r>
        <w:rPr>
          <w:rFonts w:ascii="Times New Roman" w:eastAsia="Times New Roman" w:hAnsi="Times New Roman" w:cs="Times New Roman"/>
          <w:i/>
          <w:sz w:val="20"/>
          <w:vertAlign w:val="subscript"/>
        </w:rPr>
        <w:t xml:space="preserve"> </w:t>
      </w:r>
      <w:r>
        <w:t xml:space="preserve">and </w:t>
      </w:r>
      <w:r>
        <w:rPr>
          <w:rFonts w:ascii="Times New Roman" w:eastAsia="Times New Roman" w:hAnsi="Times New Roman" w:cs="Times New Roman"/>
          <w:i/>
        </w:rPr>
        <w:t>b</w:t>
      </w:r>
      <w:r>
        <w:rPr>
          <w:rFonts w:ascii="Times New Roman" w:eastAsia="Times New Roman" w:hAnsi="Times New Roman" w:cs="Times New Roman"/>
          <w:i/>
          <w:sz w:val="20"/>
          <w:vertAlign w:val="subscript"/>
        </w:rPr>
        <w:t>k</w:t>
      </w:r>
      <w:r>
        <w:t xml:space="preserve">. To account for potential inter-site biases in sampling intensity, we randomly thinned a single date for any cluster of dates within 50 years using the </w:t>
      </w:r>
      <w:proofErr w:type="spellStart"/>
      <w:r>
        <w:rPr>
          <w:i/>
        </w:rPr>
        <w:t>binPrep</w:t>
      </w:r>
      <w:proofErr w:type="spellEnd"/>
      <w:r>
        <w:rPr>
          <w:i/>
        </w:rPr>
        <w:t xml:space="preserve">() </w:t>
      </w:r>
      <w:r>
        <w:t xml:space="preserve">and </w:t>
      </w:r>
      <w:proofErr w:type="spellStart"/>
      <w:r>
        <w:rPr>
          <w:i/>
        </w:rPr>
        <w:t>thinDates</w:t>
      </w:r>
      <w:proofErr w:type="spellEnd"/>
      <w:r>
        <w:rPr>
          <w:i/>
        </w:rPr>
        <w:t xml:space="preserve">() </w:t>
      </w:r>
      <w:r>
        <w:t xml:space="preserve">functions in the </w:t>
      </w:r>
      <w:proofErr w:type="spellStart"/>
      <w:r>
        <w:rPr>
          <w:i/>
        </w:rPr>
        <w:t>rcarbon</w:t>
      </w:r>
      <w:proofErr w:type="spellEnd"/>
      <w:r>
        <w:rPr>
          <w:i/>
        </w:rPr>
        <w:t xml:space="preserve"> </w:t>
      </w:r>
      <w:r>
        <w:t xml:space="preserve">R package (Crema &amp; Bevan 2021). We </w:t>
      </w:r>
      <w:r>
        <w:t xml:space="preserve">considered only dates with terrestrial origin and employed the IntCal20 calibration curve (Reimer </w:t>
      </w:r>
      <w:r>
        <w:rPr>
          <w:i/>
        </w:rPr>
        <w:t xml:space="preserve">et al. </w:t>
      </w:r>
      <w:r>
        <w:t>2020) for all analyses.</w:t>
      </w:r>
    </w:p>
    <w:p w14:paraId="69631696" w14:textId="77777777" w:rsidR="00232836" w:rsidRDefault="002E3C2E">
      <w:pPr>
        <w:spacing w:after="0"/>
        <w:ind w:left="-5" w:right="0" w:firstLine="0"/>
        <w:jc w:val="left"/>
      </w:pPr>
      <w:r>
        <w:t xml:space="preserve">We ran four chains with a total of 250,000 iterations for each of the two models, with the first half dedicated to the </w:t>
      </w:r>
      <w:r>
        <w:t>burn-in, and with samples stored every five steps (i.e. with the thinning parameter set to 5). All parameters showed good mixing with the highest R-hat value (Gelman &amp; Rubin 1992) below 1.008 (see Tables S1 &amp; S2).</w:t>
      </w:r>
    </w:p>
    <w:p w14:paraId="19665CE6" w14:textId="77777777" w:rsidR="00232836" w:rsidRDefault="002E3C2E">
      <w:pPr>
        <w:spacing w:after="160" w:line="259" w:lineRule="auto"/>
        <w:ind w:left="0" w:right="0" w:firstLine="0"/>
        <w:jc w:val="left"/>
      </w:pPr>
      <w:r>
        <w:br w:type="page"/>
      </w:r>
    </w:p>
    <w:p w14:paraId="0706A652" w14:textId="77777777" w:rsidR="00232836" w:rsidRDefault="00232836">
      <w:pPr>
        <w:spacing w:after="0"/>
        <w:ind w:left="-5" w:right="0" w:firstLine="0"/>
        <w:jc w:val="left"/>
      </w:pPr>
    </w:p>
    <w:p w14:paraId="25274533" w14:textId="77777777" w:rsidR="00232836" w:rsidRDefault="002E3C2E">
      <w:pPr>
        <w:spacing w:after="0"/>
        <w:ind w:left="-5" w:right="0" w:firstLine="0"/>
        <w:jc w:val="left"/>
        <w:rPr>
          <w:b/>
          <w:bCs/>
        </w:rPr>
      </w:pPr>
      <w:r>
        <w:rPr>
          <w:b/>
          <w:bCs/>
          <w:sz w:val="18"/>
        </w:rPr>
        <w:t xml:space="preserve">Table S1. Posterior estimates and MCMC </w:t>
      </w:r>
      <w:r>
        <w:rPr>
          <w:b/>
          <w:bCs/>
          <w:sz w:val="18"/>
        </w:rPr>
        <w:t>diagnostics for the 500yrs ICAR model. Growth rate parameters (</w:t>
      </w:r>
      <w:r>
        <w:rPr>
          <w:b/>
          <w:bCs/>
          <w:i/>
          <w:sz w:val="18"/>
        </w:rPr>
        <w:t>r</w:t>
      </w:r>
      <w:r>
        <w:rPr>
          <w:b/>
          <w:bCs/>
          <w:sz w:val="18"/>
        </w:rPr>
        <w:t>) are converted into % annual growth rate.</w:t>
      </w:r>
    </w:p>
    <w:tbl>
      <w:tblPr>
        <w:tblStyle w:val="TableGrid"/>
        <w:tblW w:w="9600" w:type="dxa"/>
        <w:tblInd w:w="-4" w:type="dxa"/>
        <w:tblLayout w:type="fixed"/>
        <w:tblCellMar>
          <w:left w:w="115" w:type="dxa"/>
          <w:bottom w:w="105" w:type="dxa"/>
          <w:right w:w="115" w:type="dxa"/>
        </w:tblCellMar>
        <w:tblLook w:val="04A0" w:firstRow="1" w:lastRow="0" w:firstColumn="1" w:lastColumn="0" w:noHBand="0" w:noVBand="1"/>
      </w:tblPr>
      <w:tblGrid>
        <w:gridCol w:w="1920"/>
        <w:gridCol w:w="1920"/>
        <w:gridCol w:w="1920"/>
        <w:gridCol w:w="1920"/>
        <w:gridCol w:w="1920"/>
      </w:tblGrid>
      <w:tr w:rsidR="00232836" w14:paraId="1299951F" w14:textId="77777777">
        <w:trPr>
          <w:trHeight w:val="460"/>
        </w:trPr>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6E966BD9" w14:textId="77777777" w:rsidR="00232836" w:rsidRDefault="002E3C2E">
            <w:pPr>
              <w:widowControl w:val="0"/>
              <w:spacing w:after="0"/>
              <w:ind w:left="8" w:right="0" w:firstLine="0"/>
              <w:jc w:val="left"/>
            </w:pPr>
            <w:r>
              <w:rPr>
                <w:b/>
                <w:sz w:val="20"/>
              </w:rPr>
              <w:t>Parameter</w:t>
            </w:r>
          </w:p>
        </w:tc>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1BB45820" w14:textId="77777777" w:rsidR="00232836" w:rsidRDefault="002E3C2E">
            <w:pPr>
              <w:widowControl w:val="0"/>
              <w:spacing w:after="0"/>
              <w:ind w:left="8" w:right="0" w:firstLine="0"/>
              <w:jc w:val="left"/>
            </w:pPr>
            <w:r>
              <w:rPr>
                <w:b/>
                <w:sz w:val="20"/>
              </w:rPr>
              <w:t>Mean Posterior</w:t>
            </w:r>
          </w:p>
        </w:tc>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0A57380" w14:textId="77777777" w:rsidR="00232836" w:rsidRDefault="002E3C2E">
            <w:pPr>
              <w:widowControl w:val="0"/>
              <w:spacing w:after="0"/>
              <w:ind w:left="8" w:right="0" w:firstLine="0"/>
              <w:jc w:val="left"/>
            </w:pPr>
            <w:r>
              <w:rPr>
                <w:b/>
                <w:sz w:val="20"/>
              </w:rPr>
              <w:t>95% HPDI</w:t>
            </w:r>
          </w:p>
        </w:tc>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164CF854" w14:textId="77777777" w:rsidR="00232836" w:rsidRDefault="002E3C2E">
            <w:pPr>
              <w:widowControl w:val="0"/>
              <w:spacing w:after="0"/>
              <w:ind w:left="8" w:right="0" w:firstLine="0"/>
              <w:jc w:val="left"/>
            </w:pPr>
            <w:proofErr w:type="spellStart"/>
            <w:r>
              <w:rPr>
                <w:b/>
                <w:sz w:val="20"/>
              </w:rPr>
              <w:t>Rhat</w:t>
            </w:r>
            <w:proofErr w:type="spellEnd"/>
          </w:p>
        </w:tc>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1DF67B0" w14:textId="77777777" w:rsidR="00232836" w:rsidRDefault="002E3C2E">
            <w:pPr>
              <w:widowControl w:val="0"/>
              <w:spacing w:after="0"/>
              <w:ind w:left="8" w:right="0" w:firstLine="0"/>
              <w:jc w:val="left"/>
            </w:pPr>
            <w:r>
              <w:rPr>
                <w:b/>
                <w:sz w:val="20"/>
              </w:rPr>
              <w:t>ESS</w:t>
            </w:r>
          </w:p>
        </w:tc>
      </w:tr>
      <w:tr w:rsidR="00232836" w14:paraId="0627EF67"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28FA72FF" w14:textId="77777777" w:rsidR="00232836" w:rsidRDefault="002E3C2E">
            <w:pPr>
              <w:widowControl w:val="0"/>
              <w:spacing w:after="0"/>
              <w:ind w:left="8" w:right="0" w:firstLine="0"/>
              <w:jc w:val="left"/>
            </w:pPr>
            <w:r>
              <w:rPr>
                <w:i/>
                <w:sz w:val="20"/>
              </w:rPr>
              <w:t>r</w:t>
            </w:r>
            <w:r>
              <w:rPr>
                <w:i/>
                <w:sz w:val="12"/>
              </w:rPr>
              <w:t>1,I</w:t>
            </w:r>
          </w:p>
        </w:tc>
        <w:tc>
          <w:tcPr>
            <w:tcW w:w="1920" w:type="dxa"/>
            <w:tcBorders>
              <w:top w:val="single" w:sz="8" w:space="0" w:color="000000"/>
              <w:left w:val="single" w:sz="8" w:space="0" w:color="000000"/>
              <w:bottom w:val="single" w:sz="8" w:space="0" w:color="000000"/>
              <w:right w:val="single" w:sz="8" w:space="0" w:color="000000"/>
            </w:tcBorders>
            <w:vAlign w:val="center"/>
          </w:tcPr>
          <w:p w14:paraId="2B1A64F9" w14:textId="77777777" w:rsidR="00232836" w:rsidRDefault="002E3C2E">
            <w:pPr>
              <w:widowControl w:val="0"/>
              <w:spacing w:after="0"/>
              <w:ind w:left="8" w:right="0" w:firstLine="0"/>
              <w:jc w:val="left"/>
            </w:pPr>
            <w:r>
              <w:rPr>
                <w:sz w:val="20"/>
              </w:rPr>
              <w:t>-0.091</w:t>
            </w:r>
          </w:p>
        </w:tc>
        <w:tc>
          <w:tcPr>
            <w:tcW w:w="1920" w:type="dxa"/>
            <w:tcBorders>
              <w:top w:val="single" w:sz="8" w:space="0" w:color="000000"/>
              <w:left w:val="single" w:sz="8" w:space="0" w:color="000000"/>
              <w:bottom w:val="single" w:sz="8" w:space="0" w:color="000000"/>
              <w:right w:val="single" w:sz="8" w:space="0" w:color="000000"/>
            </w:tcBorders>
            <w:vAlign w:val="center"/>
          </w:tcPr>
          <w:p w14:paraId="2EA0711C" w14:textId="77777777" w:rsidR="00232836" w:rsidRDefault="002E3C2E">
            <w:pPr>
              <w:widowControl w:val="0"/>
              <w:spacing w:after="0"/>
              <w:ind w:left="8" w:right="0" w:firstLine="0"/>
              <w:jc w:val="left"/>
            </w:pPr>
            <w:r>
              <w:rPr>
                <w:sz w:val="20"/>
              </w:rPr>
              <w:t>-0.283 ~ 0.103</w:t>
            </w:r>
          </w:p>
        </w:tc>
        <w:tc>
          <w:tcPr>
            <w:tcW w:w="1920" w:type="dxa"/>
            <w:tcBorders>
              <w:top w:val="single" w:sz="8" w:space="0" w:color="000000"/>
              <w:left w:val="single" w:sz="8" w:space="0" w:color="000000"/>
              <w:bottom w:val="single" w:sz="8" w:space="0" w:color="000000"/>
              <w:right w:val="single" w:sz="8" w:space="0" w:color="000000"/>
            </w:tcBorders>
            <w:vAlign w:val="center"/>
          </w:tcPr>
          <w:p w14:paraId="5C20120B" w14:textId="77777777" w:rsidR="00232836" w:rsidRDefault="002E3C2E">
            <w:pPr>
              <w:widowControl w:val="0"/>
              <w:spacing w:after="0"/>
              <w:ind w:left="8" w:right="0" w:firstLine="0"/>
              <w:jc w:val="left"/>
            </w:pPr>
            <w:r>
              <w:rPr>
                <w:sz w:val="20"/>
              </w:rPr>
              <w:t>1.0045</w:t>
            </w:r>
          </w:p>
        </w:tc>
        <w:tc>
          <w:tcPr>
            <w:tcW w:w="1920" w:type="dxa"/>
            <w:tcBorders>
              <w:top w:val="single" w:sz="8" w:space="0" w:color="000000"/>
              <w:left w:val="single" w:sz="8" w:space="0" w:color="000000"/>
              <w:bottom w:val="single" w:sz="8" w:space="0" w:color="000000"/>
              <w:right w:val="single" w:sz="8" w:space="0" w:color="000000"/>
            </w:tcBorders>
            <w:vAlign w:val="center"/>
          </w:tcPr>
          <w:p w14:paraId="556105CA" w14:textId="77777777" w:rsidR="00232836" w:rsidRDefault="002E3C2E">
            <w:pPr>
              <w:widowControl w:val="0"/>
              <w:spacing w:after="0"/>
              <w:ind w:left="8" w:right="0" w:firstLine="0"/>
              <w:jc w:val="left"/>
            </w:pPr>
            <w:r>
              <w:rPr>
                <w:sz w:val="20"/>
              </w:rPr>
              <w:t>19283</w:t>
            </w:r>
          </w:p>
        </w:tc>
      </w:tr>
      <w:tr w:rsidR="00232836" w14:paraId="28A08C31"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4517EDCD" w14:textId="77777777" w:rsidR="00232836" w:rsidRDefault="002E3C2E">
            <w:pPr>
              <w:widowControl w:val="0"/>
              <w:spacing w:after="0"/>
              <w:ind w:left="8" w:right="0" w:firstLine="0"/>
              <w:jc w:val="left"/>
            </w:pPr>
            <w:r>
              <w:rPr>
                <w:i/>
                <w:sz w:val="20"/>
              </w:rPr>
              <w:t>r</w:t>
            </w:r>
            <w:r>
              <w:rPr>
                <w:i/>
                <w:sz w:val="12"/>
              </w:rPr>
              <w:t>1,II</w:t>
            </w:r>
          </w:p>
        </w:tc>
        <w:tc>
          <w:tcPr>
            <w:tcW w:w="1920" w:type="dxa"/>
            <w:tcBorders>
              <w:top w:val="single" w:sz="8" w:space="0" w:color="000000"/>
              <w:left w:val="single" w:sz="8" w:space="0" w:color="000000"/>
              <w:bottom w:val="single" w:sz="8" w:space="0" w:color="000000"/>
              <w:right w:val="single" w:sz="8" w:space="0" w:color="000000"/>
            </w:tcBorders>
            <w:vAlign w:val="center"/>
          </w:tcPr>
          <w:p w14:paraId="420AB1D5" w14:textId="77777777" w:rsidR="00232836" w:rsidRDefault="002E3C2E">
            <w:pPr>
              <w:widowControl w:val="0"/>
              <w:spacing w:after="0"/>
              <w:ind w:left="8" w:right="0" w:firstLine="0"/>
              <w:jc w:val="left"/>
            </w:pPr>
            <w:r>
              <w:rPr>
                <w:sz w:val="20"/>
              </w:rPr>
              <w:t>-0.089</w:t>
            </w:r>
          </w:p>
        </w:tc>
        <w:tc>
          <w:tcPr>
            <w:tcW w:w="1920" w:type="dxa"/>
            <w:tcBorders>
              <w:top w:val="single" w:sz="8" w:space="0" w:color="000000"/>
              <w:left w:val="single" w:sz="8" w:space="0" w:color="000000"/>
              <w:bottom w:val="single" w:sz="8" w:space="0" w:color="000000"/>
              <w:right w:val="single" w:sz="8" w:space="0" w:color="000000"/>
            </w:tcBorders>
            <w:vAlign w:val="center"/>
          </w:tcPr>
          <w:p w14:paraId="2F55027C" w14:textId="77777777" w:rsidR="00232836" w:rsidRDefault="002E3C2E">
            <w:pPr>
              <w:widowControl w:val="0"/>
              <w:spacing w:after="0"/>
              <w:ind w:left="8" w:right="0" w:firstLine="0"/>
              <w:jc w:val="left"/>
            </w:pPr>
            <w:r>
              <w:rPr>
                <w:sz w:val="20"/>
              </w:rPr>
              <w:t>-0.238 ~ 0.064</w:t>
            </w:r>
          </w:p>
        </w:tc>
        <w:tc>
          <w:tcPr>
            <w:tcW w:w="1920" w:type="dxa"/>
            <w:tcBorders>
              <w:top w:val="single" w:sz="8" w:space="0" w:color="000000"/>
              <w:left w:val="single" w:sz="8" w:space="0" w:color="000000"/>
              <w:bottom w:val="single" w:sz="8" w:space="0" w:color="000000"/>
              <w:right w:val="single" w:sz="8" w:space="0" w:color="000000"/>
            </w:tcBorders>
            <w:vAlign w:val="center"/>
          </w:tcPr>
          <w:p w14:paraId="6B4D1B2C" w14:textId="77777777" w:rsidR="00232836" w:rsidRDefault="002E3C2E">
            <w:pPr>
              <w:widowControl w:val="0"/>
              <w:spacing w:after="0"/>
              <w:ind w:left="8" w:right="0" w:firstLine="0"/>
              <w:jc w:val="left"/>
            </w:pPr>
            <w:r>
              <w:rPr>
                <w:sz w:val="20"/>
              </w:rPr>
              <w:t>1.0061</w:t>
            </w:r>
          </w:p>
        </w:tc>
        <w:tc>
          <w:tcPr>
            <w:tcW w:w="1920" w:type="dxa"/>
            <w:tcBorders>
              <w:top w:val="single" w:sz="8" w:space="0" w:color="000000"/>
              <w:left w:val="single" w:sz="8" w:space="0" w:color="000000"/>
              <w:bottom w:val="single" w:sz="8" w:space="0" w:color="000000"/>
              <w:right w:val="single" w:sz="8" w:space="0" w:color="000000"/>
            </w:tcBorders>
            <w:vAlign w:val="center"/>
          </w:tcPr>
          <w:p w14:paraId="081855CF" w14:textId="77777777" w:rsidR="00232836" w:rsidRDefault="002E3C2E">
            <w:pPr>
              <w:widowControl w:val="0"/>
              <w:spacing w:after="0"/>
              <w:ind w:left="8" w:right="0" w:firstLine="0"/>
              <w:jc w:val="left"/>
            </w:pPr>
            <w:r>
              <w:rPr>
                <w:sz w:val="20"/>
              </w:rPr>
              <w:t>16041</w:t>
            </w:r>
          </w:p>
        </w:tc>
      </w:tr>
      <w:tr w:rsidR="00232836" w14:paraId="48A87E56"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322EEACD" w14:textId="77777777" w:rsidR="00232836" w:rsidRDefault="002E3C2E">
            <w:pPr>
              <w:widowControl w:val="0"/>
              <w:spacing w:after="0"/>
              <w:ind w:left="8" w:right="0" w:firstLine="0"/>
              <w:jc w:val="left"/>
            </w:pPr>
            <w:r>
              <w:rPr>
                <w:i/>
                <w:sz w:val="20"/>
              </w:rPr>
              <w:t>r</w:t>
            </w:r>
            <w:r>
              <w:rPr>
                <w:i/>
                <w:sz w:val="12"/>
              </w:rPr>
              <w:t>1,III</w:t>
            </w:r>
          </w:p>
        </w:tc>
        <w:tc>
          <w:tcPr>
            <w:tcW w:w="1920" w:type="dxa"/>
            <w:tcBorders>
              <w:top w:val="single" w:sz="8" w:space="0" w:color="000000"/>
              <w:left w:val="single" w:sz="8" w:space="0" w:color="000000"/>
              <w:bottom w:val="single" w:sz="8" w:space="0" w:color="000000"/>
              <w:right w:val="single" w:sz="8" w:space="0" w:color="000000"/>
            </w:tcBorders>
            <w:vAlign w:val="center"/>
          </w:tcPr>
          <w:p w14:paraId="4CF27A63" w14:textId="77777777" w:rsidR="00232836" w:rsidRDefault="002E3C2E">
            <w:pPr>
              <w:widowControl w:val="0"/>
              <w:spacing w:after="0"/>
              <w:ind w:left="8" w:right="0" w:firstLine="0"/>
              <w:jc w:val="left"/>
            </w:pPr>
            <w:r>
              <w:rPr>
                <w:sz w:val="20"/>
              </w:rPr>
              <w:t>0.121</w:t>
            </w:r>
          </w:p>
        </w:tc>
        <w:tc>
          <w:tcPr>
            <w:tcW w:w="1920" w:type="dxa"/>
            <w:tcBorders>
              <w:top w:val="single" w:sz="8" w:space="0" w:color="000000"/>
              <w:left w:val="single" w:sz="8" w:space="0" w:color="000000"/>
              <w:bottom w:val="single" w:sz="8" w:space="0" w:color="000000"/>
              <w:right w:val="single" w:sz="8" w:space="0" w:color="000000"/>
            </w:tcBorders>
            <w:vAlign w:val="center"/>
          </w:tcPr>
          <w:p w14:paraId="0D4DFF7C" w14:textId="77777777" w:rsidR="00232836" w:rsidRDefault="002E3C2E">
            <w:pPr>
              <w:widowControl w:val="0"/>
              <w:spacing w:after="0"/>
              <w:ind w:left="8" w:right="0" w:firstLine="0"/>
              <w:jc w:val="left"/>
            </w:pPr>
            <w:r>
              <w:rPr>
                <w:sz w:val="20"/>
              </w:rPr>
              <w:t>-0.006 ~ 0.262</w:t>
            </w:r>
          </w:p>
        </w:tc>
        <w:tc>
          <w:tcPr>
            <w:tcW w:w="1920" w:type="dxa"/>
            <w:tcBorders>
              <w:top w:val="single" w:sz="8" w:space="0" w:color="000000"/>
              <w:left w:val="single" w:sz="8" w:space="0" w:color="000000"/>
              <w:bottom w:val="single" w:sz="8" w:space="0" w:color="000000"/>
              <w:right w:val="single" w:sz="8" w:space="0" w:color="000000"/>
            </w:tcBorders>
            <w:vAlign w:val="center"/>
          </w:tcPr>
          <w:p w14:paraId="044EF185" w14:textId="77777777" w:rsidR="00232836" w:rsidRDefault="002E3C2E">
            <w:pPr>
              <w:widowControl w:val="0"/>
              <w:spacing w:after="0"/>
              <w:ind w:left="8" w:right="0" w:firstLine="0"/>
              <w:jc w:val="left"/>
            </w:pPr>
            <w:r>
              <w:rPr>
                <w:sz w:val="20"/>
              </w:rPr>
              <w:t>1.0032</w:t>
            </w:r>
          </w:p>
        </w:tc>
        <w:tc>
          <w:tcPr>
            <w:tcW w:w="1920" w:type="dxa"/>
            <w:tcBorders>
              <w:top w:val="single" w:sz="8" w:space="0" w:color="000000"/>
              <w:left w:val="single" w:sz="8" w:space="0" w:color="000000"/>
              <w:bottom w:val="single" w:sz="8" w:space="0" w:color="000000"/>
              <w:right w:val="single" w:sz="8" w:space="0" w:color="000000"/>
            </w:tcBorders>
            <w:vAlign w:val="center"/>
          </w:tcPr>
          <w:p w14:paraId="63943B01" w14:textId="77777777" w:rsidR="00232836" w:rsidRDefault="002E3C2E">
            <w:pPr>
              <w:widowControl w:val="0"/>
              <w:spacing w:after="0"/>
              <w:ind w:left="8" w:right="0" w:firstLine="0"/>
              <w:jc w:val="left"/>
            </w:pPr>
            <w:r>
              <w:rPr>
                <w:sz w:val="20"/>
              </w:rPr>
              <w:t>12250</w:t>
            </w:r>
          </w:p>
        </w:tc>
      </w:tr>
      <w:tr w:rsidR="00232836" w14:paraId="3174BFF5"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03039571" w14:textId="77777777" w:rsidR="00232836" w:rsidRDefault="002E3C2E">
            <w:pPr>
              <w:widowControl w:val="0"/>
              <w:spacing w:after="0"/>
              <w:ind w:left="8" w:right="0" w:firstLine="0"/>
              <w:jc w:val="left"/>
            </w:pPr>
            <w:r>
              <w:rPr>
                <w:i/>
                <w:sz w:val="20"/>
              </w:rPr>
              <w:t>r</w:t>
            </w:r>
            <w:r>
              <w:rPr>
                <w:i/>
                <w:sz w:val="12"/>
              </w:rPr>
              <w:t>1,IV</w:t>
            </w:r>
          </w:p>
        </w:tc>
        <w:tc>
          <w:tcPr>
            <w:tcW w:w="1920" w:type="dxa"/>
            <w:tcBorders>
              <w:top w:val="single" w:sz="8" w:space="0" w:color="000000"/>
              <w:left w:val="single" w:sz="8" w:space="0" w:color="000000"/>
              <w:bottom w:val="single" w:sz="8" w:space="0" w:color="000000"/>
              <w:right w:val="single" w:sz="8" w:space="0" w:color="000000"/>
            </w:tcBorders>
            <w:vAlign w:val="center"/>
          </w:tcPr>
          <w:p w14:paraId="3B88CE9E" w14:textId="77777777" w:rsidR="00232836" w:rsidRDefault="002E3C2E">
            <w:pPr>
              <w:widowControl w:val="0"/>
              <w:spacing w:after="0"/>
              <w:ind w:left="8" w:right="0" w:firstLine="0"/>
              <w:jc w:val="left"/>
            </w:pPr>
            <w:r>
              <w:rPr>
                <w:sz w:val="20"/>
              </w:rPr>
              <w:t>0.079</w:t>
            </w:r>
          </w:p>
        </w:tc>
        <w:tc>
          <w:tcPr>
            <w:tcW w:w="1920" w:type="dxa"/>
            <w:tcBorders>
              <w:top w:val="single" w:sz="8" w:space="0" w:color="000000"/>
              <w:left w:val="single" w:sz="8" w:space="0" w:color="000000"/>
              <w:bottom w:val="single" w:sz="8" w:space="0" w:color="000000"/>
              <w:right w:val="single" w:sz="8" w:space="0" w:color="000000"/>
            </w:tcBorders>
            <w:vAlign w:val="center"/>
          </w:tcPr>
          <w:p w14:paraId="0A6B5095" w14:textId="77777777" w:rsidR="00232836" w:rsidRDefault="002E3C2E">
            <w:pPr>
              <w:widowControl w:val="0"/>
              <w:spacing w:after="0"/>
              <w:ind w:left="8" w:right="0" w:firstLine="0"/>
              <w:jc w:val="left"/>
            </w:pPr>
            <w:r>
              <w:rPr>
                <w:sz w:val="20"/>
              </w:rPr>
              <w:t>-0.026 ~ 0.193</w:t>
            </w:r>
          </w:p>
        </w:tc>
        <w:tc>
          <w:tcPr>
            <w:tcW w:w="1920" w:type="dxa"/>
            <w:tcBorders>
              <w:top w:val="single" w:sz="8" w:space="0" w:color="000000"/>
              <w:left w:val="single" w:sz="8" w:space="0" w:color="000000"/>
              <w:bottom w:val="single" w:sz="8" w:space="0" w:color="000000"/>
              <w:right w:val="single" w:sz="8" w:space="0" w:color="000000"/>
            </w:tcBorders>
            <w:vAlign w:val="center"/>
          </w:tcPr>
          <w:p w14:paraId="51FF0BB1" w14:textId="77777777" w:rsidR="00232836" w:rsidRDefault="002E3C2E">
            <w:pPr>
              <w:widowControl w:val="0"/>
              <w:spacing w:after="0"/>
              <w:ind w:left="8" w:right="0" w:firstLine="0"/>
              <w:jc w:val="left"/>
            </w:pPr>
            <w:r>
              <w:rPr>
                <w:sz w:val="20"/>
              </w:rPr>
              <w:t>1.0013</w:t>
            </w:r>
          </w:p>
        </w:tc>
        <w:tc>
          <w:tcPr>
            <w:tcW w:w="1920" w:type="dxa"/>
            <w:tcBorders>
              <w:top w:val="single" w:sz="8" w:space="0" w:color="000000"/>
              <w:left w:val="single" w:sz="8" w:space="0" w:color="000000"/>
              <w:bottom w:val="single" w:sz="8" w:space="0" w:color="000000"/>
              <w:right w:val="single" w:sz="8" w:space="0" w:color="000000"/>
            </w:tcBorders>
            <w:vAlign w:val="center"/>
          </w:tcPr>
          <w:p w14:paraId="40705B8B" w14:textId="77777777" w:rsidR="00232836" w:rsidRDefault="002E3C2E">
            <w:pPr>
              <w:widowControl w:val="0"/>
              <w:spacing w:after="0"/>
              <w:ind w:left="8" w:right="0" w:firstLine="0"/>
              <w:jc w:val="left"/>
            </w:pPr>
            <w:r>
              <w:rPr>
                <w:sz w:val="20"/>
              </w:rPr>
              <w:t>19755</w:t>
            </w:r>
          </w:p>
        </w:tc>
      </w:tr>
      <w:tr w:rsidR="00232836" w14:paraId="1393AB0E"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66F4F963" w14:textId="77777777" w:rsidR="00232836" w:rsidRDefault="002E3C2E">
            <w:pPr>
              <w:widowControl w:val="0"/>
              <w:spacing w:after="0"/>
              <w:ind w:left="8" w:right="0" w:firstLine="0"/>
              <w:jc w:val="left"/>
            </w:pPr>
            <w:r>
              <w:rPr>
                <w:i/>
                <w:sz w:val="20"/>
              </w:rPr>
              <w:t>r</w:t>
            </w:r>
            <w:r>
              <w:rPr>
                <w:i/>
                <w:sz w:val="12"/>
              </w:rPr>
              <w:t>1,V</w:t>
            </w:r>
          </w:p>
        </w:tc>
        <w:tc>
          <w:tcPr>
            <w:tcW w:w="1920" w:type="dxa"/>
            <w:tcBorders>
              <w:top w:val="single" w:sz="8" w:space="0" w:color="000000"/>
              <w:left w:val="single" w:sz="8" w:space="0" w:color="000000"/>
              <w:bottom w:val="single" w:sz="8" w:space="0" w:color="000000"/>
              <w:right w:val="single" w:sz="8" w:space="0" w:color="000000"/>
            </w:tcBorders>
            <w:vAlign w:val="center"/>
          </w:tcPr>
          <w:p w14:paraId="5F102D92" w14:textId="77777777" w:rsidR="00232836" w:rsidRDefault="002E3C2E">
            <w:pPr>
              <w:widowControl w:val="0"/>
              <w:spacing w:after="0"/>
              <w:ind w:left="8" w:right="0" w:firstLine="0"/>
              <w:jc w:val="left"/>
            </w:pPr>
            <w:r>
              <w:rPr>
                <w:sz w:val="20"/>
              </w:rPr>
              <w:t>0.017</w:t>
            </w:r>
          </w:p>
        </w:tc>
        <w:tc>
          <w:tcPr>
            <w:tcW w:w="1920" w:type="dxa"/>
            <w:tcBorders>
              <w:top w:val="single" w:sz="8" w:space="0" w:color="000000"/>
              <w:left w:val="single" w:sz="8" w:space="0" w:color="000000"/>
              <w:bottom w:val="single" w:sz="8" w:space="0" w:color="000000"/>
              <w:right w:val="single" w:sz="8" w:space="0" w:color="000000"/>
            </w:tcBorders>
            <w:vAlign w:val="center"/>
          </w:tcPr>
          <w:p w14:paraId="0AB11561" w14:textId="77777777" w:rsidR="00232836" w:rsidRDefault="002E3C2E">
            <w:pPr>
              <w:widowControl w:val="0"/>
              <w:spacing w:after="0"/>
              <w:ind w:left="8" w:right="0" w:firstLine="0"/>
              <w:jc w:val="left"/>
            </w:pPr>
            <w:r>
              <w:rPr>
                <w:sz w:val="20"/>
              </w:rPr>
              <w:t>-0.06 ~ 0.092</w:t>
            </w:r>
          </w:p>
        </w:tc>
        <w:tc>
          <w:tcPr>
            <w:tcW w:w="1920" w:type="dxa"/>
            <w:tcBorders>
              <w:top w:val="single" w:sz="8" w:space="0" w:color="000000"/>
              <w:left w:val="single" w:sz="8" w:space="0" w:color="000000"/>
              <w:bottom w:val="single" w:sz="8" w:space="0" w:color="000000"/>
              <w:right w:val="single" w:sz="8" w:space="0" w:color="000000"/>
            </w:tcBorders>
            <w:vAlign w:val="center"/>
          </w:tcPr>
          <w:p w14:paraId="468DEDD3" w14:textId="77777777" w:rsidR="00232836" w:rsidRDefault="002E3C2E">
            <w:pPr>
              <w:widowControl w:val="0"/>
              <w:spacing w:after="0"/>
              <w:ind w:left="8" w:right="0" w:firstLine="0"/>
              <w:jc w:val="left"/>
            </w:pPr>
            <w:r>
              <w:rPr>
                <w:sz w:val="20"/>
              </w:rPr>
              <w:t>1.0011</w:t>
            </w:r>
          </w:p>
        </w:tc>
        <w:tc>
          <w:tcPr>
            <w:tcW w:w="1920" w:type="dxa"/>
            <w:tcBorders>
              <w:top w:val="single" w:sz="8" w:space="0" w:color="000000"/>
              <w:left w:val="single" w:sz="8" w:space="0" w:color="000000"/>
              <w:bottom w:val="single" w:sz="8" w:space="0" w:color="000000"/>
              <w:right w:val="single" w:sz="8" w:space="0" w:color="000000"/>
            </w:tcBorders>
            <w:vAlign w:val="center"/>
          </w:tcPr>
          <w:p w14:paraId="4DE98B59" w14:textId="77777777" w:rsidR="00232836" w:rsidRDefault="002E3C2E">
            <w:pPr>
              <w:widowControl w:val="0"/>
              <w:spacing w:after="0"/>
              <w:ind w:left="8" w:right="0" w:firstLine="0"/>
              <w:jc w:val="left"/>
            </w:pPr>
            <w:r>
              <w:rPr>
                <w:sz w:val="20"/>
              </w:rPr>
              <w:t>14682</w:t>
            </w:r>
          </w:p>
        </w:tc>
      </w:tr>
      <w:tr w:rsidR="00232836" w14:paraId="33F99B0C"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2315E3C5" w14:textId="77777777" w:rsidR="00232836" w:rsidRDefault="002E3C2E">
            <w:pPr>
              <w:widowControl w:val="0"/>
              <w:spacing w:after="0"/>
              <w:ind w:left="8" w:right="0" w:firstLine="0"/>
              <w:jc w:val="left"/>
            </w:pPr>
            <w:r>
              <w:rPr>
                <w:i/>
                <w:sz w:val="20"/>
              </w:rPr>
              <w:t>r</w:t>
            </w:r>
            <w:r>
              <w:rPr>
                <w:i/>
                <w:sz w:val="12"/>
              </w:rPr>
              <w:t>1,VI</w:t>
            </w:r>
          </w:p>
        </w:tc>
        <w:tc>
          <w:tcPr>
            <w:tcW w:w="1920" w:type="dxa"/>
            <w:tcBorders>
              <w:top w:val="single" w:sz="8" w:space="0" w:color="000000"/>
              <w:left w:val="single" w:sz="8" w:space="0" w:color="000000"/>
              <w:bottom w:val="single" w:sz="8" w:space="0" w:color="000000"/>
              <w:right w:val="single" w:sz="8" w:space="0" w:color="000000"/>
            </w:tcBorders>
            <w:vAlign w:val="center"/>
          </w:tcPr>
          <w:p w14:paraId="19CFD270" w14:textId="77777777" w:rsidR="00232836" w:rsidRDefault="002E3C2E">
            <w:pPr>
              <w:widowControl w:val="0"/>
              <w:spacing w:after="0"/>
              <w:ind w:left="8" w:right="0" w:firstLine="0"/>
              <w:jc w:val="left"/>
            </w:pPr>
            <w:r>
              <w:rPr>
                <w:sz w:val="20"/>
              </w:rPr>
              <w:t>0.052</w:t>
            </w:r>
          </w:p>
        </w:tc>
        <w:tc>
          <w:tcPr>
            <w:tcW w:w="1920" w:type="dxa"/>
            <w:tcBorders>
              <w:top w:val="single" w:sz="8" w:space="0" w:color="000000"/>
              <w:left w:val="single" w:sz="8" w:space="0" w:color="000000"/>
              <w:bottom w:val="single" w:sz="8" w:space="0" w:color="000000"/>
              <w:right w:val="single" w:sz="8" w:space="0" w:color="000000"/>
            </w:tcBorders>
            <w:vAlign w:val="center"/>
          </w:tcPr>
          <w:p w14:paraId="54C8CC4E" w14:textId="77777777" w:rsidR="00232836" w:rsidRDefault="002E3C2E">
            <w:pPr>
              <w:widowControl w:val="0"/>
              <w:spacing w:after="0"/>
              <w:ind w:left="8" w:right="0" w:firstLine="0"/>
              <w:jc w:val="left"/>
            </w:pPr>
            <w:r>
              <w:rPr>
                <w:sz w:val="20"/>
              </w:rPr>
              <w:t>-0.068 ~ 0.188</w:t>
            </w:r>
          </w:p>
        </w:tc>
        <w:tc>
          <w:tcPr>
            <w:tcW w:w="1920" w:type="dxa"/>
            <w:tcBorders>
              <w:top w:val="single" w:sz="8" w:space="0" w:color="000000"/>
              <w:left w:val="single" w:sz="8" w:space="0" w:color="000000"/>
              <w:bottom w:val="single" w:sz="8" w:space="0" w:color="000000"/>
              <w:right w:val="single" w:sz="8" w:space="0" w:color="000000"/>
            </w:tcBorders>
            <w:vAlign w:val="center"/>
          </w:tcPr>
          <w:p w14:paraId="3652C053" w14:textId="77777777" w:rsidR="00232836" w:rsidRDefault="002E3C2E">
            <w:pPr>
              <w:widowControl w:val="0"/>
              <w:spacing w:after="0"/>
              <w:ind w:left="8" w:right="0" w:firstLine="0"/>
              <w:jc w:val="left"/>
            </w:pPr>
            <w:r>
              <w:rPr>
                <w:sz w:val="20"/>
              </w:rPr>
              <w:t>1.0006</w:t>
            </w:r>
          </w:p>
        </w:tc>
        <w:tc>
          <w:tcPr>
            <w:tcW w:w="1920" w:type="dxa"/>
            <w:tcBorders>
              <w:top w:val="single" w:sz="8" w:space="0" w:color="000000"/>
              <w:left w:val="single" w:sz="8" w:space="0" w:color="000000"/>
              <w:bottom w:val="single" w:sz="8" w:space="0" w:color="000000"/>
              <w:right w:val="single" w:sz="8" w:space="0" w:color="000000"/>
            </w:tcBorders>
            <w:vAlign w:val="center"/>
          </w:tcPr>
          <w:p w14:paraId="1FA910E3" w14:textId="77777777" w:rsidR="00232836" w:rsidRDefault="002E3C2E">
            <w:pPr>
              <w:widowControl w:val="0"/>
              <w:spacing w:after="0"/>
              <w:ind w:left="8" w:right="0" w:firstLine="0"/>
              <w:jc w:val="left"/>
            </w:pPr>
            <w:r>
              <w:rPr>
                <w:sz w:val="20"/>
              </w:rPr>
              <w:t>16561</w:t>
            </w:r>
          </w:p>
        </w:tc>
      </w:tr>
      <w:tr w:rsidR="00232836" w14:paraId="438B45E9"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09BDF940" w14:textId="77777777" w:rsidR="00232836" w:rsidRDefault="002E3C2E">
            <w:pPr>
              <w:widowControl w:val="0"/>
              <w:spacing w:after="0"/>
              <w:ind w:left="8" w:right="0" w:firstLine="0"/>
              <w:jc w:val="left"/>
            </w:pPr>
            <w:r>
              <w:rPr>
                <w:i/>
                <w:sz w:val="20"/>
              </w:rPr>
              <w:t>r</w:t>
            </w:r>
            <w:r>
              <w:rPr>
                <w:i/>
                <w:sz w:val="12"/>
              </w:rPr>
              <w:t>1,VII</w:t>
            </w:r>
          </w:p>
        </w:tc>
        <w:tc>
          <w:tcPr>
            <w:tcW w:w="1920" w:type="dxa"/>
            <w:tcBorders>
              <w:top w:val="single" w:sz="8" w:space="0" w:color="000000"/>
              <w:left w:val="single" w:sz="8" w:space="0" w:color="000000"/>
              <w:bottom w:val="single" w:sz="8" w:space="0" w:color="000000"/>
              <w:right w:val="single" w:sz="8" w:space="0" w:color="000000"/>
            </w:tcBorders>
            <w:vAlign w:val="center"/>
          </w:tcPr>
          <w:p w14:paraId="580FB037" w14:textId="77777777" w:rsidR="00232836" w:rsidRDefault="002E3C2E">
            <w:pPr>
              <w:widowControl w:val="0"/>
              <w:spacing w:after="0"/>
              <w:ind w:left="8" w:right="0" w:firstLine="0"/>
              <w:jc w:val="left"/>
            </w:pPr>
            <w:r>
              <w:rPr>
                <w:sz w:val="20"/>
              </w:rPr>
              <w:t>-0.015</w:t>
            </w:r>
          </w:p>
        </w:tc>
        <w:tc>
          <w:tcPr>
            <w:tcW w:w="1920" w:type="dxa"/>
            <w:tcBorders>
              <w:top w:val="single" w:sz="8" w:space="0" w:color="000000"/>
              <w:left w:val="single" w:sz="8" w:space="0" w:color="000000"/>
              <w:bottom w:val="single" w:sz="8" w:space="0" w:color="000000"/>
              <w:right w:val="single" w:sz="8" w:space="0" w:color="000000"/>
            </w:tcBorders>
            <w:vAlign w:val="center"/>
          </w:tcPr>
          <w:p w14:paraId="6CE80F03" w14:textId="77777777" w:rsidR="00232836" w:rsidRDefault="002E3C2E">
            <w:pPr>
              <w:widowControl w:val="0"/>
              <w:spacing w:after="0"/>
              <w:ind w:left="8" w:right="0" w:firstLine="0"/>
              <w:jc w:val="left"/>
            </w:pPr>
            <w:r>
              <w:rPr>
                <w:sz w:val="20"/>
              </w:rPr>
              <w:t>-0.125 ~ 0.085</w:t>
            </w:r>
          </w:p>
        </w:tc>
        <w:tc>
          <w:tcPr>
            <w:tcW w:w="1920" w:type="dxa"/>
            <w:tcBorders>
              <w:top w:val="single" w:sz="8" w:space="0" w:color="000000"/>
              <w:left w:val="single" w:sz="8" w:space="0" w:color="000000"/>
              <w:bottom w:val="single" w:sz="8" w:space="0" w:color="000000"/>
              <w:right w:val="single" w:sz="8" w:space="0" w:color="000000"/>
            </w:tcBorders>
            <w:vAlign w:val="center"/>
          </w:tcPr>
          <w:p w14:paraId="1D94C88C" w14:textId="77777777" w:rsidR="00232836" w:rsidRDefault="002E3C2E">
            <w:pPr>
              <w:widowControl w:val="0"/>
              <w:spacing w:after="0"/>
              <w:ind w:left="8" w:right="0" w:firstLine="0"/>
              <w:jc w:val="left"/>
            </w:pPr>
            <w:r>
              <w:rPr>
                <w:sz w:val="20"/>
              </w:rPr>
              <w:t>1.0007</w:t>
            </w:r>
          </w:p>
        </w:tc>
        <w:tc>
          <w:tcPr>
            <w:tcW w:w="1920" w:type="dxa"/>
            <w:tcBorders>
              <w:top w:val="single" w:sz="8" w:space="0" w:color="000000"/>
              <w:left w:val="single" w:sz="8" w:space="0" w:color="000000"/>
              <w:bottom w:val="single" w:sz="8" w:space="0" w:color="000000"/>
              <w:right w:val="single" w:sz="8" w:space="0" w:color="000000"/>
            </w:tcBorders>
            <w:vAlign w:val="center"/>
          </w:tcPr>
          <w:p w14:paraId="6FDE7068" w14:textId="77777777" w:rsidR="00232836" w:rsidRDefault="002E3C2E">
            <w:pPr>
              <w:widowControl w:val="0"/>
              <w:spacing w:after="0"/>
              <w:ind w:left="8" w:right="0" w:firstLine="0"/>
              <w:jc w:val="left"/>
            </w:pPr>
            <w:r>
              <w:rPr>
                <w:sz w:val="20"/>
              </w:rPr>
              <w:t>10259</w:t>
            </w:r>
          </w:p>
        </w:tc>
      </w:tr>
      <w:tr w:rsidR="00232836" w14:paraId="2EED6384"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5105C67F" w14:textId="77777777" w:rsidR="00232836" w:rsidRDefault="002E3C2E">
            <w:pPr>
              <w:widowControl w:val="0"/>
              <w:spacing w:after="0"/>
              <w:ind w:left="8" w:right="0" w:firstLine="0"/>
              <w:jc w:val="left"/>
            </w:pPr>
            <w:r>
              <w:rPr>
                <w:i/>
                <w:sz w:val="20"/>
              </w:rPr>
              <w:t>r</w:t>
            </w:r>
            <w:r>
              <w:rPr>
                <w:i/>
                <w:sz w:val="12"/>
              </w:rPr>
              <w:t>1,VIII</w:t>
            </w:r>
          </w:p>
        </w:tc>
        <w:tc>
          <w:tcPr>
            <w:tcW w:w="1920" w:type="dxa"/>
            <w:tcBorders>
              <w:top w:val="single" w:sz="8" w:space="0" w:color="000000"/>
              <w:left w:val="single" w:sz="8" w:space="0" w:color="000000"/>
              <w:bottom w:val="single" w:sz="8" w:space="0" w:color="000000"/>
              <w:right w:val="single" w:sz="8" w:space="0" w:color="000000"/>
            </w:tcBorders>
            <w:vAlign w:val="center"/>
          </w:tcPr>
          <w:p w14:paraId="659CE195" w14:textId="77777777" w:rsidR="00232836" w:rsidRDefault="002E3C2E">
            <w:pPr>
              <w:widowControl w:val="0"/>
              <w:spacing w:after="0"/>
              <w:ind w:left="8" w:right="0" w:firstLine="0"/>
              <w:jc w:val="left"/>
            </w:pPr>
            <w:r>
              <w:rPr>
                <w:sz w:val="20"/>
              </w:rPr>
              <w:t>0.036</w:t>
            </w:r>
          </w:p>
        </w:tc>
        <w:tc>
          <w:tcPr>
            <w:tcW w:w="1920" w:type="dxa"/>
            <w:tcBorders>
              <w:top w:val="single" w:sz="8" w:space="0" w:color="000000"/>
              <w:left w:val="single" w:sz="8" w:space="0" w:color="000000"/>
              <w:bottom w:val="single" w:sz="8" w:space="0" w:color="000000"/>
              <w:right w:val="single" w:sz="8" w:space="0" w:color="000000"/>
            </w:tcBorders>
            <w:vAlign w:val="center"/>
          </w:tcPr>
          <w:p w14:paraId="4E86FD1A" w14:textId="77777777" w:rsidR="00232836" w:rsidRDefault="002E3C2E">
            <w:pPr>
              <w:widowControl w:val="0"/>
              <w:spacing w:after="0"/>
              <w:ind w:left="8" w:right="0" w:firstLine="0"/>
              <w:jc w:val="left"/>
            </w:pPr>
            <w:r>
              <w:rPr>
                <w:sz w:val="20"/>
              </w:rPr>
              <w:t>-0.112 ~ 0.191</w:t>
            </w:r>
          </w:p>
        </w:tc>
        <w:tc>
          <w:tcPr>
            <w:tcW w:w="1920" w:type="dxa"/>
            <w:tcBorders>
              <w:top w:val="single" w:sz="8" w:space="0" w:color="000000"/>
              <w:left w:val="single" w:sz="8" w:space="0" w:color="000000"/>
              <w:bottom w:val="single" w:sz="8" w:space="0" w:color="000000"/>
              <w:right w:val="single" w:sz="8" w:space="0" w:color="000000"/>
            </w:tcBorders>
            <w:vAlign w:val="center"/>
          </w:tcPr>
          <w:p w14:paraId="2BA89E78" w14:textId="77777777" w:rsidR="00232836" w:rsidRDefault="002E3C2E">
            <w:pPr>
              <w:widowControl w:val="0"/>
              <w:spacing w:after="0"/>
              <w:ind w:left="8" w:right="0" w:firstLine="0"/>
              <w:jc w:val="left"/>
            </w:pPr>
            <w:r>
              <w:rPr>
                <w:sz w:val="20"/>
              </w:rPr>
              <w:t>1.0034</w:t>
            </w:r>
          </w:p>
        </w:tc>
        <w:tc>
          <w:tcPr>
            <w:tcW w:w="1920" w:type="dxa"/>
            <w:tcBorders>
              <w:top w:val="single" w:sz="8" w:space="0" w:color="000000"/>
              <w:left w:val="single" w:sz="8" w:space="0" w:color="000000"/>
              <w:bottom w:val="single" w:sz="8" w:space="0" w:color="000000"/>
              <w:right w:val="single" w:sz="8" w:space="0" w:color="000000"/>
            </w:tcBorders>
            <w:vAlign w:val="center"/>
          </w:tcPr>
          <w:p w14:paraId="7ED43B21" w14:textId="77777777" w:rsidR="00232836" w:rsidRDefault="002E3C2E">
            <w:pPr>
              <w:widowControl w:val="0"/>
              <w:spacing w:after="0"/>
              <w:ind w:left="8" w:right="0" w:firstLine="0"/>
              <w:jc w:val="left"/>
            </w:pPr>
            <w:r>
              <w:rPr>
                <w:sz w:val="20"/>
              </w:rPr>
              <w:t>27703</w:t>
            </w:r>
          </w:p>
        </w:tc>
      </w:tr>
      <w:tr w:rsidR="00232836" w14:paraId="22BE20A2"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640F829D" w14:textId="77777777" w:rsidR="00232836" w:rsidRDefault="002E3C2E">
            <w:pPr>
              <w:widowControl w:val="0"/>
              <w:spacing w:after="0"/>
              <w:ind w:left="8" w:right="0" w:firstLine="0"/>
              <w:jc w:val="left"/>
            </w:pPr>
            <w:r>
              <w:rPr>
                <w:i/>
                <w:sz w:val="20"/>
              </w:rPr>
              <w:t>r</w:t>
            </w:r>
            <w:r>
              <w:rPr>
                <w:i/>
                <w:sz w:val="12"/>
              </w:rPr>
              <w:t>2,I</w:t>
            </w:r>
          </w:p>
        </w:tc>
        <w:tc>
          <w:tcPr>
            <w:tcW w:w="1920" w:type="dxa"/>
            <w:tcBorders>
              <w:top w:val="single" w:sz="8" w:space="0" w:color="000000"/>
              <w:left w:val="single" w:sz="8" w:space="0" w:color="000000"/>
              <w:bottom w:val="single" w:sz="8" w:space="0" w:color="000000"/>
              <w:right w:val="single" w:sz="8" w:space="0" w:color="000000"/>
            </w:tcBorders>
            <w:vAlign w:val="center"/>
          </w:tcPr>
          <w:p w14:paraId="42129BB3" w14:textId="77777777" w:rsidR="00232836" w:rsidRDefault="002E3C2E">
            <w:pPr>
              <w:widowControl w:val="0"/>
              <w:spacing w:after="0"/>
              <w:ind w:left="8" w:right="0" w:firstLine="0"/>
              <w:jc w:val="left"/>
            </w:pPr>
            <w:r>
              <w:rPr>
                <w:sz w:val="20"/>
              </w:rPr>
              <w:t>0.374</w:t>
            </w:r>
          </w:p>
        </w:tc>
        <w:tc>
          <w:tcPr>
            <w:tcW w:w="1920" w:type="dxa"/>
            <w:tcBorders>
              <w:top w:val="single" w:sz="8" w:space="0" w:color="000000"/>
              <w:left w:val="single" w:sz="8" w:space="0" w:color="000000"/>
              <w:bottom w:val="single" w:sz="8" w:space="0" w:color="000000"/>
              <w:right w:val="single" w:sz="8" w:space="0" w:color="000000"/>
            </w:tcBorders>
            <w:vAlign w:val="center"/>
          </w:tcPr>
          <w:p w14:paraId="5EEBF39F" w14:textId="77777777" w:rsidR="00232836" w:rsidRDefault="002E3C2E">
            <w:pPr>
              <w:widowControl w:val="0"/>
              <w:spacing w:after="0"/>
              <w:ind w:left="8" w:right="0" w:firstLine="0"/>
              <w:jc w:val="left"/>
            </w:pPr>
            <w:r>
              <w:rPr>
                <w:sz w:val="20"/>
              </w:rPr>
              <w:t>0.195 ~ 0.554</w:t>
            </w:r>
          </w:p>
        </w:tc>
        <w:tc>
          <w:tcPr>
            <w:tcW w:w="1920" w:type="dxa"/>
            <w:tcBorders>
              <w:top w:val="single" w:sz="8" w:space="0" w:color="000000"/>
              <w:left w:val="single" w:sz="8" w:space="0" w:color="000000"/>
              <w:bottom w:val="single" w:sz="8" w:space="0" w:color="000000"/>
              <w:right w:val="single" w:sz="8" w:space="0" w:color="000000"/>
            </w:tcBorders>
            <w:vAlign w:val="center"/>
          </w:tcPr>
          <w:p w14:paraId="1CEE138C" w14:textId="77777777" w:rsidR="00232836" w:rsidRDefault="002E3C2E">
            <w:pPr>
              <w:widowControl w:val="0"/>
              <w:spacing w:after="0"/>
              <w:ind w:left="8" w:right="0" w:firstLine="0"/>
              <w:jc w:val="left"/>
            </w:pPr>
            <w:r>
              <w:rPr>
                <w:sz w:val="20"/>
              </w:rPr>
              <w:t>1.0025</w:t>
            </w:r>
          </w:p>
        </w:tc>
        <w:tc>
          <w:tcPr>
            <w:tcW w:w="1920" w:type="dxa"/>
            <w:tcBorders>
              <w:top w:val="single" w:sz="8" w:space="0" w:color="000000"/>
              <w:left w:val="single" w:sz="8" w:space="0" w:color="000000"/>
              <w:bottom w:val="single" w:sz="8" w:space="0" w:color="000000"/>
              <w:right w:val="single" w:sz="8" w:space="0" w:color="000000"/>
            </w:tcBorders>
            <w:vAlign w:val="center"/>
          </w:tcPr>
          <w:p w14:paraId="7470B434" w14:textId="77777777" w:rsidR="00232836" w:rsidRDefault="002E3C2E">
            <w:pPr>
              <w:widowControl w:val="0"/>
              <w:spacing w:after="0"/>
              <w:ind w:left="8" w:right="0" w:firstLine="0"/>
              <w:jc w:val="left"/>
            </w:pPr>
            <w:r>
              <w:rPr>
                <w:sz w:val="20"/>
              </w:rPr>
              <w:t>28235</w:t>
            </w:r>
          </w:p>
        </w:tc>
      </w:tr>
      <w:tr w:rsidR="00232836" w14:paraId="6927D3E3"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72F6B67F" w14:textId="77777777" w:rsidR="00232836" w:rsidRDefault="002E3C2E">
            <w:pPr>
              <w:widowControl w:val="0"/>
              <w:spacing w:after="0"/>
              <w:ind w:left="8" w:right="0" w:firstLine="0"/>
              <w:jc w:val="left"/>
            </w:pPr>
            <w:r>
              <w:rPr>
                <w:i/>
                <w:sz w:val="20"/>
              </w:rPr>
              <w:t>r</w:t>
            </w:r>
            <w:r>
              <w:rPr>
                <w:i/>
                <w:sz w:val="12"/>
              </w:rPr>
              <w:t>2,II</w:t>
            </w:r>
          </w:p>
        </w:tc>
        <w:tc>
          <w:tcPr>
            <w:tcW w:w="1920" w:type="dxa"/>
            <w:tcBorders>
              <w:top w:val="single" w:sz="8" w:space="0" w:color="000000"/>
              <w:left w:val="single" w:sz="8" w:space="0" w:color="000000"/>
              <w:bottom w:val="single" w:sz="8" w:space="0" w:color="000000"/>
              <w:right w:val="single" w:sz="8" w:space="0" w:color="000000"/>
            </w:tcBorders>
            <w:vAlign w:val="center"/>
          </w:tcPr>
          <w:p w14:paraId="7DC4298F" w14:textId="77777777" w:rsidR="00232836" w:rsidRDefault="002E3C2E">
            <w:pPr>
              <w:widowControl w:val="0"/>
              <w:spacing w:after="0"/>
              <w:ind w:left="8" w:right="0" w:firstLine="0"/>
              <w:jc w:val="left"/>
            </w:pPr>
            <w:r>
              <w:rPr>
                <w:sz w:val="20"/>
              </w:rPr>
              <w:t>0.339</w:t>
            </w:r>
          </w:p>
        </w:tc>
        <w:tc>
          <w:tcPr>
            <w:tcW w:w="1920" w:type="dxa"/>
            <w:tcBorders>
              <w:top w:val="single" w:sz="8" w:space="0" w:color="000000"/>
              <w:left w:val="single" w:sz="8" w:space="0" w:color="000000"/>
              <w:bottom w:val="single" w:sz="8" w:space="0" w:color="000000"/>
              <w:right w:val="single" w:sz="8" w:space="0" w:color="000000"/>
            </w:tcBorders>
            <w:vAlign w:val="center"/>
          </w:tcPr>
          <w:p w14:paraId="697B43DD" w14:textId="77777777" w:rsidR="00232836" w:rsidRDefault="002E3C2E">
            <w:pPr>
              <w:widowControl w:val="0"/>
              <w:spacing w:after="0"/>
              <w:ind w:left="8" w:right="0" w:firstLine="0"/>
              <w:jc w:val="left"/>
            </w:pPr>
            <w:r>
              <w:rPr>
                <w:sz w:val="20"/>
              </w:rPr>
              <w:t>0.212 ~ 0.466</w:t>
            </w:r>
          </w:p>
        </w:tc>
        <w:tc>
          <w:tcPr>
            <w:tcW w:w="1920" w:type="dxa"/>
            <w:tcBorders>
              <w:top w:val="single" w:sz="8" w:space="0" w:color="000000"/>
              <w:left w:val="single" w:sz="8" w:space="0" w:color="000000"/>
              <w:bottom w:val="single" w:sz="8" w:space="0" w:color="000000"/>
              <w:right w:val="single" w:sz="8" w:space="0" w:color="000000"/>
            </w:tcBorders>
            <w:vAlign w:val="center"/>
          </w:tcPr>
          <w:p w14:paraId="38E76B4C" w14:textId="77777777" w:rsidR="00232836" w:rsidRDefault="002E3C2E">
            <w:pPr>
              <w:widowControl w:val="0"/>
              <w:spacing w:after="0"/>
              <w:ind w:left="8" w:right="0" w:firstLine="0"/>
              <w:jc w:val="left"/>
            </w:pPr>
            <w:r>
              <w:rPr>
                <w:sz w:val="20"/>
              </w:rPr>
              <w:t>1.0083</w:t>
            </w:r>
          </w:p>
        </w:tc>
        <w:tc>
          <w:tcPr>
            <w:tcW w:w="1920" w:type="dxa"/>
            <w:tcBorders>
              <w:top w:val="single" w:sz="8" w:space="0" w:color="000000"/>
              <w:left w:val="single" w:sz="8" w:space="0" w:color="000000"/>
              <w:bottom w:val="single" w:sz="8" w:space="0" w:color="000000"/>
              <w:right w:val="single" w:sz="8" w:space="0" w:color="000000"/>
            </w:tcBorders>
            <w:vAlign w:val="center"/>
          </w:tcPr>
          <w:p w14:paraId="210C1FAC" w14:textId="77777777" w:rsidR="00232836" w:rsidRDefault="002E3C2E">
            <w:pPr>
              <w:widowControl w:val="0"/>
              <w:spacing w:after="0"/>
              <w:ind w:left="8" w:right="0" w:firstLine="0"/>
              <w:jc w:val="left"/>
            </w:pPr>
            <w:r>
              <w:rPr>
                <w:sz w:val="20"/>
              </w:rPr>
              <w:t>20243</w:t>
            </w:r>
          </w:p>
        </w:tc>
      </w:tr>
      <w:tr w:rsidR="00232836" w14:paraId="0CD80B89"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37F89377" w14:textId="77777777" w:rsidR="00232836" w:rsidRDefault="002E3C2E">
            <w:pPr>
              <w:widowControl w:val="0"/>
              <w:spacing w:after="0"/>
              <w:ind w:left="8" w:right="0" w:firstLine="0"/>
              <w:jc w:val="left"/>
            </w:pPr>
            <w:r>
              <w:rPr>
                <w:i/>
                <w:sz w:val="20"/>
              </w:rPr>
              <w:t>r</w:t>
            </w:r>
            <w:r>
              <w:rPr>
                <w:i/>
                <w:sz w:val="12"/>
              </w:rPr>
              <w:t>2,III</w:t>
            </w:r>
          </w:p>
        </w:tc>
        <w:tc>
          <w:tcPr>
            <w:tcW w:w="1920" w:type="dxa"/>
            <w:tcBorders>
              <w:top w:val="single" w:sz="8" w:space="0" w:color="000000"/>
              <w:left w:val="single" w:sz="8" w:space="0" w:color="000000"/>
              <w:bottom w:val="single" w:sz="8" w:space="0" w:color="000000"/>
              <w:right w:val="single" w:sz="8" w:space="0" w:color="000000"/>
            </w:tcBorders>
            <w:vAlign w:val="center"/>
          </w:tcPr>
          <w:p w14:paraId="563E1A90" w14:textId="77777777" w:rsidR="00232836" w:rsidRDefault="002E3C2E">
            <w:pPr>
              <w:widowControl w:val="0"/>
              <w:spacing w:after="0"/>
              <w:ind w:left="8" w:right="0" w:firstLine="0"/>
              <w:jc w:val="left"/>
            </w:pPr>
            <w:r>
              <w:rPr>
                <w:sz w:val="20"/>
              </w:rPr>
              <w:t>0.028</w:t>
            </w:r>
          </w:p>
        </w:tc>
        <w:tc>
          <w:tcPr>
            <w:tcW w:w="1920" w:type="dxa"/>
            <w:tcBorders>
              <w:top w:val="single" w:sz="8" w:space="0" w:color="000000"/>
              <w:left w:val="single" w:sz="8" w:space="0" w:color="000000"/>
              <w:bottom w:val="single" w:sz="8" w:space="0" w:color="000000"/>
              <w:right w:val="single" w:sz="8" w:space="0" w:color="000000"/>
            </w:tcBorders>
            <w:vAlign w:val="center"/>
          </w:tcPr>
          <w:p w14:paraId="278DFA74" w14:textId="77777777" w:rsidR="00232836" w:rsidRDefault="002E3C2E">
            <w:pPr>
              <w:widowControl w:val="0"/>
              <w:spacing w:after="0"/>
              <w:ind w:left="8" w:right="0" w:firstLine="0"/>
              <w:jc w:val="left"/>
            </w:pPr>
            <w:r>
              <w:rPr>
                <w:sz w:val="20"/>
              </w:rPr>
              <w:t>-0.097 ~ 0.152</w:t>
            </w:r>
          </w:p>
        </w:tc>
        <w:tc>
          <w:tcPr>
            <w:tcW w:w="1920" w:type="dxa"/>
            <w:tcBorders>
              <w:top w:val="single" w:sz="8" w:space="0" w:color="000000"/>
              <w:left w:val="single" w:sz="8" w:space="0" w:color="000000"/>
              <w:bottom w:val="single" w:sz="8" w:space="0" w:color="000000"/>
              <w:right w:val="single" w:sz="8" w:space="0" w:color="000000"/>
            </w:tcBorders>
            <w:vAlign w:val="center"/>
          </w:tcPr>
          <w:p w14:paraId="0CCDFC73" w14:textId="77777777" w:rsidR="00232836" w:rsidRDefault="002E3C2E">
            <w:pPr>
              <w:widowControl w:val="0"/>
              <w:spacing w:after="0"/>
              <w:ind w:left="8" w:right="0" w:firstLine="0"/>
              <w:jc w:val="left"/>
            </w:pPr>
            <w:r>
              <w:rPr>
                <w:sz w:val="20"/>
              </w:rPr>
              <w:t>1.0051</w:t>
            </w:r>
          </w:p>
        </w:tc>
        <w:tc>
          <w:tcPr>
            <w:tcW w:w="1920" w:type="dxa"/>
            <w:tcBorders>
              <w:top w:val="single" w:sz="8" w:space="0" w:color="000000"/>
              <w:left w:val="single" w:sz="8" w:space="0" w:color="000000"/>
              <w:bottom w:val="single" w:sz="8" w:space="0" w:color="000000"/>
              <w:right w:val="single" w:sz="8" w:space="0" w:color="000000"/>
            </w:tcBorders>
            <w:vAlign w:val="center"/>
          </w:tcPr>
          <w:p w14:paraId="555A861E" w14:textId="77777777" w:rsidR="00232836" w:rsidRDefault="002E3C2E">
            <w:pPr>
              <w:widowControl w:val="0"/>
              <w:spacing w:after="0"/>
              <w:ind w:left="8" w:right="0" w:firstLine="0"/>
              <w:jc w:val="left"/>
            </w:pPr>
            <w:r>
              <w:rPr>
                <w:sz w:val="20"/>
              </w:rPr>
              <w:t>19268</w:t>
            </w:r>
          </w:p>
        </w:tc>
      </w:tr>
      <w:tr w:rsidR="00232836" w14:paraId="53C64A96"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573F4A0E" w14:textId="77777777" w:rsidR="00232836" w:rsidRDefault="002E3C2E">
            <w:pPr>
              <w:widowControl w:val="0"/>
              <w:spacing w:after="0"/>
              <w:ind w:left="8" w:right="0" w:firstLine="0"/>
              <w:jc w:val="left"/>
            </w:pPr>
            <w:r>
              <w:rPr>
                <w:i/>
                <w:sz w:val="20"/>
              </w:rPr>
              <w:t>r</w:t>
            </w:r>
            <w:r>
              <w:rPr>
                <w:i/>
                <w:sz w:val="12"/>
              </w:rPr>
              <w:t>2,IV</w:t>
            </w:r>
          </w:p>
        </w:tc>
        <w:tc>
          <w:tcPr>
            <w:tcW w:w="1920" w:type="dxa"/>
            <w:tcBorders>
              <w:top w:val="single" w:sz="8" w:space="0" w:color="000000"/>
              <w:left w:val="single" w:sz="8" w:space="0" w:color="000000"/>
              <w:bottom w:val="single" w:sz="8" w:space="0" w:color="000000"/>
              <w:right w:val="single" w:sz="8" w:space="0" w:color="000000"/>
            </w:tcBorders>
            <w:vAlign w:val="center"/>
          </w:tcPr>
          <w:p w14:paraId="3208D946" w14:textId="77777777" w:rsidR="00232836" w:rsidRDefault="002E3C2E">
            <w:pPr>
              <w:widowControl w:val="0"/>
              <w:spacing w:after="0"/>
              <w:ind w:left="8" w:right="0" w:firstLine="0"/>
              <w:jc w:val="left"/>
            </w:pPr>
            <w:r>
              <w:rPr>
                <w:sz w:val="20"/>
              </w:rPr>
              <w:t>0.109</w:t>
            </w:r>
          </w:p>
        </w:tc>
        <w:tc>
          <w:tcPr>
            <w:tcW w:w="1920" w:type="dxa"/>
            <w:tcBorders>
              <w:top w:val="single" w:sz="8" w:space="0" w:color="000000"/>
              <w:left w:val="single" w:sz="8" w:space="0" w:color="000000"/>
              <w:bottom w:val="single" w:sz="8" w:space="0" w:color="000000"/>
              <w:right w:val="single" w:sz="8" w:space="0" w:color="000000"/>
            </w:tcBorders>
            <w:vAlign w:val="center"/>
          </w:tcPr>
          <w:p w14:paraId="18841245" w14:textId="77777777" w:rsidR="00232836" w:rsidRDefault="002E3C2E">
            <w:pPr>
              <w:widowControl w:val="0"/>
              <w:spacing w:after="0"/>
              <w:ind w:left="8" w:right="0" w:firstLine="0"/>
              <w:jc w:val="left"/>
            </w:pPr>
            <w:r>
              <w:rPr>
                <w:sz w:val="20"/>
              </w:rPr>
              <w:t>0.002 ~ 0.219</w:t>
            </w:r>
          </w:p>
        </w:tc>
        <w:tc>
          <w:tcPr>
            <w:tcW w:w="1920" w:type="dxa"/>
            <w:tcBorders>
              <w:top w:val="single" w:sz="8" w:space="0" w:color="000000"/>
              <w:left w:val="single" w:sz="8" w:space="0" w:color="000000"/>
              <w:bottom w:val="single" w:sz="8" w:space="0" w:color="000000"/>
              <w:right w:val="single" w:sz="8" w:space="0" w:color="000000"/>
            </w:tcBorders>
            <w:vAlign w:val="center"/>
          </w:tcPr>
          <w:p w14:paraId="1DBDB19E" w14:textId="77777777" w:rsidR="00232836" w:rsidRDefault="002E3C2E">
            <w:pPr>
              <w:widowControl w:val="0"/>
              <w:spacing w:after="0"/>
              <w:ind w:left="8" w:right="0" w:firstLine="0"/>
              <w:jc w:val="left"/>
            </w:pPr>
            <w:r>
              <w:rPr>
                <w:sz w:val="20"/>
              </w:rPr>
              <w:t>1.001</w:t>
            </w:r>
          </w:p>
        </w:tc>
        <w:tc>
          <w:tcPr>
            <w:tcW w:w="1920" w:type="dxa"/>
            <w:tcBorders>
              <w:top w:val="single" w:sz="8" w:space="0" w:color="000000"/>
              <w:left w:val="single" w:sz="8" w:space="0" w:color="000000"/>
              <w:bottom w:val="single" w:sz="8" w:space="0" w:color="000000"/>
              <w:right w:val="single" w:sz="8" w:space="0" w:color="000000"/>
            </w:tcBorders>
            <w:vAlign w:val="center"/>
          </w:tcPr>
          <w:p w14:paraId="1153B7FE" w14:textId="77777777" w:rsidR="00232836" w:rsidRDefault="002E3C2E">
            <w:pPr>
              <w:widowControl w:val="0"/>
              <w:spacing w:after="0"/>
              <w:ind w:left="8" w:right="0" w:firstLine="0"/>
              <w:jc w:val="left"/>
            </w:pPr>
            <w:r>
              <w:rPr>
                <w:sz w:val="20"/>
              </w:rPr>
              <w:t>28005</w:t>
            </w:r>
          </w:p>
        </w:tc>
      </w:tr>
      <w:tr w:rsidR="00232836" w14:paraId="0106119B"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792848FC" w14:textId="77777777" w:rsidR="00232836" w:rsidRDefault="002E3C2E">
            <w:pPr>
              <w:widowControl w:val="0"/>
              <w:spacing w:after="0"/>
              <w:ind w:left="8" w:right="0" w:firstLine="0"/>
              <w:jc w:val="left"/>
            </w:pPr>
            <w:r>
              <w:rPr>
                <w:i/>
                <w:sz w:val="20"/>
              </w:rPr>
              <w:t>r</w:t>
            </w:r>
            <w:r>
              <w:rPr>
                <w:i/>
                <w:sz w:val="12"/>
              </w:rPr>
              <w:t>2,V</w:t>
            </w:r>
          </w:p>
        </w:tc>
        <w:tc>
          <w:tcPr>
            <w:tcW w:w="1920" w:type="dxa"/>
            <w:tcBorders>
              <w:top w:val="single" w:sz="8" w:space="0" w:color="000000"/>
              <w:left w:val="single" w:sz="8" w:space="0" w:color="000000"/>
              <w:bottom w:val="single" w:sz="8" w:space="0" w:color="000000"/>
              <w:right w:val="single" w:sz="8" w:space="0" w:color="000000"/>
            </w:tcBorders>
            <w:vAlign w:val="center"/>
          </w:tcPr>
          <w:p w14:paraId="1984EC5A" w14:textId="77777777" w:rsidR="00232836" w:rsidRDefault="002E3C2E">
            <w:pPr>
              <w:widowControl w:val="0"/>
              <w:spacing w:after="0"/>
              <w:ind w:left="8" w:right="0" w:firstLine="0"/>
              <w:jc w:val="left"/>
            </w:pPr>
            <w:r>
              <w:rPr>
                <w:sz w:val="20"/>
              </w:rPr>
              <w:t>0.082</w:t>
            </w:r>
          </w:p>
        </w:tc>
        <w:tc>
          <w:tcPr>
            <w:tcW w:w="1920" w:type="dxa"/>
            <w:tcBorders>
              <w:top w:val="single" w:sz="8" w:space="0" w:color="000000"/>
              <w:left w:val="single" w:sz="8" w:space="0" w:color="000000"/>
              <w:bottom w:val="single" w:sz="8" w:space="0" w:color="000000"/>
              <w:right w:val="single" w:sz="8" w:space="0" w:color="000000"/>
            </w:tcBorders>
            <w:vAlign w:val="center"/>
          </w:tcPr>
          <w:p w14:paraId="1B6BF577" w14:textId="77777777" w:rsidR="00232836" w:rsidRDefault="002E3C2E">
            <w:pPr>
              <w:widowControl w:val="0"/>
              <w:spacing w:after="0"/>
              <w:ind w:left="8" w:right="0" w:firstLine="0"/>
              <w:jc w:val="left"/>
            </w:pPr>
            <w:r>
              <w:rPr>
                <w:sz w:val="20"/>
              </w:rPr>
              <w:t>0.006 ~ 0.156</w:t>
            </w:r>
          </w:p>
        </w:tc>
        <w:tc>
          <w:tcPr>
            <w:tcW w:w="1920" w:type="dxa"/>
            <w:tcBorders>
              <w:top w:val="single" w:sz="8" w:space="0" w:color="000000"/>
              <w:left w:val="single" w:sz="8" w:space="0" w:color="000000"/>
              <w:bottom w:val="single" w:sz="8" w:space="0" w:color="000000"/>
              <w:right w:val="single" w:sz="8" w:space="0" w:color="000000"/>
            </w:tcBorders>
            <w:vAlign w:val="center"/>
          </w:tcPr>
          <w:p w14:paraId="17B4959F" w14:textId="77777777" w:rsidR="00232836" w:rsidRDefault="002E3C2E">
            <w:pPr>
              <w:widowControl w:val="0"/>
              <w:spacing w:after="0"/>
              <w:ind w:left="8" w:right="0" w:firstLine="0"/>
              <w:jc w:val="left"/>
            </w:pPr>
            <w:r>
              <w:rPr>
                <w:sz w:val="20"/>
              </w:rPr>
              <w:t>1.0012</w:t>
            </w:r>
          </w:p>
        </w:tc>
        <w:tc>
          <w:tcPr>
            <w:tcW w:w="1920" w:type="dxa"/>
            <w:tcBorders>
              <w:top w:val="single" w:sz="8" w:space="0" w:color="000000"/>
              <w:left w:val="single" w:sz="8" w:space="0" w:color="000000"/>
              <w:bottom w:val="single" w:sz="8" w:space="0" w:color="000000"/>
              <w:right w:val="single" w:sz="8" w:space="0" w:color="000000"/>
            </w:tcBorders>
            <w:vAlign w:val="center"/>
          </w:tcPr>
          <w:p w14:paraId="05DCC1DE" w14:textId="77777777" w:rsidR="00232836" w:rsidRDefault="002E3C2E">
            <w:pPr>
              <w:widowControl w:val="0"/>
              <w:spacing w:after="0"/>
              <w:ind w:left="8" w:right="0" w:firstLine="0"/>
              <w:jc w:val="left"/>
            </w:pPr>
            <w:r>
              <w:rPr>
                <w:sz w:val="20"/>
              </w:rPr>
              <w:t>24205</w:t>
            </w:r>
          </w:p>
        </w:tc>
      </w:tr>
      <w:tr w:rsidR="00232836" w14:paraId="1001C023"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60DE2460" w14:textId="77777777" w:rsidR="00232836" w:rsidRDefault="002E3C2E">
            <w:pPr>
              <w:widowControl w:val="0"/>
              <w:spacing w:after="0"/>
              <w:ind w:left="8" w:right="0" w:firstLine="0"/>
              <w:jc w:val="left"/>
            </w:pPr>
            <w:r>
              <w:rPr>
                <w:i/>
                <w:sz w:val="20"/>
              </w:rPr>
              <w:t>r</w:t>
            </w:r>
            <w:r>
              <w:rPr>
                <w:i/>
                <w:sz w:val="12"/>
              </w:rPr>
              <w:t>2,VI</w:t>
            </w:r>
          </w:p>
        </w:tc>
        <w:tc>
          <w:tcPr>
            <w:tcW w:w="1920" w:type="dxa"/>
            <w:tcBorders>
              <w:top w:val="single" w:sz="8" w:space="0" w:color="000000"/>
              <w:left w:val="single" w:sz="8" w:space="0" w:color="000000"/>
              <w:bottom w:val="single" w:sz="8" w:space="0" w:color="000000"/>
              <w:right w:val="single" w:sz="8" w:space="0" w:color="000000"/>
            </w:tcBorders>
            <w:vAlign w:val="center"/>
          </w:tcPr>
          <w:p w14:paraId="45265224" w14:textId="77777777" w:rsidR="00232836" w:rsidRDefault="002E3C2E">
            <w:pPr>
              <w:widowControl w:val="0"/>
              <w:spacing w:after="0"/>
              <w:ind w:left="8" w:right="0" w:firstLine="0"/>
              <w:jc w:val="left"/>
            </w:pPr>
            <w:r>
              <w:rPr>
                <w:sz w:val="20"/>
              </w:rPr>
              <w:t>0.244</w:t>
            </w:r>
          </w:p>
        </w:tc>
        <w:tc>
          <w:tcPr>
            <w:tcW w:w="1920" w:type="dxa"/>
            <w:tcBorders>
              <w:top w:val="single" w:sz="8" w:space="0" w:color="000000"/>
              <w:left w:val="single" w:sz="8" w:space="0" w:color="000000"/>
              <w:bottom w:val="single" w:sz="8" w:space="0" w:color="000000"/>
              <w:right w:val="single" w:sz="8" w:space="0" w:color="000000"/>
            </w:tcBorders>
            <w:vAlign w:val="center"/>
          </w:tcPr>
          <w:p w14:paraId="6A29F728" w14:textId="77777777" w:rsidR="00232836" w:rsidRDefault="002E3C2E">
            <w:pPr>
              <w:widowControl w:val="0"/>
              <w:spacing w:after="0"/>
              <w:ind w:left="8" w:right="0" w:firstLine="0"/>
              <w:jc w:val="left"/>
            </w:pPr>
            <w:r>
              <w:rPr>
                <w:sz w:val="20"/>
              </w:rPr>
              <w:t>0.125 ~ 0.356</w:t>
            </w:r>
          </w:p>
        </w:tc>
        <w:tc>
          <w:tcPr>
            <w:tcW w:w="1920" w:type="dxa"/>
            <w:tcBorders>
              <w:top w:val="single" w:sz="8" w:space="0" w:color="000000"/>
              <w:left w:val="single" w:sz="8" w:space="0" w:color="000000"/>
              <w:bottom w:val="single" w:sz="8" w:space="0" w:color="000000"/>
              <w:right w:val="single" w:sz="8" w:space="0" w:color="000000"/>
            </w:tcBorders>
            <w:vAlign w:val="center"/>
          </w:tcPr>
          <w:p w14:paraId="66FBAFB1" w14:textId="77777777" w:rsidR="00232836" w:rsidRDefault="002E3C2E">
            <w:pPr>
              <w:widowControl w:val="0"/>
              <w:spacing w:after="0"/>
              <w:ind w:left="8" w:right="0" w:firstLine="0"/>
              <w:jc w:val="left"/>
            </w:pPr>
            <w:r>
              <w:rPr>
                <w:sz w:val="20"/>
              </w:rPr>
              <w:t>1</w:t>
            </w:r>
          </w:p>
        </w:tc>
        <w:tc>
          <w:tcPr>
            <w:tcW w:w="1920" w:type="dxa"/>
            <w:tcBorders>
              <w:top w:val="single" w:sz="8" w:space="0" w:color="000000"/>
              <w:left w:val="single" w:sz="8" w:space="0" w:color="000000"/>
              <w:bottom w:val="single" w:sz="8" w:space="0" w:color="000000"/>
              <w:right w:val="single" w:sz="8" w:space="0" w:color="000000"/>
            </w:tcBorders>
            <w:vAlign w:val="center"/>
          </w:tcPr>
          <w:p w14:paraId="6090044C" w14:textId="77777777" w:rsidR="00232836" w:rsidRDefault="002E3C2E">
            <w:pPr>
              <w:widowControl w:val="0"/>
              <w:spacing w:after="0"/>
              <w:ind w:left="8" w:right="0" w:firstLine="0"/>
              <w:jc w:val="left"/>
            </w:pPr>
            <w:r>
              <w:rPr>
                <w:sz w:val="20"/>
              </w:rPr>
              <w:t>18548</w:t>
            </w:r>
          </w:p>
        </w:tc>
      </w:tr>
      <w:tr w:rsidR="00232836" w14:paraId="2CCCEAC0"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2E34C11A" w14:textId="77777777" w:rsidR="00232836" w:rsidRDefault="002E3C2E">
            <w:pPr>
              <w:widowControl w:val="0"/>
              <w:spacing w:after="0"/>
              <w:ind w:left="8" w:right="0" w:firstLine="0"/>
              <w:jc w:val="left"/>
            </w:pPr>
            <w:r>
              <w:rPr>
                <w:i/>
                <w:sz w:val="20"/>
              </w:rPr>
              <w:t>r</w:t>
            </w:r>
            <w:r>
              <w:rPr>
                <w:i/>
                <w:sz w:val="12"/>
              </w:rPr>
              <w:t>2,VII</w:t>
            </w:r>
          </w:p>
        </w:tc>
        <w:tc>
          <w:tcPr>
            <w:tcW w:w="1920" w:type="dxa"/>
            <w:tcBorders>
              <w:top w:val="single" w:sz="8" w:space="0" w:color="000000"/>
              <w:left w:val="single" w:sz="8" w:space="0" w:color="000000"/>
              <w:bottom w:val="single" w:sz="8" w:space="0" w:color="000000"/>
              <w:right w:val="single" w:sz="8" w:space="0" w:color="000000"/>
            </w:tcBorders>
            <w:vAlign w:val="center"/>
          </w:tcPr>
          <w:p w14:paraId="38E0D9BD" w14:textId="77777777" w:rsidR="00232836" w:rsidRDefault="002E3C2E">
            <w:pPr>
              <w:widowControl w:val="0"/>
              <w:spacing w:after="0"/>
              <w:ind w:left="8" w:right="0" w:firstLine="0"/>
              <w:jc w:val="left"/>
            </w:pPr>
            <w:r>
              <w:rPr>
                <w:sz w:val="20"/>
              </w:rPr>
              <w:t>-0.003</w:t>
            </w:r>
          </w:p>
        </w:tc>
        <w:tc>
          <w:tcPr>
            <w:tcW w:w="1920" w:type="dxa"/>
            <w:tcBorders>
              <w:top w:val="single" w:sz="8" w:space="0" w:color="000000"/>
              <w:left w:val="single" w:sz="8" w:space="0" w:color="000000"/>
              <w:bottom w:val="single" w:sz="8" w:space="0" w:color="000000"/>
              <w:right w:val="single" w:sz="8" w:space="0" w:color="000000"/>
            </w:tcBorders>
            <w:vAlign w:val="center"/>
          </w:tcPr>
          <w:p w14:paraId="250DF297" w14:textId="77777777" w:rsidR="00232836" w:rsidRDefault="002E3C2E">
            <w:pPr>
              <w:widowControl w:val="0"/>
              <w:spacing w:after="0"/>
              <w:ind w:left="8" w:right="0" w:firstLine="0"/>
              <w:jc w:val="left"/>
            </w:pPr>
            <w:r>
              <w:rPr>
                <w:sz w:val="20"/>
              </w:rPr>
              <w:t>-0.115 ~ 0.111</w:t>
            </w:r>
          </w:p>
        </w:tc>
        <w:tc>
          <w:tcPr>
            <w:tcW w:w="1920" w:type="dxa"/>
            <w:tcBorders>
              <w:top w:val="single" w:sz="8" w:space="0" w:color="000000"/>
              <w:left w:val="single" w:sz="8" w:space="0" w:color="000000"/>
              <w:bottom w:val="single" w:sz="8" w:space="0" w:color="000000"/>
              <w:right w:val="single" w:sz="8" w:space="0" w:color="000000"/>
            </w:tcBorders>
            <w:vAlign w:val="center"/>
          </w:tcPr>
          <w:p w14:paraId="232056E9" w14:textId="77777777" w:rsidR="00232836" w:rsidRDefault="002E3C2E">
            <w:pPr>
              <w:widowControl w:val="0"/>
              <w:spacing w:after="0"/>
              <w:ind w:left="8" w:right="0" w:firstLine="0"/>
              <w:jc w:val="left"/>
            </w:pPr>
            <w:r>
              <w:rPr>
                <w:sz w:val="20"/>
              </w:rPr>
              <w:t>1.0002</w:t>
            </w:r>
          </w:p>
        </w:tc>
        <w:tc>
          <w:tcPr>
            <w:tcW w:w="1920" w:type="dxa"/>
            <w:tcBorders>
              <w:top w:val="single" w:sz="8" w:space="0" w:color="000000"/>
              <w:left w:val="single" w:sz="8" w:space="0" w:color="000000"/>
              <w:bottom w:val="single" w:sz="8" w:space="0" w:color="000000"/>
              <w:right w:val="single" w:sz="8" w:space="0" w:color="000000"/>
            </w:tcBorders>
            <w:vAlign w:val="center"/>
          </w:tcPr>
          <w:p w14:paraId="2AB2EA22" w14:textId="77777777" w:rsidR="00232836" w:rsidRDefault="002E3C2E">
            <w:pPr>
              <w:widowControl w:val="0"/>
              <w:spacing w:after="0"/>
              <w:ind w:left="8" w:right="0" w:firstLine="0"/>
              <w:jc w:val="left"/>
            </w:pPr>
            <w:r>
              <w:rPr>
                <w:sz w:val="20"/>
              </w:rPr>
              <w:t>18493</w:t>
            </w:r>
          </w:p>
        </w:tc>
      </w:tr>
      <w:tr w:rsidR="00232836" w14:paraId="677D1D91"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4C569DC4" w14:textId="77777777" w:rsidR="00232836" w:rsidRDefault="002E3C2E">
            <w:pPr>
              <w:widowControl w:val="0"/>
              <w:spacing w:after="0"/>
              <w:ind w:left="8" w:right="0" w:firstLine="0"/>
              <w:jc w:val="left"/>
            </w:pPr>
            <w:r>
              <w:rPr>
                <w:i/>
                <w:sz w:val="20"/>
              </w:rPr>
              <w:t>r</w:t>
            </w:r>
            <w:r>
              <w:rPr>
                <w:i/>
                <w:sz w:val="12"/>
              </w:rPr>
              <w:t>2,VIII</w:t>
            </w:r>
          </w:p>
        </w:tc>
        <w:tc>
          <w:tcPr>
            <w:tcW w:w="1920" w:type="dxa"/>
            <w:tcBorders>
              <w:top w:val="single" w:sz="8" w:space="0" w:color="000000"/>
              <w:left w:val="single" w:sz="8" w:space="0" w:color="000000"/>
              <w:bottom w:val="single" w:sz="8" w:space="0" w:color="000000"/>
              <w:right w:val="single" w:sz="8" w:space="0" w:color="000000"/>
            </w:tcBorders>
            <w:vAlign w:val="center"/>
          </w:tcPr>
          <w:p w14:paraId="31EF5620" w14:textId="77777777" w:rsidR="00232836" w:rsidRDefault="002E3C2E">
            <w:pPr>
              <w:widowControl w:val="0"/>
              <w:spacing w:after="0"/>
              <w:ind w:left="8" w:right="0" w:firstLine="0"/>
              <w:jc w:val="left"/>
            </w:pPr>
            <w:r>
              <w:rPr>
                <w:sz w:val="20"/>
              </w:rPr>
              <w:t>-0.018</w:t>
            </w:r>
          </w:p>
        </w:tc>
        <w:tc>
          <w:tcPr>
            <w:tcW w:w="1920" w:type="dxa"/>
            <w:tcBorders>
              <w:top w:val="single" w:sz="8" w:space="0" w:color="000000"/>
              <w:left w:val="single" w:sz="8" w:space="0" w:color="000000"/>
              <w:bottom w:val="single" w:sz="8" w:space="0" w:color="000000"/>
              <w:right w:val="single" w:sz="8" w:space="0" w:color="000000"/>
            </w:tcBorders>
            <w:vAlign w:val="center"/>
          </w:tcPr>
          <w:p w14:paraId="45C7CF02" w14:textId="77777777" w:rsidR="00232836" w:rsidRDefault="002E3C2E">
            <w:pPr>
              <w:widowControl w:val="0"/>
              <w:spacing w:after="0"/>
              <w:ind w:left="8" w:right="0" w:firstLine="0"/>
              <w:jc w:val="left"/>
            </w:pPr>
            <w:r>
              <w:rPr>
                <w:sz w:val="20"/>
              </w:rPr>
              <w:t>-0.185 ~ 0.147</w:t>
            </w:r>
          </w:p>
        </w:tc>
        <w:tc>
          <w:tcPr>
            <w:tcW w:w="1920" w:type="dxa"/>
            <w:tcBorders>
              <w:top w:val="single" w:sz="8" w:space="0" w:color="000000"/>
              <w:left w:val="single" w:sz="8" w:space="0" w:color="000000"/>
              <w:bottom w:val="single" w:sz="8" w:space="0" w:color="000000"/>
              <w:right w:val="single" w:sz="8" w:space="0" w:color="000000"/>
            </w:tcBorders>
            <w:vAlign w:val="center"/>
          </w:tcPr>
          <w:p w14:paraId="1D5D6136" w14:textId="77777777" w:rsidR="00232836" w:rsidRDefault="002E3C2E">
            <w:pPr>
              <w:widowControl w:val="0"/>
              <w:spacing w:after="0"/>
              <w:ind w:left="8" w:right="0" w:firstLine="0"/>
              <w:jc w:val="left"/>
            </w:pPr>
            <w:r>
              <w:rPr>
                <w:sz w:val="20"/>
              </w:rPr>
              <w:t>1.0007</w:t>
            </w:r>
          </w:p>
        </w:tc>
        <w:tc>
          <w:tcPr>
            <w:tcW w:w="1920" w:type="dxa"/>
            <w:tcBorders>
              <w:top w:val="single" w:sz="8" w:space="0" w:color="000000"/>
              <w:left w:val="single" w:sz="8" w:space="0" w:color="000000"/>
              <w:bottom w:val="single" w:sz="8" w:space="0" w:color="000000"/>
              <w:right w:val="single" w:sz="8" w:space="0" w:color="000000"/>
            </w:tcBorders>
            <w:vAlign w:val="center"/>
          </w:tcPr>
          <w:p w14:paraId="22671429" w14:textId="77777777" w:rsidR="00232836" w:rsidRDefault="002E3C2E">
            <w:pPr>
              <w:widowControl w:val="0"/>
              <w:spacing w:after="0"/>
              <w:ind w:left="8" w:right="0" w:firstLine="0"/>
              <w:jc w:val="left"/>
            </w:pPr>
            <w:r>
              <w:rPr>
                <w:sz w:val="20"/>
              </w:rPr>
              <w:t>31334</w:t>
            </w:r>
          </w:p>
        </w:tc>
      </w:tr>
      <w:tr w:rsidR="00232836" w14:paraId="10BF0000"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center"/>
          </w:tcPr>
          <w:p w14:paraId="45E4381D" w14:textId="77777777" w:rsidR="00232836" w:rsidRDefault="002E3C2E">
            <w:pPr>
              <w:widowControl w:val="0"/>
              <w:spacing w:after="0"/>
              <w:ind w:left="8" w:right="0" w:firstLine="0"/>
              <w:jc w:val="left"/>
            </w:pPr>
            <w:r>
              <w:rPr>
                <w:rFonts w:ascii="Calibri" w:eastAsia="Calibri" w:hAnsi="Calibri" w:cs="Calibri"/>
                <w:sz w:val="20"/>
              </w:rPr>
              <w:t>𝜏</w:t>
            </w:r>
            <w:r>
              <w:rPr>
                <w:rFonts w:ascii="Times New Roman" w:eastAsia="Times New Roman" w:hAnsi="Times New Roman" w:cs="Times New Roman"/>
                <w:sz w:val="18"/>
                <w:vertAlign w:val="subscript"/>
              </w:rPr>
              <w:t>1</w:t>
            </w:r>
          </w:p>
        </w:tc>
        <w:tc>
          <w:tcPr>
            <w:tcW w:w="1920" w:type="dxa"/>
            <w:tcBorders>
              <w:top w:val="single" w:sz="8" w:space="0" w:color="000000"/>
              <w:left w:val="single" w:sz="8" w:space="0" w:color="000000"/>
              <w:bottom w:val="single" w:sz="8" w:space="0" w:color="000000"/>
              <w:right w:val="single" w:sz="8" w:space="0" w:color="000000"/>
            </w:tcBorders>
            <w:vAlign w:val="center"/>
          </w:tcPr>
          <w:p w14:paraId="5F4994B6" w14:textId="77777777" w:rsidR="00232836" w:rsidRDefault="002E3C2E">
            <w:pPr>
              <w:widowControl w:val="0"/>
              <w:spacing w:after="0"/>
              <w:ind w:left="8" w:right="0" w:firstLine="0"/>
              <w:jc w:val="left"/>
            </w:pPr>
            <w:r>
              <w:rPr>
                <w:sz w:val="20"/>
              </w:rPr>
              <w:t>39.967</w:t>
            </w:r>
          </w:p>
        </w:tc>
        <w:tc>
          <w:tcPr>
            <w:tcW w:w="1920" w:type="dxa"/>
            <w:tcBorders>
              <w:top w:val="single" w:sz="8" w:space="0" w:color="000000"/>
              <w:left w:val="single" w:sz="8" w:space="0" w:color="000000"/>
              <w:bottom w:val="single" w:sz="8" w:space="0" w:color="000000"/>
              <w:right w:val="single" w:sz="8" w:space="0" w:color="000000"/>
            </w:tcBorders>
            <w:vAlign w:val="center"/>
          </w:tcPr>
          <w:p w14:paraId="24DB04B4" w14:textId="77777777" w:rsidR="00232836" w:rsidRDefault="002E3C2E">
            <w:pPr>
              <w:widowControl w:val="0"/>
              <w:spacing w:after="0"/>
              <w:ind w:left="8" w:right="0" w:firstLine="0"/>
              <w:jc w:val="left"/>
            </w:pPr>
            <w:r>
              <w:rPr>
                <w:sz w:val="20"/>
              </w:rPr>
              <w:t>13.489 ~ 80</w:t>
            </w:r>
          </w:p>
        </w:tc>
        <w:tc>
          <w:tcPr>
            <w:tcW w:w="1920" w:type="dxa"/>
            <w:tcBorders>
              <w:top w:val="single" w:sz="8" w:space="0" w:color="000000"/>
              <w:left w:val="single" w:sz="8" w:space="0" w:color="000000"/>
              <w:bottom w:val="single" w:sz="8" w:space="0" w:color="000000"/>
              <w:right w:val="single" w:sz="8" w:space="0" w:color="000000"/>
            </w:tcBorders>
            <w:vAlign w:val="center"/>
          </w:tcPr>
          <w:p w14:paraId="0150272A" w14:textId="77777777" w:rsidR="00232836" w:rsidRDefault="002E3C2E">
            <w:pPr>
              <w:widowControl w:val="0"/>
              <w:spacing w:after="0"/>
              <w:ind w:left="8" w:right="0" w:firstLine="0"/>
              <w:jc w:val="left"/>
            </w:pPr>
            <w:r>
              <w:rPr>
                <w:sz w:val="20"/>
              </w:rPr>
              <w:t>1.0073</w:t>
            </w:r>
          </w:p>
        </w:tc>
        <w:tc>
          <w:tcPr>
            <w:tcW w:w="1920" w:type="dxa"/>
            <w:tcBorders>
              <w:top w:val="single" w:sz="8" w:space="0" w:color="000000"/>
              <w:left w:val="single" w:sz="8" w:space="0" w:color="000000"/>
              <w:bottom w:val="single" w:sz="8" w:space="0" w:color="000000"/>
              <w:right w:val="single" w:sz="8" w:space="0" w:color="000000"/>
            </w:tcBorders>
            <w:vAlign w:val="center"/>
          </w:tcPr>
          <w:p w14:paraId="7AFB2B74" w14:textId="77777777" w:rsidR="00232836" w:rsidRDefault="002E3C2E">
            <w:pPr>
              <w:widowControl w:val="0"/>
              <w:spacing w:after="0"/>
              <w:ind w:left="8" w:right="0" w:firstLine="0"/>
              <w:jc w:val="left"/>
            </w:pPr>
            <w:r>
              <w:rPr>
                <w:sz w:val="20"/>
              </w:rPr>
              <w:t>7659</w:t>
            </w:r>
          </w:p>
        </w:tc>
      </w:tr>
      <w:tr w:rsidR="00232836" w14:paraId="6F051372"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center"/>
          </w:tcPr>
          <w:p w14:paraId="0A6FAC96" w14:textId="77777777" w:rsidR="00232836" w:rsidRDefault="002E3C2E">
            <w:pPr>
              <w:widowControl w:val="0"/>
              <w:spacing w:after="0"/>
              <w:ind w:left="8" w:right="0" w:firstLine="0"/>
              <w:jc w:val="left"/>
            </w:pPr>
            <w:r>
              <w:rPr>
                <w:rFonts w:ascii="Calibri" w:eastAsia="Calibri" w:hAnsi="Calibri" w:cs="Calibri"/>
                <w:sz w:val="20"/>
              </w:rPr>
              <w:t>𝜏</w:t>
            </w:r>
            <w:r>
              <w:rPr>
                <w:rFonts w:ascii="Times New Roman" w:eastAsia="Times New Roman" w:hAnsi="Times New Roman" w:cs="Times New Roman"/>
                <w:sz w:val="18"/>
                <w:vertAlign w:val="subscript"/>
              </w:rPr>
              <w:t>2</w:t>
            </w:r>
          </w:p>
        </w:tc>
        <w:tc>
          <w:tcPr>
            <w:tcW w:w="1920" w:type="dxa"/>
            <w:tcBorders>
              <w:top w:val="single" w:sz="8" w:space="0" w:color="000000"/>
              <w:left w:val="single" w:sz="8" w:space="0" w:color="000000"/>
              <w:bottom w:val="single" w:sz="8" w:space="0" w:color="000000"/>
              <w:right w:val="single" w:sz="8" w:space="0" w:color="000000"/>
            </w:tcBorders>
            <w:vAlign w:val="center"/>
          </w:tcPr>
          <w:p w14:paraId="793CACE3" w14:textId="77777777" w:rsidR="00232836" w:rsidRDefault="002E3C2E">
            <w:pPr>
              <w:widowControl w:val="0"/>
              <w:spacing w:after="0"/>
              <w:ind w:left="8" w:right="0" w:firstLine="0"/>
              <w:jc w:val="left"/>
            </w:pPr>
            <w:r>
              <w:rPr>
                <w:sz w:val="20"/>
              </w:rPr>
              <w:t>24.698</w:t>
            </w:r>
          </w:p>
        </w:tc>
        <w:tc>
          <w:tcPr>
            <w:tcW w:w="1920" w:type="dxa"/>
            <w:tcBorders>
              <w:top w:val="single" w:sz="8" w:space="0" w:color="000000"/>
              <w:left w:val="single" w:sz="8" w:space="0" w:color="000000"/>
              <w:bottom w:val="single" w:sz="8" w:space="0" w:color="000000"/>
              <w:right w:val="single" w:sz="8" w:space="0" w:color="000000"/>
            </w:tcBorders>
            <w:vAlign w:val="center"/>
          </w:tcPr>
          <w:p w14:paraId="27C17BB9" w14:textId="77777777" w:rsidR="00232836" w:rsidRDefault="002E3C2E">
            <w:pPr>
              <w:widowControl w:val="0"/>
              <w:spacing w:after="0"/>
              <w:ind w:left="8" w:right="0" w:firstLine="0"/>
              <w:jc w:val="left"/>
            </w:pPr>
            <w:r>
              <w:rPr>
                <w:sz w:val="20"/>
              </w:rPr>
              <w:t>13.446 ~ 36.257</w:t>
            </w:r>
          </w:p>
        </w:tc>
        <w:tc>
          <w:tcPr>
            <w:tcW w:w="1920" w:type="dxa"/>
            <w:tcBorders>
              <w:top w:val="single" w:sz="8" w:space="0" w:color="000000"/>
              <w:left w:val="single" w:sz="8" w:space="0" w:color="000000"/>
              <w:bottom w:val="single" w:sz="8" w:space="0" w:color="000000"/>
              <w:right w:val="single" w:sz="8" w:space="0" w:color="000000"/>
            </w:tcBorders>
            <w:vAlign w:val="center"/>
          </w:tcPr>
          <w:p w14:paraId="44B43A67" w14:textId="77777777" w:rsidR="00232836" w:rsidRDefault="002E3C2E">
            <w:pPr>
              <w:widowControl w:val="0"/>
              <w:spacing w:after="0"/>
              <w:ind w:left="8" w:right="0" w:firstLine="0"/>
              <w:jc w:val="left"/>
            </w:pPr>
            <w:r>
              <w:rPr>
                <w:sz w:val="20"/>
              </w:rPr>
              <w:t>1.001</w:t>
            </w:r>
          </w:p>
        </w:tc>
        <w:tc>
          <w:tcPr>
            <w:tcW w:w="1920" w:type="dxa"/>
            <w:tcBorders>
              <w:top w:val="single" w:sz="8" w:space="0" w:color="000000"/>
              <w:left w:val="single" w:sz="8" w:space="0" w:color="000000"/>
              <w:bottom w:val="single" w:sz="8" w:space="0" w:color="000000"/>
              <w:right w:val="single" w:sz="8" w:space="0" w:color="000000"/>
            </w:tcBorders>
            <w:vAlign w:val="center"/>
          </w:tcPr>
          <w:p w14:paraId="51316539" w14:textId="77777777" w:rsidR="00232836" w:rsidRDefault="002E3C2E">
            <w:pPr>
              <w:widowControl w:val="0"/>
              <w:spacing w:after="0"/>
              <w:ind w:left="8" w:right="0" w:firstLine="0"/>
              <w:jc w:val="left"/>
            </w:pPr>
            <w:r>
              <w:rPr>
                <w:sz w:val="20"/>
              </w:rPr>
              <w:t>19750</w:t>
            </w:r>
          </w:p>
        </w:tc>
      </w:tr>
    </w:tbl>
    <w:p w14:paraId="30C7F127" w14:textId="77777777" w:rsidR="00232836" w:rsidRDefault="00232836">
      <w:pPr>
        <w:spacing w:after="0"/>
        <w:ind w:left="0" w:right="0" w:firstLine="0"/>
        <w:jc w:val="left"/>
        <w:rPr>
          <w:sz w:val="18"/>
        </w:rPr>
      </w:pPr>
    </w:p>
    <w:p w14:paraId="017B3F03" w14:textId="77777777" w:rsidR="00232836" w:rsidRDefault="002E3C2E">
      <w:pPr>
        <w:spacing w:after="160" w:line="259" w:lineRule="auto"/>
        <w:ind w:left="0" w:right="0" w:firstLine="0"/>
        <w:jc w:val="left"/>
        <w:rPr>
          <w:b/>
          <w:bCs/>
          <w:sz w:val="18"/>
        </w:rPr>
      </w:pPr>
      <w:r>
        <w:br w:type="page"/>
      </w:r>
    </w:p>
    <w:p w14:paraId="702D0165" w14:textId="77777777" w:rsidR="00232836" w:rsidRDefault="00232836">
      <w:pPr>
        <w:spacing w:after="0"/>
        <w:ind w:left="0" w:right="0" w:firstLine="0"/>
        <w:jc w:val="left"/>
        <w:rPr>
          <w:b/>
          <w:bCs/>
          <w:sz w:val="18"/>
        </w:rPr>
      </w:pPr>
    </w:p>
    <w:p w14:paraId="099B7F73" w14:textId="77777777" w:rsidR="00232836" w:rsidRDefault="002E3C2E">
      <w:pPr>
        <w:spacing w:after="0"/>
        <w:ind w:left="0" w:right="0" w:firstLine="0"/>
        <w:jc w:val="left"/>
        <w:rPr>
          <w:b/>
          <w:bCs/>
        </w:rPr>
      </w:pPr>
      <w:r>
        <w:rPr>
          <w:b/>
          <w:bCs/>
          <w:sz w:val="18"/>
        </w:rPr>
        <w:t>Table S2. Posterior estimates and MCMC diagnostics for the 750yrs ICAR model. Growth rate parameters (</w:t>
      </w:r>
      <w:r>
        <w:rPr>
          <w:b/>
          <w:bCs/>
          <w:i/>
          <w:sz w:val="18"/>
        </w:rPr>
        <w:t>r</w:t>
      </w:r>
      <w:r>
        <w:rPr>
          <w:b/>
          <w:bCs/>
          <w:sz w:val="18"/>
        </w:rPr>
        <w:t xml:space="preserve">) are </w:t>
      </w:r>
      <w:r>
        <w:rPr>
          <w:b/>
          <w:bCs/>
          <w:sz w:val="18"/>
        </w:rPr>
        <w:t>converted into % annual growth rate.</w:t>
      </w:r>
    </w:p>
    <w:tbl>
      <w:tblPr>
        <w:tblStyle w:val="TableGrid"/>
        <w:tblW w:w="9600" w:type="dxa"/>
        <w:tblInd w:w="-4" w:type="dxa"/>
        <w:tblLayout w:type="fixed"/>
        <w:tblCellMar>
          <w:left w:w="115" w:type="dxa"/>
          <w:right w:w="115" w:type="dxa"/>
        </w:tblCellMar>
        <w:tblLook w:val="04A0" w:firstRow="1" w:lastRow="0" w:firstColumn="1" w:lastColumn="0" w:noHBand="0" w:noVBand="1"/>
      </w:tblPr>
      <w:tblGrid>
        <w:gridCol w:w="1920"/>
        <w:gridCol w:w="1920"/>
        <w:gridCol w:w="1920"/>
        <w:gridCol w:w="1920"/>
        <w:gridCol w:w="1920"/>
      </w:tblGrid>
      <w:tr w:rsidR="00232836" w14:paraId="439A0112" w14:textId="77777777">
        <w:trPr>
          <w:trHeight w:val="458"/>
        </w:trPr>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D751241" w14:textId="77777777" w:rsidR="00232836" w:rsidRDefault="002E3C2E">
            <w:pPr>
              <w:widowControl w:val="0"/>
              <w:spacing w:after="0"/>
              <w:ind w:left="8" w:right="0" w:firstLine="0"/>
              <w:jc w:val="left"/>
            </w:pPr>
            <w:r>
              <w:rPr>
                <w:b/>
                <w:sz w:val="20"/>
              </w:rPr>
              <w:t>Parameter</w:t>
            </w:r>
          </w:p>
        </w:tc>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F4A1948" w14:textId="77777777" w:rsidR="00232836" w:rsidRDefault="002E3C2E">
            <w:pPr>
              <w:widowControl w:val="0"/>
              <w:spacing w:after="0"/>
              <w:ind w:left="8" w:right="0" w:firstLine="0"/>
              <w:jc w:val="left"/>
            </w:pPr>
            <w:r>
              <w:rPr>
                <w:b/>
                <w:sz w:val="20"/>
              </w:rPr>
              <w:t>Mean Posterior</w:t>
            </w:r>
          </w:p>
        </w:tc>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8B8DEE8" w14:textId="77777777" w:rsidR="00232836" w:rsidRDefault="002E3C2E">
            <w:pPr>
              <w:widowControl w:val="0"/>
              <w:spacing w:after="0"/>
              <w:ind w:left="8" w:right="0" w:firstLine="0"/>
              <w:jc w:val="left"/>
            </w:pPr>
            <w:r>
              <w:rPr>
                <w:b/>
                <w:sz w:val="20"/>
              </w:rPr>
              <w:t>95% HPDI</w:t>
            </w:r>
          </w:p>
        </w:tc>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74C5EF2" w14:textId="77777777" w:rsidR="00232836" w:rsidRDefault="002E3C2E">
            <w:pPr>
              <w:widowControl w:val="0"/>
              <w:spacing w:after="0"/>
              <w:ind w:left="8" w:right="0" w:firstLine="0"/>
              <w:jc w:val="left"/>
            </w:pPr>
            <w:proofErr w:type="spellStart"/>
            <w:r>
              <w:rPr>
                <w:b/>
                <w:sz w:val="20"/>
              </w:rPr>
              <w:t>Rhat</w:t>
            </w:r>
            <w:proofErr w:type="spellEnd"/>
          </w:p>
        </w:tc>
        <w:tc>
          <w:tcPr>
            <w:tcW w:w="192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7E33CA2" w14:textId="77777777" w:rsidR="00232836" w:rsidRDefault="002E3C2E">
            <w:pPr>
              <w:widowControl w:val="0"/>
              <w:spacing w:after="0"/>
              <w:ind w:left="8" w:right="0" w:firstLine="0"/>
              <w:jc w:val="left"/>
            </w:pPr>
            <w:r>
              <w:rPr>
                <w:b/>
                <w:sz w:val="20"/>
              </w:rPr>
              <w:t>ESS</w:t>
            </w:r>
          </w:p>
        </w:tc>
      </w:tr>
      <w:tr w:rsidR="00232836" w14:paraId="202C1F8C"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center"/>
          </w:tcPr>
          <w:p w14:paraId="0627F0CD" w14:textId="77777777" w:rsidR="00232836" w:rsidRDefault="002E3C2E">
            <w:pPr>
              <w:widowControl w:val="0"/>
              <w:spacing w:after="0"/>
              <w:ind w:left="8" w:right="0" w:firstLine="0"/>
              <w:jc w:val="left"/>
            </w:pPr>
            <w:r>
              <w:rPr>
                <w:i/>
                <w:sz w:val="20"/>
              </w:rPr>
              <w:t>r</w:t>
            </w:r>
            <w:r>
              <w:rPr>
                <w:i/>
                <w:sz w:val="12"/>
              </w:rPr>
              <w:t>1,I</w:t>
            </w:r>
          </w:p>
        </w:tc>
        <w:tc>
          <w:tcPr>
            <w:tcW w:w="1920" w:type="dxa"/>
            <w:tcBorders>
              <w:top w:val="single" w:sz="8" w:space="0" w:color="000000"/>
              <w:left w:val="single" w:sz="8" w:space="0" w:color="000000"/>
              <w:bottom w:val="single" w:sz="8" w:space="0" w:color="000000"/>
              <w:right w:val="single" w:sz="8" w:space="0" w:color="000000"/>
            </w:tcBorders>
            <w:vAlign w:val="center"/>
          </w:tcPr>
          <w:p w14:paraId="454D931B" w14:textId="77777777" w:rsidR="00232836" w:rsidRDefault="002E3C2E">
            <w:pPr>
              <w:widowControl w:val="0"/>
              <w:spacing w:after="0"/>
              <w:ind w:left="8" w:right="0" w:firstLine="0"/>
              <w:jc w:val="left"/>
            </w:pPr>
            <w:r>
              <w:rPr>
                <w:sz w:val="20"/>
              </w:rPr>
              <w:t>-0.091</w:t>
            </w:r>
          </w:p>
        </w:tc>
        <w:tc>
          <w:tcPr>
            <w:tcW w:w="1920" w:type="dxa"/>
            <w:tcBorders>
              <w:top w:val="single" w:sz="8" w:space="0" w:color="000000"/>
              <w:left w:val="single" w:sz="8" w:space="0" w:color="000000"/>
              <w:bottom w:val="single" w:sz="8" w:space="0" w:color="000000"/>
              <w:right w:val="single" w:sz="8" w:space="0" w:color="000000"/>
            </w:tcBorders>
            <w:vAlign w:val="center"/>
          </w:tcPr>
          <w:p w14:paraId="4C115A36" w14:textId="77777777" w:rsidR="00232836" w:rsidRDefault="002E3C2E">
            <w:pPr>
              <w:widowControl w:val="0"/>
              <w:spacing w:after="0"/>
              <w:ind w:left="8" w:right="0" w:firstLine="0"/>
              <w:jc w:val="left"/>
            </w:pPr>
            <w:r>
              <w:rPr>
                <w:sz w:val="20"/>
              </w:rPr>
              <w:t>-0.048 ~ 0.19</w:t>
            </w:r>
          </w:p>
        </w:tc>
        <w:tc>
          <w:tcPr>
            <w:tcW w:w="1920" w:type="dxa"/>
            <w:tcBorders>
              <w:top w:val="single" w:sz="8" w:space="0" w:color="000000"/>
              <w:left w:val="single" w:sz="8" w:space="0" w:color="000000"/>
              <w:bottom w:val="single" w:sz="8" w:space="0" w:color="000000"/>
              <w:right w:val="single" w:sz="8" w:space="0" w:color="000000"/>
            </w:tcBorders>
            <w:vAlign w:val="center"/>
          </w:tcPr>
          <w:p w14:paraId="50BE9691" w14:textId="77777777" w:rsidR="00232836" w:rsidRDefault="002E3C2E">
            <w:pPr>
              <w:widowControl w:val="0"/>
              <w:spacing w:after="0"/>
              <w:ind w:left="8" w:right="0" w:firstLine="0"/>
              <w:jc w:val="left"/>
            </w:pPr>
            <w:r>
              <w:rPr>
                <w:sz w:val="20"/>
              </w:rPr>
              <w:t>1.0005</w:t>
            </w:r>
          </w:p>
        </w:tc>
        <w:tc>
          <w:tcPr>
            <w:tcW w:w="1920" w:type="dxa"/>
            <w:tcBorders>
              <w:top w:val="single" w:sz="8" w:space="0" w:color="000000"/>
              <w:left w:val="single" w:sz="8" w:space="0" w:color="000000"/>
              <w:bottom w:val="single" w:sz="8" w:space="0" w:color="000000"/>
              <w:right w:val="single" w:sz="8" w:space="0" w:color="000000"/>
            </w:tcBorders>
            <w:vAlign w:val="center"/>
          </w:tcPr>
          <w:p w14:paraId="3AA3276C" w14:textId="77777777" w:rsidR="00232836" w:rsidRDefault="002E3C2E">
            <w:pPr>
              <w:widowControl w:val="0"/>
              <w:spacing w:after="0"/>
              <w:ind w:left="8" w:right="0" w:firstLine="0"/>
              <w:jc w:val="left"/>
            </w:pPr>
            <w:r>
              <w:rPr>
                <w:sz w:val="20"/>
              </w:rPr>
              <w:t>19955</w:t>
            </w:r>
          </w:p>
        </w:tc>
      </w:tr>
      <w:tr w:rsidR="00232836" w14:paraId="0CA9B791"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center"/>
          </w:tcPr>
          <w:p w14:paraId="57C2F202" w14:textId="77777777" w:rsidR="00232836" w:rsidRDefault="002E3C2E">
            <w:pPr>
              <w:widowControl w:val="0"/>
              <w:spacing w:after="0"/>
              <w:ind w:left="8" w:right="0" w:firstLine="0"/>
              <w:jc w:val="left"/>
            </w:pPr>
            <w:r>
              <w:rPr>
                <w:i/>
                <w:sz w:val="20"/>
              </w:rPr>
              <w:t>r</w:t>
            </w:r>
            <w:r>
              <w:rPr>
                <w:i/>
                <w:sz w:val="12"/>
              </w:rPr>
              <w:t>1,II</w:t>
            </w:r>
          </w:p>
        </w:tc>
        <w:tc>
          <w:tcPr>
            <w:tcW w:w="1920" w:type="dxa"/>
            <w:tcBorders>
              <w:top w:val="single" w:sz="8" w:space="0" w:color="000000"/>
              <w:left w:val="single" w:sz="8" w:space="0" w:color="000000"/>
              <w:bottom w:val="single" w:sz="8" w:space="0" w:color="000000"/>
              <w:right w:val="single" w:sz="8" w:space="0" w:color="000000"/>
            </w:tcBorders>
            <w:vAlign w:val="center"/>
          </w:tcPr>
          <w:p w14:paraId="6CCB20BF" w14:textId="77777777" w:rsidR="00232836" w:rsidRDefault="002E3C2E">
            <w:pPr>
              <w:widowControl w:val="0"/>
              <w:spacing w:after="0"/>
              <w:ind w:left="8" w:right="0" w:firstLine="0"/>
              <w:jc w:val="left"/>
            </w:pPr>
            <w:r>
              <w:rPr>
                <w:sz w:val="20"/>
              </w:rPr>
              <w:t>-0.089</w:t>
            </w:r>
          </w:p>
        </w:tc>
        <w:tc>
          <w:tcPr>
            <w:tcW w:w="1920" w:type="dxa"/>
            <w:tcBorders>
              <w:top w:val="single" w:sz="8" w:space="0" w:color="000000"/>
              <w:left w:val="single" w:sz="8" w:space="0" w:color="000000"/>
              <w:bottom w:val="single" w:sz="8" w:space="0" w:color="000000"/>
              <w:right w:val="single" w:sz="8" w:space="0" w:color="000000"/>
            </w:tcBorders>
            <w:vAlign w:val="center"/>
          </w:tcPr>
          <w:p w14:paraId="47B4406A" w14:textId="77777777" w:rsidR="00232836" w:rsidRDefault="002E3C2E">
            <w:pPr>
              <w:widowControl w:val="0"/>
              <w:spacing w:after="0"/>
              <w:ind w:left="8" w:right="0" w:firstLine="0"/>
              <w:jc w:val="left"/>
            </w:pPr>
            <w:r>
              <w:rPr>
                <w:sz w:val="20"/>
              </w:rPr>
              <w:t>-0.051 ~ 0.109</w:t>
            </w:r>
          </w:p>
        </w:tc>
        <w:tc>
          <w:tcPr>
            <w:tcW w:w="1920" w:type="dxa"/>
            <w:tcBorders>
              <w:top w:val="single" w:sz="8" w:space="0" w:color="000000"/>
              <w:left w:val="single" w:sz="8" w:space="0" w:color="000000"/>
              <w:bottom w:val="single" w:sz="8" w:space="0" w:color="000000"/>
              <w:right w:val="single" w:sz="8" w:space="0" w:color="000000"/>
            </w:tcBorders>
            <w:vAlign w:val="center"/>
          </w:tcPr>
          <w:p w14:paraId="6917F441" w14:textId="77777777" w:rsidR="00232836" w:rsidRDefault="002E3C2E">
            <w:pPr>
              <w:widowControl w:val="0"/>
              <w:spacing w:after="0"/>
              <w:ind w:left="8" w:right="0" w:firstLine="0"/>
              <w:jc w:val="left"/>
            </w:pPr>
            <w:r>
              <w:rPr>
                <w:sz w:val="20"/>
              </w:rPr>
              <w:t>1.0006</w:t>
            </w:r>
          </w:p>
        </w:tc>
        <w:tc>
          <w:tcPr>
            <w:tcW w:w="1920" w:type="dxa"/>
            <w:tcBorders>
              <w:top w:val="single" w:sz="8" w:space="0" w:color="000000"/>
              <w:left w:val="single" w:sz="8" w:space="0" w:color="000000"/>
              <w:bottom w:val="single" w:sz="8" w:space="0" w:color="000000"/>
              <w:right w:val="single" w:sz="8" w:space="0" w:color="000000"/>
            </w:tcBorders>
            <w:vAlign w:val="center"/>
          </w:tcPr>
          <w:p w14:paraId="570241F8" w14:textId="77777777" w:rsidR="00232836" w:rsidRDefault="002E3C2E">
            <w:pPr>
              <w:widowControl w:val="0"/>
              <w:spacing w:after="0"/>
              <w:ind w:left="8" w:right="0" w:firstLine="0"/>
              <w:jc w:val="left"/>
            </w:pPr>
            <w:r>
              <w:rPr>
                <w:sz w:val="20"/>
              </w:rPr>
              <w:t>17261</w:t>
            </w:r>
          </w:p>
        </w:tc>
      </w:tr>
      <w:tr w:rsidR="00232836" w14:paraId="7DCB9E3A"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center"/>
          </w:tcPr>
          <w:p w14:paraId="65F3DB70" w14:textId="77777777" w:rsidR="00232836" w:rsidRDefault="002E3C2E">
            <w:pPr>
              <w:widowControl w:val="0"/>
              <w:spacing w:after="0"/>
              <w:ind w:left="8" w:right="0" w:firstLine="0"/>
              <w:jc w:val="left"/>
            </w:pPr>
            <w:r>
              <w:rPr>
                <w:i/>
                <w:sz w:val="20"/>
              </w:rPr>
              <w:t>r</w:t>
            </w:r>
            <w:r>
              <w:rPr>
                <w:i/>
                <w:sz w:val="12"/>
              </w:rPr>
              <w:t>1,III</w:t>
            </w:r>
          </w:p>
        </w:tc>
        <w:tc>
          <w:tcPr>
            <w:tcW w:w="1920" w:type="dxa"/>
            <w:tcBorders>
              <w:top w:val="single" w:sz="8" w:space="0" w:color="000000"/>
              <w:left w:val="single" w:sz="8" w:space="0" w:color="000000"/>
              <w:bottom w:val="single" w:sz="8" w:space="0" w:color="000000"/>
              <w:right w:val="single" w:sz="8" w:space="0" w:color="000000"/>
            </w:tcBorders>
            <w:vAlign w:val="center"/>
          </w:tcPr>
          <w:p w14:paraId="57364681" w14:textId="77777777" w:rsidR="00232836" w:rsidRDefault="002E3C2E">
            <w:pPr>
              <w:widowControl w:val="0"/>
              <w:spacing w:after="0"/>
              <w:ind w:left="8" w:right="0" w:firstLine="0"/>
              <w:jc w:val="left"/>
            </w:pPr>
            <w:r>
              <w:rPr>
                <w:sz w:val="20"/>
              </w:rPr>
              <w:t>0.121</w:t>
            </w:r>
          </w:p>
        </w:tc>
        <w:tc>
          <w:tcPr>
            <w:tcW w:w="1920" w:type="dxa"/>
            <w:tcBorders>
              <w:top w:val="single" w:sz="8" w:space="0" w:color="000000"/>
              <w:left w:val="single" w:sz="8" w:space="0" w:color="000000"/>
              <w:bottom w:val="single" w:sz="8" w:space="0" w:color="000000"/>
              <w:right w:val="single" w:sz="8" w:space="0" w:color="000000"/>
            </w:tcBorders>
            <w:vAlign w:val="center"/>
          </w:tcPr>
          <w:p w14:paraId="583BB581" w14:textId="77777777" w:rsidR="00232836" w:rsidRDefault="002E3C2E">
            <w:pPr>
              <w:widowControl w:val="0"/>
              <w:spacing w:after="0"/>
              <w:ind w:left="8" w:right="0" w:firstLine="0"/>
              <w:jc w:val="left"/>
            </w:pPr>
            <w:r>
              <w:rPr>
                <w:sz w:val="20"/>
              </w:rPr>
              <w:t>0.013 ~ 0.163</w:t>
            </w:r>
          </w:p>
        </w:tc>
        <w:tc>
          <w:tcPr>
            <w:tcW w:w="1920" w:type="dxa"/>
            <w:tcBorders>
              <w:top w:val="single" w:sz="8" w:space="0" w:color="000000"/>
              <w:left w:val="single" w:sz="8" w:space="0" w:color="000000"/>
              <w:bottom w:val="single" w:sz="8" w:space="0" w:color="000000"/>
              <w:right w:val="single" w:sz="8" w:space="0" w:color="000000"/>
            </w:tcBorders>
            <w:vAlign w:val="center"/>
          </w:tcPr>
          <w:p w14:paraId="05AEEC42" w14:textId="77777777" w:rsidR="00232836" w:rsidRDefault="002E3C2E">
            <w:pPr>
              <w:widowControl w:val="0"/>
              <w:spacing w:after="0"/>
              <w:ind w:left="8" w:right="0" w:firstLine="0"/>
              <w:jc w:val="left"/>
            </w:pPr>
            <w:r>
              <w:rPr>
                <w:sz w:val="20"/>
              </w:rPr>
              <w:t>1.0005</w:t>
            </w:r>
          </w:p>
        </w:tc>
        <w:tc>
          <w:tcPr>
            <w:tcW w:w="1920" w:type="dxa"/>
            <w:tcBorders>
              <w:top w:val="single" w:sz="8" w:space="0" w:color="000000"/>
              <w:left w:val="single" w:sz="8" w:space="0" w:color="000000"/>
              <w:bottom w:val="single" w:sz="8" w:space="0" w:color="000000"/>
              <w:right w:val="single" w:sz="8" w:space="0" w:color="000000"/>
            </w:tcBorders>
            <w:vAlign w:val="center"/>
          </w:tcPr>
          <w:p w14:paraId="22AA6403" w14:textId="77777777" w:rsidR="00232836" w:rsidRDefault="002E3C2E">
            <w:pPr>
              <w:widowControl w:val="0"/>
              <w:spacing w:after="0"/>
              <w:ind w:left="8" w:right="0" w:firstLine="0"/>
              <w:jc w:val="left"/>
            </w:pPr>
            <w:r>
              <w:rPr>
                <w:sz w:val="20"/>
              </w:rPr>
              <w:t>12778</w:t>
            </w:r>
          </w:p>
        </w:tc>
      </w:tr>
      <w:tr w:rsidR="00232836" w14:paraId="6973C8AA"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center"/>
          </w:tcPr>
          <w:p w14:paraId="078220CB" w14:textId="77777777" w:rsidR="00232836" w:rsidRDefault="002E3C2E">
            <w:pPr>
              <w:widowControl w:val="0"/>
              <w:spacing w:after="0"/>
              <w:ind w:left="8" w:right="0" w:firstLine="0"/>
              <w:jc w:val="left"/>
            </w:pPr>
            <w:r>
              <w:rPr>
                <w:i/>
                <w:sz w:val="20"/>
              </w:rPr>
              <w:t>r</w:t>
            </w:r>
            <w:r>
              <w:rPr>
                <w:i/>
                <w:sz w:val="12"/>
              </w:rPr>
              <w:t>1,IV</w:t>
            </w:r>
          </w:p>
        </w:tc>
        <w:tc>
          <w:tcPr>
            <w:tcW w:w="1920" w:type="dxa"/>
            <w:tcBorders>
              <w:top w:val="single" w:sz="8" w:space="0" w:color="000000"/>
              <w:left w:val="single" w:sz="8" w:space="0" w:color="000000"/>
              <w:bottom w:val="single" w:sz="8" w:space="0" w:color="000000"/>
              <w:right w:val="single" w:sz="8" w:space="0" w:color="000000"/>
            </w:tcBorders>
            <w:vAlign w:val="center"/>
          </w:tcPr>
          <w:p w14:paraId="2630B9D4" w14:textId="77777777" w:rsidR="00232836" w:rsidRDefault="002E3C2E">
            <w:pPr>
              <w:widowControl w:val="0"/>
              <w:spacing w:after="0"/>
              <w:ind w:left="8" w:right="0" w:firstLine="0"/>
              <w:jc w:val="left"/>
            </w:pPr>
            <w:r>
              <w:rPr>
                <w:sz w:val="20"/>
              </w:rPr>
              <w:t>0.079</w:t>
            </w:r>
          </w:p>
        </w:tc>
        <w:tc>
          <w:tcPr>
            <w:tcW w:w="1920" w:type="dxa"/>
            <w:tcBorders>
              <w:top w:val="single" w:sz="8" w:space="0" w:color="000000"/>
              <w:left w:val="single" w:sz="8" w:space="0" w:color="000000"/>
              <w:bottom w:val="single" w:sz="8" w:space="0" w:color="000000"/>
              <w:right w:val="single" w:sz="8" w:space="0" w:color="000000"/>
            </w:tcBorders>
            <w:vAlign w:val="center"/>
          </w:tcPr>
          <w:p w14:paraId="3655C8B1" w14:textId="77777777" w:rsidR="00232836" w:rsidRDefault="002E3C2E">
            <w:pPr>
              <w:widowControl w:val="0"/>
              <w:spacing w:after="0"/>
              <w:ind w:left="8" w:right="0" w:firstLine="0"/>
              <w:jc w:val="left"/>
            </w:pPr>
            <w:r>
              <w:rPr>
                <w:sz w:val="20"/>
              </w:rPr>
              <w:t>-0.018 ~ 0.093</w:t>
            </w:r>
          </w:p>
        </w:tc>
        <w:tc>
          <w:tcPr>
            <w:tcW w:w="1920" w:type="dxa"/>
            <w:tcBorders>
              <w:top w:val="single" w:sz="8" w:space="0" w:color="000000"/>
              <w:left w:val="single" w:sz="8" w:space="0" w:color="000000"/>
              <w:bottom w:val="single" w:sz="8" w:space="0" w:color="000000"/>
              <w:right w:val="single" w:sz="8" w:space="0" w:color="000000"/>
            </w:tcBorders>
            <w:vAlign w:val="center"/>
          </w:tcPr>
          <w:p w14:paraId="1400FD81" w14:textId="77777777" w:rsidR="00232836" w:rsidRDefault="002E3C2E">
            <w:pPr>
              <w:widowControl w:val="0"/>
              <w:spacing w:after="0"/>
              <w:ind w:left="8" w:right="0" w:firstLine="0"/>
              <w:jc w:val="left"/>
            </w:pPr>
            <w:r>
              <w:rPr>
                <w:sz w:val="20"/>
              </w:rPr>
              <w:t>1.0001</w:t>
            </w:r>
          </w:p>
        </w:tc>
        <w:tc>
          <w:tcPr>
            <w:tcW w:w="1920" w:type="dxa"/>
            <w:tcBorders>
              <w:top w:val="single" w:sz="8" w:space="0" w:color="000000"/>
              <w:left w:val="single" w:sz="8" w:space="0" w:color="000000"/>
              <w:bottom w:val="single" w:sz="8" w:space="0" w:color="000000"/>
              <w:right w:val="single" w:sz="8" w:space="0" w:color="000000"/>
            </w:tcBorders>
            <w:vAlign w:val="center"/>
          </w:tcPr>
          <w:p w14:paraId="0509F11E" w14:textId="77777777" w:rsidR="00232836" w:rsidRDefault="002E3C2E">
            <w:pPr>
              <w:widowControl w:val="0"/>
              <w:spacing w:after="0"/>
              <w:ind w:left="8" w:right="0" w:firstLine="0"/>
              <w:jc w:val="left"/>
            </w:pPr>
            <w:r>
              <w:rPr>
                <w:sz w:val="20"/>
              </w:rPr>
              <w:t>33009</w:t>
            </w:r>
          </w:p>
        </w:tc>
      </w:tr>
      <w:tr w:rsidR="00232836" w14:paraId="0E8BCBC7"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center"/>
          </w:tcPr>
          <w:p w14:paraId="19E60783" w14:textId="77777777" w:rsidR="00232836" w:rsidRDefault="002E3C2E">
            <w:pPr>
              <w:widowControl w:val="0"/>
              <w:spacing w:after="0"/>
              <w:ind w:left="8" w:right="0" w:firstLine="0"/>
              <w:jc w:val="left"/>
            </w:pPr>
            <w:r>
              <w:rPr>
                <w:i/>
                <w:sz w:val="20"/>
              </w:rPr>
              <w:t>r</w:t>
            </w:r>
            <w:r>
              <w:rPr>
                <w:i/>
                <w:sz w:val="12"/>
              </w:rPr>
              <w:t>1,V</w:t>
            </w:r>
          </w:p>
        </w:tc>
        <w:tc>
          <w:tcPr>
            <w:tcW w:w="1920" w:type="dxa"/>
            <w:tcBorders>
              <w:top w:val="single" w:sz="8" w:space="0" w:color="000000"/>
              <w:left w:val="single" w:sz="8" w:space="0" w:color="000000"/>
              <w:bottom w:val="single" w:sz="8" w:space="0" w:color="000000"/>
              <w:right w:val="single" w:sz="8" w:space="0" w:color="000000"/>
            </w:tcBorders>
            <w:vAlign w:val="center"/>
          </w:tcPr>
          <w:p w14:paraId="28BAF9B1" w14:textId="77777777" w:rsidR="00232836" w:rsidRDefault="002E3C2E">
            <w:pPr>
              <w:widowControl w:val="0"/>
              <w:spacing w:after="0"/>
              <w:ind w:left="8" w:right="0" w:firstLine="0"/>
              <w:jc w:val="left"/>
            </w:pPr>
            <w:r>
              <w:rPr>
                <w:sz w:val="20"/>
              </w:rPr>
              <w:t>0.017</w:t>
            </w:r>
          </w:p>
        </w:tc>
        <w:tc>
          <w:tcPr>
            <w:tcW w:w="1920" w:type="dxa"/>
            <w:tcBorders>
              <w:top w:val="single" w:sz="8" w:space="0" w:color="000000"/>
              <w:left w:val="single" w:sz="8" w:space="0" w:color="000000"/>
              <w:bottom w:val="single" w:sz="8" w:space="0" w:color="000000"/>
              <w:right w:val="single" w:sz="8" w:space="0" w:color="000000"/>
            </w:tcBorders>
            <w:vAlign w:val="center"/>
          </w:tcPr>
          <w:p w14:paraId="2809D19F" w14:textId="77777777" w:rsidR="00232836" w:rsidRDefault="002E3C2E">
            <w:pPr>
              <w:widowControl w:val="0"/>
              <w:spacing w:after="0"/>
              <w:ind w:left="8" w:right="0" w:firstLine="0"/>
              <w:jc w:val="left"/>
            </w:pPr>
            <w:r>
              <w:rPr>
                <w:sz w:val="20"/>
              </w:rPr>
              <w:t>-0.016 ~ 0.065</w:t>
            </w:r>
          </w:p>
        </w:tc>
        <w:tc>
          <w:tcPr>
            <w:tcW w:w="1920" w:type="dxa"/>
            <w:tcBorders>
              <w:top w:val="single" w:sz="8" w:space="0" w:color="000000"/>
              <w:left w:val="single" w:sz="8" w:space="0" w:color="000000"/>
              <w:bottom w:val="single" w:sz="8" w:space="0" w:color="000000"/>
              <w:right w:val="single" w:sz="8" w:space="0" w:color="000000"/>
            </w:tcBorders>
            <w:vAlign w:val="center"/>
          </w:tcPr>
          <w:p w14:paraId="1BBB7DD5" w14:textId="77777777" w:rsidR="00232836" w:rsidRDefault="002E3C2E">
            <w:pPr>
              <w:widowControl w:val="0"/>
              <w:spacing w:after="0"/>
              <w:ind w:left="8" w:right="0" w:firstLine="0"/>
              <w:jc w:val="left"/>
            </w:pPr>
            <w:r>
              <w:rPr>
                <w:sz w:val="20"/>
              </w:rPr>
              <w:t>1.0002</w:t>
            </w:r>
          </w:p>
        </w:tc>
        <w:tc>
          <w:tcPr>
            <w:tcW w:w="1920" w:type="dxa"/>
            <w:tcBorders>
              <w:top w:val="single" w:sz="8" w:space="0" w:color="000000"/>
              <w:left w:val="single" w:sz="8" w:space="0" w:color="000000"/>
              <w:bottom w:val="single" w:sz="8" w:space="0" w:color="000000"/>
              <w:right w:val="single" w:sz="8" w:space="0" w:color="000000"/>
            </w:tcBorders>
            <w:vAlign w:val="center"/>
          </w:tcPr>
          <w:p w14:paraId="02D70948" w14:textId="77777777" w:rsidR="00232836" w:rsidRDefault="002E3C2E">
            <w:pPr>
              <w:widowControl w:val="0"/>
              <w:spacing w:after="0"/>
              <w:ind w:left="8" w:right="0" w:firstLine="0"/>
              <w:jc w:val="left"/>
            </w:pPr>
            <w:r>
              <w:rPr>
                <w:sz w:val="20"/>
              </w:rPr>
              <w:t>24821</w:t>
            </w:r>
          </w:p>
        </w:tc>
      </w:tr>
      <w:tr w:rsidR="00232836" w14:paraId="768C8343"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center"/>
          </w:tcPr>
          <w:p w14:paraId="241542C0" w14:textId="77777777" w:rsidR="00232836" w:rsidRDefault="002E3C2E">
            <w:pPr>
              <w:widowControl w:val="0"/>
              <w:spacing w:after="0"/>
              <w:ind w:left="8" w:right="0" w:firstLine="0"/>
              <w:jc w:val="left"/>
            </w:pPr>
            <w:r>
              <w:rPr>
                <w:i/>
                <w:sz w:val="20"/>
              </w:rPr>
              <w:t>r</w:t>
            </w:r>
            <w:r>
              <w:rPr>
                <w:i/>
                <w:sz w:val="12"/>
              </w:rPr>
              <w:t>1,VI</w:t>
            </w:r>
          </w:p>
        </w:tc>
        <w:tc>
          <w:tcPr>
            <w:tcW w:w="1920" w:type="dxa"/>
            <w:tcBorders>
              <w:top w:val="single" w:sz="8" w:space="0" w:color="000000"/>
              <w:left w:val="single" w:sz="8" w:space="0" w:color="000000"/>
              <w:bottom w:val="single" w:sz="8" w:space="0" w:color="000000"/>
              <w:right w:val="single" w:sz="8" w:space="0" w:color="000000"/>
            </w:tcBorders>
            <w:vAlign w:val="center"/>
          </w:tcPr>
          <w:p w14:paraId="5EAE85BB" w14:textId="77777777" w:rsidR="00232836" w:rsidRDefault="002E3C2E">
            <w:pPr>
              <w:widowControl w:val="0"/>
              <w:spacing w:after="0"/>
              <w:ind w:left="8" w:right="0" w:firstLine="0"/>
              <w:jc w:val="left"/>
            </w:pPr>
            <w:r>
              <w:rPr>
                <w:sz w:val="20"/>
              </w:rPr>
              <w:t>0.052</w:t>
            </w:r>
          </w:p>
        </w:tc>
        <w:tc>
          <w:tcPr>
            <w:tcW w:w="1920" w:type="dxa"/>
            <w:tcBorders>
              <w:top w:val="single" w:sz="8" w:space="0" w:color="000000"/>
              <w:left w:val="single" w:sz="8" w:space="0" w:color="000000"/>
              <w:bottom w:val="single" w:sz="8" w:space="0" w:color="000000"/>
              <w:right w:val="single" w:sz="8" w:space="0" w:color="000000"/>
            </w:tcBorders>
            <w:vAlign w:val="center"/>
          </w:tcPr>
          <w:p w14:paraId="684D49CC" w14:textId="77777777" w:rsidR="00232836" w:rsidRDefault="002E3C2E">
            <w:pPr>
              <w:widowControl w:val="0"/>
              <w:spacing w:after="0"/>
              <w:ind w:left="8" w:right="0" w:firstLine="0"/>
              <w:jc w:val="left"/>
            </w:pPr>
            <w:r>
              <w:rPr>
                <w:sz w:val="20"/>
              </w:rPr>
              <w:t>-0.024 ~ 0.092</w:t>
            </w:r>
          </w:p>
        </w:tc>
        <w:tc>
          <w:tcPr>
            <w:tcW w:w="1920" w:type="dxa"/>
            <w:tcBorders>
              <w:top w:val="single" w:sz="8" w:space="0" w:color="000000"/>
              <w:left w:val="single" w:sz="8" w:space="0" w:color="000000"/>
              <w:bottom w:val="single" w:sz="8" w:space="0" w:color="000000"/>
              <w:right w:val="single" w:sz="8" w:space="0" w:color="000000"/>
            </w:tcBorders>
            <w:vAlign w:val="center"/>
          </w:tcPr>
          <w:p w14:paraId="78150267" w14:textId="77777777" w:rsidR="00232836" w:rsidRDefault="002E3C2E">
            <w:pPr>
              <w:widowControl w:val="0"/>
              <w:spacing w:after="0"/>
              <w:ind w:left="8" w:right="0" w:firstLine="0"/>
              <w:jc w:val="left"/>
            </w:pPr>
            <w:r>
              <w:rPr>
                <w:sz w:val="20"/>
              </w:rPr>
              <w:t>1.0004</w:t>
            </w:r>
          </w:p>
        </w:tc>
        <w:tc>
          <w:tcPr>
            <w:tcW w:w="1920" w:type="dxa"/>
            <w:tcBorders>
              <w:top w:val="single" w:sz="8" w:space="0" w:color="000000"/>
              <w:left w:val="single" w:sz="8" w:space="0" w:color="000000"/>
              <w:bottom w:val="single" w:sz="8" w:space="0" w:color="000000"/>
              <w:right w:val="single" w:sz="8" w:space="0" w:color="000000"/>
            </w:tcBorders>
            <w:vAlign w:val="center"/>
          </w:tcPr>
          <w:p w14:paraId="590A2DD1" w14:textId="77777777" w:rsidR="00232836" w:rsidRDefault="002E3C2E">
            <w:pPr>
              <w:widowControl w:val="0"/>
              <w:spacing w:after="0"/>
              <w:ind w:left="8" w:right="0" w:firstLine="0"/>
              <w:jc w:val="left"/>
            </w:pPr>
            <w:r>
              <w:rPr>
                <w:sz w:val="20"/>
              </w:rPr>
              <w:t>22679</w:t>
            </w:r>
          </w:p>
        </w:tc>
      </w:tr>
      <w:tr w:rsidR="00232836" w14:paraId="616EBED1"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0794A777" w14:textId="77777777" w:rsidR="00232836" w:rsidRDefault="002E3C2E">
            <w:pPr>
              <w:widowControl w:val="0"/>
              <w:spacing w:after="0"/>
              <w:ind w:left="8" w:right="0" w:firstLine="0"/>
              <w:jc w:val="left"/>
            </w:pPr>
            <w:r>
              <w:rPr>
                <w:i/>
                <w:sz w:val="20"/>
              </w:rPr>
              <w:t>r</w:t>
            </w:r>
            <w:r>
              <w:rPr>
                <w:i/>
                <w:sz w:val="12"/>
              </w:rPr>
              <w:t>1,VII</w:t>
            </w:r>
          </w:p>
        </w:tc>
        <w:tc>
          <w:tcPr>
            <w:tcW w:w="1920" w:type="dxa"/>
            <w:tcBorders>
              <w:top w:val="single" w:sz="8" w:space="0" w:color="000000"/>
              <w:left w:val="single" w:sz="8" w:space="0" w:color="000000"/>
              <w:bottom w:val="single" w:sz="8" w:space="0" w:color="000000"/>
              <w:right w:val="single" w:sz="8" w:space="0" w:color="000000"/>
            </w:tcBorders>
            <w:vAlign w:val="center"/>
          </w:tcPr>
          <w:p w14:paraId="6CE93919" w14:textId="77777777" w:rsidR="00232836" w:rsidRDefault="002E3C2E">
            <w:pPr>
              <w:widowControl w:val="0"/>
              <w:spacing w:after="0"/>
              <w:ind w:left="8" w:right="0" w:firstLine="0"/>
              <w:jc w:val="left"/>
            </w:pPr>
            <w:r>
              <w:rPr>
                <w:sz w:val="20"/>
              </w:rPr>
              <w:t>-0.015</w:t>
            </w:r>
          </w:p>
        </w:tc>
        <w:tc>
          <w:tcPr>
            <w:tcW w:w="1920" w:type="dxa"/>
            <w:tcBorders>
              <w:top w:val="single" w:sz="8" w:space="0" w:color="000000"/>
              <w:left w:val="single" w:sz="8" w:space="0" w:color="000000"/>
              <w:bottom w:val="single" w:sz="8" w:space="0" w:color="000000"/>
              <w:right w:val="single" w:sz="8" w:space="0" w:color="000000"/>
            </w:tcBorders>
            <w:vAlign w:val="center"/>
          </w:tcPr>
          <w:p w14:paraId="4A406F1D" w14:textId="77777777" w:rsidR="00232836" w:rsidRDefault="002E3C2E">
            <w:pPr>
              <w:widowControl w:val="0"/>
              <w:spacing w:after="0"/>
              <w:ind w:left="8" w:right="0" w:firstLine="0"/>
              <w:jc w:val="left"/>
            </w:pPr>
            <w:r>
              <w:rPr>
                <w:sz w:val="20"/>
              </w:rPr>
              <w:t>-0.078 ~ 0.03</w:t>
            </w:r>
          </w:p>
        </w:tc>
        <w:tc>
          <w:tcPr>
            <w:tcW w:w="1920" w:type="dxa"/>
            <w:tcBorders>
              <w:top w:val="single" w:sz="8" w:space="0" w:color="000000"/>
              <w:left w:val="single" w:sz="8" w:space="0" w:color="000000"/>
              <w:bottom w:val="single" w:sz="8" w:space="0" w:color="000000"/>
              <w:right w:val="single" w:sz="8" w:space="0" w:color="000000"/>
            </w:tcBorders>
            <w:vAlign w:val="center"/>
          </w:tcPr>
          <w:p w14:paraId="24F38F44" w14:textId="77777777" w:rsidR="00232836" w:rsidRDefault="002E3C2E">
            <w:pPr>
              <w:widowControl w:val="0"/>
              <w:spacing w:after="0"/>
              <w:ind w:left="8" w:right="0" w:firstLine="0"/>
              <w:jc w:val="left"/>
            </w:pPr>
            <w:r>
              <w:rPr>
                <w:sz w:val="20"/>
              </w:rPr>
              <w:t>1.0011</w:t>
            </w:r>
          </w:p>
        </w:tc>
        <w:tc>
          <w:tcPr>
            <w:tcW w:w="1920" w:type="dxa"/>
            <w:tcBorders>
              <w:top w:val="single" w:sz="8" w:space="0" w:color="000000"/>
              <w:left w:val="single" w:sz="8" w:space="0" w:color="000000"/>
              <w:bottom w:val="single" w:sz="8" w:space="0" w:color="000000"/>
              <w:right w:val="single" w:sz="8" w:space="0" w:color="000000"/>
            </w:tcBorders>
            <w:vAlign w:val="center"/>
          </w:tcPr>
          <w:p w14:paraId="2ECBF47A" w14:textId="77777777" w:rsidR="00232836" w:rsidRDefault="002E3C2E">
            <w:pPr>
              <w:widowControl w:val="0"/>
              <w:spacing w:after="0"/>
              <w:ind w:left="8" w:right="0" w:firstLine="0"/>
              <w:jc w:val="left"/>
            </w:pPr>
            <w:r>
              <w:rPr>
                <w:sz w:val="20"/>
              </w:rPr>
              <w:t>14638</w:t>
            </w:r>
          </w:p>
        </w:tc>
      </w:tr>
      <w:tr w:rsidR="00232836" w14:paraId="354D7351"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709B313D" w14:textId="77777777" w:rsidR="00232836" w:rsidRDefault="002E3C2E">
            <w:pPr>
              <w:widowControl w:val="0"/>
              <w:spacing w:after="0"/>
              <w:ind w:left="8" w:right="0" w:firstLine="0"/>
              <w:jc w:val="left"/>
            </w:pPr>
            <w:r>
              <w:rPr>
                <w:i/>
                <w:sz w:val="20"/>
              </w:rPr>
              <w:t>r</w:t>
            </w:r>
            <w:r>
              <w:rPr>
                <w:i/>
                <w:sz w:val="12"/>
              </w:rPr>
              <w:t>1,VIII</w:t>
            </w:r>
          </w:p>
        </w:tc>
        <w:tc>
          <w:tcPr>
            <w:tcW w:w="1920" w:type="dxa"/>
            <w:tcBorders>
              <w:top w:val="single" w:sz="8" w:space="0" w:color="000000"/>
              <w:left w:val="single" w:sz="8" w:space="0" w:color="000000"/>
              <w:bottom w:val="single" w:sz="8" w:space="0" w:color="000000"/>
              <w:right w:val="single" w:sz="8" w:space="0" w:color="000000"/>
            </w:tcBorders>
            <w:vAlign w:val="center"/>
          </w:tcPr>
          <w:p w14:paraId="0CBCDEC9" w14:textId="77777777" w:rsidR="00232836" w:rsidRDefault="002E3C2E">
            <w:pPr>
              <w:widowControl w:val="0"/>
              <w:spacing w:after="0"/>
              <w:ind w:left="8" w:right="0" w:firstLine="0"/>
              <w:jc w:val="left"/>
            </w:pPr>
            <w:r>
              <w:rPr>
                <w:sz w:val="20"/>
              </w:rPr>
              <w:t>0.036</w:t>
            </w:r>
          </w:p>
        </w:tc>
        <w:tc>
          <w:tcPr>
            <w:tcW w:w="1920" w:type="dxa"/>
            <w:tcBorders>
              <w:top w:val="single" w:sz="8" w:space="0" w:color="000000"/>
              <w:left w:val="single" w:sz="8" w:space="0" w:color="000000"/>
              <w:bottom w:val="single" w:sz="8" w:space="0" w:color="000000"/>
              <w:right w:val="single" w:sz="8" w:space="0" w:color="000000"/>
            </w:tcBorders>
            <w:vAlign w:val="center"/>
          </w:tcPr>
          <w:p w14:paraId="44BB6E9B" w14:textId="77777777" w:rsidR="00232836" w:rsidRDefault="002E3C2E">
            <w:pPr>
              <w:widowControl w:val="0"/>
              <w:spacing w:after="0"/>
              <w:ind w:left="8" w:right="0" w:firstLine="0"/>
              <w:jc w:val="left"/>
            </w:pPr>
            <w:r>
              <w:rPr>
                <w:sz w:val="20"/>
              </w:rPr>
              <w:t>-0.123 ~ 0.039</w:t>
            </w:r>
          </w:p>
        </w:tc>
        <w:tc>
          <w:tcPr>
            <w:tcW w:w="1920" w:type="dxa"/>
            <w:tcBorders>
              <w:top w:val="single" w:sz="8" w:space="0" w:color="000000"/>
              <w:left w:val="single" w:sz="8" w:space="0" w:color="000000"/>
              <w:bottom w:val="single" w:sz="8" w:space="0" w:color="000000"/>
              <w:right w:val="single" w:sz="8" w:space="0" w:color="000000"/>
            </w:tcBorders>
            <w:vAlign w:val="center"/>
          </w:tcPr>
          <w:p w14:paraId="658F02E1" w14:textId="77777777" w:rsidR="00232836" w:rsidRDefault="002E3C2E">
            <w:pPr>
              <w:widowControl w:val="0"/>
              <w:spacing w:after="0"/>
              <w:ind w:left="8" w:right="0" w:firstLine="0"/>
              <w:jc w:val="left"/>
            </w:pPr>
            <w:r>
              <w:rPr>
                <w:sz w:val="20"/>
              </w:rPr>
              <w:t>1.0008</w:t>
            </w:r>
          </w:p>
        </w:tc>
        <w:tc>
          <w:tcPr>
            <w:tcW w:w="1920" w:type="dxa"/>
            <w:tcBorders>
              <w:top w:val="single" w:sz="8" w:space="0" w:color="000000"/>
              <w:left w:val="single" w:sz="8" w:space="0" w:color="000000"/>
              <w:bottom w:val="single" w:sz="8" w:space="0" w:color="000000"/>
              <w:right w:val="single" w:sz="8" w:space="0" w:color="000000"/>
            </w:tcBorders>
            <w:vAlign w:val="center"/>
          </w:tcPr>
          <w:p w14:paraId="3A6E5206" w14:textId="77777777" w:rsidR="00232836" w:rsidRDefault="002E3C2E">
            <w:pPr>
              <w:widowControl w:val="0"/>
              <w:spacing w:after="0"/>
              <w:ind w:left="8" w:right="0" w:firstLine="0"/>
              <w:jc w:val="left"/>
            </w:pPr>
            <w:r>
              <w:rPr>
                <w:sz w:val="20"/>
              </w:rPr>
              <w:t>15346</w:t>
            </w:r>
          </w:p>
        </w:tc>
      </w:tr>
      <w:tr w:rsidR="00232836" w14:paraId="58722E3A"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774DBAAC" w14:textId="77777777" w:rsidR="00232836" w:rsidRDefault="002E3C2E">
            <w:pPr>
              <w:widowControl w:val="0"/>
              <w:spacing w:after="0"/>
              <w:ind w:left="8" w:right="0" w:firstLine="0"/>
              <w:jc w:val="left"/>
            </w:pPr>
            <w:r>
              <w:rPr>
                <w:i/>
                <w:sz w:val="20"/>
              </w:rPr>
              <w:t>r</w:t>
            </w:r>
            <w:r>
              <w:rPr>
                <w:i/>
                <w:sz w:val="12"/>
              </w:rPr>
              <w:t>2,I</w:t>
            </w:r>
          </w:p>
        </w:tc>
        <w:tc>
          <w:tcPr>
            <w:tcW w:w="1920" w:type="dxa"/>
            <w:tcBorders>
              <w:top w:val="single" w:sz="8" w:space="0" w:color="000000"/>
              <w:left w:val="single" w:sz="8" w:space="0" w:color="000000"/>
              <w:bottom w:val="single" w:sz="8" w:space="0" w:color="000000"/>
              <w:right w:val="single" w:sz="8" w:space="0" w:color="000000"/>
            </w:tcBorders>
            <w:vAlign w:val="center"/>
          </w:tcPr>
          <w:p w14:paraId="7BFF46ED" w14:textId="77777777" w:rsidR="00232836" w:rsidRDefault="002E3C2E">
            <w:pPr>
              <w:widowControl w:val="0"/>
              <w:spacing w:after="0"/>
              <w:ind w:left="8" w:right="0" w:firstLine="0"/>
              <w:jc w:val="left"/>
            </w:pPr>
            <w:r>
              <w:rPr>
                <w:sz w:val="20"/>
              </w:rPr>
              <w:t>0.374</w:t>
            </w:r>
          </w:p>
        </w:tc>
        <w:tc>
          <w:tcPr>
            <w:tcW w:w="1920" w:type="dxa"/>
            <w:tcBorders>
              <w:top w:val="single" w:sz="8" w:space="0" w:color="000000"/>
              <w:left w:val="single" w:sz="8" w:space="0" w:color="000000"/>
              <w:bottom w:val="single" w:sz="8" w:space="0" w:color="000000"/>
              <w:right w:val="single" w:sz="8" w:space="0" w:color="000000"/>
            </w:tcBorders>
            <w:vAlign w:val="center"/>
          </w:tcPr>
          <w:p w14:paraId="0B50E86A" w14:textId="77777777" w:rsidR="00232836" w:rsidRDefault="002E3C2E">
            <w:pPr>
              <w:widowControl w:val="0"/>
              <w:spacing w:after="0"/>
              <w:ind w:left="8" w:right="0" w:firstLine="0"/>
              <w:jc w:val="left"/>
            </w:pPr>
            <w:r>
              <w:rPr>
                <w:sz w:val="20"/>
              </w:rPr>
              <w:t>0.121 ~ 0.275</w:t>
            </w:r>
          </w:p>
        </w:tc>
        <w:tc>
          <w:tcPr>
            <w:tcW w:w="1920" w:type="dxa"/>
            <w:tcBorders>
              <w:top w:val="single" w:sz="8" w:space="0" w:color="000000"/>
              <w:left w:val="single" w:sz="8" w:space="0" w:color="000000"/>
              <w:bottom w:val="single" w:sz="8" w:space="0" w:color="000000"/>
              <w:right w:val="single" w:sz="8" w:space="0" w:color="000000"/>
            </w:tcBorders>
            <w:vAlign w:val="center"/>
          </w:tcPr>
          <w:p w14:paraId="39F0D6CB" w14:textId="77777777" w:rsidR="00232836" w:rsidRDefault="002E3C2E">
            <w:pPr>
              <w:widowControl w:val="0"/>
              <w:spacing w:after="0"/>
              <w:ind w:left="8" w:right="0" w:firstLine="0"/>
              <w:jc w:val="left"/>
            </w:pPr>
            <w:r>
              <w:rPr>
                <w:sz w:val="20"/>
              </w:rPr>
              <w:t>1.0008</w:t>
            </w:r>
          </w:p>
        </w:tc>
        <w:tc>
          <w:tcPr>
            <w:tcW w:w="1920" w:type="dxa"/>
            <w:tcBorders>
              <w:top w:val="single" w:sz="8" w:space="0" w:color="000000"/>
              <w:left w:val="single" w:sz="8" w:space="0" w:color="000000"/>
              <w:bottom w:val="single" w:sz="8" w:space="0" w:color="000000"/>
              <w:right w:val="single" w:sz="8" w:space="0" w:color="000000"/>
            </w:tcBorders>
            <w:vAlign w:val="center"/>
          </w:tcPr>
          <w:p w14:paraId="676CEAA2" w14:textId="77777777" w:rsidR="00232836" w:rsidRDefault="002E3C2E">
            <w:pPr>
              <w:widowControl w:val="0"/>
              <w:spacing w:after="0"/>
              <w:ind w:left="8" w:right="0" w:firstLine="0"/>
              <w:jc w:val="left"/>
            </w:pPr>
            <w:r>
              <w:rPr>
                <w:sz w:val="20"/>
              </w:rPr>
              <w:t>16313</w:t>
            </w:r>
          </w:p>
        </w:tc>
      </w:tr>
      <w:tr w:rsidR="00232836" w14:paraId="2798D352"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2F645E0F" w14:textId="77777777" w:rsidR="00232836" w:rsidRDefault="002E3C2E">
            <w:pPr>
              <w:widowControl w:val="0"/>
              <w:spacing w:after="0"/>
              <w:ind w:left="8" w:right="0" w:firstLine="0"/>
              <w:jc w:val="left"/>
            </w:pPr>
            <w:r>
              <w:rPr>
                <w:i/>
                <w:sz w:val="20"/>
              </w:rPr>
              <w:t>r</w:t>
            </w:r>
            <w:r>
              <w:rPr>
                <w:i/>
                <w:sz w:val="12"/>
              </w:rPr>
              <w:t>2,II</w:t>
            </w:r>
          </w:p>
        </w:tc>
        <w:tc>
          <w:tcPr>
            <w:tcW w:w="1920" w:type="dxa"/>
            <w:tcBorders>
              <w:top w:val="single" w:sz="8" w:space="0" w:color="000000"/>
              <w:left w:val="single" w:sz="8" w:space="0" w:color="000000"/>
              <w:bottom w:val="single" w:sz="8" w:space="0" w:color="000000"/>
              <w:right w:val="single" w:sz="8" w:space="0" w:color="000000"/>
            </w:tcBorders>
            <w:vAlign w:val="center"/>
          </w:tcPr>
          <w:p w14:paraId="38792A02" w14:textId="77777777" w:rsidR="00232836" w:rsidRDefault="002E3C2E">
            <w:pPr>
              <w:widowControl w:val="0"/>
              <w:spacing w:after="0"/>
              <w:ind w:left="8" w:right="0" w:firstLine="0"/>
              <w:jc w:val="left"/>
            </w:pPr>
            <w:r>
              <w:rPr>
                <w:sz w:val="20"/>
              </w:rPr>
              <w:t>0.339</w:t>
            </w:r>
          </w:p>
        </w:tc>
        <w:tc>
          <w:tcPr>
            <w:tcW w:w="1920" w:type="dxa"/>
            <w:tcBorders>
              <w:top w:val="single" w:sz="8" w:space="0" w:color="000000"/>
              <w:left w:val="single" w:sz="8" w:space="0" w:color="000000"/>
              <w:bottom w:val="single" w:sz="8" w:space="0" w:color="000000"/>
              <w:right w:val="single" w:sz="8" w:space="0" w:color="000000"/>
            </w:tcBorders>
            <w:vAlign w:val="center"/>
          </w:tcPr>
          <w:p w14:paraId="1B4D7049" w14:textId="77777777" w:rsidR="00232836" w:rsidRDefault="002E3C2E">
            <w:pPr>
              <w:widowControl w:val="0"/>
              <w:spacing w:after="0"/>
              <w:ind w:left="8" w:right="0" w:firstLine="0"/>
              <w:jc w:val="left"/>
            </w:pPr>
            <w:r>
              <w:rPr>
                <w:sz w:val="20"/>
              </w:rPr>
              <w:t>0.153 ~ 0.268</w:t>
            </w:r>
          </w:p>
        </w:tc>
        <w:tc>
          <w:tcPr>
            <w:tcW w:w="1920" w:type="dxa"/>
            <w:tcBorders>
              <w:top w:val="single" w:sz="8" w:space="0" w:color="000000"/>
              <w:left w:val="single" w:sz="8" w:space="0" w:color="000000"/>
              <w:bottom w:val="single" w:sz="8" w:space="0" w:color="000000"/>
              <w:right w:val="single" w:sz="8" w:space="0" w:color="000000"/>
            </w:tcBorders>
            <w:vAlign w:val="center"/>
          </w:tcPr>
          <w:p w14:paraId="04D96708" w14:textId="77777777" w:rsidR="00232836" w:rsidRDefault="002E3C2E">
            <w:pPr>
              <w:widowControl w:val="0"/>
              <w:spacing w:after="0"/>
              <w:ind w:left="8" w:right="0" w:firstLine="0"/>
              <w:jc w:val="left"/>
            </w:pPr>
            <w:r>
              <w:rPr>
                <w:sz w:val="20"/>
              </w:rPr>
              <w:t>1.0011</w:t>
            </w:r>
          </w:p>
        </w:tc>
        <w:tc>
          <w:tcPr>
            <w:tcW w:w="1920" w:type="dxa"/>
            <w:tcBorders>
              <w:top w:val="single" w:sz="8" w:space="0" w:color="000000"/>
              <w:left w:val="single" w:sz="8" w:space="0" w:color="000000"/>
              <w:bottom w:val="single" w:sz="8" w:space="0" w:color="000000"/>
              <w:right w:val="single" w:sz="8" w:space="0" w:color="000000"/>
            </w:tcBorders>
            <w:vAlign w:val="center"/>
          </w:tcPr>
          <w:p w14:paraId="23524E76" w14:textId="77777777" w:rsidR="00232836" w:rsidRDefault="002E3C2E">
            <w:pPr>
              <w:widowControl w:val="0"/>
              <w:spacing w:after="0"/>
              <w:ind w:left="8" w:right="0" w:firstLine="0"/>
              <w:jc w:val="left"/>
            </w:pPr>
            <w:r>
              <w:rPr>
                <w:sz w:val="20"/>
              </w:rPr>
              <w:t>12302</w:t>
            </w:r>
          </w:p>
        </w:tc>
      </w:tr>
      <w:tr w:rsidR="00232836" w14:paraId="1C23FC98"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2CEFAB16" w14:textId="77777777" w:rsidR="00232836" w:rsidRDefault="002E3C2E">
            <w:pPr>
              <w:widowControl w:val="0"/>
              <w:spacing w:after="0"/>
              <w:ind w:left="8" w:right="0" w:firstLine="0"/>
              <w:jc w:val="left"/>
            </w:pPr>
            <w:r>
              <w:rPr>
                <w:i/>
                <w:sz w:val="20"/>
              </w:rPr>
              <w:t>r</w:t>
            </w:r>
            <w:r>
              <w:rPr>
                <w:i/>
                <w:sz w:val="12"/>
              </w:rPr>
              <w:t>2,III</w:t>
            </w:r>
          </w:p>
        </w:tc>
        <w:tc>
          <w:tcPr>
            <w:tcW w:w="1920" w:type="dxa"/>
            <w:tcBorders>
              <w:top w:val="single" w:sz="8" w:space="0" w:color="000000"/>
              <w:left w:val="single" w:sz="8" w:space="0" w:color="000000"/>
              <w:bottom w:val="single" w:sz="8" w:space="0" w:color="000000"/>
              <w:right w:val="single" w:sz="8" w:space="0" w:color="000000"/>
            </w:tcBorders>
            <w:vAlign w:val="center"/>
          </w:tcPr>
          <w:p w14:paraId="01832A9C" w14:textId="77777777" w:rsidR="00232836" w:rsidRDefault="002E3C2E">
            <w:pPr>
              <w:widowControl w:val="0"/>
              <w:spacing w:after="0"/>
              <w:ind w:left="8" w:right="0" w:firstLine="0"/>
              <w:jc w:val="left"/>
            </w:pPr>
            <w:r>
              <w:rPr>
                <w:sz w:val="20"/>
              </w:rPr>
              <w:t>0.028</w:t>
            </w:r>
          </w:p>
        </w:tc>
        <w:tc>
          <w:tcPr>
            <w:tcW w:w="1920" w:type="dxa"/>
            <w:tcBorders>
              <w:top w:val="single" w:sz="8" w:space="0" w:color="000000"/>
              <w:left w:val="single" w:sz="8" w:space="0" w:color="000000"/>
              <w:bottom w:val="single" w:sz="8" w:space="0" w:color="000000"/>
              <w:right w:val="single" w:sz="8" w:space="0" w:color="000000"/>
            </w:tcBorders>
            <w:vAlign w:val="center"/>
          </w:tcPr>
          <w:p w14:paraId="20065E51" w14:textId="77777777" w:rsidR="00232836" w:rsidRDefault="002E3C2E">
            <w:pPr>
              <w:widowControl w:val="0"/>
              <w:spacing w:after="0"/>
              <w:ind w:left="8" w:right="0" w:firstLine="0"/>
              <w:jc w:val="left"/>
            </w:pPr>
            <w:r>
              <w:rPr>
                <w:sz w:val="20"/>
              </w:rPr>
              <w:t>0.036 ~ 0.141</w:t>
            </w:r>
          </w:p>
        </w:tc>
        <w:tc>
          <w:tcPr>
            <w:tcW w:w="1920" w:type="dxa"/>
            <w:tcBorders>
              <w:top w:val="single" w:sz="8" w:space="0" w:color="000000"/>
              <w:left w:val="single" w:sz="8" w:space="0" w:color="000000"/>
              <w:bottom w:val="single" w:sz="8" w:space="0" w:color="000000"/>
              <w:right w:val="single" w:sz="8" w:space="0" w:color="000000"/>
            </w:tcBorders>
            <w:vAlign w:val="center"/>
          </w:tcPr>
          <w:p w14:paraId="2F5D1362" w14:textId="77777777" w:rsidR="00232836" w:rsidRDefault="002E3C2E">
            <w:pPr>
              <w:widowControl w:val="0"/>
              <w:spacing w:after="0"/>
              <w:ind w:left="8" w:right="0" w:firstLine="0"/>
              <w:jc w:val="left"/>
            </w:pPr>
            <w:r>
              <w:rPr>
                <w:sz w:val="20"/>
              </w:rPr>
              <w:t>1.0003</w:t>
            </w:r>
          </w:p>
        </w:tc>
        <w:tc>
          <w:tcPr>
            <w:tcW w:w="1920" w:type="dxa"/>
            <w:tcBorders>
              <w:top w:val="single" w:sz="8" w:space="0" w:color="000000"/>
              <w:left w:val="single" w:sz="8" w:space="0" w:color="000000"/>
              <w:bottom w:val="single" w:sz="8" w:space="0" w:color="000000"/>
              <w:right w:val="single" w:sz="8" w:space="0" w:color="000000"/>
            </w:tcBorders>
            <w:vAlign w:val="center"/>
          </w:tcPr>
          <w:p w14:paraId="20BD604C" w14:textId="77777777" w:rsidR="00232836" w:rsidRDefault="002E3C2E">
            <w:pPr>
              <w:widowControl w:val="0"/>
              <w:spacing w:after="0"/>
              <w:ind w:left="8" w:right="0" w:firstLine="0"/>
              <w:jc w:val="left"/>
            </w:pPr>
            <w:r>
              <w:rPr>
                <w:sz w:val="20"/>
              </w:rPr>
              <w:t>12265</w:t>
            </w:r>
          </w:p>
        </w:tc>
      </w:tr>
      <w:tr w:rsidR="00232836" w14:paraId="181E69B2"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2B9E1F29" w14:textId="77777777" w:rsidR="00232836" w:rsidRDefault="002E3C2E">
            <w:pPr>
              <w:widowControl w:val="0"/>
              <w:spacing w:after="0"/>
              <w:ind w:left="8" w:right="0" w:firstLine="0"/>
              <w:jc w:val="left"/>
            </w:pPr>
            <w:r>
              <w:rPr>
                <w:i/>
                <w:sz w:val="20"/>
              </w:rPr>
              <w:t>r</w:t>
            </w:r>
            <w:r>
              <w:rPr>
                <w:i/>
                <w:sz w:val="12"/>
              </w:rPr>
              <w:t>2,IV</w:t>
            </w:r>
          </w:p>
        </w:tc>
        <w:tc>
          <w:tcPr>
            <w:tcW w:w="1920" w:type="dxa"/>
            <w:tcBorders>
              <w:top w:val="single" w:sz="8" w:space="0" w:color="000000"/>
              <w:left w:val="single" w:sz="8" w:space="0" w:color="000000"/>
              <w:bottom w:val="single" w:sz="8" w:space="0" w:color="000000"/>
              <w:right w:val="single" w:sz="8" w:space="0" w:color="000000"/>
            </w:tcBorders>
            <w:vAlign w:val="center"/>
          </w:tcPr>
          <w:p w14:paraId="6C1E321C" w14:textId="77777777" w:rsidR="00232836" w:rsidRDefault="002E3C2E">
            <w:pPr>
              <w:widowControl w:val="0"/>
              <w:spacing w:after="0"/>
              <w:ind w:left="8" w:right="0" w:firstLine="0"/>
              <w:jc w:val="left"/>
            </w:pPr>
            <w:r>
              <w:rPr>
                <w:sz w:val="20"/>
              </w:rPr>
              <w:t>0.109</w:t>
            </w:r>
          </w:p>
        </w:tc>
        <w:tc>
          <w:tcPr>
            <w:tcW w:w="1920" w:type="dxa"/>
            <w:tcBorders>
              <w:top w:val="single" w:sz="8" w:space="0" w:color="000000"/>
              <w:left w:val="single" w:sz="8" w:space="0" w:color="000000"/>
              <w:bottom w:val="single" w:sz="8" w:space="0" w:color="000000"/>
              <w:right w:val="single" w:sz="8" w:space="0" w:color="000000"/>
            </w:tcBorders>
            <w:vAlign w:val="center"/>
          </w:tcPr>
          <w:p w14:paraId="5D7545EF" w14:textId="77777777" w:rsidR="00232836" w:rsidRDefault="002E3C2E">
            <w:pPr>
              <w:widowControl w:val="0"/>
              <w:spacing w:after="0"/>
              <w:ind w:left="8" w:right="0" w:firstLine="0"/>
              <w:jc w:val="left"/>
            </w:pPr>
            <w:r>
              <w:rPr>
                <w:sz w:val="20"/>
              </w:rPr>
              <w:t>0.069 ~ 0.157</w:t>
            </w:r>
          </w:p>
        </w:tc>
        <w:tc>
          <w:tcPr>
            <w:tcW w:w="1920" w:type="dxa"/>
            <w:tcBorders>
              <w:top w:val="single" w:sz="8" w:space="0" w:color="000000"/>
              <w:left w:val="single" w:sz="8" w:space="0" w:color="000000"/>
              <w:bottom w:val="single" w:sz="8" w:space="0" w:color="000000"/>
              <w:right w:val="single" w:sz="8" w:space="0" w:color="000000"/>
            </w:tcBorders>
            <w:vAlign w:val="center"/>
          </w:tcPr>
          <w:p w14:paraId="7708B750" w14:textId="77777777" w:rsidR="00232836" w:rsidRDefault="002E3C2E">
            <w:pPr>
              <w:widowControl w:val="0"/>
              <w:spacing w:after="0"/>
              <w:ind w:left="8" w:right="0" w:firstLine="0"/>
              <w:jc w:val="left"/>
            </w:pPr>
            <w:r>
              <w:rPr>
                <w:sz w:val="20"/>
              </w:rPr>
              <w:t>1.0006</w:t>
            </w:r>
          </w:p>
        </w:tc>
        <w:tc>
          <w:tcPr>
            <w:tcW w:w="1920" w:type="dxa"/>
            <w:tcBorders>
              <w:top w:val="single" w:sz="8" w:space="0" w:color="000000"/>
              <w:left w:val="single" w:sz="8" w:space="0" w:color="000000"/>
              <w:bottom w:val="single" w:sz="8" w:space="0" w:color="000000"/>
              <w:right w:val="single" w:sz="8" w:space="0" w:color="000000"/>
            </w:tcBorders>
            <w:vAlign w:val="center"/>
          </w:tcPr>
          <w:p w14:paraId="246D81EF" w14:textId="77777777" w:rsidR="00232836" w:rsidRDefault="002E3C2E">
            <w:pPr>
              <w:widowControl w:val="0"/>
              <w:spacing w:after="0"/>
              <w:ind w:left="8" w:right="0" w:firstLine="0"/>
              <w:jc w:val="left"/>
            </w:pPr>
            <w:r>
              <w:rPr>
                <w:sz w:val="20"/>
              </w:rPr>
              <w:t>20476</w:t>
            </w:r>
          </w:p>
        </w:tc>
      </w:tr>
      <w:tr w:rsidR="00232836" w14:paraId="77EE2A36"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61C98A29" w14:textId="77777777" w:rsidR="00232836" w:rsidRDefault="002E3C2E">
            <w:pPr>
              <w:widowControl w:val="0"/>
              <w:spacing w:after="0"/>
              <w:ind w:left="8" w:right="0" w:firstLine="0"/>
              <w:jc w:val="left"/>
            </w:pPr>
            <w:r>
              <w:rPr>
                <w:i/>
                <w:sz w:val="20"/>
              </w:rPr>
              <w:t>r</w:t>
            </w:r>
            <w:r>
              <w:rPr>
                <w:i/>
                <w:sz w:val="12"/>
              </w:rPr>
              <w:t>2,V</w:t>
            </w:r>
          </w:p>
        </w:tc>
        <w:tc>
          <w:tcPr>
            <w:tcW w:w="1920" w:type="dxa"/>
            <w:tcBorders>
              <w:top w:val="single" w:sz="8" w:space="0" w:color="000000"/>
              <w:left w:val="single" w:sz="8" w:space="0" w:color="000000"/>
              <w:bottom w:val="single" w:sz="8" w:space="0" w:color="000000"/>
              <w:right w:val="single" w:sz="8" w:space="0" w:color="000000"/>
            </w:tcBorders>
            <w:vAlign w:val="center"/>
          </w:tcPr>
          <w:p w14:paraId="0BC61F17" w14:textId="77777777" w:rsidR="00232836" w:rsidRDefault="002E3C2E">
            <w:pPr>
              <w:widowControl w:val="0"/>
              <w:spacing w:after="0"/>
              <w:ind w:left="8" w:right="0" w:firstLine="0"/>
              <w:jc w:val="left"/>
            </w:pPr>
            <w:r>
              <w:rPr>
                <w:sz w:val="20"/>
              </w:rPr>
              <w:t>0.082</w:t>
            </w:r>
          </w:p>
        </w:tc>
        <w:tc>
          <w:tcPr>
            <w:tcW w:w="1920" w:type="dxa"/>
            <w:tcBorders>
              <w:top w:val="single" w:sz="8" w:space="0" w:color="000000"/>
              <w:left w:val="single" w:sz="8" w:space="0" w:color="000000"/>
              <w:bottom w:val="single" w:sz="8" w:space="0" w:color="000000"/>
              <w:right w:val="single" w:sz="8" w:space="0" w:color="000000"/>
            </w:tcBorders>
            <w:vAlign w:val="center"/>
          </w:tcPr>
          <w:p w14:paraId="4AA360D0" w14:textId="77777777" w:rsidR="00232836" w:rsidRDefault="002E3C2E">
            <w:pPr>
              <w:widowControl w:val="0"/>
              <w:spacing w:after="0"/>
              <w:ind w:left="8" w:right="0" w:firstLine="0"/>
              <w:jc w:val="left"/>
            </w:pPr>
            <w:r>
              <w:rPr>
                <w:sz w:val="20"/>
              </w:rPr>
              <w:t>0.071 ~ 0.135</w:t>
            </w:r>
          </w:p>
        </w:tc>
        <w:tc>
          <w:tcPr>
            <w:tcW w:w="1920" w:type="dxa"/>
            <w:tcBorders>
              <w:top w:val="single" w:sz="8" w:space="0" w:color="000000"/>
              <w:left w:val="single" w:sz="8" w:space="0" w:color="000000"/>
              <w:bottom w:val="single" w:sz="8" w:space="0" w:color="000000"/>
              <w:right w:val="single" w:sz="8" w:space="0" w:color="000000"/>
            </w:tcBorders>
            <w:vAlign w:val="center"/>
          </w:tcPr>
          <w:p w14:paraId="78C5F2E3" w14:textId="77777777" w:rsidR="00232836" w:rsidRDefault="002E3C2E">
            <w:pPr>
              <w:widowControl w:val="0"/>
              <w:spacing w:after="0"/>
              <w:ind w:left="8" w:right="0" w:firstLine="0"/>
              <w:jc w:val="left"/>
            </w:pPr>
            <w:r>
              <w:rPr>
                <w:sz w:val="20"/>
              </w:rPr>
              <w:t>1.0005</w:t>
            </w:r>
          </w:p>
        </w:tc>
        <w:tc>
          <w:tcPr>
            <w:tcW w:w="1920" w:type="dxa"/>
            <w:tcBorders>
              <w:top w:val="single" w:sz="8" w:space="0" w:color="000000"/>
              <w:left w:val="single" w:sz="8" w:space="0" w:color="000000"/>
              <w:bottom w:val="single" w:sz="8" w:space="0" w:color="000000"/>
              <w:right w:val="single" w:sz="8" w:space="0" w:color="000000"/>
            </w:tcBorders>
            <w:vAlign w:val="center"/>
          </w:tcPr>
          <w:p w14:paraId="5D03DACF" w14:textId="77777777" w:rsidR="00232836" w:rsidRDefault="002E3C2E">
            <w:pPr>
              <w:widowControl w:val="0"/>
              <w:spacing w:after="0"/>
              <w:ind w:left="8" w:right="0" w:firstLine="0"/>
              <w:jc w:val="left"/>
            </w:pPr>
            <w:r>
              <w:rPr>
                <w:sz w:val="20"/>
              </w:rPr>
              <w:t>18314</w:t>
            </w:r>
          </w:p>
        </w:tc>
      </w:tr>
      <w:tr w:rsidR="00232836" w14:paraId="3A9ACBF0"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06D652DB" w14:textId="77777777" w:rsidR="00232836" w:rsidRDefault="002E3C2E">
            <w:pPr>
              <w:widowControl w:val="0"/>
              <w:spacing w:after="0"/>
              <w:ind w:left="8" w:right="0" w:firstLine="0"/>
              <w:jc w:val="left"/>
            </w:pPr>
            <w:r>
              <w:rPr>
                <w:i/>
                <w:sz w:val="20"/>
              </w:rPr>
              <w:t>r</w:t>
            </w:r>
            <w:r>
              <w:rPr>
                <w:i/>
                <w:sz w:val="12"/>
              </w:rPr>
              <w:t>2,VI</w:t>
            </w:r>
          </w:p>
        </w:tc>
        <w:tc>
          <w:tcPr>
            <w:tcW w:w="1920" w:type="dxa"/>
            <w:tcBorders>
              <w:top w:val="single" w:sz="8" w:space="0" w:color="000000"/>
              <w:left w:val="single" w:sz="8" w:space="0" w:color="000000"/>
              <w:bottom w:val="single" w:sz="8" w:space="0" w:color="000000"/>
              <w:right w:val="single" w:sz="8" w:space="0" w:color="000000"/>
            </w:tcBorders>
            <w:vAlign w:val="center"/>
          </w:tcPr>
          <w:p w14:paraId="67354B23" w14:textId="77777777" w:rsidR="00232836" w:rsidRDefault="002E3C2E">
            <w:pPr>
              <w:widowControl w:val="0"/>
              <w:spacing w:after="0"/>
              <w:ind w:left="8" w:right="0" w:firstLine="0"/>
              <w:jc w:val="left"/>
            </w:pPr>
            <w:r>
              <w:rPr>
                <w:sz w:val="20"/>
              </w:rPr>
              <w:t>0.244</w:t>
            </w:r>
          </w:p>
        </w:tc>
        <w:tc>
          <w:tcPr>
            <w:tcW w:w="1920" w:type="dxa"/>
            <w:tcBorders>
              <w:top w:val="single" w:sz="8" w:space="0" w:color="000000"/>
              <w:left w:val="single" w:sz="8" w:space="0" w:color="000000"/>
              <w:bottom w:val="single" w:sz="8" w:space="0" w:color="000000"/>
              <w:right w:val="single" w:sz="8" w:space="0" w:color="000000"/>
            </w:tcBorders>
            <w:vAlign w:val="center"/>
          </w:tcPr>
          <w:p w14:paraId="029064AC" w14:textId="77777777" w:rsidR="00232836" w:rsidRDefault="002E3C2E">
            <w:pPr>
              <w:widowControl w:val="0"/>
              <w:spacing w:after="0"/>
              <w:ind w:left="8" w:right="0" w:firstLine="0"/>
              <w:jc w:val="left"/>
            </w:pPr>
            <w:r>
              <w:rPr>
                <w:sz w:val="20"/>
              </w:rPr>
              <w:t>0.081 ~ 0.169</w:t>
            </w:r>
          </w:p>
        </w:tc>
        <w:tc>
          <w:tcPr>
            <w:tcW w:w="1920" w:type="dxa"/>
            <w:tcBorders>
              <w:top w:val="single" w:sz="8" w:space="0" w:color="000000"/>
              <w:left w:val="single" w:sz="8" w:space="0" w:color="000000"/>
              <w:bottom w:val="single" w:sz="8" w:space="0" w:color="000000"/>
              <w:right w:val="single" w:sz="8" w:space="0" w:color="000000"/>
            </w:tcBorders>
            <w:vAlign w:val="center"/>
          </w:tcPr>
          <w:p w14:paraId="7872BD9F" w14:textId="77777777" w:rsidR="00232836" w:rsidRDefault="002E3C2E">
            <w:pPr>
              <w:widowControl w:val="0"/>
              <w:spacing w:after="0"/>
              <w:ind w:left="8" w:right="0" w:firstLine="0"/>
              <w:jc w:val="left"/>
            </w:pPr>
            <w:r>
              <w:rPr>
                <w:sz w:val="20"/>
              </w:rPr>
              <w:t>1.0015</w:t>
            </w:r>
          </w:p>
        </w:tc>
        <w:tc>
          <w:tcPr>
            <w:tcW w:w="1920" w:type="dxa"/>
            <w:tcBorders>
              <w:top w:val="single" w:sz="8" w:space="0" w:color="000000"/>
              <w:left w:val="single" w:sz="8" w:space="0" w:color="000000"/>
              <w:bottom w:val="single" w:sz="8" w:space="0" w:color="000000"/>
              <w:right w:val="single" w:sz="8" w:space="0" w:color="000000"/>
            </w:tcBorders>
            <w:vAlign w:val="center"/>
          </w:tcPr>
          <w:p w14:paraId="64E1843C" w14:textId="77777777" w:rsidR="00232836" w:rsidRDefault="002E3C2E">
            <w:pPr>
              <w:widowControl w:val="0"/>
              <w:spacing w:after="0"/>
              <w:ind w:left="8" w:right="0" w:firstLine="0"/>
              <w:jc w:val="left"/>
            </w:pPr>
            <w:r>
              <w:rPr>
                <w:sz w:val="20"/>
              </w:rPr>
              <w:t>11639</w:t>
            </w:r>
          </w:p>
        </w:tc>
      </w:tr>
      <w:tr w:rsidR="00232836" w14:paraId="466A3BA7"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bottom"/>
          </w:tcPr>
          <w:p w14:paraId="5F8E7D5E" w14:textId="77777777" w:rsidR="00232836" w:rsidRDefault="002E3C2E">
            <w:pPr>
              <w:widowControl w:val="0"/>
              <w:spacing w:after="0"/>
              <w:ind w:left="8" w:right="0" w:firstLine="0"/>
              <w:jc w:val="left"/>
            </w:pPr>
            <w:r>
              <w:rPr>
                <w:i/>
                <w:sz w:val="20"/>
              </w:rPr>
              <w:t>r</w:t>
            </w:r>
            <w:r>
              <w:rPr>
                <w:i/>
                <w:sz w:val="12"/>
              </w:rPr>
              <w:t>2,VII</w:t>
            </w:r>
          </w:p>
        </w:tc>
        <w:tc>
          <w:tcPr>
            <w:tcW w:w="1920" w:type="dxa"/>
            <w:tcBorders>
              <w:top w:val="single" w:sz="8" w:space="0" w:color="000000"/>
              <w:left w:val="single" w:sz="8" w:space="0" w:color="000000"/>
              <w:bottom w:val="single" w:sz="8" w:space="0" w:color="000000"/>
              <w:right w:val="single" w:sz="8" w:space="0" w:color="000000"/>
            </w:tcBorders>
            <w:vAlign w:val="center"/>
          </w:tcPr>
          <w:p w14:paraId="786C6E6A" w14:textId="77777777" w:rsidR="00232836" w:rsidRDefault="002E3C2E">
            <w:pPr>
              <w:widowControl w:val="0"/>
              <w:spacing w:after="0"/>
              <w:ind w:left="8" w:right="0" w:firstLine="0"/>
              <w:jc w:val="left"/>
            </w:pPr>
            <w:r>
              <w:rPr>
                <w:sz w:val="20"/>
              </w:rPr>
              <w:t>-0.003</w:t>
            </w:r>
          </w:p>
        </w:tc>
        <w:tc>
          <w:tcPr>
            <w:tcW w:w="1920" w:type="dxa"/>
            <w:tcBorders>
              <w:top w:val="single" w:sz="8" w:space="0" w:color="000000"/>
              <w:left w:val="single" w:sz="8" w:space="0" w:color="000000"/>
              <w:bottom w:val="single" w:sz="8" w:space="0" w:color="000000"/>
              <w:right w:val="single" w:sz="8" w:space="0" w:color="000000"/>
            </w:tcBorders>
            <w:vAlign w:val="center"/>
          </w:tcPr>
          <w:p w14:paraId="72D4CE98" w14:textId="77777777" w:rsidR="00232836" w:rsidRDefault="002E3C2E">
            <w:pPr>
              <w:widowControl w:val="0"/>
              <w:spacing w:after="0"/>
              <w:ind w:left="8" w:right="0" w:firstLine="0"/>
              <w:jc w:val="left"/>
            </w:pPr>
            <w:r>
              <w:rPr>
                <w:sz w:val="20"/>
              </w:rPr>
              <w:t>0.071 ~ 0.154</w:t>
            </w:r>
          </w:p>
        </w:tc>
        <w:tc>
          <w:tcPr>
            <w:tcW w:w="1920" w:type="dxa"/>
            <w:tcBorders>
              <w:top w:val="single" w:sz="8" w:space="0" w:color="000000"/>
              <w:left w:val="single" w:sz="8" w:space="0" w:color="000000"/>
              <w:bottom w:val="single" w:sz="8" w:space="0" w:color="000000"/>
              <w:right w:val="single" w:sz="8" w:space="0" w:color="000000"/>
            </w:tcBorders>
            <w:vAlign w:val="center"/>
          </w:tcPr>
          <w:p w14:paraId="6906813F" w14:textId="77777777" w:rsidR="00232836" w:rsidRDefault="002E3C2E">
            <w:pPr>
              <w:widowControl w:val="0"/>
              <w:spacing w:after="0"/>
              <w:ind w:left="8" w:right="0" w:firstLine="0"/>
              <w:jc w:val="left"/>
            </w:pPr>
            <w:r>
              <w:rPr>
                <w:sz w:val="20"/>
              </w:rPr>
              <w:t>1.0001</w:t>
            </w:r>
          </w:p>
        </w:tc>
        <w:tc>
          <w:tcPr>
            <w:tcW w:w="1920" w:type="dxa"/>
            <w:tcBorders>
              <w:top w:val="single" w:sz="8" w:space="0" w:color="000000"/>
              <w:left w:val="single" w:sz="8" w:space="0" w:color="000000"/>
              <w:bottom w:val="single" w:sz="8" w:space="0" w:color="000000"/>
              <w:right w:val="single" w:sz="8" w:space="0" w:color="000000"/>
            </w:tcBorders>
            <w:vAlign w:val="center"/>
          </w:tcPr>
          <w:p w14:paraId="39993A9C" w14:textId="77777777" w:rsidR="00232836" w:rsidRDefault="002E3C2E">
            <w:pPr>
              <w:widowControl w:val="0"/>
              <w:spacing w:after="0"/>
              <w:ind w:left="8" w:right="0" w:firstLine="0"/>
              <w:jc w:val="left"/>
            </w:pPr>
            <w:r>
              <w:rPr>
                <w:sz w:val="20"/>
              </w:rPr>
              <w:t>16813</w:t>
            </w:r>
          </w:p>
        </w:tc>
      </w:tr>
      <w:tr w:rsidR="00232836" w14:paraId="61310E49" w14:textId="77777777">
        <w:trPr>
          <w:trHeight w:val="500"/>
        </w:trPr>
        <w:tc>
          <w:tcPr>
            <w:tcW w:w="1920" w:type="dxa"/>
            <w:tcBorders>
              <w:top w:val="single" w:sz="8" w:space="0" w:color="000000"/>
              <w:left w:val="single" w:sz="8" w:space="0" w:color="000000"/>
              <w:bottom w:val="single" w:sz="8" w:space="0" w:color="000000"/>
              <w:right w:val="single" w:sz="8" w:space="0" w:color="000000"/>
            </w:tcBorders>
            <w:vAlign w:val="bottom"/>
          </w:tcPr>
          <w:p w14:paraId="747F4C5B" w14:textId="77777777" w:rsidR="00232836" w:rsidRDefault="002E3C2E">
            <w:pPr>
              <w:widowControl w:val="0"/>
              <w:spacing w:after="0"/>
              <w:ind w:left="8" w:right="0" w:firstLine="0"/>
              <w:jc w:val="left"/>
            </w:pPr>
            <w:r>
              <w:rPr>
                <w:i/>
                <w:sz w:val="20"/>
              </w:rPr>
              <w:t>r</w:t>
            </w:r>
            <w:r>
              <w:rPr>
                <w:i/>
                <w:sz w:val="12"/>
              </w:rPr>
              <w:t>2,VIII</w:t>
            </w:r>
          </w:p>
        </w:tc>
        <w:tc>
          <w:tcPr>
            <w:tcW w:w="1920" w:type="dxa"/>
            <w:tcBorders>
              <w:top w:val="single" w:sz="8" w:space="0" w:color="000000"/>
              <w:left w:val="single" w:sz="8" w:space="0" w:color="000000"/>
              <w:bottom w:val="single" w:sz="8" w:space="0" w:color="000000"/>
              <w:right w:val="single" w:sz="8" w:space="0" w:color="000000"/>
            </w:tcBorders>
            <w:vAlign w:val="center"/>
          </w:tcPr>
          <w:p w14:paraId="52A14554" w14:textId="77777777" w:rsidR="00232836" w:rsidRDefault="002E3C2E">
            <w:pPr>
              <w:widowControl w:val="0"/>
              <w:spacing w:after="0"/>
              <w:ind w:left="8" w:right="0" w:firstLine="0"/>
              <w:jc w:val="left"/>
            </w:pPr>
            <w:r>
              <w:rPr>
                <w:sz w:val="20"/>
              </w:rPr>
              <w:t>-0.018</w:t>
            </w:r>
          </w:p>
        </w:tc>
        <w:tc>
          <w:tcPr>
            <w:tcW w:w="1920" w:type="dxa"/>
            <w:tcBorders>
              <w:top w:val="single" w:sz="8" w:space="0" w:color="000000"/>
              <w:left w:val="single" w:sz="8" w:space="0" w:color="000000"/>
              <w:bottom w:val="single" w:sz="8" w:space="0" w:color="000000"/>
              <w:right w:val="single" w:sz="8" w:space="0" w:color="000000"/>
            </w:tcBorders>
            <w:vAlign w:val="center"/>
          </w:tcPr>
          <w:p w14:paraId="0FED948A" w14:textId="77777777" w:rsidR="00232836" w:rsidRDefault="002E3C2E">
            <w:pPr>
              <w:widowControl w:val="0"/>
              <w:spacing w:after="0"/>
              <w:ind w:left="8" w:right="0" w:firstLine="0"/>
              <w:jc w:val="left"/>
            </w:pPr>
            <w:r>
              <w:rPr>
                <w:sz w:val="20"/>
              </w:rPr>
              <w:t>-0.021 ~ 0.138</w:t>
            </w:r>
          </w:p>
        </w:tc>
        <w:tc>
          <w:tcPr>
            <w:tcW w:w="1920" w:type="dxa"/>
            <w:tcBorders>
              <w:top w:val="single" w:sz="8" w:space="0" w:color="000000"/>
              <w:left w:val="single" w:sz="8" w:space="0" w:color="000000"/>
              <w:bottom w:val="single" w:sz="8" w:space="0" w:color="000000"/>
              <w:right w:val="single" w:sz="8" w:space="0" w:color="000000"/>
            </w:tcBorders>
            <w:vAlign w:val="center"/>
          </w:tcPr>
          <w:p w14:paraId="286830A0" w14:textId="77777777" w:rsidR="00232836" w:rsidRDefault="002E3C2E">
            <w:pPr>
              <w:widowControl w:val="0"/>
              <w:spacing w:after="0"/>
              <w:ind w:left="8" w:right="0" w:firstLine="0"/>
              <w:jc w:val="left"/>
            </w:pPr>
            <w:r>
              <w:rPr>
                <w:sz w:val="20"/>
              </w:rPr>
              <w:t>1.0019</w:t>
            </w:r>
          </w:p>
        </w:tc>
        <w:tc>
          <w:tcPr>
            <w:tcW w:w="1920" w:type="dxa"/>
            <w:tcBorders>
              <w:top w:val="single" w:sz="8" w:space="0" w:color="000000"/>
              <w:left w:val="single" w:sz="8" w:space="0" w:color="000000"/>
              <w:bottom w:val="single" w:sz="8" w:space="0" w:color="000000"/>
              <w:right w:val="single" w:sz="8" w:space="0" w:color="000000"/>
            </w:tcBorders>
            <w:vAlign w:val="center"/>
          </w:tcPr>
          <w:p w14:paraId="401E3055" w14:textId="77777777" w:rsidR="00232836" w:rsidRDefault="002E3C2E">
            <w:pPr>
              <w:widowControl w:val="0"/>
              <w:spacing w:after="0"/>
              <w:ind w:left="8" w:right="0" w:firstLine="0"/>
              <w:jc w:val="left"/>
            </w:pPr>
            <w:r>
              <w:rPr>
                <w:sz w:val="20"/>
              </w:rPr>
              <w:t>8436</w:t>
            </w:r>
          </w:p>
        </w:tc>
      </w:tr>
      <w:tr w:rsidR="00232836" w14:paraId="1A207818"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center"/>
          </w:tcPr>
          <w:p w14:paraId="31FDE574" w14:textId="77777777" w:rsidR="00232836" w:rsidRDefault="002E3C2E">
            <w:pPr>
              <w:widowControl w:val="0"/>
              <w:spacing w:after="0"/>
              <w:ind w:left="8" w:right="0" w:firstLine="0"/>
              <w:jc w:val="left"/>
            </w:pPr>
            <w:r>
              <w:rPr>
                <w:rFonts w:ascii="Calibri" w:eastAsia="Calibri" w:hAnsi="Calibri" w:cs="Calibri"/>
                <w:sz w:val="20"/>
              </w:rPr>
              <w:t>𝜏</w:t>
            </w:r>
            <w:r>
              <w:rPr>
                <w:rFonts w:ascii="Times New Roman" w:eastAsia="Times New Roman" w:hAnsi="Times New Roman" w:cs="Times New Roman"/>
                <w:sz w:val="18"/>
                <w:vertAlign w:val="subscript"/>
              </w:rPr>
              <w:t>1</w:t>
            </w:r>
          </w:p>
        </w:tc>
        <w:tc>
          <w:tcPr>
            <w:tcW w:w="1920" w:type="dxa"/>
            <w:tcBorders>
              <w:top w:val="single" w:sz="8" w:space="0" w:color="000000"/>
              <w:left w:val="single" w:sz="8" w:space="0" w:color="000000"/>
              <w:bottom w:val="single" w:sz="8" w:space="0" w:color="000000"/>
              <w:right w:val="single" w:sz="8" w:space="0" w:color="000000"/>
            </w:tcBorders>
            <w:vAlign w:val="center"/>
          </w:tcPr>
          <w:p w14:paraId="7458724C" w14:textId="77777777" w:rsidR="00232836" w:rsidRDefault="002E3C2E">
            <w:pPr>
              <w:widowControl w:val="0"/>
              <w:spacing w:after="0"/>
              <w:ind w:left="8" w:right="0" w:firstLine="0"/>
              <w:jc w:val="left"/>
            </w:pPr>
            <w:r>
              <w:rPr>
                <w:sz w:val="20"/>
              </w:rPr>
              <w:t>39.967</w:t>
            </w:r>
          </w:p>
        </w:tc>
        <w:tc>
          <w:tcPr>
            <w:tcW w:w="1920" w:type="dxa"/>
            <w:tcBorders>
              <w:top w:val="single" w:sz="8" w:space="0" w:color="000000"/>
              <w:left w:val="single" w:sz="8" w:space="0" w:color="000000"/>
              <w:bottom w:val="single" w:sz="8" w:space="0" w:color="000000"/>
              <w:right w:val="single" w:sz="8" w:space="0" w:color="000000"/>
            </w:tcBorders>
            <w:vAlign w:val="center"/>
          </w:tcPr>
          <w:p w14:paraId="0025C1AD" w14:textId="77777777" w:rsidR="00232836" w:rsidRDefault="002E3C2E">
            <w:pPr>
              <w:widowControl w:val="0"/>
              <w:spacing w:after="0"/>
              <w:ind w:left="8" w:right="0" w:firstLine="0"/>
              <w:jc w:val="left"/>
            </w:pPr>
            <w:r>
              <w:rPr>
                <w:sz w:val="20"/>
              </w:rPr>
              <w:t>19.749 ~ 71.33</w:t>
            </w:r>
          </w:p>
        </w:tc>
        <w:tc>
          <w:tcPr>
            <w:tcW w:w="1920" w:type="dxa"/>
            <w:tcBorders>
              <w:top w:val="single" w:sz="8" w:space="0" w:color="000000"/>
              <w:left w:val="single" w:sz="8" w:space="0" w:color="000000"/>
              <w:bottom w:val="single" w:sz="8" w:space="0" w:color="000000"/>
              <w:right w:val="single" w:sz="8" w:space="0" w:color="000000"/>
            </w:tcBorders>
            <w:vAlign w:val="center"/>
          </w:tcPr>
          <w:p w14:paraId="4383CB43" w14:textId="77777777" w:rsidR="00232836" w:rsidRDefault="002E3C2E">
            <w:pPr>
              <w:widowControl w:val="0"/>
              <w:spacing w:after="0"/>
              <w:ind w:left="8" w:right="0" w:firstLine="0"/>
              <w:jc w:val="left"/>
            </w:pPr>
            <w:r>
              <w:rPr>
                <w:sz w:val="20"/>
              </w:rPr>
              <w:t>1.0019</w:t>
            </w:r>
          </w:p>
        </w:tc>
        <w:tc>
          <w:tcPr>
            <w:tcW w:w="1920" w:type="dxa"/>
            <w:tcBorders>
              <w:top w:val="single" w:sz="8" w:space="0" w:color="000000"/>
              <w:left w:val="single" w:sz="8" w:space="0" w:color="000000"/>
              <w:bottom w:val="single" w:sz="8" w:space="0" w:color="000000"/>
              <w:right w:val="single" w:sz="8" w:space="0" w:color="000000"/>
            </w:tcBorders>
            <w:vAlign w:val="center"/>
          </w:tcPr>
          <w:p w14:paraId="321992C6" w14:textId="77777777" w:rsidR="00232836" w:rsidRDefault="002E3C2E">
            <w:pPr>
              <w:widowControl w:val="0"/>
              <w:spacing w:after="0"/>
              <w:ind w:left="8" w:right="0" w:firstLine="0"/>
              <w:jc w:val="left"/>
            </w:pPr>
            <w:r>
              <w:rPr>
                <w:sz w:val="20"/>
              </w:rPr>
              <w:t>12367</w:t>
            </w:r>
          </w:p>
        </w:tc>
      </w:tr>
      <w:tr w:rsidR="00232836" w14:paraId="6D8FD18B" w14:textId="77777777">
        <w:trPr>
          <w:trHeight w:val="480"/>
        </w:trPr>
        <w:tc>
          <w:tcPr>
            <w:tcW w:w="1920" w:type="dxa"/>
            <w:tcBorders>
              <w:top w:val="single" w:sz="8" w:space="0" w:color="000000"/>
              <w:left w:val="single" w:sz="8" w:space="0" w:color="000000"/>
              <w:bottom w:val="single" w:sz="8" w:space="0" w:color="000000"/>
              <w:right w:val="single" w:sz="8" w:space="0" w:color="000000"/>
            </w:tcBorders>
            <w:vAlign w:val="center"/>
          </w:tcPr>
          <w:p w14:paraId="6AABF31A" w14:textId="77777777" w:rsidR="00232836" w:rsidRDefault="002E3C2E">
            <w:pPr>
              <w:widowControl w:val="0"/>
              <w:spacing w:after="0"/>
              <w:ind w:left="0" w:right="60" w:firstLine="0"/>
              <w:jc w:val="left"/>
            </w:pPr>
            <w:r>
              <w:rPr>
                <w:rFonts w:ascii="Calibri" w:eastAsia="Calibri" w:hAnsi="Calibri" w:cs="Calibri"/>
                <w:sz w:val="20"/>
              </w:rPr>
              <w:t>𝜏</w:t>
            </w:r>
            <w:r>
              <w:rPr>
                <w:rFonts w:ascii="Times New Roman" w:eastAsia="Times New Roman" w:hAnsi="Times New Roman" w:cs="Times New Roman"/>
                <w:sz w:val="18"/>
                <w:vertAlign w:val="subscript"/>
              </w:rPr>
              <w:t>2</w:t>
            </w:r>
          </w:p>
        </w:tc>
        <w:tc>
          <w:tcPr>
            <w:tcW w:w="1920" w:type="dxa"/>
            <w:tcBorders>
              <w:top w:val="single" w:sz="8" w:space="0" w:color="000000"/>
              <w:left w:val="single" w:sz="8" w:space="0" w:color="000000"/>
              <w:bottom w:val="single" w:sz="8" w:space="0" w:color="000000"/>
              <w:right w:val="single" w:sz="8" w:space="0" w:color="000000"/>
            </w:tcBorders>
            <w:vAlign w:val="center"/>
          </w:tcPr>
          <w:p w14:paraId="619A2A19" w14:textId="77777777" w:rsidR="00232836" w:rsidRDefault="002E3C2E">
            <w:pPr>
              <w:widowControl w:val="0"/>
              <w:spacing w:after="0"/>
              <w:ind w:left="0" w:right="60" w:firstLine="0"/>
              <w:jc w:val="left"/>
            </w:pPr>
            <w:r>
              <w:rPr>
                <w:sz w:val="20"/>
              </w:rPr>
              <w:t>24.698</w:t>
            </w:r>
          </w:p>
        </w:tc>
        <w:tc>
          <w:tcPr>
            <w:tcW w:w="1920" w:type="dxa"/>
            <w:tcBorders>
              <w:top w:val="single" w:sz="8" w:space="0" w:color="000000"/>
              <w:left w:val="single" w:sz="8" w:space="0" w:color="000000"/>
              <w:bottom w:val="single" w:sz="8" w:space="0" w:color="000000"/>
              <w:right w:val="single" w:sz="8" w:space="0" w:color="000000"/>
            </w:tcBorders>
            <w:vAlign w:val="center"/>
          </w:tcPr>
          <w:p w14:paraId="724DF25F" w14:textId="77777777" w:rsidR="00232836" w:rsidRDefault="002E3C2E">
            <w:pPr>
              <w:widowControl w:val="0"/>
              <w:spacing w:after="0"/>
              <w:ind w:left="0" w:right="0" w:firstLine="0"/>
              <w:jc w:val="left"/>
            </w:pPr>
            <w:r>
              <w:rPr>
                <w:sz w:val="20"/>
              </w:rPr>
              <w:t>19.743 ~ 167.286</w:t>
            </w:r>
          </w:p>
        </w:tc>
        <w:tc>
          <w:tcPr>
            <w:tcW w:w="1920" w:type="dxa"/>
            <w:tcBorders>
              <w:top w:val="single" w:sz="8" w:space="0" w:color="000000"/>
              <w:left w:val="single" w:sz="8" w:space="0" w:color="000000"/>
              <w:bottom w:val="single" w:sz="8" w:space="0" w:color="000000"/>
              <w:right w:val="single" w:sz="8" w:space="0" w:color="000000"/>
            </w:tcBorders>
            <w:vAlign w:val="center"/>
          </w:tcPr>
          <w:p w14:paraId="335818EE" w14:textId="77777777" w:rsidR="00232836" w:rsidRDefault="002E3C2E">
            <w:pPr>
              <w:widowControl w:val="0"/>
              <w:spacing w:after="0"/>
              <w:ind w:left="0" w:right="60" w:firstLine="0"/>
              <w:jc w:val="left"/>
            </w:pPr>
            <w:r>
              <w:rPr>
                <w:sz w:val="20"/>
              </w:rPr>
              <w:t>1.0036</w:t>
            </w:r>
          </w:p>
        </w:tc>
        <w:tc>
          <w:tcPr>
            <w:tcW w:w="1920" w:type="dxa"/>
            <w:tcBorders>
              <w:top w:val="single" w:sz="8" w:space="0" w:color="000000"/>
              <w:left w:val="single" w:sz="8" w:space="0" w:color="000000"/>
              <w:bottom w:val="single" w:sz="8" w:space="0" w:color="000000"/>
              <w:right w:val="single" w:sz="8" w:space="0" w:color="000000"/>
            </w:tcBorders>
            <w:vAlign w:val="center"/>
          </w:tcPr>
          <w:p w14:paraId="55C12406" w14:textId="77777777" w:rsidR="00232836" w:rsidRDefault="002E3C2E">
            <w:pPr>
              <w:widowControl w:val="0"/>
              <w:spacing w:after="0"/>
              <w:ind w:left="0" w:right="60" w:firstLine="0"/>
              <w:jc w:val="left"/>
            </w:pPr>
            <w:r>
              <w:rPr>
                <w:sz w:val="20"/>
              </w:rPr>
              <w:t>6044</w:t>
            </w:r>
          </w:p>
        </w:tc>
      </w:tr>
    </w:tbl>
    <w:p w14:paraId="4166B9C2" w14:textId="77777777" w:rsidR="00232836" w:rsidRDefault="00232836">
      <w:pPr>
        <w:spacing w:after="0"/>
        <w:ind w:firstLine="0"/>
        <w:jc w:val="left"/>
      </w:pPr>
    </w:p>
    <w:p w14:paraId="1CF10F7C" w14:textId="77777777" w:rsidR="00232836" w:rsidRDefault="002E3C2E">
      <w:pPr>
        <w:spacing w:after="160" w:line="259" w:lineRule="auto"/>
        <w:ind w:left="0" w:right="0" w:firstLine="0"/>
        <w:jc w:val="left"/>
      </w:pPr>
      <w:r>
        <w:br w:type="page"/>
      </w:r>
    </w:p>
    <w:p w14:paraId="66EBD0E0" w14:textId="77777777" w:rsidR="00232836" w:rsidRDefault="002E3C2E">
      <w:pPr>
        <w:pStyle w:val="Heading1"/>
        <w:spacing w:after="0" w:line="307" w:lineRule="auto"/>
        <w:ind w:left="-5" w:right="0" w:firstLine="0"/>
      </w:pPr>
      <w:r>
        <w:lastRenderedPageBreak/>
        <w:t>4. Absolute population size estimate</w:t>
      </w:r>
    </w:p>
    <w:p w14:paraId="7FB9107D" w14:textId="77777777" w:rsidR="00232836" w:rsidRDefault="002E3C2E">
      <w:pPr>
        <w:pStyle w:val="Heading2"/>
        <w:spacing w:after="0" w:line="307" w:lineRule="auto"/>
        <w:ind w:left="-5" w:right="2" w:firstLine="0"/>
      </w:pPr>
      <w:r>
        <w:t>4.1 Koyama 1978’s method</w:t>
      </w:r>
    </w:p>
    <w:p w14:paraId="79BA99EC" w14:textId="77777777" w:rsidR="00232836" w:rsidRDefault="002E3C2E">
      <w:pPr>
        <w:spacing w:after="0"/>
        <w:ind w:left="-5" w:right="0" w:firstLine="0"/>
        <w:jc w:val="left"/>
      </w:pPr>
      <w:r>
        <w:t xml:space="preserve">We estimated Yayoi absolute population sizes using a modified version of Shuzo Koyama’s method (Koyama 1978; Koyama &amp; </w:t>
      </w:r>
      <w:proofErr w:type="spellStart"/>
      <w:r>
        <w:t>Sugito</w:t>
      </w:r>
      <w:proofErr w:type="spellEnd"/>
      <w:r>
        <w:t xml:space="preserve"> 1984) and an updated number of Yayoi and Haji (i.e. Kofun and </w:t>
      </w:r>
      <w:proofErr w:type="spellStart"/>
      <w:r>
        <w:t>Kodai</w:t>
      </w:r>
      <w:proofErr w:type="spellEnd"/>
      <w:r>
        <w:t xml:space="preserve"> period) archaeological sites.</w:t>
      </w:r>
    </w:p>
    <w:p w14:paraId="06AFDF29" w14:textId="77777777" w:rsidR="00232836" w:rsidRDefault="002E3C2E">
      <w:pPr>
        <w:spacing w:after="0"/>
        <w:ind w:left="-5" w:right="0" w:firstLine="0"/>
        <w:jc w:val="left"/>
      </w:pPr>
      <w:r>
        <w:t>For the Yayoi period, Koyama’s method is based on the following equation:</w:t>
      </w:r>
    </w:p>
    <w:p w14:paraId="2410D514" w14:textId="77777777" w:rsidR="00232836" w:rsidRDefault="00232836">
      <w:pPr>
        <w:spacing w:after="0"/>
        <w:ind w:left="-5" w:right="0" w:firstLine="0"/>
        <w:jc w:val="left"/>
      </w:pPr>
    </w:p>
    <w:p w14:paraId="34CB280C" w14:textId="77777777" w:rsidR="00232836" w:rsidRDefault="002E3C2E">
      <w:pPr>
        <w:tabs>
          <w:tab w:val="center" w:pos="4507"/>
          <w:tab w:val="center" w:pos="7097"/>
        </w:tabs>
        <w:spacing w:after="0"/>
        <w:ind w:left="0" w:right="0" w:firstLine="0"/>
        <w:jc w:val="left"/>
      </w:pPr>
      <w:r>
        <w:rPr>
          <w:rFonts w:ascii="Calibri" w:eastAsia="Calibri" w:hAnsi="Calibri" w:cs="Calibri"/>
        </w:rPr>
        <w:tab/>
      </w:r>
      <w:proofErr w:type="spellStart"/>
      <w:r>
        <w:rPr>
          <w:i/>
        </w:rPr>
        <w:t>P</w:t>
      </w:r>
      <w:r>
        <w:rPr>
          <w:i/>
          <w:sz w:val="13"/>
        </w:rPr>
        <w:t>Yayoi,i</w:t>
      </w:r>
      <w:proofErr w:type="spellEnd"/>
      <w:r>
        <w:rPr>
          <w:i/>
          <w:sz w:val="13"/>
        </w:rPr>
        <w:t xml:space="preserve"> </w:t>
      </w:r>
      <w:r>
        <w:rPr>
          <w:i/>
        </w:rPr>
        <w:t xml:space="preserve">= </w:t>
      </w:r>
      <w:proofErr w:type="spellStart"/>
      <w:r>
        <w:rPr>
          <w:i/>
        </w:rPr>
        <w:t>P</w:t>
      </w:r>
      <w:r>
        <w:rPr>
          <w:i/>
          <w:sz w:val="13"/>
        </w:rPr>
        <w:t>Haji,Kanto</w:t>
      </w:r>
      <w:proofErr w:type="spellEnd"/>
      <w:r>
        <w:rPr>
          <w:i/>
          <w:sz w:val="13"/>
        </w:rPr>
        <w:t xml:space="preserve"> </w:t>
      </w:r>
      <w:r>
        <w:rPr>
          <w:i/>
        </w:rPr>
        <w:t xml:space="preserve">/ </w:t>
      </w:r>
      <w:proofErr w:type="spellStart"/>
      <w:r>
        <w:rPr>
          <w:i/>
        </w:rPr>
        <w:t>S</w:t>
      </w:r>
      <w:r>
        <w:rPr>
          <w:i/>
          <w:sz w:val="13"/>
        </w:rPr>
        <w:t>Haji,Kanto</w:t>
      </w:r>
      <w:proofErr w:type="spellEnd"/>
      <w:r>
        <w:rPr>
          <w:i/>
          <w:sz w:val="13"/>
        </w:rPr>
        <w:t xml:space="preserve"> </w:t>
      </w:r>
      <w:r>
        <w:rPr>
          <w:rFonts w:ascii="Calibri" w:eastAsia="Calibri" w:hAnsi="Calibri" w:cs="Calibri"/>
        </w:rPr>
        <w:t>ᐧ</w:t>
      </w:r>
      <w:r>
        <w:rPr>
          <w:rFonts w:ascii="Calibri" w:eastAsia="Calibri" w:hAnsi="Calibri" w:cs="Calibri"/>
        </w:rPr>
        <w:t xml:space="preserve"> </w:t>
      </w:r>
      <w:proofErr w:type="spellStart"/>
      <w:r>
        <w:rPr>
          <w:i/>
        </w:rPr>
        <w:t>C</w:t>
      </w:r>
      <w:r>
        <w:rPr>
          <w:i/>
          <w:sz w:val="13"/>
        </w:rPr>
        <w:t>Yayoi</w:t>
      </w:r>
      <w:proofErr w:type="spellEnd"/>
      <w:r>
        <w:rPr>
          <w:i/>
          <w:sz w:val="13"/>
        </w:rPr>
        <w:t xml:space="preserve">/Haji </w:t>
      </w:r>
      <w:r>
        <w:rPr>
          <w:rFonts w:ascii="Calibri" w:eastAsia="Calibri" w:hAnsi="Calibri" w:cs="Calibri"/>
        </w:rPr>
        <w:t>ᐧ</w:t>
      </w:r>
      <w:r>
        <w:rPr>
          <w:rFonts w:ascii="Calibri" w:eastAsia="Calibri" w:hAnsi="Calibri" w:cs="Calibri"/>
        </w:rPr>
        <w:t xml:space="preserve"> </w:t>
      </w:r>
      <w:proofErr w:type="spellStart"/>
      <w:r>
        <w:rPr>
          <w:i/>
        </w:rPr>
        <w:t>S</w:t>
      </w:r>
      <w:r>
        <w:rPr>
          <w:i/>
          <w:sz w:val="13"/>
        </w:rPr>
        <w:t>Yayoi,i</w:t>
      </w:r>
      <w:proofErr w:type="spellEnd"/>
      <w:r>
        <w:rPr>
          <w:i/>
          <w:sz w:val="13"/>
        </w:rPr>
        <w:tab/>
      </w:r>
      <w:r>
        <w:t>[4]</w:t>
      </w:r>
    </w:p>
    <w:p w14:paraId="70CC2EA5" w14:textId="77777777" w:rsidR="00232836" w:rsidRDefault="00232836">
      <w:pPr>
        <w:tabs>
          <w:tab w:val="center" w:pos="4507"/>
          <w:tab w:val="center" w:pos="7097"/>
        </w:tabs>
        <w:spacing w:after="0"/>
        <w:ind w:left="0" w:right="0" w:firstLine="0"/>
        <w:jc w:val="left"/>
      </w:pPr>
    </w:p>
    <w:p w14:paraId="64266B6C" w14:textId="77777777" w:rsidR="00232836" w:rsidRDefault="002E3C2E">
      <w:pPr>
        <w:spacing w:after="0"/>
        <w:ind w:left="-5" w:right="0" w:firstLine="0"/>
        <w:jc w:val="left"/>
      </w:pPr>
      <w:r>
        <w:t>where</w:t>
      </w:r>
      <w:r>
        <w:rPr>
          <w:sz w:val="24"/>
        </w:rPr>
        <w:t xml:space="preserve"> </w:t>
      </w:r>
      <w:proofErr w:type="spellStart"/>
      <w:r>
        <w:rPr>
          <w:i/>
        </w:rPr>
        <w:t>P</w:t>
      </w:r>
      <w:r>
        <w:rPr>
          <w:i/>
          <w:sz w:val="20"/>
          <w:vertAlign w:val="subscript"/>
        </w:rPr>
        <w:t>H</w:t>
      </w:r>
      <w:r>
        <w:rPr>
          <w:i/>
          <w:sz w:val="20"/>
          <w:vertAlign w:val="subscript"/>
        </w:rPr>
        <w:t>aji,Kanto</w:t>
      </w:r>
      <w:proofErr w:type="spellEnd"/>
      <w:r>
        <w:rPr>
          <w:i/>
          <w:sz w:val="20"/>
          <w:vertAlign w:val="subscript"/>
        </w:rPr>
        <w:t xml:space="preserve"> </w:t>
      </w:r>
      <w:r>
        <w:t xml:space="preserve">is the absolute population estimate for the Haji period in Kanto based on taxation records, </w:t>
      </w:r>
      <w:proofErr w:type="spellStart"/>
      <w:r>
        <w:rPr>
          <w:i/>
        </w:rPr>
        <w:t>S</w:t>
      </w:r>
      <w:r>
        <w:rPr>
          <w:i/>
          <w:sz w:val="20"/>
          <w:vertAlign w:val="subscript"/>
        </w:rPr>
        <w:t>Haji,Kanto</w:t>
      </w:r>
      <w:proofErr w:type="spellEnd"/>
      <w:r>
        <w:rPr>
          <w:i/>
          <w:sz w:val="20"/>
          <w:vertAlign w:val="subscript"/>
        </w:rPr>
        <w:t xml:space="preserve"> </w:t>
      </w:r>
      <w:r>
        <w:t xml:space="preserve">is the total number of Haji sites in Kanto, </w:t>
      </w:r>
      <w:proofErr w:type="spellStart"/>
      <w:r>
        <w:rPr>
          <w:i/>
        </w:rPr>
        <w:t>S</w:t>
      </w:r>
      <w:r>
        <w:rPr>
          <w:i/>
          <w:sz w:val="20"/>
          <w:vertAlign w:val="subscript"/>
        </w:rPr>
        <w:t>Yayoi,i</w:t>
      </w:r>
      <w:proofErr w:type="spellEnd"/>
      <w:r>
        <w:rPr>
          <w:i/>
          <w:sz w:val="20"/>
          <w:vertAlign w:val="subscript"/>
        </w:rPr>
        <w:t xml:space="preserve"> </w:t>
      </w:r>
      <w:r>
        <w:t xml:space="preserve">is the number of Yayoi archaeological sites in the region </w:t>
      </w:r>
      <w:proofErr w:type="spellStart"/>
      <w:r>
        <w:rPr>
          <w:i/>
        </w:rPr>
        <w:t>i</w:t>
      </w:r>
      <w:proofErr w:type="spellEnd"/>
      <w:r>
        <w:rPr>
          <w:i/>
        </w:rPr>
        <w:t xml:space="preserve">, </w:t>
      </w:r>
      <w:r>
        <w:t xml:space="preserve">and </w:t>
      </w:r>
      <w:proofErr w:type="spellStart"/>
      <w:r>
        <w:rPr>
          <w:i/>
        </w:rPr>
        <w:t>C</w:t>
      </w:r>
      <w:r>
        <w:rPr>
          <w:i/>
          <w:sz w:val="20"/>
          <w:vertAlign w:val="subscript"/>
        </w:rPr>
        <w:t>Yayoi</w:t>
      </w:r>
      <w:proofErr w:type="spellEnd"/>
      <w:r>
        <w:rPr>
          <w:i/>
          <w:sz w:val="20"/>
          <w:vertAlign w:val="subscript"/>
        </w:rPr>
        <w:t xml:space="preserve">/Haji </w:t>
      </w:r>
      <w:r>
        <w:t xml:space="preserve">is the </w:t>
      </w:r>
      <w:r>
        <w:t>relative settlement size of a typical Yayoi compared to a Haji settlement, equivalent to ⅓ (Koyama 1978).</w:t>
      </w:r>
    </w:p>
    <w:p w14:paraId="30F3F543" w14:textId="77777777" w:rsidR="00232836" w:rsidRDefault="002E3C2E">
      <w:pPr>
        <w:spacing w:after="0"/>
        <w:ind w:left="-5" w:right="0" w:firstLine="0"/>
        <w:jc w:val="left"/>
      </w:pPr>
      <w:r>
        <w:t>While never explicitly acknowledged in the original paper, equation [4] effectively overcomes the problem of sampling fraction, at least when the targ</w:t>
      </w:r>
      <w:r>
        <w:t xml:space="preserve">et region </w:t>
      </w:r>
      <w:proofErr w:type="spellStart"/>
      <w:r>
        <w:rPr>
          <w:i/>
        </w:rPr>
        <w:t>i</w:t>
      </w:r>
      <w:proofErr w:type="spellEnd"/>
      <w:r>
        <w:rPr>
          <w:i/>
        </w:rPr>
        <w:t xml:space="preserve"> </w:t>
      </w:r>
      <w:r>
        <w:t>is Kanto. This is because we can assume that the relative contribution of each observed archaeological site to the total population is actually given by the following:</w:t>
      </w:r>
    </w:p>
    <w:p w14:paraId="1A14DBD1" w14:textId="77777777" w:rsidR="00232836" w:rsidRDefault="00232836">
      <w:pPr>
        <w:spacing w:after="0"/>
        <w:ind w:left="-5" w:right="0" w:firstLine="0"/>
        <w:jc w:val="left"/>
      </w:pPr>
    </w:p>
    <w:p w14:paraId="2D41978D" w14:textId="77777777" w:rsidR="00232836" w:rsidRDefault="002E3C2E">
      <w:pPr>
        <w:tabs>
          <w:tab w:val="center" w:pos="4162"/>
          <w:tab w:val="center" w:pos="6619"/>
        </w:tabs>
        <w:spacing w:after="0"/>
        <w:ind w:left="0" w:right="0" w:firstLine="0"/>
        <w:jc w:val="left"/>
      </w:pPr>
      <w:r>
        <w:rPr>
          <w:rFonts w:ascii="Calibri" w:eastAsia="Calibri" w:hAnsi="Calibri" w:cs="Calibri"/>
        </w:rPr>
        <w:tab/>
      </w:r>
      <w:r>
        <w:rPr>
          <w:i/>
        </w:rPr>
        <w:t>(</w:t>
      </w:r>
      <w:proofErr w:type="spellStart"/>
      <w:r>
        <w:rPr>
          <w:i/>
        </w:rPr>
        <w:t>F</w:t>
      </w:r>
      <w:r>
        <w:rPr>
          <w:i/>
          <w:sz w:val="13"/>
        </w:rPr>
        <w:t>Haji</w:t>
      </w:r>
      <w:proofErr w:type="spellEnd"/>
      <w:r>
        <w:rPr>
          <w:i/>
          <w:sz w:val="13"/>
        </w:rPr>
        <w:t xml:space="preserve"> </w:t>
      </w:r>
      <w:r>
        <w:rPr>
          <w:rFonts w:ascii="Calibri" w:eastAsia="Calibri" w:hAnsi="Calibri" w:cs="Calibri"/>
        </w:rPr>
        <w:t>ᐧ</w:t>
      </w:r>
      <w:r>
        <w:rPr>
          <w:rFonts w:ascii="Calibri" w:eastAsia="Calibri" w:hAnsi="Calibri" w:cs="Calibri"/>
        </w:rPr>
        <w:t xml:space="preserve"> </w:t>
      </w:r>
      <w:proofErr w:type="spellStart"/>
      <w:r>
        <w:rPr>
          <w:i/>
        </w:rPr>
        <w:t>P</w:t>
      </w:r>
      <w:r>
        <w:rPr>
          <w:i/>
          <w:sz w:val="13"/>
        </w:rPr>
        <w:t>Haji,Kanto</w:t>
      </w:r>
      <w:proofErr w:type="spellEnd"/>
      <w:r>
        <w:rPr>
          <w:i/>
          <w:sz w:val="13"/>
        </w:rPr>
        <w:t xml:space="preserve"> </w:t>
      </w:r>
      <w:r>
        <w:rPr>
          <w:i/>
        </w:rPr>
        <w:t xml:space="preserve">) / </w:t>
      </w:r>
      <w:proofErr w:type="spellStart"/>
      <w:r>
        <w:rPr>
          <w:i/>
        </w:rPr>
        <w:t>S</w:t>
      </w:r>
      <w:r>
        <w:rPr>
          <w:i/>
          <w:sz w:val="13"/>
        </w:rPr>
        <w:t>Haji,Kanto</w:t>
      </w:r>
      <w:proofErr w:type="spellEnd"/>
      <w:r>
        <w:rPr>
          <w:i/>
          <w:sz w:val="13"/>
        </w:rPr>
        <w:tab/>
      </w:r>
      <w:r>
        <w:t>[5]</w:t>
      </w:r>
    </w:p>
    <w:p w14:paraId="485FBFA8" w14:textId="77777777" w:rsidR="00232836" w:rsidRDefault="00232836">
      <w:pPr>
        <w:tabs>
          <w:tab w:val="center" w:pos="4162"/>
          <w:tab w:val="center" w:pos="6619"/>
        </w:tabs>
        <w:spacing w:after="0"/>
        <w:ind w:left="0" w:right="0" w:firstLine="0"/>
        <w:jc w:val="left"/>
      </w:pPr>
    </w:p>
    <w:p w14:paraId="1C487C28" w14:textId="77777777" w:rsidR="00232836" w:rsidRDefault="002E3C2E">
      <w:pPr>
        <w:spacing w:after="0"/>
        <w:ind w:left="-5" w:right="0" w:firstLine="0"/>
        <w:jc w:val="left"/>
      </w:pPr>
      <w:r>
        <w:t xml:space="preserve">where </w:t>
      </w:r>
      <w:proofErr w:type="spellStart"/>
      <w:r>
        <w:rPr>
          <w:i/>
        </w:rPr>
        <w:t>F</w:t>
      </w:r>
      <w:r>
        <w:rPr>
          <w:i/>
          <w:sz w:val="20"/>
          <w:vertAlign w:val="subscript"/>
        </w:rPr>
        <w:t>Haji</w:t>
      </w:r>
      <w:proofErr w:type="spellEnd"/>
      <w:r>
        <w:rPr>
          <w:i/>
          <w:sz w:val="20"/>
          <w:vertAlign w:val="subscript"/>
        </w:rPr>
        <w:t xml:space="preserve"> </w:t>
      </w:r>
      <w:r>
        <w:t>is the sampling frac</w:t>
      </w:r>
      <w:r>
        <w:t>tion of Haji sites. This makes intuitive sense, if we found only half of the archaeological sites dated to the Haji period (</w:t>
      </w:r>
      <w:proofErr w:type="spellStart"/>
      <w:r>
        <w:rPr>
          <w:i/>
        </w:rPr>
        <w:t>F</w:t>
      </w:r>
      <w:r>
        <w:rPr>
          <w:i/>
          <w:sz w:val="20"/>
          <w:vertAlign w:val="subscript"/>
        </w:rPr>
        <w:t>Haji</w:t>
      </w:r>
      <w:proofErr w:type="spellEnd"/>
      <w:r>
        <w:rPr>
          <w:i/>
          <w:sz w:val="20"/>
          <w:vertAlign w:val="subscript"/>
        </w:rPr>
        <w:t xml:space="preserve"> </w:t>
      </w:r>
      <w:r>
        <w:t>= 0.5), then the ratio population to site number ratio would be twice the amount. Estimates of sampling fraction are not avail</w:t>
      </w:r>
      <w:r>
        <w:t>able, but if we assume that this is equivalent between the Haji and the Yayoi period, we can establish the following relationship:</w:t>
      </w:r>
    </w:p>
    <w:p w14:paraId="23CFC221" w14:textId="77777777" w:rsidR="00232836" w:rsidRDefault="00232836">
      <w:pPr>
        <w:spacing w:after="0"/>
        <w:ind w:left="-5" w:right="0" w:firstLine="0"/>
        <w:jc w:val="left"/>
      </w:pPr>
    </w:p>
    <w:p w14:paraId="74573D48" w14:textId="77777777" w:rsidR="00232836" w:rsidRDefault="002E3C2E">
      <w:pPr>
        <w:spacing w:after="0"/>
        <w:ind w:left="-5" w:right="0" w:firstLine="0"/>
        <w:jc w:val="left"/>
      </w:pPr>
      <w:r>
        <w:rPr>
          <w:i/>
        </w:rPr>
        <w:t xml:space="preserve">(F </w:t>
      </w:r>
      <w:r>
        <w:rPr>
          <w:rFonts w:ascii="Calibri" w:eastAsia="Calibri" w:hAnsi="Calibri" w:cs="Calibri"/>
        </w:rPr>
        <w:t>ᐧ</w:t>
      </w:r>
      <w:r>
        <w:rPr>
          <w:rFonts w:ascii="Calibri" w:eastAsia="Calibri" w:hAnsi="Calibri" w:cs="Calibri"/>
        </w:rPr>
        <w:t xml:space="preserve"> </w:t>
      </w:r>
      <w:proofErr w:type="spellStart"/>
      <w:r>
        <w:rPr>
          <w:i/>
        </w:rPr>
        <w:t>P</w:t>
      </w:r>
      <w:r>
        <w:rPr>
          <w:i/>
          <w:sz w:val="13"/>
        </w:rPr>
        <w:t>Haji,Kanto</w:t>
      </w:r>
      <w:proofErr w:type="spellEnd"/>
      <w:r>
        <w:rPr>
          <w:i/>
          <w:sz w:val="13"/>
        </w:rPr>
        <w:t xml:space="preserve"> </w:t>
      </w:r>
      <w:r>
        <w:rPr>
          <w:i/>
        </w:rPr>
        <w:t xml:space="preserve">) / </w:t>
      </w:r>
      <w:proofErr w:type="spellStart"/>
      <w:r>
        <w:rPr>
          <w:i/>
        </w:rPr>
        <w:t>S</w:t>
      </w:r>
      <w:r>
        <w:rPr>
          <w:i/>
          <w:sz w:val="13"/>
        </w:rPr>
        <w:t>Haji,Kanto</w:t>
      </w:r>
      <w:proofErr w:type="spellEnd"/>
      <w:r>
        <w:rPr>
          <w:i/>
          <w:sz w:val="13"/>
        </w:rPr>
        <w:t xml:space="preserve"> </w:t>
      </w:r>
      <w:r>
        <w:rPr>
          <w:i/>
        </w:rPr>
        <w:t xml:space="preserve">= (F </w:t>
      </w:r>
      <w:r>
        <w:rPr>
          <w:rFonts w:ascii="Calibri" w:eastAsia="Calibri" w:hAnsi="Calibri" w:cs="Calibri"/>
        </w:rPr>
        <w:t>ᐧ</w:t>
      </w:r>
      <w:r>
        <w:rPr>
          <w:rFonts w:ascii="Calibri" w:eastAsia="Calibri" w:hAnsi="Calibri" w:cs="Calibri"/>
        </w:rPr>
        <w:t xml:space="preserve"> </w:t>
      </w:r>
      <w:proofErr w:type="spellStart"/>
      <w:r>
        <w:rPr>
          <w:i/>
        </w:rPr>
        <w:t>P</w:t>
      </w:r>
      <w:r>
        <w:rPr>
          <w:i/>
          <w:sz w:val="13"/>
        </w:rPr>
        <w:t>Yayoi,Kanto</w:t>
      </w:r>
      <w:proofErr w:type="spellEnd"/>
      <w:r>
        <w:rPr>
          <w:i/>
          <w:sz w:val="13"/>
        </w:rPr>
        <w:t xml:space="preserve"> </w:t>
      </w:r>
      <w:r>
        <w:rPr>
          <w:i/>
        </w:rPr>
        <w:t xml:space="preserve">) / </w:t>
      </w:r>
      <w:proofErr w:type="spellStart"/>
      <w:r>
        <w:rPr>
          <w:i/>
        </w:rPr>
        <w:t>S</w:t>
      </w:r>
      <w:r>
        <w:rPr>
          <w:i/>
          <w:sz w:val="13"/>
        </w:rPr>
        <w:t>Yayoi,Kanto</w:t>
      </w:r>
      <w:proofErr w:type="spellEnd"/>
      <w:r>
        <w:rPr>
          <w:i/>
          <w:sz w:val="13"/>
        </w:rPr>
        <w:t xml:space="preserve"> </w:t>
      </w:r>
      <w:r>
        <w:rPr>
          <w:rFonts w:ascii="Calibri" w:eastAsia="Calibri" w:hAnsi="Calibri" w:cs="Calibri"/>
        </w:rPr>
        <w:t>ᐧ</w:t>
      </w:r>
      <w:r>
        <w:rPr>
          <w:rFonts w:ascii="Calibri" w:eastAsia="Calibri" w:hAnsi="Calibri" w:cs="Calibri"/>
        </w:rPr>
        <w:t xml:space="preserve"> </w:t>
      </w:r>
      <w:proofErr w:type="spellStart"/>
      <w:r>
        <w:rPr>
          <w:i/>
        </w:rPr>
        <w:t>C</w:t>
      </w:r>
      <w:r>
        <w:rPr>
          <w:i/>
          <w:sz w:val="13"/>
        </w:rPr>
        <w:t>Yayoi</w:t>
      </w:r>
      <w:proofErr w:type="spellEnd"/>
      <w:r>
        <w:rPr>
          <w:i/>
          <w:sz w:val="13"/>
        </w:rPr>
        <w:t>/Haji</w:t>
      </w:r>
      <w:r>
        <w:rPr>
          <w:i/>
          <w:sz w:val="13"/>
        </w:rPr>
        <w:tab/>
      </w:r>
      <w:r>
        <w:t>[6]</w:t>
      </w:r>
    </w:p>
    <w:p w14:paraId="51D6F66E" w14:textId="77777777" w:rsidR="00232836" w:rsidRDefault="00232836">
      <w:pPr>
        <w:spacing w:after="0"/>
        <w:ind w:left="-5" w:right="0" w:firstLine="0"/>
        <w:jc w:val="left"/>
      </w:pPr>
    </w:p>
    <w:p w14:paraId="3EB8BCCB" w14:textId="77777777" w:rsidR="00232836" w:rsidRDefault="002E3C2E">
      <w:pPr>
        <w:spacing w:after="0"/>
        <w:ind w:left="-5" w:right="0" w:firstLine="0"/>
        <w:jc w:val="left"/>
      </w:pPr>
      <w:r>
        <w:t>which can be simplified to equation</w:t>
      </w:r>
      <w:r>
        <w:t xml:space="preserve"> [1] above by removing </w:t>
      </w:r>
      <w:r>
        <w:rPr>
          <w:i/>
        </w:rPr>
        <w:t xml:space="preserve">F </w:t>
      </w:r>
      <w:r>
        <w:t>and re-arranging all terms.</w:t>
      </w:r>
    </w:p>
    <w:p w14:paraId="502F81A0" w14:textId="77777777" w:rsidR="00232836" w:rsidRDefault="002E3C2E">
      <w:pPr>
        <w:spacing w:after="0"/>
        <w:ind w:left="-5" w:right="0" w:firstLine="0"/>
        <w:jc w:val="left"/>
      </w:pPr>
      <w:r>
        <w:t>While, in principle, the Haji period population-to-site ratio could have been applied for each region separately, Koyama uses the ratio of the Kanto region “due to problems of archaeological data quality</w:t>
      </w:r>
      <w:r>
        <w:t xml:space="preserve"> outside the Kanto region” (Koyama 1978</w:t>
      </w:r>
      <w:r>
        <w:t>: 53). This effectively assumes that the sampling fraction of archaeological sites is the same across all regions.</w:t>
      </w:r>
    </w:p>
    <w:p w14:paraId="35FD7EF0" w14:textId="77777777" w:rsidR="00232836" w:rsidRDefault="002E3C2E">
      <w:pPr>
        <w:spacing w:after="0"/>
        <w:ind w:left="-5" w:right="0" w:firstLine="0"/>
        <w:jc w:val="left"/>
      </w:pPr>
      <w:r>
        <w:t>The assumption of a spatially even sampling fraction can be indirectly tested by comparing the numb</w:t>
      </w:r>
      <w:r>
        <w:t>er of Haji period sites to the historical estimates of each region. If both the sampling fraction and the population-to-site ratio is geographically even, we should expect to see the two variables correlated.</w:t>
      </w:r>
    </w:p>
    <w:p w14:paraId="58FB8857" w14:textId="77777777" w:rsidR="00232836" w:rsidRDefault="002E3C2E">
      <w:pPr>
        <w:spacing w:after="0"/>
        <w:ind w:left="30" w:right="0" w:firstLine="0"/>
        <w:jc w:val="left"/>
      </w:pPr>
      <w:r>
        <w:rPr>
          <w:noProof/>
        </w:rPr>
        <w:lastRenderedPageBreak/>
        <w:drawing>
          <wp:inline distT="0" distB="0" distL="0" distR="0" wp14:anchorId="22C22284" wp14:editId="0CB2E252">
            <wp:extent cx="5022850" cy="3566160"/>
            <wp:effectExtent l="0" t="0" r="0" b="0"/>
            <wp:docPr id="2" name="Picture 36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6177"/>
                    <pic:cNvPicPr>
                      <a:picLocks noChangeAspect="1" noChangeArrowheads="1"/>
                    </pic:cNvPicPr>
                  </pic:nvPicPr>
                  <pic:blipFill>
                    <a:blip r:embed="rId7"/>
                    <a:stretch>
                      <a:fillRect/>
                    </a:stretch>
                  </pic:blipFill>
                  <pic:spPr bwMode="auto">
                    <a:xfrm>
                      <a:off x="0" y="0"/>
                      <a:ext cx="5022850" cy="3566160"/>
                    </a:xfrm>
                    <a:prstGeom prst="rect">
                      <a:avLst/>
                    </a:prstGeom>
                  </pic:spPr>
                </pic:pic>
              </a:graphicData>
            </a:graphic>
          </wp:inline>
        </w:drawing>
      </w:r>
    </w:p>
    <w:p w14:paraId="44AA5290" w14:textId="77777777" w:rsidR="00232836" w:rsidRDefault="002E3C2E">
      <w:pPr>
        <w:spacing w:after="0"/>
        <w:ind w:left="-5" w:right="-8" w:firstLine="0"/>
        <w:jc w:val="left"/>
        <w:rPr>
          <w:i/>
          <w:iCs/>
          <w:sz w:val="18"/>
        </w:rPr>
      </w:pPr>
      <w:r>
        <w:rPr>
          <w:i/>
          <w:iCs/>
          <w:sz w:val="18"/>
        </w:rPr>
        <w:t xml:space="preserve">Figure S2. Historical population </w:t>
      </w:r>
      <w:r>
        <w:rPr>
          <w:i/>
          <w:iCs/>
          <w:sz w:val="18"/>
        </w:rPr>
        <w:t>estimates are based on taxation records (Koyama 1978) and the number of Haji period archaeological sites in each region (Japanese Agency of Cultural Affairs 2016).</w:t>
      </w:r>
    </w:p>
    <w:p w14:paraId="552E39CD" w14:textId="77777777" w:rsidR="00232836" w:rsidRDefault="00232836">
      <w:pPr>
        <w:spacing w:after="0"/>
        <w:ind w:left="-5" w:right="-8" w:firstLine="0"/>
        <w:jc w:val="left"/>
      </w:pPr>
    </w:p>
    <w:p w14:paraId="696C3EFE" w14:textId="77777777" w:rsidR="00232836" w:rsidRDefault="002E3C2E">
      <w:pPr>
        <w:spacing w:after="0"/>
        <w:ind w:left="-5" w:right="0" w:firstLine="0"/>
        <w:jc w:val="left"/>
      </w:pPr>
      <w:r>
        <w:t>Figure S2 shows how the Kanto region is a clear outlier, most likely due to a substantially</w:t>
      </w:r>
      <w:r>
        <w:t xml:space="preserve"> higher intensity of rescue excavations compared to other regions. As a result, using equation [4] would most likely lead to an underestimate of the population sizes in other regions.</w:t>
      </w:r>
    </w:p>
    <w:p w14:paraId="78B98816" w14:textId="77777777" w:rsidR="00232836" w:rsidRDefault="002E3C2E">
      <w:pPr>
        <w:spacing w:after="0"/>
        <w:ind w:left="-5" w:right="0" w:firstLine="0"/>
        <w:jc w:val="left"/>
      </w:pPr>
      <w:r>
        <w:t>A second issue on the applicability of equation [4] stems from the assum</w:t>
      </w:r>
      <w:r>
        <w:t>ption of an equal duration between Haji and Yayoi periods. Koyama (1978) does estimate the duration of the Jomon and Yayoi periods (estimating 900 years for the latter) but does not include this in his equation. Crucially, the last 20 years saw a substanti</w:t>
      </w:r>
      <w:r>
        <w:t>al revision of Yayoi absolute chronology, with a start date pushed back by more than 500 years (</w:t>
      </w:r>
      <w:proofErr w:type="spellStart"/>
      <w:r>
        <w:t>Shoda</w:t>
      </w:r>
      <w:proofErr w:type="spellEnd"/>
      <w:r>
        <w:t xml:space="preserve"> 2010) and a consensus of later start dates in Eastern Japan (de Boer </w:t>
      </w:r>
      <w:r>
        <w:rPr>
          <w:i/>
        </w:rPr>
        <w:t xml:space="preserve">et al. </w:t>
      </w:r>
      <w:r>
        <w:t>2020).</w:t>
      </w:r>
    </w:p>
    <w:p w14:paraId="00A6B0D4" w14:textId="77777777" w:rsidR="00232836" w:rsidRDefault="00232836">
      <w:pPr>
        <w:spacing w:after="0"/>
        <w:ind w:left="-5" w:right="0" w:firstLine="0"/>
        <w:jc w:val="left"/>
      </w:pPr>
    </w:p>
    <w:p w14:paraId="15DA59CF" w14:textId="77777777" w:rsidR="00232836" w:rsidRDefault="002E3C2E">
      <w:pPr>
        <w:pStyle w:val="Heading2"/>
        <w:spacing w:after="0" w:line="307" w:lineRule="auto"/>
        <w:ind w:left="-5" w:right="2" w:firstLine="0"/>
      </w:pPr>
      <w:r>
        <w:t>4.2 Revised estimates</w:t>
      </w:r>
    </w:p>
    <w:p w14:paraId="74B414CB" w14:textId="77777777" w:rsidR="00232836" w:rsidRDefault="002E3C2E">
      <w:pPr>
        <w:spacing w:after="0"/>
        <w:ind w:left="-5" w:right="0" w:firstLine="0"/>
        <w:jc w:val="left"/>
      </w:pPr>
      <w:r>
        <w:t>We made estimates of Yayoi population sizes usin</w:t>
      </w:r>
      <w:r>
        <w:t>g prefecture-level site counts published by the Japanese Agency of Cultural Affairs (2016), the regional historical population estimates based on taxation records reported in Koyama (1978), and the approximate start date in each prefecture based on dates r</w:t>
      </w:r>
      <w:r>
        <w:t xml:space="preserve">eported by the Jomon-Yayoi settlement database of the National Museum of Japanese History (2012). Because historical population estimates at prefecture level were not available, we used the following equation to estimate the Yayoi period population size </w:t>
      </w:r>
      <w:proofErr w:type="spellStart"/>
      <w:r>
        <w:rPr>
          <w:i/>
        </w:rPr>
        <w:t>P</w:t>
      </w:r>
      <w:r>
        <w:rPr>
          <w:i/>
          <w:sz w:val="20"/>
          <w:vertAlign w:val="subscript"/>
        </w:rPr>
        <w:t>Y</w:t>
      </w:r>
      <w:r>
        <w:rPr>
          <w:i/>
          <w:sz w:val="20"/>
          <w:vertAlign w:val="subscript"/>
        </w:rPr>
        <w:t>ayoi,i</w:t>
      </w:r>
      <w:proofErr w:type="spellEnd"/>
      <w:r>
        <w:rPr>
          <w:i/>
          <w:sz w:val="20"/>
          <w:vertAlign w:val="subscript"/>
        </w:rPr>
        <w:t xml:space="preserve"> </w:t>
      </w:r>
      <w:r>
        <w:t xml:space="preserve">of each prefecture </w:t>
      </w:r>
      <w:r>
        <w:rPr>
          <w:i/>
        </w:rPr>
        <w:t>i</w:t>
      </w:r>
      <w:r>
        <w:t>:</w:t>
      </w:r>
    </w:p>
    <w:p w14:paraId="3B8E96BC" w14:textId="77777777" w:rsidR="00232836" w:rsidRDefault="00232836">
      <w:pPr>
        <w:spacing w:after="0"/>
        <w:ind w:left="-5" w:right="0" w:firstLine="0"/>
        <w:jc w:val="left"/>
      </w:pPr>
    </w:p>
    <w:p w14:paraId="68398A94" w14:textId="77777777" w:rsidR="00232836" w:rsidRDefault="002E3C2E">
      <w:pPr>
        <w:tabs>
          <w:tab w:val="center" w:pos="4489"/>
          <w:tab w:val="center" w:pos="7308"/>
        </w:tabs>
        <w:spacing w:after="0"/>
        <w:ind w:left="0" w:right="0" w:firstLine="0"/>
        <w:jc w:val="left"/>
      </w:pPr>
      <w:r>
        <w:rPr>
          <w:rFonts w:ascii="Calibri" w:eastAsia="Calibri" w:hAnsi="Calibri" w:cs="Calibri"/>
        </w:rPr>
        <w:tab/>
      </w:r>
      <w:proofErr w:type="spellStart"/>
      <w:r>
        <w:rPr>
          <w:i/>
        </w:rPr>
        <w:t>P</w:t>
      </w:r>
      <w:r>
        <w:rPr>
          <w:i/>
          <w:sz w:val="13"/>
        </w:rPr>
        <w:t>Yayoi,i</w:t>
      </w:r>
      <w:proofErr w:type="spellEnd"/>
      <w:r>
        <w:rPr>
          <w:i/>
          <w:sz w:val="13"/>
        </w:rPr>
        <w:t xml:space="preserve"> </w:t>
      </w:r>
      <w:r>
        <w:rPr>
          <w:i/>
        </w:rPr>
        <w:t xml:space="preserve">= </w:t>
      </w:r>
      <w:proofErr w:type="spellStart"/>
      <w:r>
        <w:rPr>
          <w:i/>
        </w:rPr>
        <w:t>P</w:t>
      </w:r>
      <w:r>
        <w:rPr>
          <w:i/>
          <w:sz w:val="13"/>
        </w:rPr>
        <w:t>Haji,j</w:t>
      </w:r>
      <w:proofErr w:type="spellEnd"/>
      <w:r>
        <w:rPr>
          <w:i/>
          <w:sz w:val="13"/>
        </w:rPr>
        <w:t xml:space="preserve"> </w:t>
      </w:r>
      <w:r>
        <w:rPr>
          <w:i/>
        </w:rPr>
        <w:t xml:space="preserve">/ </w:t>
      </w:r>
      <w:proofErr w:type="spellStart"/>
      <w:r>
        <w:rPr>
          <w:i/>
        </w:rPr>
        <w:t>S</w:t>
      </w:r>
      <w:r>
        <w:rPr>
          <w:i/>
          <w:sz w:val="13"/>
        </w:rPr>
        <w:t>Haji,j</w:t>
      </w:r>
      <w:proofErr w:type="spellEnd"/>
      <w:r>
        <w:rPr>
          <w:i/>
          <w:sz w:val="13"/>
        </w:rPr>
        <w:t xml:space="preserve"> </w:t>
      </w:r>
      <w:r>
        <w:rPr>
          <w:rFonts w:ascii="Calibri" w:eastAsia="Calibri" w:hAnsi="Calibri" w:cs="Calibri"/>
        </w:rPr>
        <w:t>ᐧ</w:t>
      </w:r>
      <w:r>
        <w:rPr>
          <w:rFonts w:ascii="Calibri" w:eastAsia="Calibri" w:hAnsi="Calibri" w:cs="Calibri"/>
        </w:rPr>
        <w:t xml:space="preserve"> </w:t>
      </w:r>
      <w:proofErr w:type="spellStart"/>
      <w:r>
        <w:rPr>
          <w:i/>
        </w:rPr>
        <w:t>C</w:t>
      </w:r>
      <w:r>
        <w:rPr>
          <w:i/>
          <w:sz w:val="13"/>
        </w:rPr>
        <w:t>Yayoi</w:t>
      </w:r>
      <w:proofErr w:type="spellEnd"/>
      <w:r>
        <w:rPr>
          <w:i/>
          <w:sz w:val="13"/>
        </w:rPr>
        <w:t xml:space="preserve">/Haji </w:t>
      </w:r>
      <w:r>
        <w:rPr>
          <w:rFonts w:ascii="Calibri" w:eastAsia="Calibri" w:hAnsi="Calibri" w:cs="Calibri"/>
        </w:rPr>
        <w:t>ᐧ</w:t>
      </w:r>
      <w:r>
        <w:rPr>
          <w:rFonts w:ascii="Calibri" w:eastAsia="Calibri" w:hAnsi="Calibri" w:cs="Calibri"/>
        </w:rPr>
        <w:t xml:space="preserve"> </w:t>
      </w:r>
      <w:proofErr w:type="spellStart"/>
      <w:r>
        <w:rPr>
          <w:i/>
        </w:rPr>
        <w:t>S</w:t>
      </w:r>
      <w:r>
        <w:rPr>
          <w:i/>
          <w:sz w:val="13"/>
        </w:rPr>
        <w:t>Yayoi,i</w:t>
      </w:r>
      <w:proofErr w:type="spellEnd"/>
      <w:r>
        <w:rPr>
          <w:i/>
          <w:sz w:val="13"/>
        </w:rPr>
        <w:t xml:space="preserve"> </w:t>
      </w:r>
      <w:r>
        <w:rPr>
          <w:rFonts w:ascii="Calibri" w:eastAsia="Calibri" w:hAnsi="Calibri" w:cs="Calibri"/>
        </w:rPr>
        <w:t>ᐧ</w:t>
      </w:r>
      <w:r>
        <w:rPr>
          <w:rFonts w:ascii="Calibri" w:eastAsia="Calibri" w:hAnsi="Calibri" w:cs="Calibri"/>
        </w:rPr>
        <w:t xml:space="preserve"> </w:t>
      </w:r>
      <w:proofErr w:type="spellStart"/>
      <w:r>
        <w:rPr>
          <w:i/>
        </w:rPr>
        <w:t>D</w:t>
      </w:r>
      <w:r>
        <w:rPr>
          <w:i/>
          <w:sz w:val="13"/>
        </w:rPr>
        <w:t>Haji</w:t>
      </w:r>
      <w:proofErr w:type="spellEnd"/>
      <w:r>
        <w:rPr>
          <w:i/>
          <w:sz w:val="13"/>
        </w:rPr>
        <w:t>/</w:t>
      </w:r>
      <w:proofErr w:type="spellStart"/>
      <w:r>
        <w:rPr>
          <w:i/>
          <w:sz w:val="13"/>
        </w:rPr>
        <w:t>Yayoi,i</w:t>
      </w:r>
      <w:proofErr w:type="spellEnd"/>
      <w:r>
        <w:rPr>
          <w:i/>
          <w:sz w:val="13"/>
        </w:rPr>
        <w:tab/>
      </w:r>
      <w:r>
        <w:t>[7]</w:t>
      </w:r>
    </w:p>
    <w:p w14:paraId="02863945" w14:textId="77777777" w:rsidR="00232836" w:rsidRDefault="00232836">
      <w:pPr>
        <w:tabs>
          <w:tab w:val="center" w:pos="4489"/>
          <w:tab w:val="center" w:pos="7308"/>
        </w:tabs>
        <w:spacing w:after="0"/>
        <w:ind w:left="0" w:right="0" w:firstLine="0"/>
        <w:jc w:val="left"/>
      </w:pPr>
    </w:p>
    <w:p w14:paraId="724FB5F3" w14:textId="77777777" w:rsidR="00232836" w:rsidRDefault="002E3C2E">
      <w:pPr>
        <w:spacing w:after="0"/>
        <w:ind w:left="-5" w:right="0" w:firstLine="0"/>
        <w:jc w:val="left"/>
      </w:pPr>
      <w:r>
        <w:t xml:space="preserve">where </w:t>
      </w:r>
      <w:proofErr w:type="spellStart"/>
      <w:r>
        <w:rPr>
          <w:i/>
        </w:rPr>
        <w:t>S</w:t>
      </w:r>
      <w:r>
        <w:rPr>
          <w:i/>
          <w:sz w:val="20"/>
          <w:vertAlign w:val="subscript"/>
        </w:rPr>
        <w:t>Yayoi,i</w:t>
      </w:r>
      <w:proofErr w:type="spellEnd"/>
      <w:r>
        <w:rPr>
          <w:i/>
          <w:sz w:val="20"/>
          <w:vertAlign w:val="subscript"/>
        </w:rPr>
        <w:t xml:space="preserve"> </w:t>
      </w:r>
      <w:r>
        <w:t xml:space="preserve">is the number of Yayoi sites in </w:t>
      </w:r>
      <w:proofErr w:type="spellStart"/>
      <w:r>
        <w:rPr>
          <w:i/>
        </w:rPr>
        <w:t>i</w:t>
      </w:r>
      <w:proofErr w:type="spellEnd"/>
      <w:r>
        <w:t xml:space="preserve">, </w:t>
      </w:r>
      <w:proofErr w:type="spellStart"/>
      <w:r>
        <w:rPr>
          <w:i/>
        </w:rPr>
        <w:t>D</w:t>
      </w:r>
      <w:r>
        <w:rPr>
          <w:i/>
          <w:sz w:val="20"/>
          <w:vertAlign w:val="subscript"/>
        </w:rPr>
        <w:t>Haji</w:t>
      </w:r>
      <w:proofErr w:type="spellEnd"/>
      <w:r>
        <w:rPr>
          <w:i/>
          <w:sz w:val="20"/>
          <w:vertAlign w:val="subscript"/>
        </w:rPr>
        <w:t>/</w:t>
      </w:r>
      <w:proofErr w:type="spellStart"/>
      <w:r>
        <w:rPr>
          <w:i/>
          <w:sz w:val="20"/>
          <w:vertAlign w:val="subscript"/>
        </w:rPr>
        <w:t>Yayoi,i</w:t>
      </w:r>
      <w:proofErr w:type="spellEnd"/>
      <w:r>
        <w:rPr>
          <w:i/>
          <w:sz w:val="20"/>
          <w:vertAlign w:val="subscript"/>
        </w:rPr>
        <w:t xml:space="preserve"> </w:t>
      </w:r>
      <w:r>
        <w:t xml:space="preserve">is the ratio between the duration of Haji period (1,000 years) and the duration of Yayoi period at </w:t>
      </w:r>
      <w:proofErr w:type="spellStart"/>
      <w:r>
        <w:rPr>
          <w:i/>
        </w:rPr>
        <w:t>i</w:t>
      </w:r>
      <w:proofErr w:type="spellEnd"/>
      <w:r>
        <w:t xml:space="preserve">, and </w:t>
      </w:r>
      <w:proofErr w:type="spellStart"/>
      <w:r>
        <w:rPr>
          <w:i/>
        </w:rPr>
        <w:t>P</w:t>
      </w:r>
      <w:r>
        <w:rPr>
          <w:i/>
          <w:sz w:val="20"/>
          <w:vertAlign w:val="subscript"/>
        </w:rPr>
        <w:t>Haji,j</w:t>
      </w:r>
      <w:proofErr w:type="spellEnd"/>
      <w:r>
        <w:rPr>
          <w:i/>
          <w:sz w:val="20"/>
          <w:vertAlign w:val="subscript"/>
        </w:rPr>
        <w:t xml:space="preserve"> </w:t>
      </w:r>
      <w:r>
        <w:rPr>
          <w:i/>
        </w:rPr>
        <w:t xml:space="preserve">/ </w:t>
      </w:r>
      <w:proofErr w:type="spellStart"/>
      <w:r>
        <w:rPr>
          <w:i/>
        </w:rPr>
        <w:t>S</w:t>
      </w:r>
      <w:r>
        <w:rPr>
          <w:i/>
          <w:sz w:val="20"/>
          <w:vertAlign w:val="subscript"/>
        </w:rPr>
        <w:t>Haji,j</w:t>
      </w:r>
      <w:proofErr w:type="spellEnd"/>
      <w:r>
        <w:rPr>
          <w:i/>
          <w:sz w:val="20"/>
          <w:vertAlign w:val="subscript"/>
        </w:rPr>
        <w:t xml:space="preserve"> </w:t>
      </w:r>
      <w:r>
        <w:t xml:space="preserve">is the ratio between Haji period population estimates and Haji period archaeological sites in the region </w:t>
      </w:r>
      <w:r>
        <w:rPr>
          <w:i/>
        </w:rPr>
        <w:t>j</w:t>
      </w:r>
      <w:r>
        <w:t xml:space="preserve">, where </w:t>
      </w:r>
      <w:proofErr w:type="spellStart"/>
      <w:r>
        <w:rPr>
          <w:i/>
        </w:rPr>
        <w:t>i</w:t>
      </w:r>
      <w:proofErr w:type="spellEnd"/>
      <w:r>
        <w:rPr>
          <w:i/>
        </w:rPr>
        <w:t xml:space="preserve"> </w:t>
      </w:r>
      <w:r>
        <w:rPr>
          <w:rFonts w:ascii="MS PGothic" w:eastAsia="MS PGothic" w:hAnsi="MS PGothic" w:cs="MS PGothic"/>
        </w:rPr>
        <w:t xml:space="preserve">∈ </w:t>
      </w:r>
      <w:r>
        <w:rPr>
          <w:i/>
        </w:rPr>
        <w:t xml:space="preserve">j. </w:t>
      </w:r>
      <w:r>
        <w:t>Prefecture-</w:t>
      </w:r>
      <w:r>
        <w:t xml:space="preserve">level estimates were then re-aggregated by the areal units defined in Crema </w:t>
      </w:r>
      <w:r>
        <w:rPr>
          <w:i/>
          <w:iCs/>
        </w:rPr>
        <w:t xml:space="preserve">et </w:t>
      </w:r>
      <w:r>
        <w:rPr>
          <w:i/>
          <w:iCs/>
        </w:rPr>
        <w:lastRenderedPageBreak/>
        <w:t>al</w:t>
      </w:r>
      <w:r>
        <w:t>.(2022) and divided by their surface area to obtain estimates of population density (Table 1, main article).</w:t>
      </w:r>
    </w:p>
    <w:p w14:paraId="770419B9" w14:textId="77777777" w:rsidR="00232836" w:rsidRDefault="002E3C2E">
      <w:pPr>
        <w:spacing w:after="0"/>
        <w:ind w:left="-5" w:right="0" w:firstLine="0"/>
        <w:jc w:val="left"/>
      </w:pPr>
      <w:r>
        <w:t>Figure S3 compares the original estimates from Koyama (more specif</w:t>
      </w:r>
      <w:r>
        <w:t xml:space="preserve">ically, the values reported in Koyama &amp; </w:t>
      </w:r>
      <w:proofErr w:type="spellStart"/>
      <w:r>
        <w:t>Sugito</w:t>
      </w:r>
      <w:proofErr w:type="spellEnd"/>
      <w:r>
        <w:t xml:space="preserve"> 1984 which corrects for minor calculations error in the original study) to three different estimates based on the new number of sites provided by the Japanese Agency of Cultural Affairs (2016). The first estim</w:t>
      </w:r>
      <w:r>
        <w:t xml:space="preserve">ate (estimate 1 in Figure S3) utilises Koyama’s original formula (equation [4]) with updated site numbers, while the second, and third estimates employ our formula (equation [7]) without (estimate 2) and with (estimate 3) the term </w:t>
      </w:r>
      <w:proofErr w:type="spellStart"/>
      <w:r>
        <w:rPr>
          <w:i/>
        </w:rPr>
        <w:t>D</w:t>
      </w:r>
      <w:r>
        <w:rPr>
          <w:i/>
          <w:sz w:val="20"/>
          <w:vertAlign w:val="subscript"/>
        </w:rPr>
        <w:t>Haji</w:t>
      </w:r>
      <w:proofErr w:type="spellEnd"/>
      <w:r>
        <w:rPr>
          <w:i/>
          <w:sz w:val="20"/>
          <w:vertAlign w:val="subscript"/>
        </w:rPr>
        <w:t>/</w:t>
      </w:r>
      <w:proofErr w:type="spellStart"/>
      <w:r>
        <w:rPr>
          <w:i/>
          <w:sz w:val="20"/>
          <w:vertAlign w:val="subscript"/>
        </w:rPr>
        <w:t>Yayoi,i</w:t>
      </w:r>
      <w:proofErr w:type="spellEnd"/>
      <w:r>
        <w:t xml:space="preserve">. While for </w:t>
      </w:r>
      <w:r>
        <w:t>most regions the estimates are in the same order of magnitude, our figures are generally higher than those reported by Koyama’s original work, with the exception of Chubu and Tohoku regions. The largest discrepancies between our estimates and Koyama’s were</w:t>
      </w:r>
      <w:r>
        <w:t xml:space="preserve"> observed in Kyushu, Shikoku, and Chugoku regions due primarily to the fact that we replaced</w:t>
      </w:r>
    </w:p>
    <w:p w14:paraId="735BB515" w14:textId="77777777" w:rsidR="00232836" w:rsidRDefault="002E3C2E">
      <w:pPr>
        <w:spacing w:after="0"/>
        <w:ind w:left="-5" w:right="0" w:firstLine="0"/>
        <w:jc w:val="left"/>
      </w:pPr>
      <w:proofErr w:type="spellStart"/>
      <w:r>
        <w:rPr>
          <w:i/>
        </w:rPr>
        <w:t>P</w:t>
      </w:r>
      <w:r>
        <w:rPr>
          <w:i/>
          <w:sz w:val="13"/>
        </w:rPr>
        <w:t>Haji,Kanto</w:t>
      </w:r>
      <w:proofErr w:type="spellEnd"/>
      <w:r>
        <w:rPr>
          <w:i/>
          <w:sz w:val="13"/>
        </w:rPr>
        <w:t xml:space="preserve"> </w:t>
      </w:r>
      <w:r>
        <w:rPr>
          <w:i/>
        </w:rPr>
        <w:t xml:space="preserve">/ </w:t>
      </w:r>
      <w:proofErr w:type="spellStart"/>
      <w:r>
        <w:rPr>
          <w:i/>
        </w:rPr>
        <w:t>S</w:t>
      </w:r>
      <w:r>
        <w:rPr>
          <w:i/>
          <w:sz w:val="13"/>
        </w:rPr>
        <w:t>Haji,Kanto</w:t>
      </w:r>
      <w:proofErr w:type="spellEnd"/>
      <w:r>
        <w:rPr>
          <w:i/>
          <w:sz w:val="13"/>
        </w:rPr>
        <w:t xml:space="preserve"> </w:t>
      </w:r>
      <w:r>
        <w:t xml:space="preserve">with </w:t>
      </w:r>
      <w:proofErr w:type="spellStart"/>
      <w:r>
        <w:rPr>
          <w:i/>
        </w:rPr>
        <w:t>P</w:t>
      </w:r>
      <w:r>
        <w:rPr>
          <w:i/>
          <w:sz w:val="13"/>
        </w:rPr>
        <w:t>Haji,j</w:t>
      </w:r>
      <w:proofErr w:type="spellEnd"/>
      <w:r>
        <w:rPr>
          <w:i/>
          <w:sz w:val="13"/>
        </w:rPr>
        <w:t xml:space="preserve"> </w:t>
      </w:r>
      <w:r>
        <w:rPr>
          <w:i/>
        </w:rPr>
        <w:t xml:space="preserve">/ </w:t>
      </w:r>
      <w:proofErr w:type="spellStart"/>
      <w:r>
        <w:rPr>
          <w:i/>
        </w:rPr>
        <w:t>S</w:t>
      </w:r>
      <w:r>
        <w:rPr>
          <w:i/>
          <w:sz w:val="13"/>
        </w:rPr>
        <w:t>Haji,j</w:t>
      </w:r>
      <w:proofErr w:type="spellEnd"/>
      <w:r>
        <w:rPr>
          <w:i/>
          <w:sz w:val="13"/>
        </w:rPr>
        <w:t xml:space="preserve"> </w:t>
      </w:r>
      <w:r>
        <w:t>, accounting for differences in sampling fraction.</w:t>
      </w:r>
    </w:p>
    <w:p w14:paraId="203ECF9B" w14:textId="77777777" w:rsidR="00232836" w:rsidRDefault="00232836">
      <w:pPr>
        <w:spacing w:after="0"/>
        <w:ind w:left="-5" w:right="0" w:firstLine="0"/>
        <w:jc w:val="left"/>
      </w:pPr>
    </w:p>
    <w:p w14:paraId="24AF3338" w14:textId="77777777" w:rsidR="00232836" w:rsidRDefault="002E3C2E">
      <w:pPr>
        <w:spacing w:after="0"/>
        <w:ind w:left="30" w:right="0" w:firstLine="0"/>
        <w:jc w:val="left"/>
      </w:pPr>
      <w:r>
        <w:rPr>
          <w:noProof/>
        </w:rPr>
        <w:drawing>
          <wp:inline distT="0" distB="0" distL="0" distR="0" wp14:anchorId="45A11864" wp14:editId="50317B6F">
            <wp:extent cx="5812790" cy="3660775"/>
            <wp:effectExtent l="0" t="0" r="0" b="0"/>
            <wp:docPr id="3" name="Picture 3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6178"/>
                    <pic:cNvPicPr>
                      <a:picLocks noChangeAspect="1" noChangeArrowheads="1"/>
                    </pic:cNvPicPr>
                  </pic:nvPicPr>
                  <pic:blipFill>
                    <a:blip r:embed="rId8"/>
                    <a:stretch>
                      <a:fillRect/>
                    </a:stretch>
                  </pic:blipFill>
                  <pic:spPr bwMode="auto">
                    <a:xfrm>
                      <a:off x="0" y="0"/>
                      <a:ext cx="5812790" cy="3660775"/>
                    </a:xfrm>
                    <a:prstGeom prst="rect">
                      <a:avLst/>
                    </a:prstGeom>
                  </pic:spPr>
                </pic:pic>
              </a:graphicData>
            </a:graphic>
          </wp:inline>
        </w:drawing>
      </w:r>
    </w:p>
    <w:p w14:paraId="704CB0E0" w14:textId="77777777" w:rsidR="00232836" w:rsidRDefault="002E3C2E">
      <w:pPr>
        <w:spacing w:after="0"/>
        <w:ind w:left="-5" w:right="-8" w:firstLine="0"/>
        <w:jc w:val="left"/>
        <w:rPr>
          <w:i/>
          <w:iCs/>
          <w:sz w:val="18"/>
        </w:rPr>
      </w:pPr>
      <w:r>
        <w:rPr>
          <w:i/>
          <w:iCs/>
          <w:sz w:val="18"/>
        </w:rPr>
        <w:t>Figure S3. Different population estimates for the Yayoi peri</w:t>
      </w:r>
      <w:r>
        <w:rPr>
          <w:i/>
          <w:iCs/>
          <w:sz w:val="18"/>
        </w:rPr>
        <w:t xml:space="preserve">od: 1) Koyama and </w:t>
      </w:r>
      <w:proofErr w:type="spellStart"/>
      <w:r>
        <w:rPr>
          <w:i/>
          <w:iCs/>
          <w:sz w:val="18"/>
        </w:rPr>
        <w:t>Sugito</w:t>
      </w:r>
      <w:proofErr w:type="spellEnd"/>
      <w:r>
        <w:rPr>
          <w:i/>
          <w:iCs/>
          <w:sz w:val="18"/>
        </w:rPr>
        <w:t xml:space="preserve"> 1984; 2) Equation [1] applied on new site counts for Yayoi and Haji periods (Estimate 1); 3) Modified version of equation [4] without the term </w:t>
      </w:r>
      <w:proofErr w:type="spellStart"/>
      <w:r>
        <w:rPr>
          <w:sz w:val="18"/>
        </w:rPr>
        <w:t>D</w:t>
      </w:r>
      <w:r>
        <w:rPr>
          <w:sz w:val="17"/>
          <w:vertAlign w:val="subscript"/>
        </w:rPr>
        <w:t>Haji</w:t>
      </w:r>
      <w:proofErr w:type="spellEnd"/>
      <w:r>
        <w:rPr>
          <w:sz w:val="17"/>
          <w:vertAlign w:val="subscript"/>
        </w:rPr>
        <w:t>/</w:t>
      </w:r>
      <w:proofErr w:type="spellStart"/>
      <w:r>
        <w:rPr>
          <w:sz w:val="17"/>
          <w:vertAlign w:val="subscript"/>
        </w:rPr>
        <w:t>Yayoi,i</w:t>
      </w:r>
      <w:proofErr w:type="spellEnd"/>
      <w:r>
        <w:rPr>
          <w:i/>
          <w:iCs/>
          <w:sz w:val="17"/>
          <w:vertAlign w:val="subscript"/>
        </w:rPr>
        <w:t xml:space="preserve"> </w:t>
      </w:r>
      <w:r>
        <w:rPr>
          <w:i/>
          <w:iCs/>
          <w:sz w:val="18"/>
        </w:rPr>
        <w:t xml:space="preserve">; (Estimate </w:t>
      </w:r>
      <w:r>
        <w:rPr>
          <w:sz w:val="18"/>
        </w:rPr>
        <w:t>2</w:t>
      </w:r>
      <w:r>
        <w:rPr>
          <w:i/>
          <w:iCs/>
          <w:sz w:val="18"/>
        </w:rPr>
        <w:t>); equation [4] (Estimate 3).</w:t>
      </w:r>
    </w:p>
    <w:p w14:paraId="492A70CB" w14:textId="77777777" w:rsidR="00232836" w:rsidRDefault="00232836">
      <w:pPr>
        <w:spacing w:after="0"/>
        <w:ind w:left="-5" w:right="-8" w:firstLine="0"/>
        <w:jc w:val="left"/>
      </w:pPr>
    </w:p>
    <w:p w14:paraId="7C35F97A" w14:textId="77777777" w:rsidR="00232836" w:rsidRDefault="002E3C2E">
      <w:pPr>
        <w:spacing w:after="0"/>
        <w:ind w:left="-5" w:right="0" w:firstLine="0"/>
        <w:jc w:val="left"/>
      </w:pPr>
      <w:r>
        <w:t>Estimates from Jomon sub-perio</w:t>
      </w:r>
      <w:r>
        <w:t>ds were not computed given the Japanese Agency of Cultural Affairs provide only counts for the largest periodisation.</w:t>
      </w:r>
    </w:p>
    <w:p w14:paraId="3DB0C671" w14:textId="77777777" w:rsidR="00232836" w:rsidRDefault="002E3C2E">
      <w:pPr>
        <w:spacing w:after="160" w:line="259" w:lineRule="auto"/>
        <w:ind w:left="0" w:right="0" w:firstLine="0"/>
        <w:jc w:val="left"/>
      </w:pPr>
      <w:r>
        <w:br w:type="page"/>
      </w:r>
    </w:p>
    <w:p w14:paraId="41B9A01D" w14:textId="77777777" w:rsidR="00232836" w:rsidRDefault="002E3C2E">
      <w:pPr>
        <w:pStyle w:val="Heading1"/>
        <w:spacing w:after="0" w:line="307" w:lineRule="auto"/>
        <w:ind w:left="-5" w:right="0" w:firstLine="0"/>
      </w:pPr>
      <w:r>
        <w:lastRenderedPageBreak/>
        <w:t>5. Data Availability Statement</w:t>
      </w:r>
    </w:p>
    <w:p w14:paraId="094041D2" w14:textId="77777777" w:rsidR="00232836" w:rsidRDefault="002E3C2E">
      <w:pPr>
        <w:spacing w:after="0"/>
        <w:ind w:left="-5" w:right="0" w:firstLine="0"/>
      </w:pPr>
      <w:r>
        <w:t xml:space="preserve">All data and R scripts required to reproduce the analyses can be found on a dedicated </w:t>
      </w:r>
      <w:proofErr w:type="spellStart"/>
      <w:r>
        <w:t>Github</w:t>
      </w:r>
      <w:proofErr w:type="spellEnd"/>
      <w:r>
        <w:t xml:space="preserve"> </w:t>
      </w:r>
      <w:r>
        <w:t>repository</w:t>
      </w:r>
      <w:r>
        <w:rPr>
          <w:rStyle w:val="FootnoteReference"/>
        </w:rPr>
        <w:footnoteReference w:id="3"/>
      </w:r>
      <w:r>
        <w:t xml:space="preserve"> with a permanent snapshot archived on </w:t>
      </w:r>
      <w:proofErr w:type="spellStart"/>
      <w:r>
        <w:t>Zenodo</w:t>
      </w:r>
      <w:proofErr w:type="spellEnd"/>
      <w:r>
        <w:rPr>
          <w:rStyle w:val="FootnoteReference"/>
        </w:rPr>
        <w:footnoteReference w:id="4"/>
      </w:r>
      <w:r>
        <w:t>.</w:t>
      </w:r>
    </w:p>
    <w:p w14:paraId="51089AAA" w14:textId="77777777" w:rsidR="00232836" w:rsidRDefault="00232836">
      <w:pPr>
        <w:spacing w:after="0"/>
        <w:ind w:left="-5" w:right="0" w:firstLine="0"/>
      </w:pPr>
    </w:p>
    <w:p w14:paraId="52224DFD" w14:textId="77777777" w:rsidR="00232836" w:rsidRDefault="00232836">
      <w:pPr>
        <w:spacing w:after="0"/>
        <w:ind w:left="-5" w:right="0" w:firstLine="0"/>
      </w:pPr>
    </w:p>
    <w:p w14:paraId="0916C1C6" w14:textId="77777777" w:rsidR="00232836" w:rsidRDefault="002E3C2E">
      <w:pPr>
        <w:pStyle w:val="Heading1"/>
        <w:spacing w:after="0" w:line="307" w:lineRule="auto"/>
        <w:ind w:left="0" w:right="0" w:firstLine="0"/>
      </w:pPr>
      <w:r>
        <w:rPr>
          <w:sz w:val="40"/>
        </w:rPr>
        <w:t>References</w:t>
      </w:r>
    </w:p>
    <w:p w14:paraId="49147AC2" w14:textId="77777777" w:rsidR="00232836" w:rsidRDefault="002E3C2E">
      <w:pPr>
        <w:spacing w:after="0"/>
        <w:ind w:left="0" w:right="0" w:firstLine="0"/>
        <w:jc w:val="left"/>
      </w:pPr>
      <w:bookmarkStart w:id="0" w:name="_Hlk165977188"/>
      <w:proofErr w:type="spellStart"/>
      <w:r>
        <w:rPr>
          <w:smallCaps/>
        </w:rPr>
        <w:t>Besag</w:t>
      </w:r>
      <w:proofErr w:type="spellEnd"/>
      <w:r>
        <w:rPr>
          <w:smallCaps/>
        </w:rPr>
        <w:t>, J.</w:t>
      </w:r>
      <w:r>
        <w:t xml:space="preserve"> 1974. Spatial interaction and the statistical analysis of lattice systems. </w:t>
      </w:r>
      <w:r>
        <w:rPr>
          <w:i/>
        </w:rPr>
        <w:t xml:space="preserve">Journal of the Royal Statistical Society </w:t>
      </w:r>
      <w:r>
        <w:t>36: 192–225. https://doi.org/10.1111/j.2517-6161.1974.tb</w:t>
      </w:r>
      <w:r>
        <w:t>00999.x</w:t>
      </w:r>
    </w:p>
    <w:p w14:paraId="31B6364D" w14:textId="77777777" w:rsidR="00232836" w:rsidRDefault="002E3C2E">
      <w:pPr>
        <w:spacing w:after="0"/>
        <w:ind w:left="0" w:right="0" w:firstLine="0"/>
        <w:jc w:val="left"/>
      </w:pPr>
      <w:r>
        <w:rPr>
          <w:smallCaps/>
        </w:rPr>
        <w:t>Brown, W.A.</w:t>
      </w:r>
      <w:r>
        <w:t xml:space="preserve"> 2017. The past and future of growth rate estimation in demographic temporal frequency analysis: biodemographic interpretability and the ascendance of dynamic growth models. </w:t>
      </w:r>
      <w:r>
        <w:rPr>
          <w:i/>
        </w:rPr>
        <w:t xml:space="preserve">Journal of Archaeological Science </w:t>
      </w:r>
      <w:r>
        <w:t>80: 96–108. https://doi.org/1</w:t>
      </w:r>
      <w:r>
        <w:t>0.1016/j.jas.2017.02.003</w:t>
      </w:r>
    </w:p>
    <w:p w14:paraId="364DE8F0" w14:textId="77777777" w:rsidR="00232836" w:rsidRDefault="002E3C2E">
      <w:pPr>
        <w:spacing w:after="0"/>
        <w:ind w:left="0" w:right="0" w:firstLine="0"/>
        <w:jc w:val="left"/>
      </w:pPr>
      <w:r>
        <w:rPr>
          <w:smallCaps/>
        </w:rPr>
        <w:t>Carleton, W.C.</w:t>
      </w:r>
      <w:r>
        <w:t xml:space="preserve"> 2021. Evaluating Bayesian Radiocarbon-dated Event Count (REC) models for the study of long-term human and environmental processes. </w:t>
      </w:r>
      <w:r>
        <w:rPr>
          <w:i/>
        </w:rPr>
        <w:t xml:space="preserve">Journal of Quaternary Science </w:t>
      </w:r>
      <w:r>
        <w:t>36: 110–23. https://doi.org/10.1002/jqs.3256</w:t>
      </w:r>
    </w:p>
    <w:p w14:paraId="65EE052B" w14:textId="77777777" w:rsidR="00232836" w:rsidRDefault="002E3C2E">
      <w:pPr>
        <w:spacing w:after="0"/>
        <w:ind w:left="0" w:right="0" w:firstLine="0"/>
        <w:jc w:val="left"/>
      </w:pPr>
      <w:r>
        <w:rPr>
          <w:smallCaps/>
        </w:rPr>
        <w:t xml:space="preserve">Carleton, </w:t>
      </w:r>
      <w:r>
        <w:rPr>
          <w:smallCaps/>
        </w:rPr>
        <w:t xml:space="preserve">W.C. &amp; H.S. </w:t>
      </w:r>
      <w:proofErr w:type="spellStart"/>
      <w:r>
        <w:rPr>
          <w:smallCaps/>
        </w:rPr>
        <w:t>Groucutt</w:t>
      </w:r>
      <w:proofErr w:type="spellEnd"/>
      <w:r>
        <w:rPr>
          <w:smallCaps/>
        </w:rPr>
        <w:t>.</w:t>
      </w:r>
      <w:r>
        <w:t xml:space="preserve"> 2021. Sum things are not what they seem: problems with point-wise interpretations and quantitative analyses of proxies based on aggregated radiocarbon dates. </w:t>
      </w:r>
      <w:r>
        <w:rPr>
          <w:i/>
        </w:rPr>
        <w:t xml:space="preserve">Holocene </w:t>
      </w:r>
      <w:r>
        <w:t>31: 630–43. https://doi.org/10.1177/0959683620981700</w:t>
      </w:r>
    </w:p>
    <w:p w14:paraId="7749357C" w14:textId="60B643F3" w:rsidR="00232836" w:rsidRDefault="002E3C2E">
      <w:pPr>
        <w:spacing w:after="0"/>
        <w:ind w:left="0" w:right="0" w:firstLine="0"/>
        <w:jc w:val="left"/>
      </w:pPr>
      <w:r>
        <w:rPr>
          <w:smallCaps/>
        </w:rPr>
        <w:t>Crema, E.R.</w:t>
      </w:r>
      <w:r>
        <w:t xml:space="preserve"> 20</w:t>
      </w:r>
      <w:r>
        <w:t xml:space="preserve">22a. </w:t>
      </w:r>
      <w:proofErr w:type="spellStart"/>
      <w:r>
        <w:t>nimbleCarbon</w:t>
      </w:r>
      <w:proofErr w:type="spellEnd"/>
      <w:r>
        <w:t>: models and utility functions for Bayesian analyses of radiocarbon dates with NIMBLE (v.0.2.0). Available at: https://github.com/ercrema/nimbleCarbon (accessed 31/5/2024).</w:t>
      </w:r>
    </w:p>
    <w:p w14:paraId="62272B01" w14:textId="77777777" w:rsidR="00232836" w:rsidRDefault="002E3C2E">
      <w:pPr>
        <w:spacing w:after="0"/>
        <w:ind w:left="0" w:right="0" w:firstLine="0"/>
        <w:jc w:val="left"/>
      </w:pPr>
      <w:r>
        <w:t>– 2022b. Statistical inference of prehistoric demography from freq</w:t>
      </w:r>
      <w:r>
        <w:t xml:space="preserve">uency distributions of radiocarbon dates: a review and a guide for the perplexed. </w:t>
      </w:r>
      <w:r>
        <w:rPr>
          <w:i/>
        </w:rPr>
        <w:t xml:space="preserve">Journal of Archaeological Method and Theory </w:t>
      </w:r>
      <w:r>
        <w:rPr>
          <w:iCs/>
        </w:rPr>
        <w:t>29:1387–1418</w:t>
      </w:r>
      <w:r>
        <w:t>. https://doi.org/10.1007/s10816-022-09559-5</w:t>
      </w:r>
    </w:p>
    <w:p w14:paraId="13A99DA2" w14:textId="77777777" w:rsidR="00232836" w:rsidRDefault="002E3C2E">
      <w:pPr>
        <w:spacing w:after="0"/>
        <w:ind w:left="0" w:right="0" w:firstLine="0"/>
        <w:jc w:val="left"/>
      </w:pPr>
      <w:r>
        <w:rPr>
          <w:smallCaps/>
        </w:rPr>
        <w:t>Crema, E.R. &amp; A. Bevan.</w:t>
      </w:r>
      <w:r>
        <w:t xml:space="preserve"> 2021. Inference from large sets of radiocarbon da</w:t>
      </w:r>
      <w:r>
        <w:t xml:space="preserve">tes: software and methods. </w:t>
      </w:r>
      <w:r>
        <w:rPr>
          <w:i/>
        </w:rPr>
        <w:t xml:space="preserve">Radiocarbon </w:t>
      </w:r>
      <w:r>
        <w:t>63: 23–39. https://doi.org/10.1017/RDC.2020.95</w:t>
      </w:r>
    </w:p>
    <w:p w14:paraId="6D110247" w14:textId="77777777" w:rsidR="00232836" w:rsidRDefault="002E3C2E">
      <w:pPr>
        <w:spacing w:after="0"/>
        <w:ind w:left="0" w:right="0" w:firstLine="0"/>
        <w:jc w:val="left"/>
      </w:pPr>
      <w:r>
        <w:rPr>
          <w:smallCaps/>
        </w:rPr>
        <w:t xml:space="preserve">Crema, E.R. &amp; S. </w:t>
      </w:r>
      <w:proofErr w:type="spellStart"/>
      <w:r>
        <w:rPr>
          <w:smallCaps/>
        </w:rPr>
        <w:t>Shoda</w:t>
      </w:r>
      <w:proofErr w:type="spellEnd"/>
      <w:r>
        <w:t xml:space="preserve">. 2021. A Bayesian approach for fitting and comparing demographic growth models of radiocarbon dates: a case study on the Jomon-Yayoi transition in </w:t>
      </w:r>
      <w:r>
        <w:t xml:space="preserve">Kyushu (Japan). </w:t>
      </w:r>
      <w:proofErr w:type="spellStart"/>
      <w:r>
        <w:rPr>
          <w:i/>
        </w:rPr>
        <w:t>PLoS</w:t>
      </w:r>
      <w:proofErr w:type="spellEnd"/>
      <w:r>
        <w:rPr>
          <w:i/>
        </w:rPr>
        <w:t xml:space="preserve"> ONE </w:t>
      </w:r>
      <w:r>
        <w:t>16: e0251695. https://doi.org/10.1371/journal.pone.0251695v</w:t>
      </w:r>
    </w:p>
    <w:p w14:paraId="40914100" w14:textId="77777777" w:rsidR="00232836" w:rsidRDefault="002E3C2E">
      <w:pPr>
        <w:spacing w:after="0"/>
        <w:ind w:left="0" w:right="0" w:firstLine="0"/>
        <w:jc w:val="left"/>
      </w:pPr>
      <w:r>
        <w:rPr>
          <w:smallCaps/>
        </w:rPr>
        <w:t xml:space="preserve">Crema, E.R., C.J. Stevens &amp; S. </w:t>
      </w:r>
      <w:proofErr w:type="spellStart"/>
      <w:r>
        <w:rPr>
          <w:smallCaps/>
        </w:rPr>
        <w:t>Shoda</w:t>
      </w:r>
      <w:proofErr w:type="spellEnd"/>
      <w:r>
        <w:rPr>
          <w:smallCaps/>
        </w:rPr>
        <w:t>.</w:t>
      </w:r>
      <w:r>
        <w:t xml:space="preserve"> 2022. Bayesian analyses of direct radiocarbon dates reveal geographic variations in the rate of rice farming dispersal in prehistoric</w:t>
      </w:r>
      <w:r>
        <w:t xml:space="preserve"> Japan. </w:t>
      </w:r>
      <w:r>
        <w:rPr>
          <w:i/>
        </w:rPr>
        <w:t xml:space="preserve">Science Advances </w:t>
      </w:r>
      <w:r>
        <w:t>8: eadc9171. https://doi.org/10.1126/sciadv.adc9171</w:t>
      </w:r>
    </w:p>
    <w:p w14:paraId="1F77635C" w14:textId="77777777" w:rsidR="00232836" w:rsidRDefault="002E3C2E">
      <w:pPr>
        <w:spacing w:after="0"/>
        <w:ind w:left="0" w:right="0" w:firstLine="0"/>
        <w:jc w:val="left"/>
      </w:pPr>
      <w:r>
        <w:rPr>
          <w:smallCaps/>
        </w:rPr>
        <w:t>de Boer, E., M.A. Yang, A. Kawagoe &amp; G.L. Barnes. (</w:t>
      </w:r>
      <w:r>
        <w:t>ed.</w:t>
      </w:r>
      <w:r>
        <w:rPr>
          <w:smallCaps/>
        </w:rPr>
        <w:t xml:space="preserve">) </w:t>
      </w:r>
      <w:r>
        <w:t xml:space="preserve">2020. Japan considered from the hypothesis of farmer/language spread. </w:t>
      </w:r>
      <w:r>
        <w:rPr>
          <w:i/>
        </w:rPr>
        <w:t xml:space="preserve">Evolutionary Human Sciences </w:t>
      </w:r>
      <w:r>
        <w:t>2.</w:t>
      </w:r>
    </w:p>
    <w:p w14:paraId="422B8967" w14:textId="77777777" w:rsidR="00232836" w:rsidRDefault="002E3C2E">
      <w:pPr>
        <w:spacing w:after="0"/>
        <w:ind w:left="0" w:right="0" w:firstLine="0"/>
        <w:jc w:val="left"/>
      </w:pPr>
      <w:r>
        <w:t>https://doi.org/10.1017/ehs.2020.7</w:t>
      </w:r>
    </w:p>
    <w:p w14:paraId="1B430B1D" w14:textId="64C9EAAA" w:rsidR="00232836" w:rsidRDefault="002E3C2E">
      <w:pPr>
        <w:spacing w:after="0"/>
        <w:ind w:left="0" w:right="0" w:firstLine="0"/>
        <w:jc w:val="left"/>
      </w:pPr>
      <w:r>
        <w:rPr>
          <w:smallCaps/>
        </w:rPr>
        <w:t xml:space="preserve">de </w:t>
      </w:r>
      <w:proofErr w:type="spellStart"/>
      <w:r>
        <w:rPr>
          <w:smallCaps/>
        </w:rPr>
        <w:t>Valpine</w:t>
      </w:r>
      <w:proofErr w:type="spellEnd"/>
      <w:r>
        <w:rPr>
          <w:smallCaps/>
        </w:rPr>
        <w:t>, P.</w:t>
      </w:r>
      <w:r>
        <w:t xml:space="preserve"> </w:t>
      </w:r>
      <w:r>
        <w:rPr>
          <w:i/>
          <w:iCs/>
        </w:rPr>
        <w:t>et al.</w:t>
      </w:r>
      <w:r>
        <w:t xml:space="preserve"> 2020. </w:t>
      </w:r>
      <w:r>
        <w:rPr>
          <w:i/>
        </w:rPr>
        <w:t xml:space="preserve">NIMBLE: MCMC, Particle Filtering, and Programmable Hierarchical </w:t>
      </w:r>
      <w:proofErr w:type="spellStart"/>
      <w:r>
        <w:rPr>
          <w:i/>
        </w:rPr>
        <w:t>Modeling</w:t>
      </w:r>
      <w:proofErr w:type="spellEnd"/>
      <w:r>
        <w:rPr>
          <w:i/>
        </w:rPr>
        <w:t xml:space="preserve"> </w:t>
      </w:r>
      <w:r>
        <w:t xml:space="preserve">(version 0.10.1). Available at: https://doi.org/10.5281/zenodo.1211190 (accessed 31 May </w:t>
      </w:r>
      <w:r>
        <w:t>2024</w:t>
      </w:r>
      <w:r>
        <w:t>).</w:t>
      </w:r>
    </w:p>
    <w:p w14:paraId="14B2194A" w14:textId="77777777" w:rsidR="00232836" w:rsidRDefault="002E3C2E">
      <w:pPr>
        <w:spacing w:after="0"/>
        <w:ind w:left="0" w:right="0" w:firstLine="0"/>
        <w:jc w:val="left"/>
      </w:pPr>
      <w:r>
        <w:rPr>
          <w:smallCaps/>
        </w:rPr>
        <w:t xml:space="preserve">Ester, M., H.-P. </w:t>
      </w:r>
      <w:proofErr w:type="spellStart"/>
      <w:r>
        <w:rPr>
          <w:smallCaps/>
        </w:rPr>
        <w:t>Kriegel</w:t>
      </w:r>
      <w:proofErr w:type="spellEnd"/>
      <w:r>
        <w:rPr>
          <w:smallCaps/>
        </w:rPr>
        <w:t>, J. Sander &amp; X. Xu.</w:t>
      </w:r>
      <w:r>
        <w:t xml:space="preserve"> 1996. A density-based algorithm for discovering clusters in large spatial databases with noise, in </w:t>
      </w:r>
      <w:r>
        <w:rPr>
          <w:i/>
          <w:iCs/>
        </w:rPr>
        <w:t>Proceedings of the Second International Conference on Knowledge Discovery and Data Mining</w:t>
      </w:r>
      <w:r>
        <w:t>: 226–31. Portland (OR): AAAI.</w:t>
      </w:r>
    </w:p>
    <w:p w14:paraId="0F80EA74" w14:textId="77777777" w:rsidR="00232836" w:rsidRDefault="002E3C2E">
      <w:pPr>
        <w:spacing w:after="0"/>
        <w:ind w:left="0" w:right="0" w:firstLine="0"/>
        <w:jc w:val="left"/>
      </w:pPr>
      <w:r>
        <w:rPr>
          <w:smallCaps/>
        </w:rPr>
        <w:t>Gelman, A. &amp; D.B</w:t>
      </w:r>
      <w:r>
        <w:rPr>
          <w:smallCaps/>
        </w:rPr>
        <w:t>. Rubin</w:t>
      </w:r>
      <w:r>
        <w:t>. 1992. Inference from iterative simulation using multiple sequences.</w:t>
      </w:r>
    </w:p>
    <w:p w14:paraId="5FAF0AF4" w14:textId="77777777" w:rsidR="00232836" w:rsidRDefault="002E3C2E">
      <w:pPr>
        <w:spacing w:after="0"/>
        <w:ind w:left="0" w:right="0" w:firstLine="0"/>
        <w:jc w:val="left"/>
      </w:pPr>
      <w:r>
        <w:rPr>
          <w:i/>
        </w:rPr>
        <w:lastRenderedPageBreak/>
        <w:t xml:space="preserve">Statistical Science: a review journal of the Institute of Mathematical Statistics </w:t>
      </w:r>
      <w:r>
        <w:t>7: 457–72.</w:t>
      </w:r>
    </w:p>
    <w:p w14:paraId="59440FED" w14:textId="7961CFF4" w:rsidR="00232836" w:rsidRDefault="002E3C2E">
      <w:pPr>
        <w:spacing w:after="0"/>
        <w:ind w:left="0" w:right="0" w:firstLine="0"/>
        <w:jc w:val="left"/>
      </w:pPr>
      <w:r>
        <w:t xml:space="preserve">Japanese Agency of Cultural Affairs. 2016. </w:t>
      </w:r>
      <w:proofErr w:type="spellStart"/>
      <w:r>
        <w:t>Maizobunkazaikankei</w:t>
      </w:r>
      <w:proofErr w:type="spellEnd"/>
      <w:r>
        <w:t xml:space="preserve"> </w:t>
      </w:r>
      <w:proofErr w:type="spellStart"/>
      <w:r>
        <w:t>tokeishiryo</w:t>
      </w:r>
      <w:proofErr w:type="spellEnd"/>
      <w:r>
        <w:t xml:space="preserve"> -</w:t>
      </w:r>
      <w:proofErr w:type="spellStart"/>
      <w:r>
        <w:t>heisei</w:t>
      </w:r>
      <w:proofErr w:type="spellEnd"/>
      <w:r>
        <w:t xml:space="preserve"> 28 </w:t>
      </w:r>
      <w:proofErr w:type="spellStart"/>
      <w:r>
        <w:t>nendo</w:t>
      </w:r>
      <w:proofErr w:type="spellEnd"/>
      <w:r>
        <w:t>-. Available at: https://www.bunka.go.jp/seisaku/bunkazai/shokai/pdf/h29_03_maizotokei.pdf (accessed 31/5/2024).</w:t>
      </w:r>
    </w:p>
    <w:p w14:paraId="30E52F6B" w14:textId="77777777" w:rsidR="00232836" w:rsidRDefault="002E3C2E">
      <w:pPr>
        <w:spacing w:after="0"/>
        <w:ind w:left="0" w:right="0" w:firstLine="0"/>
        <w:jc w:val="left"/>
      </w:pPr>
      <w:r>
        <w:rPr>
          <w:smallCaps/>
        </w:rPr>
        <w:t xml:space="preserve"> </w:t>
      </w:r>
      <w:proofErr w:type="spellStart"/>
      <w:r>
        <w:rPr>
          <w:smallCaps/>
        </w:rPr>
        <w:t>Hahsler</w:t>
      </w:r>
      <w:proofErr w:type="spellEnd"/>
      <w:r>
        <w:rPr>
          <w:smallCaps/>
        </w:rPr>
        <w:t xml:space="preserve">, M., M. </w:t>
      </w:r>
      <w:proofErr w:type="spellStart"/>
      <w:r>
        <w:rPr>
          <w:smallCaps/>
        </w:rPr>
        <w:t>Piekenbrock</w:t>
      </w:r>
      <w:proofErr w:type="spellEnd"/>
      <w:r>
        <w:rPr>
          <w:smallCaps/>
        </w:rPr>
        <w:t xml:space="preserve"> &amp; D. Doran</w:t>
      </w:r>
      <w:r>
        <w:t xml:space="preserve">. 2019. </w:t>
      </w:r>
      <w:proofErr w:type="spellStart"/>
      <w:r>
        <w:t>dbscan</w:t>
      </w:r>
      <w:proofErr w:type="spellEnd"/>
      <w:r>
        <w:t xml:space="preserve">: Fast Density-Based Clustering with R. </w:t>
      </w:r>
      <w:r>
        <w:rPr>
          <w:i/>
          <w:iCs/>
        </w:rPr>
        <w:t>Journal of Statistical Software</w:t>
      </w:r>
      <w:r>
        <w:t xml:space="preserve"> 91: 1-30. https://doi.org/10.18637/jss.v091.i01 </w:t>
      </w:r>
    </w:p>
    <w:p w14:paraId="6358FB54" w14:textId="77777777" w:rsidR="00232836" w:rsidRDefault="002E3C2E">
      <w:pPr>
        <w:spacing w:after="0"/>
        <w:ind w:left="0" w:right="0" w:firstLine="0"/>
        <w:jc w:val="left"/>
      </w:pPr>
      <w:r>
        <w:rPr>
          <w:smallCaps/>
        </w:rPr>
        <w:t>Koyama, S.</w:t>
      </w:r>
      <w:r>
        <w:t xml:space="preserve"> 1978. Jomon subsistence and population. </w:t>
      </w:r>
      <w:proofErr w:type="spellStart"/>
      <w:r>
        <w:rPr>
          <w:i/>
        </w:rPr>
        <w:t>Senri</w:t>
      </w:r>
      <w:proofErr w:type="spellEnd"/>
      <w:r>
        <w:rPr>
          <w:i/>
        </w:rPr>
        <w:t xml:space="preserve"> Ethnological Studies </w:t>
      </w:r>
      <w:r>
        <w:t>2: 1–65.</w:t>
      </w:r>
    </w:p>
    <w:p w14:paraId="67AEAF16" w14:textId="77777777" w:rsidR="00232836" w:rsidRDefault="002E3C2E">
      <w:pPr>
        <w:spacing w:after="0"/>
        <w:ind w:left="0" w:right="0" w:firstLine="0"/>
        <w:jc w:val="left"/>
      </w:pPr>
      <w:r>
        <w:rPr>
          <w:smallCaps/>
        </w:rPr>
        <w:t xml:space="preserve">Koyama, S. &amp; S. </w:t>
      </w:r>
      <w:proofErr w:type="spellStart"/>
      <w:r>
        <w:rPr>
          <w:smallCaps/>
        </w:rPr>
        <w:t>Sugito</w:t>
      </w:r>
      <w:proofErr w:type="spellEnd"/>
      <w:r>
        <w:t xml:space="preserve">. 1984. A study of Jomon population - computer simulation analysis. </w:t>
      </w:r>
      <w:r>
        <w:rPr>
          <w:i/>
        </w:rPr>
        <w:t>Bulletin of the National Muse</w:t>
      </w:r>
      <w:r>
        <w:rPr>
          <w:i/>
        </w:rPr>
        <w:t xml:space="preserve">um of </w:t>
      </w:r>
      <w:proofErr w:type="spellStart"/>
      <w:r>
        <w:rPr>
          <w:i/>
        </w:rPr>
        <w:t>Ehtnology</w:t>
      </w:r>
      <w:proofErr w:type="spellEnd"/>
      <w:r>
        <w:rPr>
          <w:i/>
        </w:rPr>
        <w:t xml:space="preserve"> </w:t>
      </w:r>
      <w:r>
        <w:t>9: 1–39.</w:t>
      </w:r>
    </w:p>
    <w:p w14:paraId="337FDC93" w14:textId="77777777" w:rsidR="00232836" w:rsidRDefault="002E3C2E">
      <w:pPr>
        <w:spacing w:after="0"/>
        <w:ind w:left="0" w:right="0" w:firstLine="0"/>
        <w:jc w:val="left"/>
      </w:pPr>
      <w:r>
        <w:rPr>
          <w:smallCaps/>
        </w:rPr>
        <w:t xml:space="preserve">Kudo, Y., M. Sakamoto &amp; M. </w:t>
      </w:r>
      <w:proofErr w:type="spellStart"/>
      <w:r>
        <w:rPr>
          <w:smallCaps/>
        </w:rPr>
        <w:t>Hakozaki</w:t>
      </w:r>
      <w:proofErr w:type="spellEnd"/>
      <w:r>
        <w:t xml:space="preserve">. 2018. Approach for creating database of the radiocarbon dates published on the archaeological research reports in Japan. </w:t>
      </w:r>
      <w:r>
        <w:rPr>
          <w:i/>
        </w:rPr>
        <w:t xml:space="preserve">Bulletin of the National Museum of Japanese History </w:t>
      </w:r>
      <w:r>
        <w:rPr>
          <w:iCs/>
        </w:rPr>
        <w:t>212</w:t>
      </w:r>
      <w:r>
        <w:t>: 251–66.</w:t>
      </w:r>
    </w:p>
    <w:p w14:paraId="4B3DB75D" w14:textId="77777777" w:rsidR="00232836" w:rsidRDefault="002E3C2E">
      <w:pPr>
        <w:spacing w:after="0"/>
        <w:ind w:left="0" w:right="0" w:firstLine="0"/>
        <w:jc w:val="left"/>
      </w:pPr>
      <w:r>
        <w:rPr>
          <w:smallCaps/>
        </w:rPr>
        <w:t>Kudo, Y.</w:t>
      </w:r>
      <w:r>
        <w:rPr>
          <w:smallCaps/>
        </w:rPr>
        <w:t xml:space="preserve">, M. Sakamoto, M. </w:t>
      </w:r>
      <w:proofErr w:type="spellStart"/>
      <w:r>
        <w:rPr>
          <w:smallCaps/>
        </w:rPr>
        <w:t>Hakozaki</w:t>
      </w:r>
      <w:proofErr w:type="spellEnd"/>
      <w:r>
        <w:rPr>
          <w:smallCaps/>
        </w:rPr>
        <w:t xml:space="preserve">, </w:t>
      </w:r>
      <w:proofErr w:type="spellStart"/>
      <w:r>
        <w:rPr>
          <w:smallCaps/>
        </w:rPr>
        <w:t>C.J.Stevens</w:t>
      </w:r>
      <w:proofErr w:type="spellEnd"/>
      <w:r>
        <w:rPr>
          <w:smallCaps/>
        </w:rPr>
        <w:t xml:space="preserve"> &amp; </w:t>
      </w:r>
      <w:proofErr w:type="spellStart"/>
      <w:r>
        <w:rPr>
          <w:smallCaps/>
        </w:rPr>
        <w:t>E.R.Crema</w:t>
      </w:r>
      <w:proofErr w:type="spellEnd"/>
      <w:r>
        <w:rPr>
          <w:smallCaps/>
        </w:rPr>
        <w:t>,</w:t>
      </w:r>
      <w:r>
        <w:t xml:space="preserve"> 2023. An Archaeological Radiocarbon Database of Japan. J</w:t>
      </w:r>
      <w:r>
        <w:rPr>
          <w:i/>
          <w:iCs/>
        </w:rPr>
        <w:t>ournal of Open Archaeology Data</w:t>
      </w:r>
      <w:r>
        <w:rPr>
          <w:i/>
        </w:rPr>
        <w:t xml:space="preserve"> </w:t>
      </w:r>
      <w:r>
        <w:t xml:space="preserve">11:11p, </w:t>
      </w:r>
      <w:hyperlink r:id="rId9">
        <w:r>
          <w:rPr>
            <w:rStyle w:val="Hyperlink"/>
          </w:rPr>
          <w:t>https://doi.org/10.5334/joad.115</w:t>
        </w:r>
      </w:hyperlink>
      <w:r>
        <w:t xml:space="preserve"> </w:t>
      </w:r>
    </w:p>
    <w:p w14:paraId="19B03AF6" w14:textId="77777777" w:rsidR="00232836" w:rsidRDefault="002E3C2E">
      <w:pPr>
        <w:spacing w:after="0"/>
        <w:ind w:left="0" w:right="0" w:firstLine="0"/>
        <w:jc w:val="left"/>
      </w:pPr>
      <w:r>
        <w:rPr>
          <w:smallCaps/>
        </w:rPr>
        <w:t>McLaughlin, T.R.</w:t>
      </w:r>
      <w:r>
        <w:t xml:space="preserve"> 2018. On applications of space–time modelling with open-source 14C age calibration. </w:t>
      </w:r>
      <w:r>
        <w:rPr>
          <w:i/>
        </w:rPr>
        <w:t xml:space="preserve">Journal of Archaeological Method and Theory </w:t>
      </w:r>
      <w:r>
        <w:rPr>
          <w:iCs/>
        </w:rPr>
        <w:t>26: 479–501</w:t>
      </w:r>
      <w:r>
        <w:t>.</w:t>
      </w:r>
    </w:p>
    <w:p w14:paraId="18D2B07C" w14:textId="77777777" w:rsidR="00232836" w:rsidRDefault="002E3C2E">
      <w:pPr>
        <w:spacing w:after="0"/>
        <w:ind w:left="0" w:right="0" w:firstLine="0"/>
        <w:jc w:val="left"/>
      </w:pPr>
      <w:r>
        <w:t>https://doi.org/10.1007/s10816-018-9381-3</w:t>
      </w:r>
    </w:p>
    <w:p w14:paraId="65C9329A" w14:textId="77777777" w:rsidR="00232836" w:rsidRDefault="002E3C2E">
      <w:pPr>
        <w:spacing w:after="0"/>
        <w:ind w:left="0" w:right="0" w:firstLine="0"/>
        <w:jc w:val="left"/>
      </w:pPr>
      <w:r>
        <w:t xml:space="preserve">National Museum of Japanese History. 2012. </w:t>
      </w:r>
      <w:r>
        <w:t xml:space="preserve">Jomon - Yayoi </w:t>
      </w:r>
      <w:proofErr w:type="spellStart"/>
      <w:r>
        <w:t>Shuraku</w:t>
      </w:r>
      <w:proofErr w:type="spellEnd"/>
      <w:r>
        <w:t xml:space="preserve"> database. Available at: </w:t>
      </w:r>
      <w:r>
        <w:rPr>
          <w:i/>
        </w:rPr>
        <w:t>https://www.rekihaku.ac.jp/up-cgi/login.pl?p=param/jomo/db_param</w:t>
      </w:r>
      <w:r>
        <w:t xml:space="preserve"> (accessed 2 January 2024</w:t>
      </w:r>
      <w:r>
        <w:t>).</w:t>
      </w:r>
    </w:p>
    <w:p w14:paraId="61294659" w14:textId="77777777" w:rsidR="00232836" w:rsidRDefault="002E3C2E">
      <w:pPr>
        <w:spacing w:after="0"/>
        <w:ind w:left="0" w:right="0" w:firstLine="0"/>
        <w:jc w:val="left"/>
      </w:pPr>
      <w:r>
        <w:t xml:space="preserve">R Core Team. 2020. </w:t>
      </w:r>
      <w:r>
        <w:rPr>
          <w:i/>
        </w:rPr>
        <w:t>R: a language and environment for statistical computing</w:t>
      </w:r>
      <w:r>
        <w:t>. Vienna, Austria: R Foundation for St</w:t>
      </w:r>
      <w:r>
        <w:t>atistical Computing. https://www.R-project.org/.</w:t>
      </w:r>
    </w:p>
    <w:p w14:paraId="077CA7B1" w14:textId="77777777" w:rsidR="00232836" w:rsidRDefault="002E3C2E">
      <w:pPr>
        <w:spacing w:after="0"/>
        <w:ind w:left="0" w:right="0" w:firstLine="0"/>
        <w:jc w:val="left"/>
      </w:pPr>
      <w:r>
        <w:rPr>
          <w:smallCaps/>
        </w:rPr>
        <w:t>Reimer, P.J.</w:t>
      </w:r>
      <w:r>
        <w:t xml:space="preserve"> </w:t>
      </w:r>
      <w:r>
        <w:rPr>
          <w:i/>
          <w:iCs/>
        </w:rPr>
        <w:t>et al</w:t>
      </w:r>
      <w:r>
        <w:t xml:space="preserve">. 2020. The IntCal20 Northern Hemisphere radiocarbon age calibration curve (0–55 </w:t>
      </w:r>
      <w:proofErr w:type="spellStart"/>
      <w:r>
        <w:t>cal</w:t>
      </w:r>
      <w:proofErr w:type="spellEnd"/>
      <w:r>
        <w:t xml:space="preserve"> </w:t>
      </w:r>
      <w:proofErr w:type="spellStart"/>
      <w:r>
        <w:t>kBP</w:t>
      </w:r>
      <w:proofErr w:type="spellEnd"/>
      <w:r>
        <w:t xml:space="preserve">). </w:t>
      </w:r>
      <w:r>
        <w:rPr>
          <w:i/>
        </w:rPr>
        <w:t xml:space="preserve">Radiocarbon </w:t>
      </w:r>
      <w:r>
        <w:t>62: 725–57. https://doi.org/10.1017/RDC.2020.41</w:t>
      </w:r>
    </w:p>
    <w:p w14:paraId="5439DF3B" w14:textId="77777777" w:rsidR="00232836" w:rsidRDefault="002E3C2E">
      <w:pPr>
        <w:spacing w:after="0"/>
        <w:ind w:left="0" w:right="0" w:firstLine="0"/>
        <w:jc w:val="left"/>
      </w:pPr>
      <w:r>
        <w:rPr>
          <w:smallCaps/>
        </w:rPr>
        <w:t>Rick, J.W.</w:t>
      </w:r>
      <w:r>
        <w:t xml:space="preserve"> 1987. Dates as data: an exa</w:t>
      </w:r>
      <w:r>
        <w:t xml:space="preserve">mination of the Peruvian preceramic radiocarbon record. </w:t>
      </w:r>
      <w:r>
        <w:rPr>
          <w:i/>
        </w:rPr>
        <w:t xml:space="preserve">American Antiquity </w:t>
      </w:r>
      <w:r>
        <w:t>52: 55–73. https://doi.org/10.2307/281060</w:t>
      </w:r>
    </w:p>
    <w:p w14:paraId="4B35C189" w14:textId="77777777" w:rsidR="00232836" w:rsidRDefault="002E3C2E">
      <w:pPr>
        <w:spacing w:after="0"/>
        <w:ind w:left="0" w:right="0" w:firstLine="0"/>
        <w:jc w:val="left"/>
      </w:pPr>
      <w:proofErr w:type="spellStart"/>
      <w:r>
        <w:rPr>
          <w:smallCaps/>
        </w:rPr>
        <w:t>Shoda</w:t>
      </w:r>
      <w:proofErr w:type="spellEnd"/>
      <w:r>
        <w:rPr>
          <w:smallCaps/>
        </w:rPr>
        <w:t xml:space="preserve">, S. </w:t>
      </w:r>
      <w:r>
        <w:t xml:space="preserve">2010. Radiocarbon and archaeology in Japan and Korea: what has changed because of the Yayoi dating controversy. </w:t>
      </w:r>
      <w:r>
        <w:rPr>
          <w:i/>
        </w:rPr>
        <w:t xml:space="preserve">Radiocarbon </w:t>
      </w:r>
      <w:r>
        <w:t>52: 4</w:t>
      </w:r>
      <w:r>
        <w:t>21–27. https://doi.org/10.1017/S0033822200045471</w:t>
      </w:r>
    </w:p>
    <w:p w14:paraId="684E7C35" w14:textId="77777777" w:rsidR="00232836" w:rsidRDefault="002E3C2E">
      <w:pPr>
        <w:spacing w:after="0"/>
        <w:ind w:left="0" w:right="0" w:firstLine="0"/>
        <w:jc w:val="left"/>
      </w:pPr>
      <w:r>
        <w:rPr>
          <w:smallCaps/>
        </w:rPr>
        <w:t xml:space="preserve">Timpson, A., R. </w:t>
      </w:r>
      <w:proofErr w:type="spellStart"/>
      <w:r>
        <w:rPr>
          <w:smallCaps/>
        </w:rPr>
        <w:t>Barberena</w:t>
      </w:r>
      <w:proofErr w:type="spellEnd"/>
      <w:r>
        <w:rPr>
          <w:smallCaps/>
        </w:rPr>
        <w:t>, M.G. Thomas, C. Méndez &amp; K. Manning</w:t>
      </w:r>
      <w:r>
        <w:t xml:space="preserve">. 2021. Directly modelling population dynamics in the South American Arid Diagonal using 14C dates. </w:t>
      </w:r>
      <w:r>
        <w:rPr>
          <w:i/>
        </w:rPr>
        <w:t>Philosophical Transactions of the Royal Socie</w:t>
      </w:r>
      <w:r>
        <w:rPr>
          <w:i/>
        </w:rPr>
        <w:t xml:space="preserve">ty of London. Series B, Biological Sciences </w:t>
      </w:r>
      <w:r>
        <w:t>376: 20190723. https://doi.org/10.1098/rstb.2019.0723</w:t>
      </w:r>
      <w:bookmarkEnd w:id="0"/>
    </w:p>
    <w:sectPr w:rsidR="00232836">
      <w:footerReference w:type="even" r:id="rId10"/>
      <w:footerReference w:type="default" r:id="rId11"/>
      <w:footerReference w:type="first" r:id="rId12"/>
      <w:footnotePr>
        <w:numRestart w:val="eachPage"/>
      </w:footnotePr>
      <w:pgSz w:w="11920" w:h="16838"/>
      <w:pgMar w:top="850" w:right="1148" w:bottom="1014" w:left="1134" w:header="0" w:footer="753"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A1F3D" w14:textId="77777777" w:rsidR="000F043B" w:rsidRDefault="000F043B">
      <w:pPr>
        <w:spacing w:after="0" w:line="240" w:lineRule="auto"/>
      </w:pPr>
      <w:r>
        <w:separator/>
      </w:r>
    </w:p>
  </w:endnote>
  <w:endnote w:type="continuationSeparator" w:id="0">
    <w:p w14:paraId="5045F345" w14:textId="77777777" w:rsidR="000F043B" w:rsidRDefault="000F0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DejaVu Sans">
    <w:altName w:val="Verdan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D8E49" w14:textId="77777777" w:rsidR="00232836" w:rsidRDefault="002E3C2E">
    <w:pPr>
      <w:spacing w:after="0" w:line="259" w:lineRule="auto"/>
      <w:ind w:left="0" w:right="0" w:firstLine="0"/>
      <w:jc w:val="right"/>
    </w:pPr>
    <w:r>
      <w:fldChar w:fldCharType="begin"/>
    </w:r>
    <w:r>
      <w:instrText xml:space="preserve"> PAGE </w:instrText>
    </w:r>
    <w:r>
      <w:fldChar w:fldCharType="separate"/>
    </w:r>
    <w: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688C" w14:textId="77777777" w:rsidR="00232836" w:rsidRDefault="002E3C2E">
    <w:pPr>
      <w:spacing w:after="0" w:line="259" w:lineRule="auto"/>
      <w:ind w:left="0" w:right="0" w:firstLine="0"/>
      <w:jc w:val="right"/>
    </w:pPr>
    <w:r>
      <w:fldChar w:fldCharType="begin"/>
    </w:r>
    <w:r>
      <w:instrText xml:space="preserve"> PAGE </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847C" w14:textId="77777777" w:rsidR="00232836" w:rsidRDefault="002E3C2E">
    <w:pPr>
      <w:spacing w:after="0" w:line="259" w:lineRule="auto"/>
      <w:ind w:left="0" w:right="0" w:firstLine="0"/>
      <w:jc w:val="right"/>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B00F0" w14:textId="77777777" w:rsidR="000F043B" w:rsidRDefault="000F043B">
      <w:pPr>
        <w:rPr>
          <w:sz w:val="12"/>
        </w:rPr>
      </w:pPr>
      <w:r>
        <w:separator/>
      </w:r>
    </w:p>
  </w:footnote>
  <w:footnote w:type="continuationSeparator" w:id="0">
    <w:p w14:paraId="62CB2ED6" w14:textId="77777777" w:rsidR="000F043B" w:rsidRDefault="000F043B">
      <w:pPr>
        <w:rPr>
          <w:sz w:val="12"/>
        </w:rPr>
      </w:pPr>
      <w:r>
        <w:continuationSeparator/>
      </w:r>
    </w:p>
  </w:footnote>
  <w:footnote w:id="1">
    <w:p w14:paraId="76F7C99C" w14:textId="77777777" w:rsidR="00232836" w:rsidRDefault="002E3C2E">
      <w:pPr>
        <w:pStyle w:val="footnotedescription"/>
        <w:spacing w:after="11"/>
        <w:rPr>
          <w:color w:val="auto"/>
          <w:u w:val="none"/>
        </w:rPr>
      </w:pPr>
      <w:r>
        <w:rPr>
          <w:rStyle w:val="FootnoteCharacters"/>
        </w:rPr>
        <w:footnoteRef/>
      </w:r>
      <w:r>
        <w:rPr>
          <w:color w:val="auto"/>
          <w:u w:val="none"/>
        </w:rPr>
        <w:t xml:space="preserve"> https://www.rekihaku.ac.jp/up-cgi/login.pl?p=param/esrd/db_param</w:t>
      </w:r>
    </w:p>
  </w:footnote>
  <w:footnote w:id="2">
    <w:p w14:paraId="1AFE61FB" w14:textId="77777777" w:rsidR="00232836" w:rsidRDefault="002E3C2E">
      <w:pPr>
        <w:pStyle w:val="footnotedescription"/>
        <w:spacing w:after="0"/>
      </w:pPr>
      <w:r>
        <w:rPr>
          <w:rStyle w:val="FootnoteCharacters"/>
        </w:rPr>
        <w:footnoteRef/>
      </w:r>
      <w:r>
        <w:rPr>
          <w:color w:val="auto"/>
          <w:u w:val="none"/>
        </w:rPr>
        <w:t xml:space="preserve"> https://www.rekihaku.ac.jp/up-cgi/login.pl?p=param/esrd_en/db_param</w:t>
      </w:r>
    </w:p>
  </w:footnote>
  <w:footnote w:id="3">
    <w:p w14:paraId="2C019AD9" w14:textId="77777777" w:rsidR="00232836" w:rsidRDefault="002E3C2E">
      <w:pPr>
        <w:spacing w:after="0"/>
        <w:ind w:left="-5" w:right="0" w:firstLine="0"/>
      </w:pPr>
      <w:r>
        <w:rPr>
          <w:rStyle w:val="FootnoteCharacters"/>
        </w:rPr>
        <w:footnoteRef/>
      </w:r>
      <w:r>
        <w:t>https://github.com/ercrema/yayoi_demo</w:t>
      </w:r>
    </w:p>
  </w:footnote>
  <w:footnote w:id="4">
    <w:p w14:paraId="549E474E" w14:textId="77777777" w:rsidR="00232836" w:rsidRDefault="002E3C2E">
      <w:pPr>
        <w:spacing w:after="0"/>
        <w:ind w:left="-5" w:right="0" w:firstLine="0"/>
      </w:pPr>
      <w:r>
        <w:rPr>
          <w:rStyle w:val="FootnoteCharacters"/>
        </w:rPr>
        <w:footnoteRef/>
      </w:r>
      <w:r>
        <w:t>https://doi.org/10.5281/zenodo.11398533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836"/>
    <w:rsid w:val="0000323F"/>
    <w:rsid w:val="000F043B"/>
    <w:rsid w:val="001C4165"/>
    <w:rsid w:val="00232836"/>
    <w:rsid w:val="002E3C2E"/>
    <w:rsid w:val="007F4A9A"/>
    <w:rsid w:val="00BC041C"/>
  </w:rsids>
  <m:mathPr>
    <m:mathFont m:val="Cambria Math"/>
    <m:brkBin m:val="before"/>
    <m:brkBinSub m:val="--"/>
    <m:smallFrac m:val="0"/>
    <m:dispDef/>
    <m:lMargin m:val="0"/>
    <m:rMargin m:val="0"/>
    <m:defJc m:val="centerGroup"/>
    <m:wrapIndent m:val="1440"/>
    <m:intLim m:val="subSup"/>
    <m:naryLim m:val="undOvr"/>
  </m:mathPr>
  <w:themeFontLang w:val="en-GB" w:eastAsia="ko-KR"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19B0F"/>
  <w15:docId w15:val="{4270DF70-7CAD-5245-ACBB-46F57BBE7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07" w:lineRule="auto"/>
      <w:ind w:left="10" w:right="2"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29" w:line="271" w:lineRule="auto"/>
      <w:ind w:left="2043" w:right="2033" w:hanging="10"/>
      <w:outlineLvl w:val="0"/>
    </w:pPr>
    <w:rPr>
      <w:rFonts w:ascii="Arial" w:eastAsia="Arial" w:hAnsi="Arial" w:cs="Arial"/>
      <w:color w:val="000000"/>
      <w:sz w:val="34"/>
    </w:rPr>
  </w:style>
  <w:style w:type="paragraph" w:styleId="Heading2">
    <w:name w:val="heading 2"/>
    <w:next w:val="Normal"/>
    <w:link w:val="Heading2Char"/>
    <w:uiPriority w:val="9"/>
    <w:unhideWhenUsed/>
    <w:qFormat/>
    <w:pPr>
      <w:keepNext/>
      <w:keepLines/>
      <w:spacing w:after="125" w:line="264" w:lineRule="auto"/>
      <w:ind w:left="10" w:hanging="10"/>
      <w:outlineLvl w:val="1"/>
    </w:pPr>
    <w:rPr>
      <w:rFonts w:ascii="Arial" w:eastAsia="Arial" w:hAnsi="Arial" w:cs="Arial"/>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qFormat/>
    <w:rPr>
      <w:rFonts w:ascii="Arial" w:eastAsia="Arial" w:hAnsi="Arial" w:cs="Arial"/>
      <w:i/>
      <w:color w:val="000000"/>
      <w:sz w:val="26"/>
    </w:rPr>
  </w:style>
  <w:style w:type="character" w:customStyle="1" w:styleId="Heading1Char">
    <w:name w:val="Heading 1 Char"/>
    <w:link w:val="Heading1"/>
    <w:qFormat/>
    <w:rPr>
      <w:rFonts w:ascii="Arial" w:eastAsia="Arial" w:hAnsi="Arial" w:cs="Arial"/>
      <w:color w:val="000000"/>
      <w:sz w:val="34"/>
    </w:rPr>
  </w:style>
  <w:style w:type="character" w:customStyle="1" w:styleId="footnotedescriptionChar">
    <w:name w:val="footnote description Char"/>
    <w:link w:val="footnotedescription"/>
    <w:qFormat/>
    <w:rPr>
      <w:rFonts w:ascii="Arial" w:eastAsia="Arial" w:hAnsi="Arial" w:cs="Arial"/>
      <w:color w:val="1155CC"/>
      <w:sz w:val="20"/>
      <w:u w:val="single" w:color="1155CC"/>
    </w:rPr>
  </w:style>
  <w:style w:type="character" w:customStyle="1" w:styleId="footnotemark">
    <w:name w:val="footnote mark"/>
    <w:qFormat/>
    <w:rPr>
      <w:rFonts w:ascii="Arial" w:eastAsia="Arial" w:hAnsi="Arial" w:cs="Arial"/>
      <w:color w:val="000000"/>
      <w:sz w:val="18"/>
      <w:vertAlign w:val="superscript"/>
    </w:rPr>
  </w:style>
  <w:style w:type="character" w:styleId="Hyperlink">
    <w:name w:val="Hyperlink"/>
    <w:basedOn w:val="DefaultParagraphFont"/>
    <w:uiPriority w:val="99"/>
    <w:unhideWhenUsed/>
    <w:rsid w:val="00DA5E51"/>
    <w:rPr>
      <w:color w:val="0563C1" w:themeColor="hyperlink"/>
      <w:u w:val="single"/>
    </w:rPr>
  </w:style>
  <w:style w:type="character" w:styleId="UnresolvedMention">
    <w:name w:val="Unresolved Mention"/>
    <w:basedOn w:val="DefaultParagraphFont"/>
    <w:uiPriority w:val="99"/>
    <w:semiHidden/>
    <w:unhideWhenUsed/>
    <w:qFormat/>
    <w:rsid w:val="00DA5E51"/>
    <w:rPr>
      <w:color w:val="605E5C"/>
      <w:shd w:val="clear" w:color="auto" w:fill="E1DFDD"/>
    </w:rPr>
  </w:style>
  <w:style w:type="character" w:styleId="CommentReference">
    <w:name w:val="annotation reference"/>
    <w:basedOn w:val="DefaultParagraphFont"/>
    <w:uiPriority w:val="99"/>
    <w:semiHidden/>
    <w:unhideWhenUsed/>
    <w:qFormat/>
    <w:rsid w:val="00DA5E51"/>
    <w:rPr>
      <w:sz w:val="16"/>
      <w:szCs w:val="16"/>
    </w:rPr>
  </w:style>
  <w:style w:type="character" w:customStyle="1" w:styleId="CommentTextChar">
    <w:name w:val="Comment Text Char"/>
    <w:basedOn w:val="DefaultParagraphFont"/>
    <w:link w:val="CommentText"/>
    <w:uiPriority w:val="99"/>
    <w:qFormat/>
    <w:rsid w:val="00DA5E51"/>
    <w:rPr>
      <w:rFonts w:ascii="Arial" w:eastAsia="Arial" w:hAnsi="Arial" w:cs="Arial"/>
      <w:color w:val="000000"/>
      <w:sz w:val="20"/>
      <w:szCs w:val="20"/>
    </w:rPr>
  </w:style>
  <w:style w:type="character" w:customStyle="1" w:styleId="CommentSubjectChar">
    <w:name w:val="Comment Subject Char"/>
    <w:basedOn w:val="CommentTextChar"/>
    <w:link w:val="CommentSubject"/>
    <w:uiPriority w:val="99"/>
    <w:semiHidden/>
    <w:qFormat/>
    <w:rsid w:val="00DA5E51"/>
    <w:rPr>
      <w:rFonts w:ascii="Arial" w:eastAsia="Arial" w:hAnsi="Arial" w:cs="Arial"/>
      <w:b/>
      <w:bCs/>
      <w:color w:val="000000"/>
      <w:sz w:val="20"/>
      <w:szCs w:val="20"/>
    </w:rPr>
  </w:style>
  <w:style w:type="character" w:customStyle="1" w:styleId="HeaderChar">
    <w:name w:val="Header Char"/>
    <w:basedOn w:val="DefaultParagraphFont"/>
    <w:link w:val="Header"/>
    <w:uiPriority w:val="99"/>
    <w:qFormat/>
    <w:rsid w:val="008E4A7E"/>
    <w:rPr>
      <w:rFonts w:ascii="Arial" w:eastAsia="Arial" w:hAnsi="Arial" w:cs="Arial"/>
      <w:color w:val="000000"/>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styleId="LineNumber">
    <w:name w:val="line numbe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DejaVu Sans" w:hAnsi="Liberation Sans" w:cs="DejaVu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footnotedescription">
    <w:name w:val="footnote description"/>
    <w:next w:val="Normal"/>
    <w:link w:val="footnotedescriptionChar"/>
    <w:qFormat/>
    <w:pPr>
      <w:spacing w:after="5" w:line="259" w:lineRule="auto"/>
    </w:pPr>
    <w:rPr>
      <w:rFonts w:ascii="Arial" w:eastAsia="Arial" w:hAnsi="Arial" w:cs="Arial"/>
      <w:color w:val="1155CC"/>
      <w:sz w:val="20"/>
      <w:u w:val="single" w:color="1155CC"/>
    </w:rPr>
  </w:style>
  <w:style w:type="paragraph" w:styleId="CommentText">
    <w:name w:val="annotation text"/>
    <w:basedOn w:val="Normal"/>
    <w:link w:val="CommentTextChar"/>
    <w:uiPriority w:val="99"/>
    <w:unhideWhenUsed/>
    <w:qFormat/>
    <w:rsid w:val="00DA5E51"/>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DA5E51"/>
    <w:rPr>
      <w:b/>
      <w:bCs/>
    </w:rPr>
  </w:style>
  <w:style w:type="paragraph" w:styleId="Revision">
    <w:name w:val="Revision"/>
    <w:uiPriority w:val="99"/>
    <w:semiHidden/>
    <w:qFormat/>
    <w:rsid w:val="00D33E07"/>
    <w:rPr>
      <w:rFonts w:ascii="Arial" w:eastAsia="Arial" w:hAnsi="Arial" w:cs="Arial"/>
      <w:color w:val="000000"/>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E4A7E"/>
    <w:pPr>
      <w:tabs>
        <w:tab w:val="center" w:pos="4513"/>
        <w:tab w:val="right" w:pos="9026"/>
      </w:tabs>
      <w:spacing w:after="0" w:line="240" w:lineRule="auto"/>
    </w:pPr>
  </w:style>
  <w:style w:type="paragraph" w:styleId="FootnoteText">
    <w:name w:val="footnote text"/>
    <w:basedOn w:val="Normal"/>
  </w:style>
  <w:style w:type="paragraph" w:styleId="Footer">
    <w:name w:val="footer"/>
    <w:basedOn w:val="HeaderandFooter"/>
  </w:style>
  <w:style w:type="table" w:customStyle="1" w:styleId="TableGrid">
    <w:name w:val="TableGrid"/>
    <w:tblPr>
      <w:tblCellMar>
        <w:top w:w="0" w:type="dxa"/>
        <w:left w:w="0" w:type="dxa"/>
        <w:bottom w:w="0" w:type="dxa"/>
        <w:right w:w="0" w:type="dxa"/>
      </w:tblCellMar>
    </w:tblPr>
  </w:style>
  <w:style w:type="table" w:styleId="TableGrid0">
    <w:name w:val="Table Grid"/>
    <w:basedOn w:val="TableNormal"/>
    <w:uiPriority w:val="39"/>
    <w:rsid w:val="00EA2906"/>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doi.org/10.5334/joad.11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3481</Words>
  <Characters>19842</Characters>
  <Application>Microsoft Office Word</Application>
  <DocSecurity>0</DocSecurity>
  <Lines>165</Lines>
  <Paragraphs>46</Paragraphs>
  <ScaleCrop>false</ScaleCrop>
  <Company/>
  <LinksUpToDate>false</LinksUpToDate>
  <CharactersWithSpaces>23277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gpsg24</dc:creator>
  <dc:description/>
  <cp:lastModifiedBy>gpsg24</cp:lastModifiedBy>
  <cp:revision>2</cp:revision>
  <dcterms:created xsi:type="dcterms:W3CDTF">2024-06-07T11:23:00Z</dcterms:created>
  <dcterms:modified xsi:type="dcterms:W3CDTF">2024-06-07T11:23:00Z</dcterms:modified>
  <dc:language>en-GB</dc:language>
</cp:coreProperties>
</file>