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17A1" w14:textId="4228786C" w:rsidR="008476BD" w:rsidRDefault="008476BD" w:rsidP="00C3570C">
      <w:pPr>
        <w:spacing w:line="480" w:lineRule="auto"/>
      </w:pPr>
      <w:r>
        <w:t xml:space="preserve">“The </w:t>
      </w:r>
      <w:r w:rsidRPr="008476BD">
        <w:rPr>
          <w:i/>
          <w:iCs/>
        </w:rPr>
        <w:t>Slaughter-House</w:t>
      </w:r>
      <w:r>
        <w:t xml:space="preserve"> Dissents and the Reconstruction of American Liberalism”</w:t>
      </w:r>
    </w:p>
    <w:p w14:paraId="222C802D" w14:textId="77777777" w:rsidR="008476BD" w:rsidRDefault="008476BD" w:rsidP="00C3570C">
      <w:pPr>
        <w:spacing w:line="480" w:lineRule="auto"/>
      </w:pPr>
    </w:p>
    <w:p w14:paraId="1EC32267" w14:textId="71AE8EC5" w:rsidR="008476BD" w:rsidRDefault="008476BD" w:rsidP="00566EA6">
      <w:r>
        <w:t xml:space="preserve">Pamela </w:t>
      </w:r>
      <w:proofErr w:type="spellStart"/>
      <w:r>
        <w:t>Brandwein</w:t>
      </w:r>
      <w:proofErr w:type="spellEnd"/>
    </w:p>
    <w:p w14:paraId="78A9D9A3" w14:textId="7599FA47" w:rsidR="00566EA6" w:rsidRDefault="00566EA6" w:rsidP="00566EA6">
      <w:r>
        <w:t>Professor of Political Science</w:t>
      </w:r>
    </w:p>
    <w:p w14:paraId="66284F41" w14:textId="4CFD0F51" w:rsidR="008476BD" w:rsidRDefault="00A87A6F" w:rsidP="00566EA6">
      <w:r>
        <w:t>Professor of Law (by courtesy)</w:t>
      </w:r>
    </w:p>
    <w:p w14:paraId="5A415D47" w14:textId="7BA14602" w:rsidR="008476BD" w:rsidRDefault="008476BD" w:rsidP="00566EA6">
      <w:r>
        <w:t>University of Michigan</w:t>
      </w:r>
    </w:p>
    <w:p w14:paraId="44253396" w14:textId="77777777" w:rsidR="008476BD" w:rsidRDefault="008476BD" w:rsidP="00C3570C">
      <w:pPr>
        <w:spacing w:line="480" w:lineRule="auto"/>
      </w:pPr>
    </w:p>
    <w:p w14:paraId="574EF572" w14:textId="5F51150D" w:rsidR="00C3570C" w:rsidRDefault="008476BD" w:rsidP="00C3570C">
      <w:pPr>
        <w:spacing w:line="480" w:lineRule="auto"/>
      </w:pPr>
      <w:r>
        <w:t>Supplementa</w:t>
      </w:r>
      <w:r w:rsidR="00791E8B">
        <w:t xml:space="preserve">l </w:t>
      </w:r>
      <w:r w:rsidR="00DA1D0E">
        <w:t>Material</w:t>
      </w:r>
      <w:r w:rsidR="0004510D">
        <w:t>—Appendix</w:t>
      </w:r>
      <w:r w:rsidR="00791E8B">
        <w:t xml:space="preserve"> A</w:t>
      </w:r>
      <w:r>
        <w:t xml:space="preserve"> </w:t>
      </w:r>
    </w:p>
    <w:p w14:paraId="0A72123A" w14:textId="77777777" w:rsidR="00C3570C" w:rsidRDefault="00C3570C" w:rsidP="00C3570C">
      <w:pPr>
        <w:spacing w:line="480" w:lineRule="auto"/>
      </w:pPr>
    </w:p>
    <w:p w14:paraId="22C1564E" w14:textId="540D26A8" w:rsidR="00135C34" w:rsidRDefault="00F13C70" w:rsidP="00F13C70">
      <w:pPr>
        <w:spacing w:line="480" w:lineRule="auto"/>
        <w:ind w:firstLine="720"/>
      </w:pPr>
      <w:r>
        <w:t>C</w:t>
      </w:r>
      <w:r w:rsidR="00D3076C">
        <w:t>ontemporaneous s</w:t>
      </w:r>
      <w:r w:rsidR="00C3570C">
        <w:t>ources (Gazetteers)</w:t>
      </w:r>
      <w:r w:rsidR="00D3076C">
        <w:t xml:space="preserve"> </w:t>
      </w:r>
      <w:r w:rsidR="00E129ED">
        <w:t>contained</w:t>
      </w:r>
      <w:r w:rsidR="00C3570C">
        <w:t xml:space="preserve"> information </w:t>
      </w:r>
      <w:r w:rsidR="00E129ED">
        <w:t>about</w:t>
      </w:r>
      <w:r w:rsidR="00135C34">
        <w:t xml:space="preserve"> the three </w:t>
      </w:r>
      <w:r w:rsidR="00C3570C">
        <w:t>parish</w:t>
      </w:r>
      <w:r w:rsidR="00135C34">
        <w:t xml:space="preserve">es </w:t>
      </w:r>
      <w:r w:rsidR="00F614FD">
        <w:t xml:space="preserve">covered by the exclusive </w:t>
      </w:r>
      <w:r w:rsidR="00B33EA8">
        <w:t>franchise</w:t>
      </w:r>
      <w:r w:rsidR="00135C34">
        <w:t xml:space="preserve"> at issue</w:t>
      </w:r>
      <w:r>
        <w:t xml:space="preserve"> in the </w:t>
      </w:r>
      <w:r w:rsidRPr="00280346">
        <w:rPr>
          <w:i/>
          <w:iCs/>
        </w:rPr>
        <w:t>Slaughter-House Cases</w:t>
      </w:r>
      <w:r w:rsidR="00F7720A">
        <w:t xml:space="preserve"> (1873).</w:t>
      </w:r>
      <w:r>
        <w:t xml:space="preserve"> </w:t>
      </w:r>
      <w:r w:rsidR="00F614FD">
        <w:t xml:space="preserve">For each of the three parishes (Orleans, Jefferson, and Saint Bernard), </w:t>
      </w:r>
      <w:r>
        <w:t xml:space="preserve">Gazetteers provided </w:t>
      </w:r>
      <w:r w:rsidR="00280346">
        <w:t>data on</w:t>
      </w:r>
      <w:r>
        <w:t xml:space="preserve"> square mileage</w:t>
      </w:r>
      <w:r w:rsidR="00135C34">
        <w:t xml:space="preserve">; </w:t>
      </w:r>
      <w:r w:rsidR="00C3570C">
        <w:t xml:space="preserve">population; surface; farm </w:t>
      </w:r>
      <w:r w:rsidR="00F7720A">
        <w:t xml:space="preserve">and manufacturing </w:t>
      </w:r>
      <w:r w:rsidR="00C3570C">
        <w:t>production; and agricultural staples.</w:t>
      </w:r>
      <w:r w:rsidR="00DA1D0E">
        <w:t xml:space="preserve"> </w:t>
      </w:r>
      <w:r w:rsidR="00D20E1E">
        <w:t>S</w:t>
      </w:r>
      <w:r w:rsidR="00990497">
        <w:t>upplementary information from the Gazetteers provides fuller support for my claim that the dissenters’ description of the exclusive grant as</w:t>
      </w:r>
      <w:r w:rsidR="00D20E1E">
        <w:t xml:space="preserve"> restricting slaughtering to one facility across</w:t>
      </w:r>
      <w:r w:rsidR="00990497">
        <w:t xml:space="preserve"> “nearly twelve hundred square miles” (1873, 112)</w:t>
      </w:r>
      <w:r w:rsidR="00DA1D0E">
        <w:t xml:space="preserve"> was a </w:t>
      </w:r>
      <w:r w:rsidR="00D20E1E">
        <w:t>gross distortion.</w:t>
      </w:r>
    </w:p>
    <w:p w14:paraId="45A21097" w14:textId="611AB2B7" w:rsidR="00135C34" w:rsidRDefault="00135C34" w:rsidP="00135C34">
      <w:pPr>
        <w:spacing w:line="480" w:lineRule="auto"/>
        <w:ind w:firstLine="720"/>
      </w:pPr>
      <w:r w:rsidRPr="00135C34">
        <w:t xml:space="preserve">I </w:t>
      </w:r>
      <w:r w:rsidR="001E5B91">
        <w:t>was unable to locate a source that</w:t>
      </w:r>
      <w:r w:rsidRPr="00135C34">
        <w:t xml:space="preserve"> exactly matched the </w:t>
      </w:r>
      <w:r w:rsidR="0004510D">
        <w:t xml:space="preserve">combined </w:t>
      </w:r>
      <w:r w:rsidR="00B9333A">
        <w:t>“</w:t>
      </w:r>
      <w:r w:rsidR="00280346">
        <w:t xml:space="preserve">1154 </w:t>
      </w:r>
      <w:r w:rsidRPr="00135C34">
        <w:t>square miles</w:t>
      </w:r>
      <w:r w:rsidR="00B9333A">
        <w:t>”</w:t>
      </w:r>
      <w:r w:rsidRPr="00135C34">
        <w:t xml:space="preserve"> listed in </w:t>
      </w:r>
      <w:r w:rsidR="00990497">
        <w:t xml:space="preserve">the </w:t>
      </w:r>
      <w:r w:rsidRPr="00135C34">
        <w:t>dissents</w:t>
      </w:r>
      <w:r w:rsidR="00B9333A">
        <w:t xml:space="preserve"> (1873, 85), </w:t>
      </w:r>
      <w:r>
        <w:t>but c</w:t>
      </w:r>
      <w:r w:rsidRPr="00135C34">
        <w:t xml:space="preserve">oming close was the </w:t>
      </w:r>
      <w:r w:rsidRPr="00135C34">
        <w:rPr>
          <w:i/>
          <w:iCs/>
        </w:rPr>
        <w:t>Statistical Gazetteer of the United States</w:t>
      </w:r>
      <w:r w:rsidRPr="00135C34">
        <w:t xml:space="preserve"> (</w:t>
      </w:r>
      <w:r w:rsidR="00223607">
        <w:t xml:space="preserve">Fisher </w:t>
      </w:r>
      <w:r w:rsidRPr="00135C34">
        <w:t>1858)</w:t>
      </w:r>
      <w:r w:rsidR="001E5B91">
        <w:t>,</w:t>
      </w:r>
      <w:r w:rsidR="005B0B29">
        <w:t xml:space="preserve"> </w:t>
      </w:r>
      <w:r w:rsidRPr="00135C34">
        <w:t>which listed Jefferson Parish at 376 sq</w:t>
      </w:r>
      <w:r w:rsidR="001E5B91">
        <w:t>uare</w:t>
      </w:r>
      <w:r w:rsidRPr="00135C34">
        <w:t xml:space="preserve"> miles (</w:t>
      </w:r>
      <w:r w:rsidR="00223607">
        <w:t xml:space="preserve">Fisher </w:t>
      </w:r>
      <w:r w:rsidR="005B0B29">
        <w:t xml:space="preserve">1858, 333; </w:t>
      </w:r>
      <w:r w:rsidRPr="00135C34">
        <w:t xml:space="preserve">Cf. 384 in </w:t>
      </w:r>
      <w:r w:rsidR="00D3076C">
        <w:t>Field’s</w:t>
      </w:r>
      <w:r w:rsidRPr="00135C34">
        <w:t xml:space="preserve"> dissent</w:t>
      </w:r>
      <w:r>
        <w:t xml:space="preserve"> (1873,</w:t>
      </w:r>
      <w:r w:rsidR="00D3076C">
        <w:t xml:space="preserve"> 85</w:t>
      </w:r>
      <w:r w:rsidRPr="00135C34">
        <w:t>); Orleans Parish at 153 s</w:t>
      </w:r>
      <w:r w:rsidR="001E5B91">
        <w:t>quare</w:t>
      </w:r>
      <w:r w:rsidRPr="00135C34">
        <w:t xml:space="preserve"> miles (</w:t>
      </w:r>
      <w:r w:rsidR="005B0B29">
        <w:t xml:space="preserve">1858, </w:t>
      </w:r>
      <w:r w:rsidR="0020318D">
        <w:t>635</w:t>
      </w:r>
      <w:r w:rsidR="005B0B29">
        <w:t xml:space="preserve">; </w:t>
      </w:r>
      <w:r>
        <w:t xml:space="preserve">Cf. </w:t>
      </w:r>
      <w:r w:rsidRPr="00135C34">
        <w:t>150 in the dissent</w:t>
      </w:r>
      <w:r>
        <w:t>, Id.</w:t>
      </w:r>
      <w:r w:rsidRPr="00135C34">
        <w:t>); and Saint Bernard Parish at 562 sq</w:t>
      </w:r>
      <w:r w:rsidR="001E5B91">
        <w:t>uare</w:t>
      </w:r>
      <w:r w:rsidRPr="00135C34">
        <w:t xml:space="preserve"> miles (</w:t>
      </w:r>
      <w:r w:rsidR="005B0B29">
        <w:t xml:space="preserve">1858, </w:t>
      </w:r>
      <w:r w:rsidR="0020318D">
        <w:t>745</w:t>
      </w:r>
      <w:r w:rsidR="005B0B29">
        <w:t xml:space="preserve">; </w:t>
      </w:r>
      <w:r>
        <w:t xml:space="preserve">Cf. </w:t>
      </w:r>
      <w:r w:rsidRPr="00135C34">
        <w:t>620 in the dissent</w:t>
      </w:r>
      <w:r>
        <w:t>, Id.</w:t>
      </w:r>
      <w:r w:rsidRPr="00135C34">
        <w:t>)</w:t>
      </w:r>
      <w:r w:rsidR="00280346">
        <w:t>, for a total of 1091 square miles</w:t>
      </w:r>
      <w:r w:rsidRPr="00135C34">
        <w:t>.</w:t>
      </w:r>
      <w:r>
        <w:t xml:space="preserve"> </w:t>
      </w:r>
      <w:r w:rsidR="009C0135" w:rsidRPr="00223607">
        <w:rPr>
          <w:i/>
          <w:iCs/>
        </w:rPr>
        <w:t xml:space="preserve">Fanning’s </w:t>
      </w:r>
      <w:r w:rsidR="009C0135" w:rsidRPr="00101F33">
        <w:rPr>
          <w:i/>
          <w:iCs/>
        </w:rPr>
        <w:t>Illustrated Gazetteer of the United States</w:t>
      </w:r>
      <w:r w:rsidR="009C0135">
        <w:t xml:space="preserve"> </w:t>
      </w:r>
      <w:r w:rsidR="00101F33">
        <w:t>(</w:t>
      </w:r>
      <w:r w:rsidR="00223607">
        <w:t>1854</w:t>
      </w:r>
      <w:r w:rsidR="0072533B">
        <w:t>, 173</w:t>
      </w:r>
      <w:r w:rsidR="001E5B91">
        <w:t xml:space="preserve">) </w:t>
      </w:r>
      <w:r w:rsidR="009C0135">
        <w:t>listed Jefferson Parish at 720 square miles; Orleans Parish at 160 square miles (Id., 277); and Saint Bernard at 150 square miles (</w:t>
      </w:r>
      <w:r w:rsidR="00B9333A">
        <w:t xml:space="preserve">Id., </w:t>
      </w:r>
      <w:r w:rsidR="009C0135">
        <w:t>318), which suggests that the boundary between Jefferson and Saint Bernard was redrawn in the 1850s.</w:t>
      </w:r>
      <w:r w:rsidR="0038562F">
        <w:t xml:space="preserve"> The </w:t>
      </w:r>
      <w:r w:rsidR="0038562F" w:rsidRPr="0038562F">
        <w:rPr>
          <w:i/>
          <w:iCs/>
        </w:rPr>
        <w:t>Centennial Gazetteer</w:t>
      </w:r>
      <w:r w:rsidR="0038562F">
        <w:rPr>
          <w:i/>
          <w:iCs/>
        </w:rPr>
        <w:t xml:space="preserve"> of the United States</w:t>
      </w:r>
      <w:r w:rsidR="0038562F">
        <w:t xml:space="preserve"> </w:t>
      </w:r>
      <w:r w:rsidR="0038562F">
        <w:lastRenderedPageBreak/>
        <w:t>(</w:t>
      </w:r>
      <w:proofErr w:type="spellStart"/>
      <w:r w:rsidR="00223607">
        <w:t>Steinwehr</w:t>
      </w:r>
      <w:proofErr w:type="spellEnd"/>
      <w:r w:rsidR="00223607">
        <w:t xml:space="preserve"> </w:t>
      </w:r>
      <w:r w:rsidR="0038562F">
        <w:t xml:space="preserve">1873, 445) put Jefferson </w:t>
      </w:r>
      <w:r w:rsidR="0072533B">
        <w:t xml:space="preserve">Parish </w:t>
      </w:r>
      <w:r w:rsidR="0038562F">
        <w:t>at 300 square miles,</w:t>
      </w:r>
      <w:r w:rsidR="001E5B91">
        <w:t xml:space="preserve"> </w:t>
      </w:r>
      <w:r w:rsidR="00E8594B">
        <w:t xml:space="preserve">which </w:t>
      </w:r>
      <w:r w:rsidR="0044112F">
        <w:t>was</w:t>
      </w:r>
      <w:r w:rsidR="00E8594B">
        <w:t xml:space="preserve"> </w:t>
      </w:r>
      <w:r w:rsidR="0038562F">
        <w:t xml:space="preserve">roughly </w:t>
      </w:r>
      <w:proofErr w:type="gramStart"/>
      <w:r w:rsidR="001E5B91">
        <w:t>similar to</w:t>
      </w:r>
      <w:proofErr w:type="gramEnd"/>
      <w:r w:rsidR="001E5B91">
        <w:t xml:space="preserve"> </w:t>
      </w:r>
      <w:r w:rsidR="0038562F">
        <w:t xml:space="preserve">the </w:t>
      </w:r>
      <w:r w:rsidR="001E5B91">
        <w:t xml:space="preserve">figure in </w:t>
      </w:r>
      <w:r w:rsidR="0038562F">
        <w:t xml:space="preserve">the 1858 </w:t>
      </w:r>
      <w:r w:rsidR="0038562F" w:rsidRPr="0072533B">
        <w:rPr>
          <w:i/>
          <w:iCs/>
        </w:rPr>
        <w:t>Statistical Gazetteer</w:t>
      </w:r>
      <w:r w:rsidR="0038562F">
        <w:t>.</w:t>
      </w:r>
    </w:p>
    <w:p w14:paraId="28177833" w14:textId="4F88B1F2" w:rsidR="00AD27CF" w:rsidRDefault="00135C34" w:rsidP="00036AE6">
      <w:pPr>
        <w:spacing w:line="480" w:lineRule="auto"/>
        <w:ind w:firstLine="720"/>
      </w:pPr>
      <w:r>
        <w:t>The</w:t>
      </w:r>
      <w:r w:rsidR="00C3570C">
        <w:t xml:space="preserve"> Gazetteers </w:t>
      </w:r>
      <w:r>
        <w:t>provide</w:t>
      </w:r>
      <w:r w:rsidR="0018067B">
        <w:t>d</w:t>
      </w:r>
      <w:r>
        <w:t xml:space="preserve"> a</w:t>
      </w:r>
      <w:r w:rsidR="00C3570C">
        <w:t xml:space="preserve"> c</w:t>
      </w:r>
      <w:r w:rsidR="0018067B">
        <w:t xml:space="preserve">lear </w:t>
      </w:r>
      <w:r w:rsidR="00C3570C">
        <w:t xml:space="preserve">picture of </w:t>
      </w:r>
      <w:r w:rsidR="00AD27CF">
        <w:t>population d</w:t>
      </w:r>
      <w:r w:rsidR="00E8594B">
        <w:t>istribution</w:t>
      </w:r>
      <w:r w:rsidR="00AD27CF">
        <w:t xml:space="preserve"> and </w:t>
      </w:r>
      <w:r w:rsidR="00C3570C">
        <w:t>inhabitable surface</w:t>
      </w:r>
      <w:r w:rsidR="00B33EA8">
        <w:t xml:space="preserve"> in the three parishes</w:t>
      </w:r>
      <w:r w:rsidR="00C3570C">
        <w:t xml:space="preserve">. </w:t>
      </w:r>
      <w:r w:rsidR="00223607">
        <w:t xml:space="preserve">The </w:t>
      </w:r>
      <w:r w:rsidR="00223607" w:rsidRPr="00223607">
        <w:rPr>
          <w:i/>
          <w:iCs/>
        </w:rPr>
        <w:t>Centennial Gazetteer</w:t>
      </w:r>
      <w:r w:rsidR="00223607">
        <w:t>, using data from the 1870 Census, listed</w:t>
      </w:r>
      <w:r w:rsidR="00AD27CF">
        <w:t xml:space="preserve"> the total population for the three parishes </w:t>
      </w:r>
      <w:r w:rsidR="00223607">
        <w:t>a</w:t>
      </w:r>
      <w:r w:rsidR="00B9333A">
        <w:t>t</w:t>
      </w:r>
      <w:r w:rsidR="00AD27CF">
        <w:t xml:space="preserve"> 212,738 with </w:t>
      </w:r>
      <w:r w:rsidR="0072533B">
        <w:t>al</w:t>
      </w:r>
      <w:r w:rsidR="00AD27CF">
        <w:t>most all of it (191,418) in Orleans Parish (</w:t>
      </w:r>
      <w:proofErr w:type="spellStart"/>
      <w:r w:rsidR="00223607">
        <w:t>Steinwehr</w:t>
      </w:r>
      <w:proofErr w:type="spellEnd"/>
      <w:r w:rsidR="00AD27CF">
        <w:t xml:space="preserve"> 1873</w:t>
      </w:r>
      <w:r w:rsidR="008C1CCB">
        <w:t xml:space="preserve">, </w:t>
      </w:r>
      <w:r w:rsidR="00AD27CF">
        <w:t xml:space="preserve">665, 679, 783). </w:t>
      </w:r>
      <w:r w:rsidR="009A6CDB">
        <w:t>Within Orleans Parish, p</w:t>
      </w:r>
      <w:r w:rsidR="00C3570C">
        <w:t xml:space="preserve">opulation was concentrated in </w:t>
      </w:r>
      <w:r w:rsidR="0072533B">
        <w:t>its</w:t>
      </w:r>
      <w:r w:rsidR="00C3570C">
        <w:t xml:space="preserve"> lower half. </w:t>
      </w:r>
      <w:r w:rsidR="00AD27CF" w:rsidRPr="001A060E">
        <w:t>Lake Pont</w:t>
      </w:r>
      <w:r w:rsidR="00AD27CF">
        <w:t>chartrain</w:t>
      </w:r>
      <w:r w:rsidR="00AD27CF" w:rsidRPr="001A060E">
        <w:t xml:space="preserve"> </w:t>
      </w:r>
      <w:r w:rsidR="0072533B">
        <w:t xml:space="preserve">covered </w:t>
      </w:r>
      <w:r w:rsidR="00AD27CF">
        <w:t xml:space="preserve">the upper half of </w:t>
      </w:r>
      <w:r w:rsidR="00AD27CF" w:rsidRPr="001A060E">
        <w:t>Orleans Parish</w:t>
      </w:r>
      <w:r w:rsidR="00AD27CF">
        <w:t>, leaving</w:t>
      </w:r>
      <w:r w:rsidR="00AD27CF" w:rsidRPr="001A060E">
        <w:t xml:space="preserve"> about 75 square miles for the population, from which must be subtracted the “swamps” that lay between the city </w:t>
      </w:r>
      <w:r w:rsidR="00AD27CF">
        <w:t xml:space="preserve">of New Orleans </w:t>
      </w:r>
      <w:r w:rsidR="00AD27CF" w:rsidRPr="001A060E">
        <w:t xml:space="preserve">and </w:t>
      </w:r>
      <w:r w:rsidR="0072533B">
        <w:t>L</w:t>
      </w:r>
      <w:r w:rsidR="00AD27CF">
        <w:t xml:space="preserve">ake </w:t>
      </w:r>
      <w:r w:rsidR="0072533B">
        <w:t xml:space="preserve">Pontchartrain </w:t>
      </w:r>
      <w:r w:rsidR="00AD27CF">
        <w:t>(</w:t>
      </w:r>
      <w:proofErr w:type="spellStart"/>
      <w:r w:rsidR="00223607">
        <w:t>Steinwehr</w:t>
      </w:r>
      <w:proofErr w:type="spellEnd"/>
      <w:r w:rsidR="008C1CCB">
        <w:t xml:space="preserve"> 1873, </w:t>
      </w:r>
      <w:r w:rsidR="00AD27CF" w:rsidRPr="001A060E">
        <w:t xml:space="preserve">679). </w:t>
      </w:r>
      <w:r w:rsidR="005C36A6">
        <w:t xml:space="preserve">Figures </w:t>
      </w:r>
      <w:r w:rsidR="00E8594B">
        <w:t>on manufacturing and dwellings indicate the built-up character of the inhabitable portion of the parish</w:t>
      </w:r>
      <w:r w:rsidR="00E91FE6">
        <w:t xml:space="preserve">: </w:t>
      </w:r>
      <w:r w:rsidR="00875398">
        <w:t>“</w:t>
      </w:r>
      <w:r w:rsidR="0018067B">
        <w:t>F</w:t>
      </w:r>
      <w:r w:rsidR="00875398">
        <w:t>arms 51; manuf. 521; dwell. 15,621” (Fisher 1858, 635).</w:t>
      </w:r>
      <w:r w:rsidR="00E9138E">
        <w:t xml:space="preserve"> </w:t>
      </w:r>
    </w:p>
    <w:p w14:paraId="28EFC5F0" w14:textId="351CE973" w:rsidR="00A14BC4" w:rsidRDefault="00C3570C" w:rsidP="00C3570C">
      <w:pPr>
        <w:spacing w:line="480" w:lineRule="auto"/>
        <w:ind w:firstLine="720"/>
      </w:pPr>
      <w:r>
        <w:t>Descriptions of the surface indicate that S</w:t>
      </w:r>
      <w:r w:rsidR="00870B12">
        <w:t>aint</w:t>
      </w:r>
      <w:r>
        <w:t xml:space="preserve"> Bernard </w:t>
      </w:r>
      <w:r w:rsidR="00526BB5">
        <w:t xml:space="preserve">Parish </w:t>
      </w:r>
      <w:r>
        <w:t xml:space="preserve">and Jefferson Parish, which totaled </w:t>
      </w:r>
      <w:r w:rsidR="00036AE6">
        <w:t xml:space="preserve">about </w:t>
      </w:r>
      <w:r>
        <w:t>1</w:t>
      </w:r>
      <w:r w:rsidR="00BD06FB">
        <w:t>,</w:t>
      </w:r>
      <w:r w:rsidR="00036AE6">
        <w:t>000</w:t>
      </w:r>
      <w:r>
        <w:t xml:space="preserve"> square miles, were overwhelmingly “swampy</w:t>
      </w:r>
      <w:r w:rsidR="00D66BD3">
        <w:t>” (Fisher 1858, 745).</w:t>
      </w:r>
      <w:r w:rsidR="00A14BC4">
        <w:t xml:space="preserve"> </w:t>
      </w:r>
      <w:r w:rsidR="00A14BC4" w:rsidRPr="00A14BC4">
        <w:t>S</w:t>
      </w:r>
      <w:r w:rsidR="00870B12">
        <w:t>aint</w:t>
      </w:r>
      <w:r w:rsidR="00A14BC4" w:rsidRPr="00A14BC4">
        <w:t xml:space="preserve"> Bernard Parish</w:t>
      </w:r>
      <w:r w:rsidR="00D53C59">
        <w:t xml:space="preserve"> fanned out</w:t>
      </w:r>
      <w:r w:rsidR="00D66BD3">
        <w:t xml:space="preserve"> below </w:t>
      </w:r>
      <w:r w:rsidR="00D53C59">
        <w:t>New Orleans</w:t>
      </w:r>
      <w:r w:rsidR="005C36A6">
        <w:t xml:space="preserve">, </w:t>
      </w:r>
      <w:r w:rsidR="00D53C59">
        <w:t xml:space="preserve">into the Gulf of Mexico, with its </w:t>
      </w:r>
      <w:r w:rsidR="005C36A6">
        <w:t>upper northwest boundary abutting Orleans Parish. In 1858, it</w:t>
      </w:r>
      <w:r w:rsidR="00D66BD3">
        <w:t xml:space="preserve"> </w:t>
      </w:r>
      <w:r w:rsidR="00A14BC4">
        <w:t>had</w:t>
      </w:r>
      <w:r w:rsidR="00A14BC4" w:rsidRPr="00A14BC4">
        <w:t xml:space="preserve"> a very small population of 3,802</w:t>
      </w:r>
      <w:r w:rsidR="00A14BC4">
        <w:t xml:space="preserve">—1406 </w:t>
      </w:r>
      <w:r w:rsidR="00A14BC4" w:rsidRPr="00A14BC4">
        <w:t>white; 2323 enslaved; 73 “free colored”</w:t>
      </w:r>
      <w:r w:rsidR="00A14BC4">
        <w:t xml:space="preserve"> (Fisher, 1858, 745)</w:t>
      </w:r>
      <w:r w:rsidR="00A14BC4" w:rsidRPr="00A14BC4">
        <w:t>. “</w:t>
      </w:r>
      <w:r w:rsidR="00CF0811">
        <w:t>I</w:t>
      </w:r>
      <w:r w:rsidR="00A14BC4" w:rsidRPr="00A14BC4">
        <w:t>n those portions where it is not too wet for cultivation, and the tillage is attended to, it is very fertile”</w:t>
      </w:r>
      <w:r w:rsidR="00CF0811">
        <w:t xml:space="preserve"> (</w:t>
      </w:r>
      <w:r w:rsidR="00A14BC4">
        <w:t>Id.</w:t>
      </w:r>
      <w:r w:rsidR="00A14BC4" w:rsidRPr="00A14BC4">
        <w:t>).</w:t>
      </w:r>
      <w:r w:rsidR="00A14BC4">
        <w:t xml:space="preserve"> </w:t>
      </w:r>
      <w:r w:rsidR="00CF0811">
        <w:t xml:space="preserve">The “chief products” were “sugar, rice, cotton, and Indian corn.” </w:t>
      </w:r>
      <w:r w:rsidR="00E8594B">
        <w:t>Its figures:</w:t>
      </w:r>
      <w:r w:rsidR="00CF0811">
        <w:t xml:space="preserve"> “Farms 34</w:t>
      </w:r>
      <w:r w:rsidR="00875398">
        <w:t xml:space="preserve">; </w:t>
      </w:r>
      <w:r w:rsidR="00CF0811">
        <w:t>manuf. 0</w:t>
      </w:r>
      <w:r w:rsidR="00875398">
        <w:t xml:space="preserve">; </w:t>
      </w:r>
      <w:r w:rsidR="00F46A7E">
        <w:t>dwell. 283</w:t>
      </w:r>
      <w:r w:rsidR="00CF0811">
        <w:t>” (Id.)</w:t>
      </w:r>
      <w:r w:rsidR="00E9138E">
        <w:t>.</w:t>
      </w:r>
    </w:p>
    <w:p w14:paraId="08029619" w14:textId="183DAB19" w:rsidR="004C3488" w:rsidRDefault="00C3570C" w:rsidP="00C3570C">
      <w:pPr>
        <w:spacing w:line="480" w:lineRule="auto"/>
        <w:ind w:firstLine="720"/>
      </w:pPr>
      <w:r>
        <w:t>Jefferson Parish</w:t>
      </w:r>
      <w:r w:rsidR="004C3488">
        <w:t xml:space="preserve"> contained “vast tracts of undeveloped land” (</w:t>
      </w:r>
      <w:proofErr w:type="spellStart"/>
      <w:r w:rsidR="004C3488">
        <w:t>Steinwehr</w:t>
      </w:r>
      <w:proofErr w:type="spellEnd"/>
      <w:r w:rsidR="004C3488">
        <w:t xml:space="preserve"> 1873, 783)</w:t>
      </w:r>
      <w:r w:rsidR="00F46A7E">
        <w:t>. The surface was “low, with much of it covered with swamps” (Fisher 1858, 333)</w:t>
      </w:r>
      <w:r w:rsidR="00A37455">
        <w:t>. In areas that could be farmed, “S</w:t>
      </w:r>
      <w:r w:rsidR="00A14BC4">
        <w:t xml:space="preserve">ugar </w:t>
      </w:r>
      <w:r w:rsidR="00A37455">
        <w:t xml:space="preserve">is </w:t>
      </w:r>
      <w:r w:rsidR="00A14BC4">
        <w:t>the great staple” (</w:t>
      </w:r>
      <w:r w:rsidR="00A37455">
        <w:t>Id</w:t>
      </w:r>
      <w:r w:rsidR="00A14BC4">
        <w:t xml:space="preserve">.). At 376 square miles, </w:t>
      </w:r>
      <w:r w:rsidR="004C3488">
        <w:t xml:space="preserve">it </w:t>
      </w:r>
      <w:r w:rsidR="00A14BC4">
        <w:t>had a population of 25,091 (18,021 white; 6,196 enslaved; 874 “free colored”) (</w:t>
      </w:r>
      <w:r w:rsidR="00A37455">
        <w:t>Id</w:t>
      </w:r>
      <w:r w:rsidR="00A14BC4">
        <w:t xml:space="preserve">). </w:t>
      </w:r>
      <w:r w:rsidR="009603FE">
        <w:t>The northe</w:t>
      </w:r>
      <w:r w:rsidR="00480A26">
        <w:t>rn</w:t>
      </w:r>
      <w:r w:rsidR="009603FE">
        <w:t xml:space="preserve"> portion of Jefferson Parish abutted </w:t>
      </w:r>
      <w:r w:rsidR="00480A26">
        <w:t>New Orleans</w:t>
      </w:r>
      <w:r w:rsidR="009603FE">
        <w:t xml:space="preserve"> and included </w:t>
      </w:r>
      <w:r w:rsidR="00B9333A">
        <w:t>the area across from New Orleans,</w:t>
      </w:r>
      <w:r w:rsidR="009603FE">
        <w:t xml:space="preserve"> </w:t>
      </w:r>
      <w:r w:rsidR="006473BA">
        <w:t>below</w:t>
      </w:r>
      <w:r w:rsidR="009603FE">
        <w:t xml:space="preserve"> the Mississippi </w:t>
      </w:r>
      <w:r w:rsidR="009603FE">
        <w:lastRenderedPageBreak/>
        <w:t>River</w:t>
      </w:r>
      <w:r w:rsidR="00726F12">
        <w:t>—</w:t>
      </w:r>
      <w:r w:rsidR="00480A26">
        <w:t>the area designated in the 1869 law for the new slaughtering facility.</w:t>
      </w:r>
      <w:r w:rsidR="001A5232">
        <w:t xml:space="preserve"> </w:t>
      </w:r>
      <w:r w:rsidR="00A37455">
        <w:t>Its comparative figures: “Farms 81; manuf. 54; dwell. 3825” (Id.).</w:t>
      </w:r>
    </w:p>
    <w:p w14:paraId="07C1AE5F" w14:textId="6085D351" w:rsidR="00C3570C" w:rsidRDefault="00551FE9" w:rsidP="00C3570C">
      <w:pPr>
        <w:spacing w:line="480" w:lineRule="auto"/>
        <w:ind w:firstLine="720"/>
      </w:pPr>
      <w:proofErr w:type="gramStart"/>
      <w:r>
        <w:t>Notable</w:t>
      </w:r>
      <w:proofErr w:type="gramEnd"/>
      <w:r>
        <w:t xml:space="preserve"> are the </w:t>
      </w:r>
      <w:r w:rsidR="00A14BC4">
        <w:t>sugar plantations</w:t>
      </w:r>
      <w:r w:rsidR="001A5232">
        <w:t xml:space="preserve"> in Jefferson and Saint Bernard Parishes</w:t>
      </w:r>
      <w:r w:rsidR="009A2335">
        <w:t>, the existence</w:t>
      </w:r>
      <w:r w:rsidR="007F3331">
        <w:t xml:space="preserve"> of </w:t>
      </w:r>
      <w:r w:rsidR="009A2335">
        <w:t xml:space="preserve">which </w:t>
      </w:r>
      <w:r w:rsidR="00B219DC">
        <w:t xml:space="preserve">can be deduced from </w:t>
      </w:r>
      <w:r w:rsidR="004239BD">
        <w:t>population and crop data</w:t>
      </w:r>
      <w:r w:rsidR="00B219DC">
        <w:t xml:space="preserve"> in the Gazetteers</w:t>
      </w:r>
      <w:r>
        <w:t xml:space="preserve">. The significance of these plantations </w:t>
      </w:r>
      <w:r w:rsidR="0071795E">
        <w:t>lies i</w:t>
      </w:r>
      <w:r w:rsidR="002A4B1C">
        <w:t xml:space="preserve">n the </w:t>
      </w:r>
      <w:r w:rsidR="00C3570C">
        <w:t>“self-contained</w:t>
      </w:r>
      <w:r w:rsidR="002A4B1C">
        <w:t xml:space="preserve"> character of the slave plantation</w:t>
      </w:r>
      <w:r w:rsidR="00C3570C">
        <w:t xml:space="preserve">” </w:t>
      </w:r>
      <w:r w:rsidR="002A4B1C">
        <w:t xml:space="preserve">(Wright 2006, 68), </w:t>
      </w:r>
      <w:r w:rsidR="00C3570C">
        <w:t>with little need for local processing and services</w:t>
      </w:r>
      <w:r w:rsidR="00B9333A">
        <w:t xml:space="preserve"> that</w:t>
      </w:r>
      <w:r w:rsidR="00C3570C">
        <w:t xml:space="preserve"> would have included butcher</w:t>
      </w:r>
      <w:r w:rsidR="00B9333A">
        <w:t>ing</w:t>
      </w:r>
      <w:r w:rsidR="00036AE6">
        <w:t xml:space="preserve">. In other words, </w:t>
      </w:r>
      <w:r w:rsidR="00B9333A">
        <w:t>the</w:t>
      </w:r>
      <w:r w:rsidR="00036AE6">
        <w:t xml:space="preserve"> autarky of </w:t>
      </w:r>
      <w:r w:rsidR="004239BD">
        <w:t xml:space="preserve">sugar </w:t>
      </w:r>
      <w:r w:rsidR="00036AE6">
        <w:t xml:space="preserve">plantations </w:t>
      </w:r>
      <w:r w:rsidR="0071795E">
        <w:t>(</w:t>
      </w:r>
      <w:r w:rsidR="00B9333A">
        <w:t xml:space="preserve">the few purchases </w:t>
      </w:r>
      <w:r w:rsidR="002970EB">
        <w:t xml:space="preserve">would have </w:t>
      </w:r>
      <w:r w:rsidR="00B9333A">
        <w:t xml:space="preserve">included </w:t>
      </w:r>
      <w:r w:rsidR="0071795E">
        <w:t xml:space="preserve">shoes and tinware) </w:t>
      </w:r>
      <w:r w:rsidR="00036AE6">
        <w:t>meant there w</w:t>
      </w:r>
      <w:r w:rsidR="00B97C7C">
        <w:t>as no history of</w:t>
      </w:r>
      <w:r w:rsidR="00036AE6">
        <w:t xml:space="preserve"> butcher</w:t>
      </w:r>
      <w:r w:rsidR="00B97C7C">
        <w:t>ing</w:t>
      </w:r>
      <w:r w:rsidR="003C074B">
        <w:t xml:space="preserve"> establishments</w:t>
      </w:r>
      <w:r w:rsidR="00036AE6">
        <w:t xml:space="preserve"> in </w:t>
      </w:r>
      <w:r w:rsidR="0071795E">
        <w:t xml:space="preserve">plantations </w:t>
      </w:r>
      <w:r w:rsidR="008E28E8">
        <w:t xml:space="preserve">areas </w:t>
      </w:r>
      <w:r w:rsidR="00036AE6">
        <w:t>to be impacted by the 1869 law.</w:t>
      </w:r>
    </w:p>
    <w:p w14:paraId="4E7B5CEE" w14:textId="77777777" w:rsidR="00A0668F" w:rsidRDefault="00A0668F" w:rsidP="002825AC">
      <w:pPr>
        <w:spacing w:line="480" w:lineRule="auto"/>
      </w:pPr>
    </w:p>
    <w:p w14:paraId="04FEBA5D" w14:textId="734CE339" w:rsidR="00D10BBE" w:rsidRDefault="009A2335" w:rsidP="002825AC">
      <w:pPr>
        <w:spacing w:line="480" w:lineRule="auto"/>
      </w:pPr>
      <w:r>
        <w:t>References</w:t>
      </w:r>
    </w:p>
    <w:p w14:paraId="4CF85371" w14:textId="77777777" w:rsidR="009A2335" w:rsidRDefault="009A2335" w:rsidP="002825AC">
      <w:pPr>
        <w:spacing w:line="480" w:lineRule="auto"/>
      </w:pPr>
    </w:p>
    <w:p w14:paraId="5B7B0ACC" w14:textId="77777777" w:rsidR="002825AC" w:rsidRDefault="002825AC" w:rsidP="002825AC">
      <w:pPr>
        <w:spacing w:line="480" w:lineRule="auto"/>
      </w:pPr>
      <w:r w:rsidRPr="00223607">
        <w:rPr>
          <w:i/>
          <w:iCs/>
        </w:rPr>
        <w:t xml:space="preserve">Fanning’s </w:t>
      </w:r>
      <w:r w:rsidRPr="00101F33">
        <w:rPr>
          <w:i/>
          <w:iCs/>
        </w:rPr>
        <w:t>Illustrated Gazetteer of the United States</w:t>
      </w:r>
      <w:r>
        <w:t>. 1854. New York: Ensign, Bridgman &amp;</w:t>
      </w:r>
    </w:p>
    <w:p w14:paraId="39E684A2" w14:textId="70D45D7E" w:rsidR="002825AC" w:rsidRDefault="002825AC" w:rsidP="002825AC">
      <w:pPr>
        <w:spacing w:line="480" w:lineRule="auto"/>
        <w:ind w:firstLine="720"/>
      </w:pPr>
      <w:r>
        <w:t xml:space="preserve"> Fanning.</w:t>
      </w:r>
    </w:p>
    <w:p w14:paraId="619AB421" w14:textId="77777777" w:rsidR="00A77872" w:rsidRDefault="00A77872" w:rsidP="00A77872">
      <w:pPr>
        <w:spacing w:line="480" w:lineRule="auto"/>
        <w:rPr>
          <w:i/>
          <w:iCs/>
        </w:rPr>
      </w:pPr>
      <w:r>
        <w:t xml:space="preserve">Fisher, Richard S. 1858. </w:t>
      </w:r>
      <w:r>
        <w:rPr>
          <w:i/>
          <w:iCs/>
        </w:rPr>
        <w:t>A New and Complete S</w:t>
      </w:r>
      <w:r w:rsidRPr="00FE6CC6">
        <w:rPr>
          <w:i/>
          <w:iCs/>
        </w:rPr>
        <w:t>tatistical Gazetteer of the United States:</w:t>
      </w:r>
    </w:p>
    <w:p w14:paraId="72CA9A9F" w14:textId="7D37AB82" w:rsidR="00A77872" w:rsidRDefault="00A77872" w:rsidP="00A77872">
      <w:pPr>
        <w:spacing w:line="480" w:lineRule="auto"/>
        <w:ind w:left="720" w:firstLine="60"/>
      </w:pPr>
      <w:r w:rsidRPr="00FE6CC6">
        <w:rPr>
          <w:i/>
          <w:iCs/>
        </w:rPr>
        <w:t xml:space="preserve">Founded on and Compiled </w:t>
      </w:r>
      <w:r>
        <w:rPr>
          <w:i/>
          <w:iCs/>
        </w:rPr>
        <w:t>f</w:t>
      </w:r>
      <w:r w:rsidRPr="00FE6CC6">
        <w:rPr>
          <w:i/>
          <w:iCs/>
        </w:rPr>
        <w:t>rom Official and State</w:t>
      </w:r>
      <w:r>
        <w:rPr>
          <w:i/>
          <w:iCs/>
        </w:rPr>
        <w:t xml:space="preserve"> </w:t>
      </w:r>
      <w:r w:rsidRPr="00FE6CC6">
        <w:rPr>
          <w:i/>
          <w:iCs/>
        </w:rPr>
        <w:t>Returns, and the Seventh National Census</w:t>
      </w:r>
      <w:r>
        <w:t>. New York: J. H. Colton.</w:t>
      </w:r>
    </w:p>
    <w:p w14:paraId="751E66EF" w14:textId="1ABBEF83" w:rsidR="00AD05B9" w:rsidRPr="00AD05B9" w:rsidRDefault="00AD05B9" w:rsidP="00AD05B9">
      <w:pPr>
        <w:spacing w:line="480" w:lineRule="auto"/>
      </w:pPr>
      <w:r>
        <w:rPr>
          <w:i/>
          <w:iCs/>
        </w:rPr>
        <w:t>Slaughter-House Cases</w:t>
      </w:r>
      <w:r>
        <w:t>. 1873. 83 U.S. 36.</w:t>
      </w:r>
    </w:p>
    <w:p w14:paraId="2F04E5A3" w14:textId="60184CE1" w:rsidR="002A4B1C" w:rsidRDefault="002A4B1C" w:rsidP="002A4B1C">
      <w:pPr>
        <w:spacing w:line="480" w:lineRule="auto"/>
      </w:pPr>
      <w:proofErr w:type="spellStart"/>
      <w:r>
        <w:t>Steinwehr</w:t>
      </w:r>
      <w:proofErr w:type="spellEnd"/>
      <w:r>
        <w:t xml:space="preserve">, A. W. 1873. </w:t>
      </w:r>
      <w:r w:rsidRPr="00B96E19">
        <w:rPr>
          <w:i/>
          <w:iCs/>
        </w:rPr>
        <w:t>The</w:t>
      </w:r>
      <w:r>
        <w:t xml:space="preserve"> </w:t>
      </w:r>
      <w:r w:rsidRPr="00FE6CC6">
        <w:rPr>
          <w:i/>
          <w:iCs/>
        </w:rPr>
        <w:t>Centennial Gazetteer of the United States</w:t>
      </w:r>
      <w:r>
        <w:t>. Philadelphia:</w:t>
      </w:r>
    </w:p>
    <w:p w14:paraId="69EA6086" w14:textId="77777777" w:rsidR="002A4B1C" w:rsidRDefault="002A4B1C" w:rsidP="002A4B1C">
      <w:pPr>
        <w:spacing w:line="480" w:lineRule="auto"/>
        <w:ind w:firstLine="720"/>
      </w:pPr>
      <w:r>
        <w:t xml:space="preserve"> Ziegler &amp; McCurdy.</w:t>
      </w:r>
    </w:p>
    <w:p w14:paraId="7EBABA75" w14:textId="77777777" w:rsidR="006456A0" w:rsidRDefault="002A4B1C" w:rsidP="002A4B1C">
      <w:pPr>
        <w:spacing w:line="480" w:lineRule="auto"/>
      </w:pPr>
      <w:r>
        <w:t xml:space="preserve">Wright, Gavin. 2006. </w:t>
      </w:r>
      <w:r w:rsidR="006456A0" w:rsidRPr="006456A0">
        <w:rPr>
          <w:i/>
          <w:iCs/>
        </w:rPr>
        <w:t>Slavery and American Economic Development</w:t>
      </w:r>
      <w:r w:rsidR="006456A0">
        <w:t>. Baton Rouge, LA:</w:t>
      </w:r>
      <w:r w:rsidR="006456A0">
        <w:tab/>
      </w:r>
    </w:p>
    <w:p w14:paraId="2628D9B3" w14:textId="6DDAD217" w:rsidR="00AF186B" w:rsidRDefault="006456A0" w:rsidP="006456A0">
      <w:pPr>
        <w:spacing w:line="480" w:lineRule="auto"/>
        <w:ind w:firstLine="720"/>
      </w:pPr>
      <w:r>
        <w:t xml:space="preserve"> Louisiana State University Press.</w:t>
      </w:r>
    </w:p>
    <w:sectPr w:rsidR="00AF186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C7AF" w14:textId="77777777" w:rsidR="009C0DB2" w:rsidRDefault="009C0DB2" w:rsidP="00C3570C">
      <w:r>
        <w:separator/>
      </w:r>
    </w:p>
  </w:endnote>
  <w:endnote w:type="continuationSeparator" w:id="0">
    <w:p w14:paraId="697A831A" w14:textId="77777777" w:rsidR="009C0DB2" w:rsidRDefault="009C0DB2" w:rsidP="00C3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370200"/>
      <w:docPartObj>
        <w:docPartGallery w:val="Page Numbers (Bottom of Page)"/>
        <w:docPartUnique/>
      </w:docPartObj>
    </w:sdtPr>
    <w:sdtContent>
      <w:p w14:paraId="28D0D1D9" w14:textId="5B4CDD5D" w:rsidR="00BD4B34" w:rsidRDefault="00BD4B34" w:rsidP="00284C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667CDB" w14:textId="77777777" w:rsidR="00BD4B34" w:rsidRDefault="00BD4B34" w:rsidP="00BD4B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33099436"/>
      <w:docPartObj>
        <w:docPartGallery w:val="Page Numbers (Bottom of Page)"/>
        <w:docPartUnique/>
      </w:docPartObj>
    </w:sdtPr>
    <w:sdtContent>
      <w:p w14:paraId="572A4844" w14:textId="4E55EF9A" w:rsidR="00BD4B34" w:rsidRDefault="00BD4B34" w:rsidP="00284C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DE1DCF" w14:textId="77777777" w:rsidR="00BD4B34" w:rsidRDefault="00BD4B34" w:rsidP="00BD4B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A4A2" w14:textId="77777777" w:rsidR="009C0DB2" w:rsidRDefault="009C0DB2" w:rsidP="00C3570C">
      <w:r>
        <w:separator/>
      </w:r>
    </w:p>
  </w:footnote>
  <w:footnote w:type="continuationSeparator" w:id="0">
    <w:p w14:paraId="66DF258F" w14:textId="77777777" w:rsidR="009C0DB2" w:rsidRDefault="009C0DB2" w:rsidP="00C3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0C"/>
    <w:rsid w:val="00036AE6"/>
    <w:rsid w:val="0004510D"/>
    <w:rsid w:val="000E33D4"/>
    <w:rsid w:val="00101650"/>
    <w:rsid w:val="00101F33"/>
    <w:rsid w:val="00126760"/>
    <w:rsid w:val="00135C34"/>
    <w:rsid w:val="00137460"/>
    <w:rsid w:val="0018067B"/>
    <w:rsid w:val="00185C5B"/>
    <w:rsid w:val="001A5232"/>
    <w:rsid w:val="001D2C4D"/>
    <w:rsid w:val="001E5B91"/>
    <w:rsid w:val="001F17A6"/>
    <w:rsid w:val="0020318D"/>
    <w:rsid w:val="002152ED"/>
    <w:rsid w:val="002234FD"/>
    <w:rsid w:val="00223607"/>
    <w:rsid w:val="00280346"/>
    <w:rsid w:val="002825AC"/>
    <w:rsid w:val="002970EB"/>
    <w:rsid w:val="002A4B1C"/>
    <w:rsid w:val="0038562F"/>
    <w:rsid w:val="003A4301"/>
    <w:rsid w:val="003C074B"/>
    <w:rsid w:val="004239BD"/>
    <w:rsid w:val="0044112F"/>
    <w:rsid w:val="00480A26"/>
    <w:rsid w:val="004C3488"/>
    <w:rsid w:val="00502634"/>
    <w:rsid w:val="00512480"/>
    <w:rsid w:val="00526BB5"/>
    <w:rsid w:val="00551FE9"/>
    <w:rsid w:val="00566EA6"/>
    <w:rsid w:val="005B0B29"/>
    <w:rsid w:val="005C36A6"/>
    <w:rsid w:val="006456A0"/>
    <w:rsid w:val="006473BA"/>
    <w:rsid w:val="006B14BC"/>
    <w:rsid w:val="006B2724"/>
    <w:rsid w:val="00710C28"/>
    <w:rsid w:val="0071795E"/>
    <w:rsid w:val="0072533B"/>
    <w:rsid w:val="00726F12"/>
    <w:rsid w:val="00791E8B"/>
    <w:rsid w:val="007C2753"/>
    <w:rsid w:val="007F3331"/>
    <w:rsid w:val="008476BD"/>
    <w:rsid w:val="00870B12"/>
    <w:rsid w:val="00875398"/>
    <w:rsid w:val="008C1CCB"/>
    <w:rsid w:val="008C2E29"/>
    <w:rsid w:val="008E28E8"/>
    <w:rsid w:val="00950C18"/>
    <w:rsid w:val="009603FE"/>
    <w:rsid w:val="00990497"/>
    <w:rsid w:val="009A2335"/>
    <w:rsid w:val="009A6CDB"/>
    <w:rsid w:val="009C0135"/>
    <w:rsid w:val="009C0DB2"/>
    <w:rsid w:val="00A0668F"/>
    <w:rsid w:val="00A14BC4"/>
    <w:rsid w:val="00A37455"/>
    <w:rsid w:val="00A77872"/>
    <w:rsid w:val="00A87A6F"/>
    <w:rsid w:val="00AD05B9"/>
    <w:rsid w:val="00AD27CF"/>
    <w:rsid w:val="00AF186B"/>
    <w:rsid w:val="00B219DC"/>
    <w:rsid w:val="00B33EA8"/>
    <w:rsid w:val="00B9333A"/>
    <w:rsid w:val="00B97C7C"/>
    <w:rsid w:val="00BB62AF"/>
    <w:rsid w:val="00BD06FB"/>
    <w:rsid w:val="00BD4B34"/>
    <w:rsid w:val="00C3570C"/>
    <w:rsid w:val="00C54A34"/>
    <w:rsid w:val="00C67CE0"/>
    <w:rsid w:val="00CB626F"/>
    <w:rsid w:val="00CF0811"/>
    <w:rsid w:val="00D10BBE"/>
    <w:rsid w:val="00D14345"/>
    <w:rsid w:val="00D20E1E"/>
    <w:rsid w:val="00D3076C"/>
    <w:rsid w:val="00D53C59"/>
    <w:rsid w:val="00D66BD3"/>
    <w:rsid w:val="00D71614"/>
    <w:rsid w:val="00DA0BF2"/>
    <w:rsid w:val="00DA1D0E"/>
    <w:rsid w:val="00DB0D4C"/>
    <w:rsid w:val="00DD7CA8"/>
    <w:rsid w:val="00E129ED"/>
    <w:rsid w:val="00E40CC4"/>
    <w:rsid w:val="00E8594B"/>
    <w:rsid w:val="00E9138E"/>
    <w:rsid w:val="00E91FE6"/>
    <w:rsid w:val="00F06B6A"/>
    <w:rsid w:val="00F13C70"/>
    <w:rsid w:val="00F46A7E"/>
    <w:rsid w:val="00F614FD"/>
    <w:rsid w:val="00F7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B31FA"/>
  <w15:chartTrackingRefBased/>
  <w15:docId w15:val="{6FDC33A1-23F5-4441-B960-0D79CD0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0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357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57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357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7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3570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4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B34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D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Brandwein, Pamela</dc:creator>
  <cp:keywords/>
  <dc:description/>
  <cp:lastModifiedBy>Brandwein, Pamela</cp:lastModifiedBy>
  <cp:revision>135</cp:revision>
  <cp:lastPrinted>2023-06-22T15:34:00Z</cp:lastPrinted>
  <dcterms:created xsi:type="dcterms:W3CDTF">2023-06-19T10:02:00Z</dcterms:created>
  <dcterms:modified xsi:type="dcterms:W3CDTF">2023-06-23T14:26:00Z</dcterms:modified>
</cp:coreProperties>
</file>