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7673" w14:textId="77777777" w:rsidR="00031CA0" w:rsidRDefault="00D67863" w:rsidP="00FC62EB">
      <w:pPr>
        <w:pStyle w:val="Title"/>
      </w:pPr>
      <w:bookmarkStart w:id="0" w:name="_Ref76659958"/>
      <w:r w:rsidRPr="009C0B42">
        <w:t>Online Appendix</w:t>
      </w:r>
      <w:r w:rsidR="00031CA0">
        <w:br/>
      </w:r>
    </w:p>
    <w:p w14:paraId="24204B6F" w14:textId="757C3411" w:rsidR="00C753DC" w:rsidRPr="006D4487" w:rsidRDefault="006D0BCA" w:rsidP="00FC62EB">
      <w:pPr>
        <w:pStyle w:val="Title"/>
      </w:pPr>
      <w:r>
        <w:t>How Deliberation Happens</w:t>
      </w:r>
    </w:p>
    <w:p w14:paraId="3B522D3E" w14:textId="115D22F7" w:rsidR="00623A8D" w:rsidRDefault="002971CA" w:rsidP="006D4487">
      <w:pPr>
        <w:pStyle w:val="Heading1"/>
      </w:pPr>
      <w:bookmarkStart w:id="1" w:name="_Ref97127724"/>
      <w:bookmarkStart w:id="2" w:name="_Toc97203724"/>
      <w:bookmarkStart w:id="3" w:name="_Toc97231525"/>
      <w:bookmarkStart w:id="4" w:name="_Toc97622091"/>
      <w:r>
        <w:lastRenderedPageBreak/>
        <w:t xml:space="preserve">Studies </w:t>
      </w:r>
      <w:r w:rsidR="000A4572" w:rsidRPr="006D4487">
        <w:t>And</w:t>
      </w:r>
      <w:r w:rsidR="000A4572">
        <w:t xml:space="preserve"> Cases</w:t>
      </w:r>
    </w:p>
    <w:p w14:paraId="683B7D76" w14:textId="36AF5E24" w:rsidR="001C1BA7" w:rsidRDefault="0E345509" w:rsidP="00623A8D">
      <w:pPr>
        <w:pStyle w:val="Paragraphnoindent"/>
      </w:pPr>
      <w:r>
        <w:t>The data used for the analysis in the main text draws on nineteen deliberative forum cases that were conducted as part of twelve studies—where multiple cases within a study share the same topic and survey instrument. Two studies (Uppsala Speaks and Human Genome Editing) also include a control group, where participants were surveyed at the same pre- and post-deliberation time point as the other participants, without participating in the deliberative forum or receiving any information about the topic. These control cases are not included in the MLM analysis.</w:t>
      </w:r>
    </w:p>
    <w:p w14:paraId="2E359FFD" w14:textId="6988BA4E" w:rsidR="00FF6A80" w:rsidRPr="00FB385C" w:rsidRDefault="00FB385C" w:rsidP="00C76066">
      <w:pPr>
        <w:pStyle w:val="Heading2"/>
      </w:pPr>
      <w:r>
        <w:t>Cases and Sample Size</w:t>
      </w:r>
    </w:p>
    <w:p w14:paraId="4130EFCF" w14:textId="0A24C6D0" w:rsidR="00210DED" w:rsidRDefault="006D4487" w:rsidP="00623A8D">
      <w:pPr>
        <w:pStyle w:val="Paragraphnoindent"/>
        <w:rPr>
          <w:rFonts w:eastAsia="Calibri"/>
        </w:rPr>
      </w:pPr>
      <w:r>
        <w:rPr>
          <w:rFonts w:eastAsia="Calibri"/>
        </w:rPr>
        <w:fldChar w:fldCharType="begin"/>
      </w:r>
      <w:r>
        <w:rPr>
          <w:rFonts w:eastAsia="Calibri"/>
        </w:rPr>
        <w:instrText xml:space="preserve"> REF _Ref122350932 </w:instrText>
      </w:r>
      <w:r>
        <w:rPr>
          <w:rFonts w:eastAsia="Calibri"/>
        </w:rPr>
        <w:fldChar w:fldCharType="separate"/>
      </w:r>
      <w:r>
        <w:t xml:space="preserve">Table </w:t>
      </w:r>
      <w:r>
        <w:rPr>
          <w:noProof/>
        </w:rPr>
        <w:t>A.1</w:t>
      </w:r>
      <w:r>
        <w:t>.</w:t>
      </w:r>
      <w:r>
        <w:rPr>
          <w:noProof/>
        </w:rPr>
        <w:t>1</w:t>
      </w:r>
      <w:r>
        <w:rPr>
          <w:rFonts w:eastAsia="Calibri"/>
        </w:rPr>
        <w:fldChar w:fldCharType="end"/>
      </w:r>
      <w:r>
        <w:rPr>
          <w:rFonts w:eastAsia="Calibri"/>
        </w:rPr>
        <w:t xml:space="preserve"> </w:t>
      </w:r>
      <w:r w:rsidR="00623A8D" w:rsidRPr="0043655C">
        <w:rPr>
          <w:rFonts w:eastAsia="Calibri"/>
        </w:rPr>
        <w:t xml:space="preserve">shows 19 separate cases used in the MLM analysis, along with two control groups. </w:t>
      </w:r>
      <w:r w:rsidR="00221E23">
        <w:rPr>
          <w:rFonts w:eastAsia="Calibri"/>
        </w:rPr>
        <w:t>D</w:t>
      </w:r>
      <w:r w:rsidR="00A00C66">
        <w:rPr>
          <w:rFonts w:eastAsia="Calibri"/>
        </w:rPr>
        <w:t xml:space="preserve">etailed information </w:t>
      </w:r>
      <w:r w:rsidR="00210DED">
        <w:rPr>
          <w:rFonts w:eastAsia="Calibri"/>
        </w:rPr>
        <w:t xml:space="preserve">about the study that cases are conducted within can be found in </w:t>
      </w:r>
      <w:r w:rsidR="00210DED">
        <w:rPr>
          <w:rFonts w:eastAsia="Calibri"/>
        </w:rPr>
        <w:fldChar w:fldCharType="begin"/>
      </w:r>
      <w:r w:rsidR="00210DED">
        <w:rPr>
          <w:rFonts w:eastAsia="Calibri"/>
        </w:rPr>
        <w:instrText xml:space="preserve"> REF _Ref76598617 </w:instrText>
      </w:r>
      <w:r w:rsidR="00210DED">
        <w:rPr>
          <w:rFonts w:eastAsia="Calibri"/>
        </w:rPr>
        <w:fldChar w:fldCharType="separate"/>
      </w:r>
      <w:r>
        <w:t xml:space="preserve">Table </w:t>
      </w:r>
      <w:r>
        <w:rPr>
          <w:noProof/>
        </w:rPr>
        <w:t>A.1</w:t>
      </w:r>
      <w:r>
        <w:t>.</w:t>
      </w:r>
      <w:r>
        <w:rPr>
          <w:noProof/>
        </w:rPr>
        <w:t>2</w:t>
      </w:r>
      <w:r w:rsidR="00210DED">
        <w:rPr>
          <w:rFonts w:eastAsia="Calibri"/>
        </w:rPr>
        <w:fldChar w:fldCharType="end"/>
      </w:r>
      <w:r w:rsidR="00210DED">
        <w:rPr>
          <w:rFonts w:eastAsia="Calibri"/>
        </w:rPr>
        <w:t xml:space="preserve">. </w:t>
      </w:r>
    </w:p>
    <w:p w14:paraId="117435E6" w14:textId="4790F7B4" w:rsidR="00623A8D" w:rsidRDefault="0E345509" w:rsidP="00623A8D">
      <w:pPr>
        <w:pStyle w:val="paragraph"/>
      </w:pPr>
      <w:r>
        <w:t xml:space="preserve">Cases within a study share the same overall design, except where specified, and survey instrument. Case 7 is the same design as case 6, except participants were recruited from land management professionals and decision makers, whereas case 6 involved randomly selected lay citizens; Case 11 is the same design as case 10, except participants were recruited from patient advocacy groups, rather than being lay citizens; Cases 14-16 follow the same design, except that breakout discussion groups were allocated according to difference in position for 14, and similarity in position for 15 (see </w:t>
      </w:r>
      <w:r>
        <w:fldChar w:fldCharType="begin"/>
      </w:r>
      <w:r>
        <w:instrText>REF _Ref122350932</w:instrText>
      </w:r>
      <w:r>
        <w:fldChar w:fldCharType="separate"/>
      </w:r>
      <w:r>
        <w:t xml:space="preserve">Table </w:t>
      </w:r>
      <w:r w:rsidRPr="0E345509">
        <w:rPr>
          <w:noProof/>
        </w:rPr>
        <w:t>A.1</w:t>
      </w:r>
      <w:r>
        <w:t>.</w:t>
      </w:r>
      <w:r w:rsidRPr="0E345509">
        <w:rPr>
          <w:noProof/>
        </w:rPr>
        <w:t>1</w:t>
      </w:r>
      <w:r>
        <w:fldChar w:fldCharType="end"/>
      </w:r>
      <w:r>
        <w:t>).</w:t>
      </w:r>
    </w:p>
    <w:p w14:paraId="2E706908" w14:textId="5147AC04" w:rsidR="00100477" w:rsidRPr="006D4487" w:rsidRDefault="006D4487" w:rsidP="006D4487">
      <w:pPr>
        <w:pStyle w:val="Caption"/>
      </w:pPr>
      <w:bookmarkStart w:id="5" w:name="_Ref122350932"/>
      <w:r>
        <w:lastRenderedPageBreak/>
        <w:t xml:space="preserve">Table </w:t>
      </w:r>
      <w:r>
        <w:fldChar w:fldCharType="begin"/>
      </w:r>
      <w:r>
        <w:instrText>STYLEREF 2 \s</w:instrText>
      </w:r>
      <w:r>
        <w:fldChar w:fldCharType="separate"/>
      </w:r>
      <w:r w:rsidR="005F623F">
        <w:rPr>
          <w:noProof/>
        </w:rPr>
        <w:t>A.1</w:t>
      </w:r>
      <w:r>
        <w:fldChar w:fldCharType="end"/>
      </w:r>
      <w:r w:rsidR="005F623F">
        <w:t>.</w:t>
      </w:r>
      <w:r>
        <w:fldChar w:fldCharType="begin"/>
      </w:r>
      <w:r>
        <w:instrText>SEQ Table \* ARABIC \s 2</w:instrText>
      </w:r>
      <w:r>
        <w:fldChar w:fldCharType="separate"/>
      </w:r>
      <w:r w:rsidR="005F623F">
        <w:rPr>
          <w:noProof/>
        </w:rPr>
        <w:t>1</w:t>
      </w:r>
      <w:r>
        <w:fldChar w:fldCharType="end"/>
      </w:r>
      <w:bookmarkEnd w:id="5"/>
      <w:r w:rsidR="00770A06">
        <w:t>:</w:t>
      </w:r>
      <w:r>
        <w:t xml:space="preserve"> </w:t>
      </w:r>
      <w:r w:rsidR="00220F7C" w:rsidRPr="006D4487">
        <w:t xml:space="preserve">Studies </w:t>
      </w:r>
      <w:r w:rsidR="000475A5" w:rsidRPr="006D4487">
        <w:t>and Cases</w:t>
      </w:r>
    </w:p>
    <w:tbl>
      <w:tblPr>
        <w:tblStyle w:val="APSROnlineAppendix"/>
        <w:tblW w:w="9639" w:type="dxa"/>
        <w:tblLayout w:type="fixed"/>
        <w:tblLook w:val="06C0" w:firstRow="0" w:lastRow="1" w:firstColumn="1" w:lastColumn="0" w:noHBand="1" w:noVBand="1"/>
      </w:tblPr>
      <w:tblGrid>
        <w:gridCol w:w="3686"/>
        <w:gridCol w:w="2551"/>
        <w:gridCol w:w="1418"/>
        <w:gridCol w:w="1984"/>
      </w:tblGrid>
      <w:tr w:rsidR="003424BA" w:rsidRPr="002C076A" w14:paraId="5D71746D" w14:textId="026A6E65" w:rsidTr="0053433B">
        <w:trPr>
          <w:trHeight w:val="500"/>
        </w:trPr>
        <w:tc>
          <w:tcPr>
            <w:cnfStyle w:val="001000000000" w:firstRow="0" w:lastRow="0" w:firstColumn="1" w:lastColumn="0" w:oddVBand="0" w:evenVBand="0" w:oddHBand="0" w:evenHBand="0" w:firstRowFirstColumn="0" w:firstRowLastColumn="0" w:lastRowFirstColumn="0" w:lastRowLastColumn="0"/>
            <w:tcW w:w="3686" w:type="dxa"/>
          </w:tcPr>
          <w:p w14:paraId="2918BC7B" w14:textId="01BCE155" w:rsidR="00400370" w:rsidRPr="002C076A" w:rsidRDefault="00400370" w:rsidP="002C076A">
            <w:pPr>
              <w:pStyle w:val="TableHeader1"/>
              <w:spacing w:before="144" w:after="144"/>
            </w:pPr>
            <w:r w:rsidRPr="002C076A">
              <w:t>Studies</w:t>
            </w:r>
          </w:p>
        </w:tc>
        <w:tc>
          <w:tcPr>
            <w:tcW w:w="2551" w:type="dxa"/>
          </w:tcPr>
          <w:p w14:paraId="350391D4" w14:textId="7F24DFCA" w:rsidR="00400370" w:rsidRPr="002C076A" w:rsidRDefault="00400370" w:rsidP="002C076A">
            <w:pPr>
              <w:pStyle w:val="TableHeader1"/>
              <w:spacing w:after="24"/>
              <w:cnfStyle w:val="000000000000" w:firstRow="0" w:lastRow="0" w:firstColumn="0" w:lastColumn="0" w:oddVBand="0" w:evenVBand="0" w:oddHBand="0" w:evenHBand="0" w:firstRowFirstColumn="0" w:firstRowLastColumn="0" w:lastRowFirstColumn="0" w:lastRowLastColumn="0"/>
            </w:pPr>
            <w:r w:rsidRPr="002C076A">
              <w:t>Cases</w:t>
            </w:r>
          </w:p>
        </w:tc>
        <w:tc>
          <w:tcPr>
            <w:tcW w:w="1418" w:type="dxa"/>
          </w:tcPr>
          <w:p w14:paraId="64FE2F01" w14:textId="5E4DC507" w:rsidR="00400370" w:rsidRPr="002C076A" w:rsidRDefault="00400370" w:rsidP="002C076A">
            <w:pPr>
              <w:pStyle w:val="TableHeader1"/>
              <w:spacing w:after="24"/>
              <w:cnfStyle w:val="000000000000" w:firstRow="0" w:lastRow="0" w:firstColumn="0" w:lastColumn="0" w:oddVBand="0" w:evenVBand="0" w:oddHBand="0" w:evenHBand="0" w:firstRowFirstColumn="0" w:firstRowLastColumn="0" w:lastRowFirstColumn="0" w:lastRowLastColumn="0"/>
            </w:pPr>
            <w:r w:rsidRPr="002C076A">
              <w:t>Data points</w:t>
            </w:r>
            <w:r w:rsidR="00DB1BE7" w:rsidRPr="002C076A">
              <w:br/>
            </w:r>
            <w:r w:rsidRPr="002C076A">
              <w:t>(n†</w:t>
            </w:r>
            <w:r w:rsidR="0002255D" w:rsidRPr="002C076A">
              <w:t>)</w:t>
            </w:r>
          </w:p>
        </w:tc>
        <w:tc>
          <w:tcPr>
            <w:tcW w:w="1984" w:type="dxa"/>
          </w:tcPr>
          <w:p w14:paraId="4819D2E9" w14:textId="1C96586D" w:rsidR="00400370" w:rsidRPr="002C076A" w:rsidRDefault="00400370" w:rsidP="002C076A">
            <w:pPr>
              <w:pStyle w:val="TableHeader1"/>
              <w:spacing w:after="24"/>
              <w:cnfStyle w:val="000000000000" w:firstRow="0" w:lastRow="0" w:firstColumn="0" w:lastColumn="0" w:oddVBand="0" w:evenVBand="0" w:oddHBand="0" w:evenHBand="0" w:firstRowFirstColumn="0" w:firstRowLastColumn="0" w:lastRowFirstColumn="0" w:lastRowLastColumn="0"/>
            </w:pPr>
            <w:r w:rsidRPr="002C076A">
              <w:t>Participants</w:t>
            </w:r>
            <w:r w:rsidR="00DB1BE7" w:rsidRPr="002C076A">
              <w:br/>
            </w:r>
            <w:r w:rsidR="0002255D" w:rsidRPr="002C076A">
              <w:t>(N‡)</w:t>
            </w:r>
          </w:p>
        </w:tc>
      </w:tr>
      <w:tr w:rsidR="0053433B" w:rsidRPr="00101D0A" w14:paraId="6D7A2021" w14:textId="5DE77AFC" w:rsidTr="0053433B">
        <w:trPr>
          <w:trHeight w:val="367"/>
        </w:trPr>
        <w:tc>
          <w:tcPr>
            <w:cnfStyle w:val="001000000000" w:firstRow="0" w:lastRow="0" w:firstColumn="1" w:lastColumn="0" w:oddVBand="0" w:evenVBand="0" w:oddHBand="0" w:evenHBand="0" w:firstRowFirstColumn="0" w:firstRowLastColumn="0" w:lastRowFirstColumn="0" w:lastRowLastColumn="0"/>
            <w:tcW w:w="3686" w:type="dxa"/>
            <w:vMerge w:val="restart"/>
          </w:tcPr>
          <w:p w14:paraId="648C63C5" w14:textId="77777777" w:rsidR="00211920" w:rsidRPr="009C11B1" w:rsidRDefault="00211920" w:rsidP="006C63A1">
            <w:pPr>
              <w:pStyle w:val="TableHeadingsColumn"/>
              <w:spacing w:beforeLines="0" w:afterLines="0"/>
              <w:ind w:left="181" w:hanging="181"/>
            </w:pPr>
            <w:r>
              <w:t xml:space="preserve">1. </w:t>
            </w:r>
            <w:r w:rsidRPr="009C11B1">
              <w:t>Uppsala Speaks</w:t>
            </w:r>
          </w:p>
        </w:tc>
        <w:tc>
          <w:tcPr>
            <w:tcW w:w="2551" w:type="dxa"/>
          </w:tcPr>
          <w:p w14:paraId="78DC652A" w14:textId="77777777" w:rsidR="00211920" w:rsidRPr="0053433B"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rPr>
                <w:i/>
                <w:iCs/>
                <w:color w:val="548DD4" w:themeColor="text2" w:themeTint="99"/>
              </w:rPr>
            </w:pPr>
            <w:r w:rsidRPr="0053433B">
              <w:rPr>
                <w:i/>
                <w:iCs/>
                <w:color w:val="548DD4" w:themeColor="text2" w:themeTint="99"/>
              </w:rPr>
              <w:t>0</w:t>
            </w:r>
            <w:r w:rsidRPr="002F7CF0">
              <w:rPr>
                <w:i/>
                <w:iCs/>
                <w:color w:val="548DD4" w:themeColor="text2" w:themeTint="99"/>
                <w:vertAlign w:val="subscript"/>
              </w:rPr>
              <w:t>1</w:t>
            </w:r>
            <w:r w:rsidRPr="0053433B">
              <w:rPr>
                <w:i/>
                <w:iCs/>
                <w:color w:val="548DD4" w:themeColor="text2" w:themeTint="99"/>
              </w:rPr>
              <w:tab/>
              <w:t>Control</w:t>
            </w:r>
          </w:p>
        </w:tc>
        <w:tc>
          <w:tcPr>
            <w:tcW w:w="1418" w:type="dxa"/>
          </w:tcPr>
          <w:p w14:paraId="3A21EBFA" w14:textId="77777777" w:rsidR="00211920" w:rsidRPr="0053433B"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rPr>
                <w:i/>
                <w:iCs/>
                <w:color w:val="548DD4" w:themeColor="text2" w:themeTint="99"/>
              </w:rPr>
            </w:pPr>
            <w:r w:rsidRPr="0053433B">
              <w:rPr>
                <w:i/>
                <w:iCs/>
                <w:color w:val="548DD4" w:themeColor="text2" w:themeTint="99"/>
              </w:rPr>
              <w:t>20</w:t>
            </w:r>
          </w:p>
        </w:tc>
        <w:tc>
          <w:tcPr>
            <w:tcW w:w="1984" w:type="dxa"/>
          </w:tcPr>
          <w:p w14:paraId="1465FE86" w14:textId="77604883" w:rsidR="00211920" w:rsidRPr="0053433B"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rPr>
                <w:i/>
                <w:iCs/>
                <w:color w:val="548DD4" w:themeColor="text2" w:themeTint="99"/>
              </w:rPr>
            </w:pPr>
            <w:r w:rsidRPr="0053433B">
              <w:rPr>
                <w:i/>
                <w:iCs/>
                <w:color w:val="548DD4" w:themeColor="text2" w:themeTint="99"/>
              </w:rPr>
              <w:t>20</w:t>
            </w:r>
          </w:p>
        </w:tc>
      </w:tr>
      <w:tr w:rsidR="0053433B" w:rsidRPr="00101D0A" w14:paraId="6FA5229A" w14:textId="6C00897D" w:rsidTr="0053433B">
        <w:trPr>
          <w:trHeight w:val="300"/>
        </w:trPr>
        <w:tc>
          <w:tcPr>
            <w:cnfStyle w:val="001000000000" w:firstRow="0" w:lastRow="0" w:firstColumn="1" w:lastColumn="0" w:oddVBand="0" w:evenVBand="0" w:oddHBand="0" w:evenHBand="0" w:firstRowFirstColumn="0" w:firstRowLastColumn="0" w:lastRowFirstColumn="0" w:lastRowLastColumn="0"/>
            <w:tcW w:w="3686" w:type="dxa"/>
            <w:vMerge/>
          </w:tcPr>
          <w:p w14:paraId="012F8E13" w14:textId="77777777" w:rsidR="00211920" w:rsidRPr="009C11B1" w:rsidRDefault="00211920" w:rsidP="006C63A1">
            <w:pPr>
              <w:pStyle w:val="TableHeadingsColumn"/>
              <w:spacing w:beforeLines="0" w:afterLines="0"/>
              <w:ind w:left="181" w:hanging="181"/>
            </w:pPr>
          </w:p>
        </w:tc>
        <w:tc>
          <w:tcPr>
            <w:tcW w:w="2551" w:type="dxa"/>
          </w:tcPr>
          <w:p w14:paraId="186A1A97"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w:t>
            </w:r>
            <w:r w:rsidRPr="001633C2">
              <w:tab/>
              <w:t>Group Briefing</w:t>
            </w:r>
          </w:p>
        </w:tc>
        <w:tc>
          <w:tcPr>
            <w:tcW w:w="1418" w:type="dxa"/>
          </w:tcPr>
          <w:p w14:paraId="398AC25D" w14:textId="326FBF3D"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22</w:t>
            </w:r>
          </w:p>
        </w:tc>
        <w:tc>
          <w:tcPr>
            <w:tcW w:w="1984" w:type="dxa"/>
          </w:tcPr>
          <w:p w14:paraId="6BA7840F" w14:textId="531A002F"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23</w:t>
            </w:r>
          </w:p>
        </w:tc>
      </w:tr>
      <w:tr w:rsidR="0053433B" w:rsidRPr="00101D0A" w14:paraId="17B56E7C" w14:textId="305419C2" w:rsidTr="0053433B">
        <w:trPr>
          <w:trHeight w:val="300"/>
        </w:trPr>
        <w:tc>
          <w:tcPr>
            <w:cnfStyle w:val="001000000000" w:firstRow="0" w:lastRow="0" w:firstColumn="1" w:lastColumn="0" w:oddVBand="0" w:evenVBand="0" w:oddHBand="0" w:evenHBand="0" w:firstRowFirstColumn="0" w:firstRowLastColumn="0" w:lastRowFirstColumn="0" w:lastRowLastColumn="0"/>
            <w:tcW w:w="3686" w:type="dxa"/>
            <w:vMerge/>
          </w:tcPr>
          <w:p w14:paraId="2D2D6EE6" w14:textId="77777777" w:rsidR="00211920" w:rsidRPr="009C11B1" w:rsidRDefault="00211920" w:rsidP="006C63A1">
            <w:pPr>
              <w:pStyle w:val="TableHeadingsColumn"/>
              <w:spacing w:beforeLines="0" w:afterLines="0"/>
              <w:ind w:left="181" w:hanging="181"/>
            </w:pPr>
          </w:p>
        </w:tc>
        <w:tc>
          <w:tcPr>
            <w:tcW w:w="2551" w:type="dxa"/>
          </w:tcPr>
          <w:p w14:paraId="43043842"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2</w:t>
            </w:r>
            <w:r w:rsidRPr="001633C2">
              <w:tab/>
              <w:t>Group Building Plus</w:t>
            </w:r>
          </w:p>
        </w:tc>
        <w:tc>
          <w:tcPr>
            <w:tcW w:w="1418" w:type="dxa"/>
          </w:tcPr>
          <w:p w14:paraId="13EF197D" w14:textId="09D69CFA"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26</w:t>
            </w:r>
          </w:p>
        </w:tc>
        <w:tc>
          <w:tcPr>
            <w:tcW w:w="1984" w:type="dxa"/>
          </w:tcPr>
          <w:p w14:paraId="256CE6F1" w14:textId="5663D9E9"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27</w:t>
            </w:r>
          </w:p>
        </w:tc>
      </w:tr>
      <w:tr w:rsidR="0053433B" w:rsidRPr="00101D0A" w14:paraId="08B67EF7" w14:textId="132A42D0" w:rsidTr="0053433B">
        <w:tc>
          <w:tcPr>
            <w:cnfStyle w:val="001000000000" w:firstRow="0" w:lastRow="0" w:firstColumn="1" w:lastColumn="0" w:oddVBand="0" w:evenVBand="0" w:oddHBand="0" w:evenHBand="0" w:firstRowFirstColumn="0" w:firstRowLastColumn="0" w:lastRowFirstColumn="0" w:lastRowLastColumn="0"/>
            <w:tcW w:w="3686" w:type="dxa"/>
            <w:shd w:val="clear" w:color="auto" w:fill="C6D9F1" w:themeFill="text2" w:themeFillTint="33"/>
          </w:tcPr>
          <w:p w14:paraId="265C51DB" w14:textId="77777777" w:rsidR="00211920" w:rsidRPr="009C11B1" w:rsidRDefault="00211920" w:rsidP="006C63A1">
            <w:pPr>
              <w:pStyle w:val="TableHeadingsColumn"/>
              <w:spacing w:beforeLines="0" w:afterLines="0"/>
              <w:ind w:left="181" w:hanging="181"/>
            </w:pPr>
            <w:r>
              <w:t xml:space="preserve">2. </w:t>
            </w:r>
            <w:r w:rsidRPr="009C11B1">
              <w:t>Far North Queensland Citizens’ Jury</w:t>
            </w:r>
          </w:p>
        </w:tc>
        <w:tc>
          <w:tcPr>
            <w:tcW w:w="2551" w:type="dxa"/>
            <w:shd w:val="clear" w:color="auto" w:fill="C6D9F1" w:themeFill="text2" w:themeFillTint="33"/>
          </w:tcPr>
          <w:p w14:paraId="3EBD0AFC" w14:textId="578523AE"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3</w:t>
            </w:r>
            <w:r w:rsidRPr="001633C2">
              <w:tab/>
              <w:t>FNQCJ</w:t>
            </w:r>
          </w:p>
        </w:tc>
        <w:tc>
          <w:tcPr>
            <w:tcW w:w="1418" w:type="dxa"/>
            <w:shd w:val="clear" w:color="auto" w:fill="C6D9F1" w:themeFill="text2" w:themeFillTint="33"/>
          </w:tcPr>
          <w:p w14:paraId="755B49DF" w14:textId="7FF3DDBF"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12</w:t>
            </w:r>
          </w:p>
        </w:tc>
        <w:tc>
          <w:tcPr>
            <w:tcW w:w="1984" w:type="dxa"/>
            <w:shd w:val="clear" w:color="auto" w:fill="C6D9F1" w:themeFill="text2" w:themeFillTint="33"/>
          </w:tcPr>
          <w:p w14:paraId="5751D6F0" w14:textId="0688E5D2"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12</w:t>
            </w:r>
          </w:p>
        </w:tc>
      </w:tr>
      <w:tr w:rsidR="0053433B" w:rsidRPr="00101D0A" w14:paraId="23BAD76F" w14:textId="7B3B8331" w:rsidTr="0053433B">
        <w:tc>
          <w:tcPr>
            <w:cnfStyle w:val="001000000000" w:firstRow="0" w:lastRow="0" w:firstColumn="1" w:lastColumn="0" w:oddVBand="0" w:evenVBand="0" w:oddHBand="0" w:evenHBand="0" w:firstRowFirstColumn="0" w:firstRowLastColumn="0" w:lastRowFirstColumn="0" w:lastRowLastColumn="0"/>
            <w:tcW w:w="3686" w:type="dxa"/>
          </w:tcPr>
          <w:p w14:paraId="5C318EF6" w14:textId="77777777" w:rsidR="00211920" w:rsidRPr="009C11B1" w:rsidRDefault="00211920" w:rsidP="006C63A1">
            <w:pPr>
              <w:pStyle w:val="TableHeadingsColumn"/>
              <w:spacing w:beforeLines="0" w:afterLines="0"/>
              <w:ind w:left="181" w:hanging="181"/>
            </w:pPr>
            <w:r>
              <w:t xml:space="preserve">3. </w:t>
            </w:r>
            <w:r w:rsidRPr="009C11B1">
              <w:t>Australian Citizens’ Parliament</w:t>
            </w:r>
          </w:p>
        </w:tc>
        <w:tc>
          <w:tcPr>
            <w:tcW w:w="2551" w:type="dxa"/>
          </w:tcPr>
          <w:p w14:paraId="74466D46"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4.</w:t>
            </w:r>
            <w:r w:rsidRPr="001633C2">
              <w:tab/>
              <w:t>ACP</w:t>
            </w:r>
          </w:p>
        </w:tc>
        <w:tc>
          <w:tcPr>
            <w:tcW w:w="1418" w:type="dxa"/>
          </w:tcPr>
          <w:p w14:paraId="4CDB0493" w14:textId="58110793"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52</w:t>
            </w:r>
          </w:p>
        </w:tc>
        <w:tc>
          <w:tcPr>
            <w:tcW w:w="1984" w:type="dxa"/>
          </w:tcPr>
          <w:p w14:paraId="3524D767" w14:textId="659001B3"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152</w:t>
            </w:r>
          </w:p>
        </w:tc>
      </w:tr>
      <w:tr w:rsidR="0053433B" w:rsidRPr="00101D0A" w14:paraId="3CDE95C5" w14:textId="358AFEC0" w:rsidTr="0053433B">
        <w:tc>
          <w:tcPr>
            <w:cnfStyle w:val="001000000000" w:firstRow="0" w:lastRow="0" w:firstColumn="1" w:lastColumn="0" w:oddVBand="0" w:evenVBand="0" w:oddHBand="0" w:evenHBand="0" w:firstRowFirstColumn="0" w:firstRowLastColumn="0" w:lastRowFirstColumn="0" w:lastRowLastColumn="0"/>
            <w:tcW w:w="3686" w:type="dxa"/>
            <w:shd w:val="clear" w:color="auto" w:fill="C6D9F1" w:themeFill="text2" w:themeFillTint="33"/>
          </w:tcPr>
          <w:p w14:paraId="51E79344" w14:textId="77777777" w:rsidR="00211920" w:rsidRPr="009C11B1" w:rsidRDefault="00211920" w:rsidP="006C63A1">
            <w:pPr>
              <w:pStyle w:val="TableHeadingsColumn"/>
              <w:spacing w:beforeLines="0" w:afterLines="0"/>
              <w:ind w:left="181" w:hanging="181"/>
            </w:pPr>
            <w:r>
              <w:t xml:space="preserve">.4 </w:t>
            </w:r>
            <w:r w:rsidRPr="009C11B1">
              <w:t>Sydney Climate Change Adaption</w:t>
            </w:r>
          </w:p>
        </w:tc>
        <w:tc>
          <w:tcPr>
            <w:tcW w:w="2551" w:type="dxa"/>
            <w:shd w:val="clear" w:color="auto" w:fill="C6D9F1" w:themeFill="text2" w:themeFillTint="33"/>
          </w:tcPr>
          <w:p w14:paraId="3C098A28"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5</w:t>
            </w:r>
            <w:r w:rsidRPr="001633C2">
              <w:tab/>
              <w:t xml:space="preserve">Sydney CC </w:t>
            </w:r>
          </w:p>
        </w:tc>
        <w:tc>
          <w:tcPr>
            <w:tcW w:w="1418" w:type="dxa"/>
            <w:shd w:val="clear" w:color="auto" w:fill="C6D9F1" w:themeFill="text2" w:themeFillTint="33"/>
          </w:tcPr>
          <w:p w14:paraId="5505F8A5" w14:textId="41FC1277"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21</w:t>
            </w:r>
          </w:p>
        </w:tc>
        <w:tc>
          <w:tcPr>
            <w:tcW w:w="1984" w:type="dxa"/>
            <w:shd w:val="clear" w:color="auto" w:fill="C6D9F1" w:themeFill="text2" w:themeFillTint="33"/>
          </w:tcPr>
          <w:p w14:paraId="305BD45B" w14:textId="5760B05C"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24</w:t>
            </w:r>
          </w:p>
        </w:tc>
      </w:tr>
      <w:tr w:rsidR="0053433B" w:rsidRPr="00101D0A" w14:paraId="736D11C8" w14:textId="6C3BA0E9" w:rsidTr="0053433B">
        <w:trPr>
          <w:trHeight w:val="236"/>
        </w:trPr>
        <w:tc>
          <w:tcPr>
            <w:cnfStyle w:val="001000000000" w:firstRow="0" w:lastRow="0" w:firstColumn="1" w:lastColumn="0" w:oddVBand="0" w:evenVBand="0" w:oddHBand="0" w:evenHBand="0" w:firstRowFirstColumn="0" w:firstRowLastColumn="0" w:lastRowFirstColumn="0" w:lastRowLastColumn="0"/>
            <w:tcW w:w="3686" w:type="dxa"/>
            <w:vMerge w:val="restart"/>
          </w:tcPr>
          <w:p w14:paraId="4224801B" w14:textId="77777777" w:rsidR="00211920" w:rsidRPr="009C11B1" w:rsidRDefault="00211920" w:rsidP="006C63A1">
            <w:pPr>
              <w:pStyle w:val="TableHeadingsColumn"/>
              <w:spacing w:beforeLines="0" w:afterLines="0"/>
              <w:ind w:left="181" w:hanging="181"/>
            </w:pPr>
            <w:r>
              <w:t xml:space="preserve">5. </w:t>
            </w:r>
            <w:r w:rsidRPr="009C11B1">
              <w:t>ForestERA</w:t>
            </w:r>
          </w:p>
        </w:tc>
        <w:tc>
          <w:tcPr>
            <w:tcW w:w="2551" w:type="dxa"/>
          </w:tcPr>
          <w:p w14:paraId="0D5367F9"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6</w:t>
            </w:r>
            <w:r w:rsidRPr="001633C2">
              <w:tab/>
              <w:t>Citizen</w:t>
            </w:r>
          </w:p>
        </w:tc>
        <w:tc>
          <w:tcPr>
            <w:tcW w:w="1418" w:type="dxa"/>
          </w:tcPr>
          <w:p w14:paraId="53C87EF7" w14:textId="0950E1C4"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12</w:t>
            </w:r>
          </w:p>
        </w:tc>
        <w:tc>
          <w:tcPr>
            <w:tcW w:w="1984" w:type="dxa"/>
          </w:tcPr>
          <w:p w14:paraId="4699011B" w14:textId="36123487"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12</w:t>
            </w:r>
          </w:p>
        </w:tc>
      </w:tr>
      <w:tr w:rsidR="0053433B" w:rsidRPr="00101D0A" w14:paraId="23E68FBE" w14:textId="2604A95F" w:rsidTr="0053433B">
        <w:trPr>
          <w:trHeight w:val="236"/>
        </w:trPr>
        <w:tc>
          <w:tcPr>
            <w:cnfStyle w:val="001000000000" w:firstRow="0" w:lastRow="0" w:firstColumn="1" w:lastColumn="0" w:oddVBand="0" w:evenVBand="0" w:oddHBand="0" w:evenHBand="0" w:firstRowFirstColumn="0" w:firstRowLastColumn="0" w:lastRowFirstColumn="0" w:lastRowLastColumn="0"/>
            <w:tcW w:w="3686" w:type="dxa"/>
            <w:vMerge/>
          </w:tcPr>
          <w:p w14:paraId="3A501A52" w14:textId="77777777" w:rsidR="00211920" w:rsidRPr="009C11B1" w:rsidRDefault="00211920" w:rsidP="006C63A1">
            <w:pPr>
              <w:pStyle w:val="TableHeadingsColumn"/>
              <w:spacing w:beforeLines="0" w:afterLines="0"/>
              <w:ind w:left="181" w:hanging="181"/>
            </w:pPr>
          </w:p>
        </w:tc>
        <w:tc>
          <w:tcPr>
            <w:tcW w:w="2551" w:type="dxa"/>
          </w:tcPr>
          <w:p w14:paraId="2E0E8E96"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7</w:t>
            </w:r>
            <w:r w:rsidRPr="001633C2">
              <w:tab/>
              <w:t>Stakeholder</w:t>
            </w:r>
          </w:p>
        </w:tc>
        <w:tc>
          <w:tcPr>
            <w:tcW w:w="1418" w:type="dxa"/>
          </w:tcPr>
          <w:p w14:paraId="7F80DF50" w14:textId="290B3F66"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12</w:t>
            </w:r>
          </w:p>
        </w:tc>
        <w:tc>
          <w:tcPr>
            <w:tcW w:w="1984" w:type="dxa"/>
          </w:tcPr>
          <w:p w14:paraId="1BE26B18" w14:textId="372B964A"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86</w:t>
            </w:r>
          </w:p>
        </w:tc>
      </w:tr>
      <w:tr w:rsidR="0053433B" w:rsidRPr="00101D0A" w14:paraId="60DF7458" w14:textId="6975F85B" w:rsidTr="0053433B">
        <w:trPr>
          <w:trHeight w:val="233"/>
        </w:trPr>
        <w:tc>
          <w:tcPr>
            <w:cnfStyle w:val="001000000000" w:firstRow="0" w:lastRow="0" w:firstColumn="1" w:lastColumn="0" w:oddVBand="0" w:evenVBand="0" w:oddHBand="0" w:evenHBand="0" w:firstRowFirstColumn="0" w:firstRowLastColumn="0" w:lastRowFirstColumn="0" w:lastRowLastColumn="0"/>
            <w:tcW w:w="3686" w:type="dxa"/>
            <w:vMerge w:val="restart"/>
            <w:shd w:val="clear" w:color="auto" w:fill="C6D9F1" w:themeFill="text2" w:themeFillTint="33"/>
          </w:tcPr>
          <w:p w14:paraId="5F2536A7" w14:textId="77777777" w:rsidR="00211920" w:rsidRPr="009C11B1" w:rsidRDefault="00211920" w:rsidP="006C63A1">
            <w:pPr>
              <w:pStyle w:val="TableHeadingsColumn"/>
              <w:spacing w:beforeLines="0" w:afterLines="0"/>
              <w:ind w:left="181" w:hanging="181"/>
            </w:pPr>
            <w:r>
              <w:t xml:space="preserve">6. </w:t>
            </w:r>
            <w:r w:rsidRPr="009C11B1">
              <w:t>Biobanking, Regulation</w:t>
            </w:r>
          </w:p>
        </w:tc>
        <w:tc>
          <w:tcPr>
            <w:tcW w:w="2551" w:type="dxa"/>
            <w:shd w:val="clear" w:color="auto" w:fill="C6D9F1" w:themeFill="text2" w:themeFillTint="33"/>
          </w:tcPr>
          <w:p w14:paraId="31AE7B36"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8</w:t>
            </w:r>
            <w:r w:rsidRPr="001633C2">
              <w:tab/>
              <w:t>UBC</w:t>
            </w:r>
          </w:p>
        </w:tc>
        <w:tc>
          <w:tcPr>
            <w:tcW w:w="1418" w:type="dxa"/>
            <w:shd w:val="clear" w:color="auto" w:fill="C6D9F1" w:themeFill="text2" w:themeFillTint="33"/>
          </w:tcPr>
          <w:p w14:paraId="0DB99898" w14:textId="1BC6F7B5"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19</w:t>
            </w:r>
          </w:p>
        </w:tc>
        <w:tc>
          <w:tcPr>
            <w:tcW w:w="1984" w:type="dxa"/>
            <w:shd w:val="clear" w:color="auto" w:fill="C6D9F1" w:themeFill="text2" w:themeFillTint="33"/>
          </w:tcPr>
          <w:p w14:paraId="6DC5AA1A" w14:textId="150AA586" w:rsidR="00211920" w:rsidRPr="009C11B1" w:rsidRDefault="00394E3F"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20</w:t>
            </w:r>
          </w:p>
        </w:tc>
      </w:tr>
      <w:tr w:rsidR="0053433B" w:rsidRPr="00101D0A" w14:paraId="54A4818F" w14:textId="7E4E5D58" w:rsidTr="0053433B">
        <w:trPr>
          <w:trHeight w:val="233"/>
        </w:trPr>
        <w:tc>
          <w:tcPr>
            <w:cnfStyle w:val="001000000000" w:firstRow="0" w:lastRow="0" w:firstColumn="1" w:lastColumn="0" w:oddVBand="0" w:evenVBand="0" w:oddHBand="0" w:evenHBand="0" w:firstRowFirstColumn="0" w:firstRowLastColumn="0" w:lastRowFirstColumn="0" w:lastRowLastColumn="0"/>
            <w:tcW w:w="3686" w:type="dxa"/>
            <w:vMerge/>
            <w:shd w:val="clear" w:color="auto" w:fill="C6D9F1" w:themeFill="text2" w:themeFillTint="33"/>
          </w:tcPr>
          <w:p w14:paraId="777F4D93" w14:textId="77777777" w:rsidR="00211920" w:rsidRPr="009C11B1" w:rsidRDefault="00211920" w:rsidP="006C63A1">
            <w:pPr>
              <w:pStyle w:val="TableHeadingsColumn"/>
              <w:spacing w:beforeLines="0" w:afterLines="0"/>
              <w:ind w:left="181" w:hanging="181"/>
            </w:pPr>
          </w:p>
        </w:tc>
        <w:tc>
          <w:tcPr>
            <w:tcW w:w="2551" w:type="dxa"/>
            <w:shd w:val="clear" w:color="auto" w:fill="C6D9F1" w:themeFill="text2" w:themeFillTint="33"/>
          </w:tcPr>
          <w:p w14:paraId="69CFF909"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9</w:t>
            </w:r>
            <w:r w:rsidRPr="001633C2">
              <w:tab/>
              <w:t>Mayo</w:t>
            </w:r>
          </w:p>
        </w:tc>
        <w:tc>
          <w:tcPr>
            <w:tcW w:w="1418" w:type="dxa"/>
            <w:shd w:val="clear" w:color="auto" w:fill="C6D9F1" w:themeFill="text2" w:themeFillTint="33"/>
          </w:tcPr>
          <w:p w14:paraId="6A91B931" w14:textId="53605992"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18</w:t>
            </w:r>
          </w:p>
        </w:tc>
        <w:tc>
          <w:tcPr>
            <w:tcW w:w="1984" w:type="dxa"/>
            <w:shd w:val="clear" w:color="auto" w:fill="C6D9F1" w:themeFill="text2" w:themeFillTint="33"/>
          </w:tcPr>
          <w:p w14:paraId="1F5FE7CA" w14:textId="5EAB904D"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20</w:t>
            </w:r>
          </w:p>
        </w:tc>
      </w:tr>
      <w:tr w:rsidR="0053433B" w:rsidRPr="00101D0A" w14:paraId="74AAC588" w14:textId="4E19344F" w:rsidTr="0053433B">
        <w:trPr>
          <w:trHeight w:val="204"/>
        </w:trPr>
        <w:tc>
          <w:tcPr>
            <w:cnfStyle w:val="001000000000" w:firstRow="0" w:lastRow="0" w:firstColumn="1" w:lastColumn="0" w:oddVBand="0" w:evenVBand="0" w:oddHBand="0" w:evenHBand="0" w:firstRowFirstColumn="0" w:firstRowLastColumn="0" w:lastRowFirstColumn="0" w:lastRowLastColumn="0"/>
            <w:tcW w:w="3686" w:type="dxa"/>
            <w:vMerge/>
            <w:shd w:val="clear" w:color="auto" w:fill="C6D9F1" w:themeFill="text2" w:themeFillTint="33"/>
          </w:tcPr>
          <w:p w14:paraId="460B277C" w14:textId="77777777" w:rsidR="00211920" w:rsidRPr="009C11B1" w:rsidRDefault="00211920" w:rsidP="006C63A1">
            <w:pPr>
              <w:pStyle w:val="TableHeadingsColumn"/>
              <w:spacing w:beforeLines="0" w:afterLines="0"/>
              <w:ind w:left="181" w:hanging="181"/>
            </w:pPr>
          </w:p>
        </w:tc>
        <w:tc>
          <w:tcPr>
            <w:tcW w:w="2551" w:type="dxa"/>
            <w:shd w:val="clear" w:color="auto" w:fill="C6D9F1" w:themeFill="text2" w:themeFillTint="33"/>
          </w:tcPr>
          <w:p w14:paraId="34F6A666"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10</w:t>
            </w:r>
            <w:r w:rsidRPr="001633C2">
              <w:tab/>
              <w:t>WA Citizens</w:t>
            </w:r>
          </w:p>
        </w:tc>
        <w:tc>
          <w:tcPr>
            <w:tcW w:w="1418" w:type="dxa"/>
            <w:shd w:val="clear" w:color="auto" w:fill="C6D9F1" w:themeFill="text2" w:themeFillTint="33"/>
          </w:tcPr>
          <w:p w14:paraId="755A7589" w14:textId="5B9A3313"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10</w:t>
            </w:r>
          </w:p>
        </w:tc>
        <w:tc>
          <w:tcPr>
            <w:tcW w:w="1984" w:type="dxa"/>
            <w:shd w:val="clear" w:color="auto" w:fill="C6D9F1" w:themeFill="text2" w:themeFillTint="33"/>
          </w:tcPr>
          <w:p w14:paraId="37F89237" w14:textId="191850A0" w:rsidR="00211920"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15</w:t>
            </w:r>
          </w:p>
        </w:tc>
      </w:tr>
      <w:tr w:rsidR="0053433B" w:rsidRPr="00101D0A" w14:paraId="3FC3051F" w14:textId="21943C03" w:rsidTr="0053433B">
        <w:trPr>
          <w:trHeight w:val="204"/>
        </w:trPr>
        <w:tc>
          <w:tcPr>
            <w:cnfStyle w:val="001000000000" w:firstRow="0" w:lastRow="0" w:firstColumn="1" w:lastColumn="0" w:oddVBand="0" w:evenVBand="0" w:oddHBand="0" w:evenHBand="0" w:firstRowFirstColumn="0" w:firstRowLastColumn="0" w:lastRowFirstColumn="0" w:lastRowLastColumn="0"/>
            <w:tcW w:w="3686" w:type="dxa"/>
            <w:vMerge/>
            <w:shd w:val="clear" w:color="auto" w:fill="C6D9F1" w:themeFill="text2" w:themeFillTint="33"/>
          </w:tcPr>
          <w:p w14:paraId="5668D935" w14:textId="77777777" w:rsidR="00211920" w:rsidRPr="009C11B1" w:rsidRDefault="00211920" w:rsidP="006C63A1">
            <w:pPr>
              <w:pStyle w:val="TableHeadingsColumn"/>
              <w:spacing w:beforeLines="0" w:afterLines="0"/>
              <w:ind w:left="181" w:hanging="181"/>
            </w:pPr>
          </w:p>
        </w:tc>
        <w:tc>
          <w:tcPr>
            <w:tcW w:w="2551" w:type="dxa"/>
            <w:shd w:val="clear" w:color="auto" w:fill="C6D9F1" w:themeFill="text2" w:themeFillTint="33"/>
          </w:tcPr>
          <w:p w14:paraId="0F61A830"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11</w:t>
            </w:r>
            <w:r w:rsidRPr="001633C2">
              <w:tab/>
              <w:t>WA Stakeholders</w:t>
            </w:r>
          </w:p>
        </w:tc>
        <w:tc>
          <w:tcPr>
            <w:tcW w:w="1418" w:type="dxa"/>
            <w:shd w:val="clear" w:color="auto" w:fill="C6D9F1" w:themeFill="text2" w:themeFillTint="33"/>
          </w:tcPr>
          <w:p w14:paraId="307DFC6D" w14:textId="106C30F1"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w:t>
            </w:r>
            <w:r>
              <w:t>6</w:t>
            </w:r>
          </w:p>
        </w:tc>
        <w:tc>
          <w:tcPr>
            <w:tcW w:w="1984" w:type="dxa"/>
            <w:shd w:val="clear" w:color="auto" w:fill="C6D9F1" w:themeFill="text2" w:themeFillTint="33"/>
          </w:tcPr>
          <w:p w14:paraId="4ECF04FF" w14:textId="25C48EAB"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26</w:t>
            </w:r>
          </w:p>
        </w:tc>
      </w:tr>
      <w:tr w:rsidR="0053433B" w:rsidRPr="00101D0A" w14:paraId="09514FD9" w14:textId="72915263" w:rsidTr="0053433B">
        <w:tc>
          <w:tcPr>
            <w:cnfStyle w:val="001000000000" w:firstRow="0" w:lastRow="0" w:firstColumn="1" w:lastColumn="0" w:oddVBand="0" w:evenVBand="0" w:oddHBand="0" w:evenHBand="0" w:firstRowFirstColumn="0" w:firstRowLastColumn="0" w:lastRowFirstColumn="0" w:lastRowLastColumn="0"/>
            <w:tcW w:w="3686" w:type="dxa"/>
          </w:tcPr>
          <w:p w14:paraId="37A83B46" w14:textId="77777777" w:rsidR="00211920" w:rsidRPr="009C11B1" w:rsidRDefault="00211920" w:rsidP="006C63A1">
            <w:pPr>
              <w:pStyle w:val="TableHeadingsColumn"/>
              <w:spacing w:beforeLines="0" w:afterLines="0"/>
              <w:ind w:left="181" w:hanging="181"/>
            </w:pPr>
            <w:r>
              <w:t xml:space="preserve">7. </w:t>
            </w:r>
            <w:r w:rsidRPr="009C11B1">
              <w:t>Fremantle Bridge</w:t>
            </w:r>
            <w:r>
              <w:t xml:space="preserve"> 21</w:t>
            </w:r>
            <w:r w:rsidRPr="009B7B4B">
              <w:rPr>
                <w:vertAlign w:val="superscript"/>
              </w:rPr>
              <w:t>st</w:t>
            </w:r>
            <w:r>
              <w:t xml:space="preserve"> Century</w:t>
            </w:r>
          </w:p>
        </w:tc>
        <w:tc>
          <w:tcPr>
            <w:tcW w:w="2551" w:type="dxa"/>
          </w:tcPr>
          <w:p w14:paraId="4BF6AB12"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12</w:t>
            </w:r>
            <w:r w:rsidRPr="001633C2">
              <w:tab/>
              <w:t>Fremantle Bridge</w:t>
            </w:r>
          </w:p>
        </w:tc>
        <w:tc>
          <w:tcPr>
            <w:tcW w:w="1418" w:type="dxa"/>
          </w:tcPr>
          <w:p w14:paraId="510DA5AF" w14:textId="71304405"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41</w:t>
            </w:r>
          </w:p>
        </w:tc>
        <w:tc>
          <w:tcPr>
            <w:tcW w:w="1984" w:type="dxa"/>
          </w:tcPr>
          <w:p w14:paraId="4C1282B8" w14:textId="76C2137F"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165</w:t>
            </w:r>
          </w:p>
        </w:tc>
      </w:tr>
      <w:tr w:rsidR="0053433B" w:rsidRPr="00101D0A" w14:paraId="1B82A79E" w14:textId="3382A8AF" w:rsidTr="0053433B">
        <w:tc>
          <w:tcPr>
            <w:cnfStyle w:val="001000000000" w:firstRow="0" w:lastRow="0" w:firstColumn="1" w:lastColumn="0" w:oddVBand="0" w:evenVBand="0" w:oddHBand="0" w:evenHBand="0" w:firstRowFirstColumn="0" w:firstRowLastColumn="0" w:lastRowFirstColumn="0" w:lastRowLastColumn="0"/>
            <w:tcW w:w="3686" w:type="dxa"/>
            <w:shd w:val="clear" w:color="auto" w:fill="C6D9F1" w:themeFill="text2" w:themeFillTint="33"/>
          </w:tcPr>
          <w:p w14:paraId="0F70FCFE" w14:textId="77777777" w:rsidR="00211920" w:rsidRPr="009C11B1" w:rsidRDefault="00211920" w:rsidP="006C63A1">
            <w:pPr>
              <w:pStyle w:val="TableHeadingsColumn"/>
              <w:spacing w:beforeLines="0" w:afterLines="0"/>
              <w:ind w:left="181" w:hanging="181"/>
            </w:pPr>
            <w:r>
              <w:t>8.</w:t>
            </w:r>
            <w:r w:rsidRPr="009C11B1">
              <w:t xml:space="preserve">Climate </w:t>
            </w:r>
            <w:r>
              <w:t>C</w:t>
            </w:r>
            <w:r w:rsidRPr="009C11B1">
              <w:t xml:space="preserve">hange and the </w:t>
            </w:r>
            <w:r>
              <w:t>P</w:t>
            </w:r>
            <w:r w:rsidRPr="009C11B1">
              <w:t xml:space="preserve">ublic </w:t>
            </w:r>
            <w:r>
              <w:t>S</w:t>
            </w:r>
            <w:r w:rsidRPr="009C11B1">
              <w:t>phere</w:t>
            </w:r>
          </w:p>
        </w:tc>
        <w:tc>
          <w:tcPr>
            <w:tcW w:w="2551" w:type="dxa"/>
            <w:shd w:val="clear" w:color="auto" w:fill="C6D9F1" w:themeFill="text2" w:themeFillTint="33"/>
          </w:tcPr>
          <w:p w14:paraId="7CA668D9"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13</w:t>
            </w:r>
            <w:r w:rsidRPr="001633C2">
              <w:tab/>
              <w:t>CCPS</w:t>
            </w:r>
          </w:p>
        </w:tc>
        <w:tc>
          <w:tcPr>
            <w:tcW w:w="1418" w:type="dxa"/>
            <w:shd w:val="clear" w:color="auto" w:fill="C6D9F1" w:themeFill="text2" w:themeFillTint="33"/>
          </w:tcPr>
          <w:p w14:paraId="17113F1A" w14:textId="504C463F"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34</w:t>
            </w:r>
          </w:p>
        </w:tc>
        <w:tc>
          <w:tcPr>
            <w:tcW w:w="1984" w:type="dxa"/>
            <w:shd w:val="clear" w:color="auto" w:fill="C6D9F1" w:themeFill="text2" w:themeFillTint="33"/>
          </w:tcPr>
          <w:p w14:paraId="368E1EF0" w14:textId="11C6F3E8"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34</w:t>
            </w:r>
          </w:p>
        </w:tc>
      </w:tr>
      <w:tr w:rsidR="0053433B" w:rsidRPr="00101D0A" w14:paraId="39EB884C" w14:textId="17BF4E34" w:rsidTr="0053433B">
        <w:trPr>
          <w:trHeight w:val="386"/>
        </w:trPr>
        <w:tc>
          <w:tcPr>
            <w:cnfStyle w:val="001000000000" w:firstRow="0" w:lastRow="0" w:firstColumn="1" w:lastColumn="0" w:oddVBand="0" w:evenVBand="0" w:oddHBand="0" w:evenHBand="0" w:firstRowFirstColumn="0" w:firstRowLastColumn="0" w:lastRowFirstColumn="0" w:lastRowLastColumn="0"/>
            <w:tcW w:w="3686" w:type="dxa"/>
            <w:vMerge w:val="restart"/>
          </w:tcPr>
          <w:p w14:paraId="7E651D1B" w14:textId="77777777" w:rsidR="00211920" w:rsidRPr="009C11B1" w:rsidRDefault="00211920" w:rsidP="006C63A1">
            <w:pPr>
              <w:pStyle w:val="TableHeadingsColumn"/>
              <w:spacing w:beforeLines="0" w:afterLines="0"/>
              <w:ind w:left="181" w:hanging="181"/>
            </w:pPr>
            <w:r>
              <w:t>9.</w:t>
            </w:r>
            <w:r w:rsidRPr="009C11B1">
              <w:t>Energy Futures Study</w:t>
            </w:r>
          </w:p>
        </w:tc>
        <w:tc>
          <w:tcPr>
            <w:tcW w:w="2551" w:type="dxa"/>
          </w:tcPr>
          <w:p w14:paraId="081A844E"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14</w:t>
            </w:r>
            <w:r w:rsidRPr="001633C2">
              <w:tab/>
              <w:t>WA</w:t>
            </w:r>
          </w:p>
        </w:tc>
        <w:tc>
          <w:tcPr>
            <w:tcW w:w="1418" w:type="dxa"/>
          </w:tcPr>
          <w:p w14:paraId="7C526299" w14:textId="13A3BB9C"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22</w:t>
            </w:r>
          </w:p>
        </w:tc>
        <w:tc>
          <w:tcPr>
            <w:tcW w:w="1984" w:type="dxa"/>
          </w:tcPr>
          <w:p w14:paraId="2127E095" w14:textId="22894893"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23</w:t>
            </w:r>
          </w:p>
        </w:tc>
      </w:tr>
      <w:tr w:rsidR="0053433B" w:rsidRPr="00101D0A" w14:paraId="564C04C7" w14:textId="24EEE27D" w:rsidTr="0053433B">
        <w:trPr>
          <w:trHeight w:val="385"/>
        </w:trPr>
        <w:tc>
          <w:tcPr>
            <w:cnfStyle w:val="001000000000" w:firstRow="0" w:lastRow="0" w:firstColumn="1" w:lastColumn="0" w:oddVBand="0" w:evenVBand="0" w:oddHBand="0" w:evenHBand="0" w:firstRowFirstColumn="0" w:firstRowLastColumn="0" w:lastRowFirstColumn="0" w:lastRowLastColumn="0"/>
            <w:tcW w:w="3686" w:type="dxa"/>
            <w:vMerge/>
          </w:tcPr>
          <w:p w14:paraId="1BD8AD65" w14:textId="77777777" w:rsidR="00211920" w:rsidRPr="009C11B1" w:rsidRDefault="00211920" w:rsidP="006C63A1">
            <w:pPr>
              <w:pStyle w:val="TableHeadingsColumn"/>
              <w:spacing w:beforeLines="0" w:afterLines="0"/>
              <w:ind w:left="181" w:hanging="181"/>
            </w:pPr>
          </w:p>
        </w:tc>
        <w:tc>
          <w:tcPr>
            <w:tcW w:w="2551" w:type="dxa"/>
          </w:tcPr>
          <w:p w14:paraId="6280B0BD"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15</w:t>
            </w:r>
            <w:r w:rsidRPr="001633C2">
              <w:tab/>
              <w:t>NSW</w:t>
            </w:r>
          </w:p>
        </w:tc>
        <w:tc>
          <w:tcPr>
            <w:tcW w:w="1418" w:type="dxa"/>
          </w:tcPr>
          <w:p w14:paraId="7E093393" w14:textId="435DF75C"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14</w:t>
            </w:r>
          </w:p>
        </w:tc>
        <w:tc>
          <w:tcPr>
            <w:tcW w:w="1984" w:type="dxa"/>
          </w:tcPr>
          <w:p w14:paraId="7B73A295" w14:textId="525BD53D"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18</w:t>
            </w:r>
          </w:p>
        </w:tc>
      </w:tr>
      <w:tr w:rsidR="0053433B" w:rsidRPr="00101D0A" w14:paraId="3B8B3A5E" w14:textId="64BB9574" w:rsidTr="0053433B">
        <w:trPr>
          <w:trHeight w:val="385"/>
        </w:trPr>
        <w:tc>
          <w:tcPr>
            <w:cnfStyle w:val="001000000000" w:firstRow="0" w:lastRow="0" w:firstColumn="1" w:lastColumn="0" w:oddVBand="0" w:evenVBand="0" w:oddHBand="0" w:evenHBand="0" w:firstRowFirstColumn="0" w:firstRowLastColumn="0" w:lastRowFirstColumn="0" w:lastRowLastColumn="0"/>
            <w:tcW w:w="3686" w:type="dxa"/>
            <w:vMerge/>
          </w:tcPr>
          <w:p w14:paraId="3D6036D6" w14:textId="77777777" w:rsidR="00211920" w:rsidRPr="009C11B1" w:rsidRDefault="00211920" w:rsidP="006C63A1">
            <w:pPr>
              <w:pStyle w:val="TableHeadingsColumn"/>
              <w:spacing w:beforeLines="0" w:afterLines="0"/>
              <w:ind w:left="181" w:hanging="181"/>
            </w:pPr>
          </w:p>
        </w:tc>
        <w:tc>
          <w:tcPr>
            <w:tcW w:w="2551" w:type="dxa"/>
          </w:tcPr>
          <w:p w14:paraId="2F2482D7"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16</w:t>
            </w:r>
            <w:r w:rsidRPr="001633C2">
              <w:tab/>
              <w:t>Vic</w:t>
            </w:r>
          </w:p>
        </w:tc>
        <w:tc>
          <w:tcPr>
            <w:tcW w:w="1418" w:type="dxa"/>
          </w:tcPr>
          <w:p w14:paraId="26BC3671" w14:textId="0FB66781"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16</w:t>
            </w:r>
          </w:p>
        </w:tc>
        <w:tc>
          <w:tcPr>
            <w:tcW w:w="1984" w:type="dxa"/>
          </w:tcPr>
          <w:p w14:paraId="0B615E7B" w14:textId="7523817E"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19</w:t>
            </w:r>
          </w:p>
        </w:tc>
      </w:tr>
      <w:tr w:rsidR="0053433B" w:rsidRPr="00101D0A" w14:paraId="6B73B945" w14:textId="488F688F" w:rsidTr="0053433B">
        <w:tc>
          <w:tcPr>
            <w:cnfStyle w:val="001000000000" w:firstRow="0" w:lastRow="0" w:firstColumn="1" w:lastColumn="0" w:oddVBand="0" w:evenVBand="0" w:oddHBand="0" w:evenHBand="0" w:firstRowFirstColumn="0" w:firstRowLastColumn="0" w:lastRowFirstColumn="0" w:lastRowLastColumn="0"/>
            <w:tcW w:w="3686" w:type="dxa"/>
            <w:shd w:val="clear" w:color="auto" w:fill="C6D9F1" w:themeFill="text2" w:themeFillTint="33"/>
          </w:tcPr>
          <w:p w14:paraId="674AF9E5" w14:textId="77777777" w:rsidR="00211920" w:rsidRPr="009C11B1" w:rsidRDefault="00211920" w:rsidP="006C63A1">
            <w:pPr>
              <w:pStyle w:val="TableHeadingsColumn"/>
              <w:spacing w:beforeLines="0" w:afterLines="0"/>
              <w:ind w:left="181" w:hanging="181"/>
            </w:pPr>
            <w:r>
              <w:t>10.</w:t>
            </w:r>
            <w:r w:rsidRPr="009C11B1">
              <w:t>Valsamoggia Council Amalgamation</w:t>
            </w:r>
          </w:p>
        </w:tc>
        <w:tc>
          <w:tcPr>
            <w:tcW w:w="2551" w:type="dxa"/>
            <w:shd w:val="clear" w:color="auto" w:fill="C6D9F1" w:themeFill="text2" w:themeFillTint="33"/>
          </w:tcPr>
          <w:p w14:paraId="4261A68D"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17</w:t>
            </w:r>
            <w:r w:rsidRPr="001633C2">
              <w:tab/>
              <w:t>Valsamoggia</w:t>
            </w:r>
          </w:p>
        </w:tc>
        <w:tc>
          <w:tcPr>
            <w:tcW w:w="1418" w:type="dxa"/>
            <w:shd w:val="clear" w:color="auto" w:fill="C6D9F1" w:themeFill="text2" w:themeFillTint="33"/>
          </w:tcPr>
          <w:p w14:paraId="373F3954" w14:textId="7EF1BF7E"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16</w:t>
            </w:r>
          </w:p>
        </w:tc>
        <w:tc>
          <w:tcPr>
            <w:tcW w:w="1984" w:type="dxa"/>
            <w:shd w:val="clear" w:color="auto" w:fill="C6D9F1" w:themeFill="text2" w:themeFillTint="33"/>
          </w:tcPr>
          <w:p w14:paraId="40AB07FF" w14:textId="0FDB4608"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16</w:t>
            </w:r>
          </w:p>
        </w:tc>
      </w:tr>
      <w:tr w:rsidR="0053433B" w:rsidRPr="00101D0A" w14:paraId="2723A7CD" w14:textId="6257C588" w:rsidTr="0053433B">
        <w:tc>
          <w:tcPr>
            <w:cnfStyle w:val="001000000000" w:firstRow="0" w:lastRow="0" w:firstColumn="1" w:lastColumn="0" w:oddVBand="0" w:evenVBand="0" w:oddHBand="0" w:evenHBand="0" w:firstRowFirstColumn="0" w:firstRowLastColumn="0" w:lastRowFirstColumn="0" w:lastRowLastColumn="0"/>
            <w:tcW w:w="3686" w:type="dxa"/>
          </w:tcPr>
          <w:p w14:paraId="51977677" w14:textId="77777777" w:rsidR="00211920" w:rsidRPr="009C11B1" w:rsidRDefault="00211920" w:rsidP="006C63A1">
            <w:pPr>
              <w:pStyle w:val="TableHeadingsColumn"/>
              <w:spacing w:beforeLines="0" w:afterLines="0"/>
              <w:ind w:left="181" w:hanging="181"/>
            </w:pPr>
            <w:r>
              <w:t>11.</w:t>
            </w:r>
            <w:r w:rsidRPr="009C11B1">
              <w:t>Great Barrier Reef Futures</w:t>
            </w:r>
          </w:p>
        </w:tc>
        <w:tc>
          <w:tcPr>
            <w:tcW w:w="2551" w:type="dxa"/>
          </w:tcPr>
          <w:p w14:paraId="3AA88A5F" w14:textId="49990B3D"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18</w:t>
            </w:r>
            <w:r w:rsidRPr="001633C2">
              <w:tab/>
              <w:t>GBR</w:t>
            </w:r>
            <w:r w:rsidR="00F76768">
              <w:t xml:space="preserve"> Futures</w:t>
            </w:r>
          </w:p>
        </w:tc>
        <w:tc>
          <w:tcPr>
            <w:tcW w:w="1418" w:type="dxa"/>
          </w:tcPr>
          <w:p w14:paraId="6ED141DD" w14:textId="1F1A1958"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7</w:t>
            </w:r>
          </w:p>
        </w:tc>
        <w:tc>
          <w:tcPr>
            <w:tcW w:w="1984" w:type="dxa"/>
          </w:tcPr>
          <w:p w14:paraId="5C41DA1B" w14:textId="24533744" w:rsidR="00211920" w:rsidRPr="009C11B1"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t>7</w:t>
            </w:r>
          </w:p>
        </w:tc>
      </w:tr>
      <w:tr w:rsidR="0053433B" w:rsidRPr="00101D0A" w14:paraId="501BAFCB" w14:textId="391A6658" w:rsidTr="0053433B">
        <w:trPr>
          <w:trHeight w:val="307"/>
        </w:trPr>
        <w:tc>
          <w:tcPr>
            <w:cnfStyle w:val="001000000000" w:firstRow="0" w:lastRow="0" w:firstColumn="1" w:lastColumn="0" w:oddVBand="0" w:evenVBand="0" w:oddHBand="0" w:evenHBand="0" w:firstRowFirstColumn="0" w:firstRowLastColumn="0" w:lastRowFirstColumn="0" w:lastRowLastColumn="0"/>
            <w:tcW w:w="3686" w:type="dxa"/>
            <w:vMerge w:val="restart"/>
            <w:shd w:val="clear" w:color="auto" w:fill="C6D9F1" w:themeFill="text2" w:themeFillTint="33"/>
          </w:tcPr>
          <w:p w14:paraId="1DE9238A" w14:textId="7DF1872C" w:rsidR="00211920" w:rsidRPr="009C11B1" w:rsidRDefault="00211920" w:rsidP="006C63A1">
            <w:pPr>
              <w:pStyle w:val="TableHeadingsColumn"/>
              <w:spacing w:beforeLines="0" w:afterLines="0"/>
              <w:ind w:left="181" w:hanging="181"/>
            </w:pPr>
            <w:r>
              <w:t>12.</w:t>
            </w:r>
            <w:r w:rsidR="006A75FE">
              <w:t xml:space="preserve"> </w:t>
            </w:r>
            <w:r w:rsidRPr="009C11B1">
              <w:t>Human Genome Editing CJ</w:t>
            </w:r>
          </w:p>
        </w:tc>
        <w:tc>
          <w:tcPr>
            <w:tcW w:w="2551" w:type="dxa"/>
            <w:shd w:val="clear" w:color="auto" w:fill="auto"/>
          </w:tcPr>
          <w:p w14:paraId="1405243A" w14:textId="77777777" w:rsidR="00211920" w:rsidRPr="0053433B"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rPr>
                <w:i/>
                <w:iCs/>
                <w:color w:val="548DD4" w:themeColor="text2" w:themeTint="99"/>
              </w:rPr>
            </w:pPr>
            <w:r w:rsidRPr="0053433B">
              <w:rPr>
                <w:i/>
                <w:iCs/>
                <w:color w:val="548DD4" w:themeColor="text2" w:themeTint="99"/>
              </w:rPr>
              <w:t>0</w:t>
            </w:r>
            <w:r w:rsidRPr="002F7CF0">
              <w:rPr>
                <w:i/>
                <w:iCs/>
                <w:color w:val="548DD4" w:themeColor="text2" w:themeTint="99"/>
                <w:vertAlign w:val="subscript"/>
              </w:rPr>
              <w:t>19</w:t>
            </w:r>
            <w:r w:rsidRPr="0053433B">
              <w:rPr>
                <w:i/>
                <w:iCs/>
                <w:color w:val="548DD4" w:themeColor="text2" w:themeTint="99"/>
              </w:rPr>
              <w:tab/>
              <w:t>AusCJ Control</w:t>
            </w:r>
            <w:r w:rsidRPr="0053433B" w:rsidDel="001F7C74">
              <w:rPr>
                <w:i/>
                <w:iCs/>
                <w:color w:val="548DD4" w:themeColor="text2" w:themeTint="99"/>
              </w:rPr>
              <w:t xml:space="preserve"> </w:t>
            </w:r>
          </w:p>
        </w:tc>
        <w:tc>
          <w:tcPr>
            <w:tcW w:w="1418" w:type="dxa"/>
            <w:shd w:val="clear" w:color="auto" w:fill="auto"/>
          </w:tcPr>
          <w:p w14:paraId="244B764D" w14:textId="77777777" w:rsidR="00211920" w:rsidRPr="0053433B"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rPr>
                <w:i/>
                <w:iCs/>
                <w:color w:val="548DD4" w:themeColor="text2" w:themeTint="99"/>
              </w:rPr>
            </w:pPr>
            <w:r w:rsidRPr="0053433B">
              <w:rPr>
                <w:i/>
                <w:iCs/>
                <w:color w:val="548DD4" w:themeColor="text2" w:themeTint="99"/>
              </w:rPr>
              <w:t>19</w:t>
            </w:r>
          </w:p>
        </w:tc>
        <w:tc>
          <w:tcPr>
            <w:tcW w:w="1984" w:type="dxa"/>
            <w:shd w:val="clear" w:color="auto" w:fill="auto"/>
          </w:tcPr>
          <w:p w14:paraId="44D50A65" w14:textId="255A5A5C" w:rsidR="00211920" w:rsidRPr="0053433B" w:rsidRDefault="00DB62CD"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rPr>
                <w:i/>
                <w:iCs/>
                <w:color w:val="548DD4" w:themeColor="text2" w:themeTint="99"/>
              </w:rPr>
            </w:pPr>
            <w:r w:rsidRPr="0053433B">
              <w:rPr>
                <w:i/>
                <w:iCs/>
                <w:color w:val="548DD4" w:themeColor="text2" w:themeTint="99"/>
              </w:rPr>
              <w:t>19</w:t>
            </w:r>
          </w:p>
        </w:tc>
      </w:tr>
      <w:tr w:rsidR="0053433B" w:rsidRPr="00101D0A" w14:paraId="708AC1DD" w14:textId="2E315659" w:rsidTr="0053433B">
        <w:trPr>
          <w:trHeight w:val="165"/>
        </w:trPr>
        <w:tc>
          <w:tcPr>
            <w:cnfStyle w:val="001000000000" w:firstRow="0" w:lastRow="0" w:firstColumn="1" w:lastColumn="0" w:oddVBand="0" w:evenVBand="0" w:oddHBand="0" w:evenHBand="0" w:firstRowFirstColumn="0" w:firstRowLastColumn="0" w:lastRowFirstColumn="0" w:lastRowLastColumn="0"/>
            <w:tcW w:w="3686" w:type="dxa"/>
            <w:vMerge/>
            <w:shd w:val="clear" w:color="auto" w:fill="C6D9F1" w:themeFill="text2" w:themeFillTint="33"/>
          </w:tcPr>
          <w:p w14:paraId="5133F150" w14:textId="77777777" w:rsidR="00211920" w:rsidRPr="00101D0A" w:rsidRDefault="00211920" w:rsidP="00F62099">
            <w:pPr>
              <w:spacing w:before="144" w:after="144"/>
            </w:pPr>
          </w:p>
        </w:tc>
        <w:tc>
          <w:tcPr>
            <w:tcW w:w="2551" w:type="dxa"/>
            <w:shd w:val="clear" w:color="auto" w:fill="C6D9F1" w:themeFill="text2" w:themeFillTint="33"/>
          </w:tcPr>
          <w:p w14:paraId="50BD597C" w14:textId="77777777" w:rsidR="00211920" w:rsidRPr="001633C2" w:rsidRDefault="00211920" w:rsidP="002F7CF0">
            <w:pPr>
              <w:pStyle w:val="Tabletext0"/>
              <w:spacing w:after="24"/>
              <w:ind w:left="594" w:hanging="594"/>
              <w:cnfStyle w:val="000000000000" w:firstRow="0" w:lastRow="0" w:firstColumn="0" w:lastColumn="0" w:oddVBand="0" w:evenVBand="0" w:oddHBand="0" w:evenHBand="0" w:firstRowFirstColumn="0" w:firstRowLastColumn="0" w:lastRowFirstColumn="0" w:lastRowLastColumn="0"/>
            </w:pPr>
            <w:r w:rsidRPr="001633C2">
              <w:t>19</w:t>
            </w:r>
            <w:r w:rsidRPr="001633C2">
              <w:tab/>
              <w:t>AusCJ</w:t>
            </w:r>
          </w:p>
        </w:tc>
        <w:tc>
          <w:tcPr>
            <w:tcW w:w="1418" w:type="dxa"/>
            <w:shd w:val="clear" w:color="auto" w:fill="C6D9F1" w:themeFill="text2" w:themeFillTint="33"/>
          </w:tcPr>
          <w:p w14:paraId="0B1ED892" w14:textId="02411740" w:rsidR="00211920" w:rsidRPr="009C11B1" w:rsidRDefault="00211920" w:rsidP="00FB385C">
            <w:pPr>
              <w:pStyle w:val="Tabledata"/>
              <w:spacing w:after="24"/>
              <w:jc w:val="center"/>
              <w:cnfStyle w:val="000000000000" w:firstRow="0" w:lastRow="0" w:firstColumn="0" w:lastColumn="0" w:oddVBand="0" w:evenVBand="0" w:oddHBand="0" w:evenHBand="0" w:firstRowFirstColumn="0" w:firstRowLastColumn="0" w:lastRowFirstColumn="0" w:lastRowLastColumn="0"/>
            </w:pPr>
            <w:r w:rsidRPr="009C11B1">
              <w:t>17</w:t>
            </w:r>
          </w:p>
        </w:tc>
        <w:tc>
          <w:tcPr>
            <w:tcW w:w="1984" w:type="dxa"/>
            <w:shd w:val="clear" w:color="auto" w:fill="C6D9F1" w:themeFill="text2" w:themeFillTint="33"/>
          </w:tcPr>
          <w:p w14:paraId="35CA70A5" w14:textId="4E87CE4C" w:rsidR="00795E03" w:rsidRPr="009C11B1" w:rsidRDefault="00795E03" w:rsidP="00795E03">
            <w:pPr>
              <w:pStyle w:val="Tabledata"/>
              <w:spacing w:after="24"/>
              <w:jc w:val="center"/>
              <w:cnfStyle w:val="000000000000" w:firstRow="0" w:lastRow="0" w:firstColumn="0" w:lastColumn="0" w:oddVBand="0" w:evenVBand="0" w:oddHBand="0" w:evenHBand="0" w:firstRowFirstColumn="0" w:firstRowLastColumn="0" w:lastRowFirstColumn="0" w:lastRowLastColumn="0"/>
            </w:pPr>
            <w:r>
              <w:t>23</w:t>
            </w:r>
          </w:p>
        </w:tc>
      </w:tr>
      <w:tr w:rsidR="003424BA" w:rsidRPr="00101D0A" w14:paraId="63E1604D" w14:textId="77777777" w:rsidTr="0053433B">
        <w:trPr>
          <w:cnfStyle w:val="010000000000" w:firstRow="0" w:lastRow="1"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686" w:type="dxa"/>
          </w:tcPr>
          <w:p w14:paraId="7E6300BC" w14:textId="57D552D5" w:rsidR="00FB385C" w:rsidRPr="00101D0A" w:rsidRDefault="003424BA" w:rsidP="003424BA">
            <w:pPr>
              <w:pStyle w:val="Tabletext0"/>
              <w:spacing w:before="144" w:after="144"/>
              <w:ind w:left="310" w:right="-103" w:hanging="425"/>
            </w:pPr>
            <w:r>
              <w:t xml:space="preserve">Total </w:t>
            </w:r>
          </w:p>
        </w:tc>
        <w:tc>
          <w:tcPr>
            <w:tcW w:w="2551" w:type="dxa"/>
          </w:tcPr>
          <w:p w14:paraId="37201F50" w14:textId="57386FC5" w:rsidR="00FB385C" w:rsidRPr="00101D0A" w:rsidRDefault="00AE137E" w:rsidP="00883BB0">
            <w:pPr>
              <w:pStyle w:val="Tabletext0"/>
              <w:spacing w:after="24"/>
              <w:ind w:left="-115" w:right="-103"/>
              <w:cnfStyle w:val="010000000000" w:firstRow="0" w:lastRow="1" w:firstColumn="0" w:lastColumn="0" w:oddVBand="0" w:evenVBand="0" w:oddHBand="0" w:evenHBand="0" w:firstRowFirstColumn="0" w:firstRowLastColumn="0" w:lastRowFirstColumn="0" w:lastRowLastColumn="0"/>
            </w:pPr>
            <w:r>
              <w:t>(</w:t>
            </w:r>
            <w:r w:rsidR="00005315">
              <w:t>Excluding</w:t>
            </w:r>
            <w:r w:rsidR="003B5A3E">
              <w:t xml:space="preserve"> </w:t>
            </w:r>
            <w:r>
              <w:t>Control Groups)</w:t>
            </w:r>
          </w:p>
        </w:tc>
        <w:tc>
          <w:tcPr>
            <w:tcW w:w="1418" w:type="dxa"/>
          </w:tcPr>
          <w:p w14:paraId="665E1302" w14:textId="576BC46D" w:rsidR="00FB385C" w:rsidRPr="009C11B1" w:rsidRDefault="00883BB0" w:rsidP="00FB385C">
            <w:pPr>
              <w:pStyle w:val="Tabledata"/>
              <w:spacing w:after="24"/>
              <w:jc w:val="center"/>
              <w:cnfStyle w:val="010000000000" w:firstRow="0" w:lastRow="1" w:firstColumn="0" w:lastColumn="0" w:oddVBand="0" w:evenVBand="0" w:oddHBand="0" w:evenHBand="0" w:firstRowFirstColumn="0" w:firstRowLastColumn="0" w:lastRowFirstColumn="0" w:lastRowLastColumn="0"/>
            </w:pPr>
            <w:r>
              <w:t>387</w:t>
            </w:r>
          </w:p>
        </w:tc>
        <w:tc>
          <w:tcPr>
            <w:tcW w:w="1984" w:type="dxa"/>
          </w:tcPr>
          <w:p w14:paraId="420C107D" w14:textId="1F7B8BD6" w:rsidR="00FB385C" w:rsidRPr="009C11B1" w:rsidRDefault="00883BB0" w:rsidP="00FB385C">
            <w:pPr>
              <w:pStyle w:val="Tabledata"/>
              <w:spacing w:after="24"/>
              <w:jc w:val="center"/>
              <w:cnfStyle w:val="010000000000" w:firstRow="0" w:lastRow="1" w:firstColumn="0" w:lastColumn="0" w:oddVBand="0" w:evenVBand="0" w:oddHBand="0" w:evenHBand="0" w:firstRowFirstColumn="0" w:firstRowLastColumn="0" w:lastRowFirstColumn="0" w:lastRowLastColumn="0"/>
            </w:pPr>
            <w:r>
              <w:t>72</w:t>
            </w:r>
            <w:r w:rsidR="00553F47">
              <w:t>2</w:t>
            </w:r>
          </w:p>
        </w:tc>
      </w:tr>
    </w:tbl>
    <w:p w14:paraId="4DF8F366" w14:textId="5AD302FC" w:rsidR="00100477" w:rsidRPr="00005315" w:rsidRDefault="00400370" w:rsidP="00005315">
      <w:pPr>
        <w:pStyle w:val="TableFooter"/>
        <w:rPr>
          <w:rFonts w:eastAsia="Calibri"/>
        </w:rPr>
      </w:pPr>
      <w:r w:rsidRPr="00005315">
        <w:t>Note: †</w:t>
      </w:r>
      <w:r w:rsidRPr="00005315">
        <w:rPr>
          <w:rStyle w:val="Emphasis"/>
          <w:rFonts w:eastAsia="Times"/>
          <w:i w:val="0"/>
          <w:iCs w:val="0"/>
        </w:rPr>
        <w:t xml:space="preserve"> n</w:t>
      </w:r>
      <w:r w:rsidRPr="00005315">
        <w:t xml:space="preserve"> = number of participants included in analysis; </w:t>
      </w:r>
      <w:r w:rsidR="0002255D" w:rsidRPr="00005315">
        <w:t xml:space="preserve">‡ N = </w:t>
      </w:r>
      <w:r w:rsidRPr="00005315">
        <w:t>number of forum participants.</w:t>
      </w:r>
    </w:p>
    <w:p w14:paraId="32446630" w14:textId="7BBC7405" w:rsidR="00623A8D" w:rsidRPr="009C11B1" w:rsidRDefault="00A570F5" w:rsidP="00623A8D">
      <w:pPr>
        <w:pStyle w:val="Caption"/>
      </w:pPr>
      <w:bookmarkStart w:id="6" w:name="_Ref76598617"/>
      <w:bookmarkStart w:id="7" w:name="_Ref76598613"/>
      <w:r>
        <w:lastRenderedPageBreak/>
        <w:t xml:space="preserve">Table </w:t>
      </w:r>
      <w:r>
        <w:fldChar w:fldCharType="begin"/>
      </w:r>
      <w:r>
        <w:instrText>STYLEREF 2 \s</w:instrText>
      </w:r>
      <w:r>
        <w:fldChar w:fldCharType="separate"/>
      </w:r>
      <w:r w:rsidR="005F623F">
        <w:rPr>
          <w:noProof/>
        </w:rPr>
        <w:t>A.1</w:t>
      </w:r>
      <w:r>
        <w:fldChar w:fldCharType="end"/>
      </w:r>
      <w:r w:rsidR="005F623F">
        <w:t>.</w:t>
      </w:r>
      <w:r>
        <w:fldChar w:fldCharType="begin"/>
      </w:r>
      <w:r>
        <w:instrText>SEQ Table \* ARABIC \s 2</w:instrText>
      </w:r>
      <w:r>
        <w:fldChar w:fldCharType="separate"/>
      </w:r>
      <w:r w:rsidR="005F623F">
        <w:rPr>
          <w:noProof/>
        </w:rPr>
        <w:t>2</w:t>
      </w:r>
      <w:r>
        <w:fldChar w:fldCharType="end"/>
      </w:r>
      <w:bookmarkEnd w:id="6"/>
      <w:r w:rsidR="00770A06">
        <w:t>:</w:t>
      </w:r>
      <w:r w:rsidR="00623A8D" w:rsidRPr="009C11B1">
        <w:t xml:space="preserve"> Stud</w:t>
      </w:r>
      <w:bookmarkEnd w:id="7"/>
      <w:r w:rsidR="000475A5">
        <w:t>y Information</w:t>
      </w:r>
    </w:p>
    <w:tbl>
      <w:tblPr>
        <w:tblStyle w:val="APSROnlineAppendix"/>
        <w:tblW w:w="9781" w:type="dxa"/>
        <w:tblLayout w:type="fixed"/>
        <w:tblLook w:val="04A0" w:firstRow="1" w:lastRow="0" w:firstColumn="1" w:lastColumn="0" w:noHBand="0" w:noVBand="1"/>
      </w:tblPr>
      <w:tblGrid>
        <w:gridCol w:w="2552"/>
        <w:gridCol w:w="2835"/>
        <w:gridCol w:w="1843"/>
        <w:gridCol w:w="708"/>
        <w:gridCol w:w="1843"/>
      </w:tblGrid>
      <w:tr w:rsidR="00A54BC1" w:rsidRPr="00CE6BF3" w14:paraId="0ABB3236" w14:textId="46AA1E40" w:rsidTr="00221E23">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52" w:type="dxa"/>
          </w:tcPr>
          <w:p w14:paraId="05110AAB" w14:textId="531D4941" w:rsidR="00400370" w:rsidRPr="00CE6BF3" w:rsidRDefault="00400370" w:rsidP="00CE6BF3">
            <w:pPr>
              <w:pStyle w:val="TableHeader1"/>
              <w:spacing w:before="144" w:after="24"/>
            </w:pPr>
            <w:r w:rsidRPr="00CE6BF3">
              <w:t>Study</w:t>
            </w:r>
          </w:p>
        </w:tc>
        <w:tc>
          <w:tcPr>
            <w:tcW w:w="2835" w:type="dxa"/>
          </w:tcPr>
          <w:p w14:paraId="6BA5AECA" w14:textId="1F6AFAA1" w:rsidR="00400370" w:rsidRPr="00CE6BF3" w:rsidRDefault="00400370" w:rsidP="00CE6BF3">
            <w:pPr>
              <w:pStyle w:val="TableHeader1"/>
              <w:spacing w:after="24" w:line="240" w:lineRule="auto"/>
              <w:cnfStyle w:val="100000000000" w:firstRow="1" w:lastRow="0" w:firstColumn="0" w:lastColumn="0" w:oddVBand="0" w:evenVBand="0" w:oddHBand="0" w:evenHBand="0" w:firstRowFirstColumn="0" w:firstRowLastColumn="0" w:lastRowFirstColumn="0" w:lastRowLastColumn="0"/>
              <w:rPr>
                <w:szCs w:val="20"/>
              </w:rPr>
            </w:pPr>
            <w:r w:rsidRPr="00CE6BF3">
              <w:rPr>
                <w:szCs w:val="20"/>
              </w:rPr>
              <w:t>Description</w:t>
            </w:r>
          </w:p>
        </w:tc>
        <w:tc>
          <w:tcPr>
            <w:tcW w:w="1843" w:type="dxa"/>
          </w:tcPr>
          <w:p w14:paraId="0C573574" w14:textId="0AA6D60C" w:rsidR="00400370" w:rsidRPr="00CE6BF3" w:rsidRDefault="00400370" w:rsidP="00CE6BF3">
            <w:pPr>
              <w:pStyle w:val="TableHeader1"/>
              <w:spacing w:after="24"/>
              <w:cnfStyle w:val="100000000000" w:firstRow="1" w:lastRow="0" w:firstColumn="0" w:lastColumn="0" w:oddVBand="0" w:evenVBand="0" w:oddHBand="0" w:evenHBand="0" w:firstRowFirstColumn="0" w:firstRowLastColumn="0" w:lastRowFirstColumn="0" w:lastRowLastColumn="0"/>
            </w:pPr>
            <w:r w:rsidRPr="00CE6BF3">
              <w:t>Participedia Link</w:t>
            </w:r>
          </w:p>
        </w:tc>
        <w:tc>
          <w:tcPr>
            <w:tcW w:w="708" w:type="dxa"/>
          </w:tcPr>
          <w:p w14:paraId="08AA5CEA" w14:textId="77777777" w:rsidR="00400370" w:rsidRPr="00CE6BF3" w:rsidRDefault="00400370" w:rsidP="00CE6BF3">
            <w:pPr>
              <w:pStyle w:val="TableHeader1"/>
              <w:spacing w:after="24"/>
              <w:cnfStyle w:val="100000000000" w:firstRow="1" w:lastRow="0" w:firstColumn="0" w:lastColumn="0" w:oddVBand="0" w:evenVBand="0" w:oddHBand="0" w:evenHBand="0" w:firstRowFirstColumn="0" w:firstRowLastColumn="0" w:lastRowFirstColumn="0" w:lastRowLastColumn="0"/>
            </w:pPr>
            <w:r w:rsidRPr="00CE6BF3">
              <w:t>Year</w:t>
            </w:r>
          </w:p>
        </w:tc>
        <w:tc>
          <w:tcPr>
            <w:tcW w:w="1843" w:type="dxa"/>
          </w:tcPr>
          <w:p w14:paraId="33D99EC8" w14:textId="01062779" w:rsidR="00400370" w:rsidRPr="00CE6BF3" w:rsidRDefault="00400370" w:rsidP="00CE6BF3">
            <w:pPr>
              <w:pStyle w:val="TableHeader1"/>
              <w:spacing w:after="24"/>
              <w:cnfStyle w:val="100000000000" w:firstRow="1" w:lastRow="0" w:firstColumn="0" w:lastColumn="0" w:oddVBand="0" w:evenVBand="0" w:oddHBand="0" w:evenHBand="0" w:firstRowFirstColumn="0" w:firstRowLastColumn="0" w:lastRowFirstColumn="0" w:lastRowLastColumn="0"/>
            </w:pPr>
            <w:r w:rsidRPr="00CE6BF3">
              <w:t>References</w:t>
            </w:r>
          </w:p>
        </w:tc>
      </w:tr>
      <w:tr w:rsidR="00400370" w:rsidRPr="00101D0A" w14:paraId="5AF64503" w14:textId="1355E64C" w:rsidTr="00CE6BF3">
        <w:trPr>
          <w:cnfStyle w:val="100000000000" w:firstRow="1" w:lastRow="0" w:firstColumn="0" w:lastColumn="0" w:oddVBand="0" w:evenVBand="0" w:oddHBand="0"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552" w:type="dxa"/>
          </w:tcPr>
          <w:p w14:paraId="4A81F3BE" w14:textId="1B4704AA" w:rsidR="00400370" w:rsidRPr="009C11B1" w:rsidRDefault="00400370" w:rsidP="00CE6BF3">
            <w:pPr>
              <w:pStyle w:val="TableHeadingsColumn"/>
              <w:spacing w:beforeLines="20" w:before="48" w:afterLines="20" w:after="48" w:line="240" w:lineRule="auto"/>
              <w:ind w:left="181" w:hanging="181"/>
            </w:pPr>
            <w:bookmarkStart w:id="8" w:name="Uppsala_Speaks"/>
            <w:r>
              <w:t xml:space="preserve">1. </w:t>
            </w:r>
            <w:r w:rsidRPr="009C11B1">
              <w:t>Uppsala Speaks</w:t>
            </w:r>
            <w:bookmarkEnd w:id="8"/>
          </w:p>
        </w:tc>
        <w:tc>
          <w:tcPr>
            <w:tcW w:w="2835" w:type="dxa"/>
          </w:tcPr>
          <w:p w14:paraId="66DF4927" w14:textId="1BFA95C3"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Three-day minipublic developing recommendations for policies dealing with the influx of internal EU migrants engaging in street begging.</w:t>
            </w:r>
          </w:p>
        </w:tc>
        <w:tc>
          <w:tcPr>
            <w:tcW w:w="1843" w:type="dxa"/>
          </w:tcPr>
          <w:p w14:paraId="35BDCA85" w14:textId="08AAB6AA"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8" w:history="1">
              <w:r w:rsidR="00400370" w:rsidRPr="00924E94">
                <w:rPr>
                  <w:szCs w:val="20"/>
                </w:rPr>
                <w:t>https://participedia.net/case/5923</w:t>
              </w:r>
            </w:hyperlink>
          </w:p>
        </w:tc>
        <w:tc>
          <w:tcPr>
            <w:tcW w:w="708" w:type="dxa"/>
          </w:tcPr>
          <w:p w14:paraId="4D0F31CC"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2016</w:t>
            </w:r>
          </w:p>
        </w:tc>
        <w:tc>
          <w:tcPr>
            <w:tcW w:w="1843" w:type="dxa"/>
          </w:tcPr>
          <w:p w14:paraId="168BF0EC" w14:textId="6424FA5D" w:rsidR="00400370" w:rsidRPr="00CE6BF3"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CE6BF3">
              <w:t>Jennstål (2018; 2019)</w:t>
            </w:r>
          </w:p>
        </w:tc>
      </w:tr>
      <w:tr w:rsidR="005D0AF8" w:rsidRPr="00101D0A" w14:paraId="4F58362B" w14:textId="73BECE5F" w:rsidTr="0022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868DA39" w14:textId="5B3F3D04" w:rsidR="00400370" w:rsidRPr="009C11B1" w:rsidRDefault="00400370" w:rsidP="00CE6BF3">
            <w:pPr>
              <w:pStyle w:val="TableHeadingsColumn"/>
              <w:spacing w:beforeLines="20" w:before="48" w:afterLines="20" w:after="48" w:line="240" w:lineRule="auto"/>
              <w:ind w:left="181" w:hanging="181"/>
            </w:pPr>
            <w:bookmarkStart w:id="9" w:name="FNQCJ"/>
            <w:r>
              <w:t xml:space="preserve">2. </w:t>
            </w:r>
            <w:r w:rsidRPr="009C11B1">
              <w:t>F</w:t>
            </w:r>
            <w:bookmarkEnd w:id="9"/>
            <w:r w:rsidRPr="009C11B1">
              <w:t>ar North Queensland Citizens’ Jury</w:t>
            </w:r>
          </w:p>
        </w:tc>
        <w:tc>
          <w:tcPr>
            <w:tcW w:w="2835" w:type="dxa"/>
          </w:tcPr>
          <w:p w14:paraId="493328F4" w14:textId="1B15BF2A"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Four Day minipublic concerning the future of the Bloomfield Track</w:t>
            </w:r>
          </w:p>
        </w:tc>
        <w:tc>
          <w:tcPr>
            <w:tcW w:w="1843" w:type="dxa"/>
          </w:tcPr>
          <w:p w14:paraId="1385A4A2" w14:textId="4FC9E343" w:rsidR="00400370" w:rsidRPr="002174A7"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pPr>
            <w:hyperlink r:id="rId9" w:history="1">
              <w:r w:rsidR="00400370" w:rsidRPr="005950F4">
                <w:t>https://participedia.net/case/38</w:t>
              </w:r>
            </w:hyperlink>
          </w:p>
        </w:tc>
        <w:tc>
          <w:tcPr>
            <w:tcW w:w="708" w:type="dxa"/>
          </w:tcPr>
          <w:p w14:paraId="090992FA"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2000</w:t>
            </w:r>
          </w:p>
        </w:tc>
        <w:tc>
          <w:tcPr>
            <w:tcW w:w="1843" w:type="dxa"/>
          </w:tcPr>
          <w:p w14:paraId="23F075C0" w14:textId="3521F73E" w:rsidR="00400370" w:rsidRPr="00A570F5"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Niemeyer (2004)</w:t>
            </w:r>
          </w:p>
        </w:tc>
      </w:tr>
      <w:tr w:rsidR="00400370" w:rsidRPr="00101D0A" w14:paraId="3AD7CEB9" w14:textId="445C8BA3" w:rsidTr="00CE6BF3">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552" w:type="dxa"/>
          </w:tcPr>
          <w:p w14:paraId="0622F60D" w14:textId="77777777" w:rsidR="00400370" w:rsidRPr="009C11B1" w:rsidRDefault="00400370" w:rsidP="00CE6BF3">
            <w:pPr>
              <w:pStyle w:val="TableHeadingsColumn"/>
              <w:spacing w:beforeLines="20" w:before="48" w:afterLines="20" w:after="48" w:line="240" w:lineRule="auto"/>
              <w:ind w:left="181" w:hanging="181"/>
            </w:pPr>
            <w:r>
              <w:t xml:space="preserve">3. </w:t>
            </w:r>
            <w:r w:rsidRPr="009C11B1">
              <w:t>Australian Citizens’ Parliament</w:t>
            </w:r>
          </w:p>
        </w:tc>
        <w:tc>
          <w:tcPr>
            <w:tcW w:w="2835" w:type="dxa"/>
          </w:tcPr>
          <w:p w14:paraId="7AF7DA82" w14:textId="2C5360B0"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Three-day minipublic to consider reform to Australia’s political system</w:t>
            </w:r>
          </w:p>
        </w:tc>
        <w:tc>
          <w:tcPr>
            <w:tcW w:w="1843" w:type="dxa"/>
          </w:tcPr>
          <w:p w14:paraId="0210B807" w14:textId="48E783C2"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10" w:history="1">
              <w:r w:rsidR="00400370" w:rsidRPr="005024C1">
                <w:t>https://participedia.net/case/27</w:t>
              </w:r>
            </w:hyperlink>
          </w:p>
        </w:tc>
        <w:tc>
          <w:tcPr>
            <w:tcW w:w="708" w:type="dxa"/>
          </w:tcPr>
          <w:p w14:paraId="5670A787"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2009</w:t>
            </w:r>
          </w:p>
        </w:tc>
        <w:tc>
          <w:tcPr>
            <w:tcW w:w="1843" w:type="dxa"/>
          </w:tcPr>
          <w:p w14:paraId="0C996D27" w14:textId="1EE56919" w:rsidR="00400370" w:rsidRPr="00A570F5"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C76066">
              <w:t>Carson et al. (2013)</w:t>
            </w:r>
            <w:r w:rsidR="00CE09C9" w:rsidRPr="00C76066">
              <w:br/>
            </w:r>
            <w:r w:rsidRPr="00C76066">
              <w:t xml:space="preserve">Hartz-Karp et al. </w:t>
            </w:r>
            <w:r w:rsidRPr="00CE6BF3">
              <w:t>(2010)</w:t>
            </w:r>
          </w:p>
        </w:tc>
      </w:tr>
      <w:tr w:rsidR="005D0AF8" w:rsidRPr="00101D0A" w14:paraId="0CDBD724" w14:textId="61596D8A" w:rsidTr="0022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422502D" w14:textId="7AFB67E8" w:rsidR="00400370" w:rsidRPr="009C11B1" w:rsidRDefault="00400370" w:rsidP="00CE6BF3">
            <w:pPr>
              <w:pStyle w:val="TableHeadingsColumn"/>
              <w:spacing w:beforeLines="20" w:before="48" w:afterLines="20" w:after="48" w:line="240" w:lineRule="auto"/>
              <w:ind w:left="181" w:hanging="181"/>
            </w:pPr>
            <w:r>
              <w:t>4</w:t>
            </w:r>
            <w:r w:rsidR="006C63A1">
              <w:t>.</w:t>
            </w:r>
            <w:r>
              <w:t xml:space="preserve"> </w:t>
            </w:r>
            <w:r w:rsidRPr="009C11B1">
              <w:t>Sydney Climate Change Adaption</w:t>
            </w:r>
          </w:p>
        </w:tc>
        <w:tc>
          <w:tcPr>
            <w:tcW w:w="2835" w:type="dxa"/>
          </w:tcPr>
          <w:p w14:paraId="3A0ED68A" w14:textId="15B0FCC8"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Three and a half day minipublic concerned with climate change adaptation strategies for local government</w:t>
            </w:r>
          </w:p>
        </w:tc>
        <w:tc>
          <w:tcPr>
            <w:tcW w:w="1843" w:type="dxa"/>
          </w:tcPr>
          <w:p w14:paraId="079896FE" w14:textId="514D9DE1"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11" w:history="1">
              <w:r w:rsidR="00400370" w:rsidRPr="005024C1">
                <w:t>https://participedia.net/case/5970</w:t>
              </w:r>
            </w:hyperlink>
          </w:p>
        </w:tc>
        <w:tc>
          <w:tcPr>
            <w:tcW w:w="708" w:type="dxa"/>
          </w:tcPr>
          <w:p w14:paraId="03E5402E"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2013</w:t>
            </w:r>
          </w:p>
        </w:tc>
        <w:tc>
          <w:tcPr>
            <w:tcW w:w="1843" w:type="dxa"/>
          </w:tcPr>
          <w:p w14:paraId="737F4CC6" w14:textId="1CE341A6" w:rsidR="00400370" w:rsidRPr="00394E3F"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Schlosberg et al. (2017)</w:t>
            </w:r>
          </w:p>
        </w:tc>
      </w:tr>
      <w:tr w:rsidR="00400370" w:rsidRPr="00101D0A" w14:paraId="736CE4D3" w14:textId="34A4944D" w:rsidTr="00CE6BF3">
        <w:trPr>
          <w:cnfStyle w:val="100000000000" w:firstRow="1" w:lastRow="0" w:firstColumn="0" w:lastColumn="0" w:oddVBand="0" w:evenVBand="0" w:oddHBand="0"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52" w:type="dxa"/>
          </w:tcPr>
          <w:p w14:paraId="68D93CEB" w14:textId="77777777" w:rsidR="00400370" w:rsidRPr="009C11B1" w:rsidRDefault="00400370" w:rsidP="00CE6BF3">
            <w:pPr>
              <w:pStyle w:val="TableHeadingsColumn"/>
              <w:spacing w:beforeLines="20" w:before="48" w:afterLines="20" w:after="48" w:line="240" w:lineRule="auto"/>
              <w:ind w:left="181" w:hanging="181"/>
            </w:pPr>
            <w:r>
              <w:t xml:space="preserve">5. </w:t>
            </w:r>
            <w:r w:rsidRPr="009C11B1">
              <w:t>ForestERA</w:t>
            </w:r>
          </w:p>
        </w:tc>
        <w:tc>
          <w:tcPr>
            <w:tcW w:w="2835" w:type="dxa"/>
          </w:tcPr>
          <w:p w14:paraId="139FE4A8" w14:textId="41DE4B04"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Three-day deliberative process considering land management options in northern New Mexico, intermediated using GIS mapping techniques</w:t>
            </w:r>
          </w:p>
        </w:tc>
        <w:tc>
          <w:tcPr>
            <w:tcW w:w="1843" w:type="dxa"/>
          </w:tcPr>
          <w:p w14:paraId="62B4707E" w14:textId="2032A483"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12" w:history="1">
              <w:r w:rsidR="00400370" w:rsidRPr="005024C1">
                <w:t>https://participedia.net/case/5968</w:t>
              </w:r>
            </w:hyperlink>
          </w:p>
        </w:tc>
        <w:tc>
          <w:tcPr>
            <w:tcW w:w="708" w:type="dxa"/>
          </w:tcPr>
          <w:p w14:paraId="3F4C768D"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2007</w:t>
            </w:r>
          </w:p>
        </w:tc>
        <w:tc>
          <w:tcPr>
            <w:tcW w:w="1843" w:type="dxa"/>
          </w:tcPr>
          <w:p w14:paraId="5F6EFABE" w14:textId="555A4A8E" w:rsidR="00400370" w:rsidRPr="00A570F5"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Hobson (2009)</w:t>
            </w:r>
          </w:p>
        </w:tc>
      </w:tr>
      <w:tr w:rsidR="005D0AF8" w:rsidRPr="00101D0A" w14:paraId="16747B49" w14:textId="05425A13" w:rsidTr="00435E6F">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2552" w:type="dxa"/>
          </w:tcPr>
          <w:p w14:paraId="2F4275E7" w14:textId="77777777" w:rsidR="00400370" w:rsidRPr="009C11B1" w:rsidRDefault="00400370" w:rsidP="00CE6BF3">
            <w:pPr>
              <w:pStyle w:val="TableHeadingsColumn"/>
              <w:spacing w:beforeLines="20" w:before="48" w:afterLines="20" w:after="48" w:line="240" w:lineRule="auto"/>
              <w:ind w:left="181" w:hanging="181"/>
            </w:pPr>
            <w:r>
              <w:t xml:space="preserve">6. </w:t>
            </w:r>
            <w:r w:rsidRPr="009C11B1">
              <w:t>Biobanking, Regulation</w:t>
            </w:r>
          </w:p>
        </w:tc>
        <w:tc>
          <w:tcPr>
            <w:tcW w:w="2835" w:type="dxa"/>
          </w:tcPr>
          <w:p w14:paraId="0C6EF4E5" w14:textId="07F0A170"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Four day (over two weekends) deliberative process concerned with regulation of collection and testing of genetic data</w:t>
            </w:r>
          </w:p>
        </w:tc>
        <w:tc>
          <w:tcPr>
            <w:tcW w:w="1843" w:type="dxa"/>
          </w:tcPr>
          <w:p w14:paraId="6D27CFFE" w14:textId="45BCE594" w:rsidR="00400370" w:rsidRPr="00361017"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pPr>
            <w:hyperlink r:id="rId13" w:history="1">
              <w:r w:rsidR="00400370" w:rsidRPr="00361017">
                <w:t>https://participedia.net/case/5</w:t>
              </w:r>
            </w:hyperlink>
            <w:r w:rsidR="005D0AF8">
              <w:br/>
            </w:r>
            <w:hyperlink r:id="rId14" w:history="1">
              <w:r w:rsidR="005D0AF8" w:rsidRPr="00D16216">
                <w:rPr>
                  <w:rStyle w:val="Hyperlink"/>
                </w:rPr>
                <w:t>https://participedia.net/case/5975</w:t>
              </w:r>
            </w:hyperlink>
          </w:p>
        </w:tc>
        <w:tc>
          <w:tcPr>
            <w:tcW w:w="708" w:type="dxa"/>
          </w:tcPr>
          <w:p w14:paraId="2B632AFA"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2007/8</w:t>
            </w:r>
          </w:p>
        </w:tc>
        <w:tc>
          <w:tcPr>
            <w:tcW w:w="1843" w:type="dxa"/>
          </w:tcPr>
          <w:p w14:paraId="789110A2" w14:textId="7DE5494B" w:rsidR="00400370" w:rsidRPr="00394E3F"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Secko et al. (2009)</w:t>
            </w:r>
          </w:p>
        </w:tc>
      </w:tr>
      <w:tr w:rsidR="00400370" w:rsidRPr="00101D0A" w14:paraId="3268E7A2" w14:textId="4632CEFF" w:rsidTr="00CE6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8DF00F3" w14:textId="77777777" w:rsidR="00400370" w:rsidRPr="009C11B1" w:rsidRDefault="00400370" w:rsidP="00CE6BF3">
            <w:pPr>
              <w:pStyle w:val="TableHeadingsColumn"/>
              <w:spacing w:beforeLines="20" w:before="48" w:afterLines="20" w:after="48" w:line="240" w:lineRule="auto"/>
              <w:ind w:left="181" w:hanging="181"/>
            </w:pPr>
            <w:r>
              <w:t xml:space="preserve">7. </w:t>
            </w:r>
            <w:r w:rsidRPr="009C11B1">
              <w:t>Fremantle Bridge</w:t>
            </w:r>
            <w:r>
              <w:t xml:space="preserve"> 21</w:t>
            </w:r>
            <w:r w:rsidRPr="009B7B4B">
              <w:rPr>
                <w:vertAlign w:val="superscript"/>
              </w:rPr>
              <w:t>st</w:t>
            </w:r>
            <w:r>
              <w:t xml:space="preserve"> Century</w:t>
            </w:r>
          </w:p>
        </w:tc>
        <w:tc>
          <w:tcPr>
            <w:tcW w:w="2835" w:type="dxa"/>
          </w:tcPr>
          <w:p w14:paraId="4A7A77D2" w14:textId="356DF604"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Single day minipublic on options for the replacement of a heritage bridge between Perth and Fremantle</w:t>
            </w:r>
          </w:p>
        </w:tc>
        <w:tc>
          <w:tcPr>
            <w:tcW w:w="1843" w:type="dxa"/>
          </w:tcPr>
          <w:p w14:paraId="6F4CFC74" w14:textId="0F0242F1"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15" w:history="1">
              <w:r w:rsidR="00400370" w:rsidRPr="005024C1">
                <w:t>https://participedia.net/case/4429</w:t>
              </w:r>
            </w:hyperlink>
          </w:p>
        </w:tc>
        <w:tc>
          <w:tcPr>
            <w:tcW w:w="708" w:type="dxa"/>
          </w:tcPr>
          <w:p w14:paraId="777DDBDF"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2006</w:t>
            </w:r>
          </w:p>
        </w:tc>
        <w:tc>
          <w:tcPr>
            <w:tcW w:w="1843" w:type="dxa"/>
          </w:tcPr>
          <w:p w14:paraId="603E8F87" w14:textId="2C1B5561" w:rsidR="00400370" w:rsidRPr="00394E3F"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Niemeyer et al. (2013)</w:t>
            </w:r>
          </w:p>
        </w:tc>
      </w:tr>
      <w:tr w:rsidR="005D0AF8" w:rsidRPr="00101D0A" w14:paraId="1D6A96E2" w14:textId="2640CCD5" w:rsidTr="0022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D8B01CC" w14:textId="77777777" w:rsidR="00400370" w:rsidRPr="009C11B1" w:rsidRDefault="00400370" w:rsidP="00CE6BF3">
            <w:pPr>
              <w:pStyle w:val="TableHeadingsColumn"/>
              <w:spacing w:beforeLines="20" w:before="48" w:afterLines="20" w:after="48" w:line="240" w:lineRule="auto"/>
              <w:ind w:left="181" w:hanging="181"/>
            </w:pPr>
            <w:r>
              <w:t>8.</w:t>
            </w:r>
            <w:r w:rsidRPr="009C11B1">
              <w:t xml:space="preserve">Climate </w:t>
            </w:r>
            <w:r>
              <w:t>C</w:t>
            </w:r>
            <w:r w:rsidRPr="009C11B1">
              <w:t xml:space="preserve">hange and the </w:t>
            </w:r>
            <w:r>
              <w:t>P</w:t>
            </w:r>
            <w:r w:rsidRPr="009C11B1">
              <w:t xml:space="preserve">ublic </w:t>
            </w:r>
            <w:r>
              <w:t>S</w:t>
            </w:r>
            <w:r w:rsidRPr="009C11B1">
              <w:t>phere</w:t>
            </w:r>
          </w:p>
        </w:tc>
        <w:tc>
          <w:tcPr>
            <w:tcW w:w="2835" w:type="dxa"/>
          </w:tcPr>
          <w:p w14:paraId="73E62198" w14:textId="5683D75C"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Three-day minipublic concerned with climate change adaptation policy.</w:t>
            </w:r>
          </w:p>
        </w:tc>
        <w:tc>
          <w:tcPr>
            <w:tcW w:w="1843" w:type="dxa"/>
          </w:tcPr>
          <w:p w14:paraId="68CAD846" w14:textId="7650A939"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16" w:history="1">
              <w:r w:rsidR="00400370" w:rsidRPr="005024C1">
                <w:t>https://participedia.net/case/5924</w:t>
              </w:r>
            </w:hyperlink>
          </w:p>
        </w:tc>
        <w:tc>
          <w:tcPr>
            <w:tcW w:w="708" w:type="dxa"/>
          </w:tcPr>
          <w:p w14:paraId="48D7E4A0"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2010</w:t>
            </w:r>
          </w:p>
        </w:tc>
        <w:tc>
          <w:tcPr>
            <w:tcW w:w="1843" w:type="dxa"/>
          </w:tcPr>
          <w:p w14:paraId="5E375E00" w14:textId="0684AAA6" w:rsidR="00400370" w:rsidRPr="00394E3F"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Hobson and Niemeyer (2011)</w:t>
            </w:r>
          </w:p>
        </w:tc>
      </w:tr>
      <w:tr w:rsidR="00400370" w:rsidRPr="00101D0A" w14:paraId="5E0F2B33" w14:textId="3FE528F5" w:rsidTr="00CE6BF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552" w:type="dxa"/>
          </w:tcPr>
          <w:p w14:paraId="1D2B1DE4" w14:textId="77777777" w:rsidR="00400370" w:rsidRPr="009C11B1" w:rsidRDefault="00400370" w:rsidP="00CE6BF3">
            <w:pPr>
              <w:pStyle w:val="TableHeadingsColumn"/>
              <w:spacing w:beforeLines="20" w:before="48" w:afterLines="20" w:after="48" w:line="240" w:lineRule="auto"/>
              <w:ind w:left="181" w:hanging="181"/>
            </w:pPr>
            <w:r>
              <w:t>9.</w:t>
            </w:r>
            <w:r w:rsidRPr="009C11B1">
              <w:t>Energy Futures Study</w:t>
            </w:r>
          </w:p>
        </w:tc>
        <w:tc>
          <w:tcPr>
            <w:tcW w:w="2835" w:type="dxa"/>
          </w:tcPr>
          <w:p w14:paraId="4D043163" w14:textId="1AE9D172"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Three-day minipublic considering technological options for energy generation.</w:t>
            </w:r>
          </w:p>
        </w:tc>
        <w:tc>
          <w:tcPr>
            <w:tcW w:w="1843" w:type="dxa"/>
          </w:tcPr>
          <w:p w14:paraId="52414201" w14:textId="706AFB98"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17" w:history="1">
              <w:r w:rsidR="00400370" w:rsidRPr="005024C1">
                <w:t>https://participedia.net/case/5928</w:t>
              </w:r>
            </w:hyperlink>
          </w:p>
        </w:tc>
        <w:tc>
          <w:tcPr>
            <w:tcW w:w="708" w:type="dxa"/>
          </w:tcPr>
          <w:p w14:paraId="2C8DFC27"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2005</w:t>
            </w:r>
          </w:p>
        </w:tc>
        <w:tc>
          <w:tcPr>
            <w:tcW w:w="1843" w:type="dxa"/>
          </w:tcPr>
          <w:p w14:paraId="1C13C4A5" w14:textId="2A934825" w:rsidR="00400370" w:rsidRPr="00394E3F"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Ashworth et al. (2010)</w:t>
            </w:r>
          </w:p>
        </w:tc>
      </w:tr>
      <w:tr w:rsidR="005D0AF8" w:rsidRPr="00101D0A" w14:paraId="314E8B70" w14:textId="617926C9" w:rsidTr="00221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D234561" w14:textId="77777777" w:rsidR="00400370" w:rsidRPr="009C11B1" w:rsidRDefault="00400370" w:rsidP="00CE6BF3">
            <w:pPr>
              <w:pStyle w:val="TableHeadingsColumn"/>
              <w:spacing w:beforeLines="20" w:before="48" w:afterLines="20" w:after="48" w:line="240" w:lineRule="auto"/>
              <w:ind w:left="181" w:hanging="181"/>
            </w:pPr>
            <w:r>
              <w:t>10.</w:t>
            </w:r>
            <w:r w:rsidRPr="009C11B1">
              <w:t>Valsamoggia Council Amalgamation</w:t>
            </w:r>
          </w:p>
        </w:tc>
        <w:tc>
          <w:tcPr>
            <w:tcW w:w="2835" w:type="dxa"/>
          </w:tcPr>
          <w:p w14:paraId="1D831BCC" w14:textId="1714C0E8"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Two-day minipublic concerning a proposed amalgamation among four local councils in the Bologna region of Italy.</w:t>
            </w:r>
          </w:p>
        </w:tc>
        <w:tc>
          <w:tcPr>
            <w:tcW w:w="1843" w:type="dxa"/>
          </w:tcPr>
          <w:p w14:paraId="3575D479" w14:textId="70BF4F66" w:rsidR="00400370" w:rsidRPr="00101D0A"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rPr>
                <w:szCs w:val="20"/>
              </w:rPr>
            </w:pPr>
            <w:hyperlink r:id="rId18" w:history="1">
              <w:r w:rsidR="00400370" w:rsidRPr="005024C1">
                <w:t>https://participedia.net/case/5937</w:t>
              </w:r>
            </w:hyperlink>
          </w:p>
        </w:tc>
        <w:tc>
          <w:tcPr>
            <w:tcW w:w="708" w:type="dxa"/>
          </w:tcPr>
          <w:p w14:paraId="0464FD1A"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2013</w:t>
            </w:r>
          </w:p>
        </w:tc>
        <w:tc>
          <w:tcPr>
            <w:tcW w:w="1843" w:type="dxa"/>
          </w:tcPr>
          <w:p w14:paraId="573CF446" w14:textId="4D3AA41A" w:rsidR="00400370" w:rsidRPr="00394E3F"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Felicetti et al. (2016)</w:t>
            </w:r>
          </w:p>
        </w:tc>
      </w:tr>
      <w:tr w:rsidR="00400370" w:rsidRPr="00101D0A" w14:paraId="1E3F7300" w14:textId="3472E154" w:rsidTr="00CE6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D481BFC" w14:textId="77777777" w:rsidR="00400370" w:rsidRPr="009C11B1" w:rsidRDefault="00400370" w:rsidP="00CE6BF3">
            <w:pPr>
              <w:pStyle w:val="TableHeadingsColumn"/>
              <w:spacing w:beforeLines="20" w:before="48" w:afterLines="20" w:after="48" w:line="240" w:lineRule="auto"/>
              <w:ind w:left="181" w:hanging="181"/>
            </w:pPr>
            <w:r>
              <w:t>11.</w:t>
            </w:r>
            <w:r w:rsidRPr="009C11B1">
              <w:t>Great Barrier Reef Futures</w:t>
            </w:r>
          </w:p>
        </w:tc>
        <w:tc>
          <w:tcPr>
            <w:tcW w:w="2835" w:type="dxa"/>
          </w:tcPr>
          <w:p w14:paraId="3FFBC0CC" w14:textId="12394A7E"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Two-day minipublic run as a pilot study at James Cook University on management of the GBR</w:t>
            </w:r>
          </w:p>
        </w:tc>
        <w:tc>
          <w:tcPr>
            <w:tcW w:w="1843" w:type="dxa"/>
          </w:tcPr>
          <w:p w14:paraId="4F96BD9B" w14:textId="3A54DF3B" w:rsidR="00400370" w:rsidRPr="00204178"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pPr>
            <w:hyperlink r:id="rId19" w:history="1">
              <w:r w:rsidR="00400370" w:rsidRPr="00204178">
                <w:t>https://participedia.net/case/8017</w:t>
              </w:r>
            </w:hyperlink>
          </w:p>
        </w:tc>
        <w:tc>
          <w:tcPr>
            <w:tcW w:w="708" w:type="dxa"/>
          </w:tcPr>
          <w:p w14:paraId="64F4CBE8"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2019</w:t>
            </w:r>
          </w:p>
        </w:tc>
        <w:tc>
          <w:tcPr>
            <w:tcW w:w="1843" w:type="dxa"/>
          </w:tcPr>
          <w:p w14:paraId="3878466C" w14:textId="5DB6603F" w:rsidR="00400370" w:rsidRPr="00A570F5"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In Preparation</w:t>
            </w:r>
          </w:p>
        </w:tc>
      </w:tr>
      <w:tr w:rsidR="005D0AF8" w:rsidRPr="00101D0A" w14:paraId="7BC7AD9D" w14:textId="6816C9BB" w:rsidTr="00221E23">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2552" w:type="dxa"/>
          </w:tcPr>
          <w:p w14:paraId="032B9A2D" w14:textId="77777777" w:rsidR="00400370" w:rsidRPr="009C11B1" w:rsidRDefault="00400370" w:rsidP="00CE6BF3">
            <w:pPr>
              <w:pStyle w:val="TableHeadingsColumn"/>
              <w:spacing w:beforeLines="20" w:before="48" w:afterLines="20" w:after="48" w:line="240" w:lineRule="auto"/>
              <w:ind w:left="181" w:hanging="181"/>
            </w:pPr>
            <w:r>
              <w:t>12.</w:t>
            </w:r>
            <w:r w:rsidRPr="009C11B1">
              <w:t>Human Genome Editing CJ</w:t>
            </w:r>
          </w:p>
        </w:tc>
        <w:tc>
          <w:tcPr>
            <w:tcW w:w="2835" w:type="dxa"/>
          </w:tcPr>
          <w:p w14:paraId="056D8470" w14:textId="6872FAA4" w:rsidR="00400370" w:rsidRPr="00CE6BF3" w:rsidRDefault="00400370" w:rsidP="00CE6BF3">
            <w:pPr>
              <w:pStyle w:val="tabletexttight"/>
              <w:spacing w:after="24"/>
              <w:cnfStyle w:val="100000000000" w:firstRow="1" w:lastRow="0" w:firstColumn="0" w:lastColumn="0" w:oddVBand="0" w:evenVBand="0" w:oddHBand="0" w:evenHBand="0" w:firstRowFirstColumn="0" w:firstRowLastColumn="0" w:lastRowFirstColumn="0" w:lastRowLastColumn="0"/>
            </w:pPr>
            <w:r w:rsidRPr="00CE6BF3">
              <w:t>Three-day minipublic on regulating human genome editing technologies</w:t>
            </w:r>
          </w:p>
        </w:tc>
        <w:tc>
          <w:tcPr>
            <w:tcW w:w="1843" w:type="dxa"/>
          </w:tcPr>
          <w:p w14:paraId="2890B7AF" w14:textId="51F460D2" w:rsidR="00400370" w:rsidRPr="004347C9" w:rsidRDefault="001340B4" w:rsidP="00CE6BF3">
            <w:pPr>
              <w:pStyle w:val="Tabledata"/>
              <w:spacing w:beforeLines="20" w:before="48" w:afterLines="20" w:after="48" w:line="240" w:lineRule="auto"/>
              <w:jc w:val="left"/>
              <w:cnfStyle w:val="100000000000" w:firstRow="1" w:lastRow="0" w:firstColumn="0" w:lastColumn="0" w:oddVBand="0" w:evenVBand="0" w:oddHBand="0" w:evenHBand="0" w:firstRowFirstColumn="0" w:firstRowLastColumn="0" w:lastRowFirstColumn="0" w:lastRowLastColumn="0"/>
            </w:pPr>
            <w:hyperlink r:id="rId20" w:history="1">
              <w:r w:rsidR="00400370" w:rsidRPr="004347C9">
                <w:t>https://participedia.net/case/7660</w:t>
              </w:r>
            </w:hyperlink>
          </w:p>
        </w:tc>
        <w:tc>
          <w:tcPr>
            <w:tcW w:w="708" w:type="dxa"/>
          </w:tcPr>
          <w:p w14:paraId="52E379E2" w14:textId="77777777" w:rsidR="00400370" w:rsidRPr="009C11B1"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9C11B1">
              <w:t>2021</w:t>
            </w:r>
          </w:p>
        </w:tc>
        <w:tc>
          <w:tcPr>
            <w:tcW w:w="1843" w:type="dxa"/>
          </w:tcPr>
          <w:p w14:paraId="0DC4562A" w14:textId="389732D2" w:rsidR="00400370" w:rsidRPr="00A570F5" w:rsidRDefault="00400370" w:rsidP="00CE6BF3">
            <w:pPr>
              <w:pStyle w:val="Tabletext0"/>
              <w:spacing w:beforeLines="20" w:before="48" w:afterLines="20" w:after="48"/>
              <w:cnfStyle w:val="100000000000" w:firstRow="1" w:lastRow="0" w:firstColumn="0" w:lastColumn="0" w:oddVBand="0" w:evenVBand="0" w:oddHBand="0" w:evenHBand="0" w:firstRowFirstColumn="0" w:firstRowLastColumn="0" w:lastRowFirstColumn="0" w:lastRowLastColumn="0"/>
            </w:pPr>
            <w:r w:rsidRPr="00A570F5">
              <w:t>In Preparation</w:t>
            </w:r>
          </w:p>
        </w:tc>
      </w:tr>
    </w:tbl>
    <w:p w14:paraId="68438BD5" w14:textId="51AEBA19" w:rsidR="00623A8D" w:rsidRPr="00623A8D" w:rsidRDefault="00623A8D" w:rsidP="00085A66">
      <w:pPr>
        <w:pStyle w:val="TableFooter"/>
        <w:spacing w:before="20"/>
      </w:pPr>
      <w:bookmarkStart w:id="10" w:name="_Toc67686847"/>
      <w:bookmarkStart w:id="11" w:name="_Ref76658354"/>
      <w:bookmarkStart w:id="12" w:name="_Ref76658404"/>
      <w:bookmarkStart w:id="13" w:name="_Ref77589676"/>
      <w:bookmarkStart w:id="14" w:name="_Ref77590131"/>
      <w:bookmarkStart w:id="15" w:name="_Ref77621134"/>
      <w:r w:rsidRPr="009C11B1">
        <w:t>Note:</w:t>
      </w:r>
      <w:r>
        <w:tab/>
      </w:r>
      <w:r w:rsidRPr="009C11B1">
        <w:t>*More detailed information for each case can be found via the links provided</w:t>
      </w:r>
      <w:bookmarkEnd w:id="10"/>
      <w:bookmarkEnd w:id="11"/>
      <w:bookmarkEnd w:id="12"/>
      <w:bookmarkEnd w:id="13"/>
      <w:bookmarkEnd w:id="14"/>
      <w:bookmarkEnd w:id="15"/>
      <w:r w:rsidRPr="009C11B1">
        <w:t>.</w:t>
      </w:r>
      <w:r>
        <w:t xml:space="preserve"> </w:t>
      </w:r>
    </w:p>
    <w:p w14:paraId="25910984" w14:textId="79EF0758" w:rsidR="008D55F7" w:rsidRDefault="008D55F7" w:rsidP="006D4487">
      <w:pPr>
        <w:pStyle w:val="Heading1"/>
      </w:pPr>
      <w:r>
        <w:lastRenderedPageBreak/>
        <w:t>Survey Instrument</w:t>
      </w:r>
      <w:r w:rsidR="006712D2">
        <w:t xml:space="preserve"> </w:t>
      </w:r>
      <w:bookmarkEnd w:id="1"/>
      <w:bookmarkEnd w:id="2"/>
      <w:bookmarkEnd w:id="3"/>
      <w:bookmarkEnd w:id="4"/>
    </w:p>
    <w:p w14:paraId="56A2FCA7" w14:textId="4ADE47D4" w:rsidR="001325E4" w:rsidRDefault="001325E4" w:rsidP="00D1597E">
      <w:r>
        <w:t>T</w:t>
      </w:r>
      <w:r w:rsidRPr="009C0B42">
        <w:t xml:space="preserve">o measure DRI it is necessary to design instruments to gather information covering relevant considerations and policy options specific to </w:t>
      </w:r>
      <w:r>
        <w:t>each</w:t>
      </w:r>
      <w:r w:rsidRPr="009C0B42">
        <w:t xml:space="preserve"> case. As noted in the main text, our data set covers the totality of such cases where appropriate data is available. It is</w:t>
      </w:r>
      <w:r w:rsidR="00562A5D">
        <w:t xml:space="preserve"> generally</w:t>
      </w:r>
      <w:r w:rsidRPr="009C0B42">
        <w:t xml:space="preserve"> not possible to use data from pre/post deliberation questionnaires designed for other purposes. </w:t>
      </w:r>
    </w:p>
    <w:p w14:paraId="19DF33BD" w14:textId="4A295D1D" w:rsidR="00562A5D" w:rsidRDefault="0059153B" w:rsidP="00CE6BF3">
      <w:pPr>
        <w:pStyle w:val="Heading2"/>
      </w:pPr>
      <w:r>
        <w:t>Developing Surveys</w:t>
      </w:r>
    </w:p>
    <w:p w14:paraId="7E68B67D" w14:textId="5983989E" w:rsidR="00D74E8C" w:rsidRPr="009C0B42" w:rsidRDefault="0E345509" w:rsidP="00D1597E">
      <w:r>
        <w:t>Although DRI is a stand-alone method, the approach used in Q methodology provides a template for generation of the “considerations” statements for a DRI survey. Q methodology involves sampling statements to capture a larger “concourse”—the volume of communication applicable to a situation (Stephenson 1986). This is consistent with our position that deliberation ideally involves all individuals incorporating all such considerations relevant to the issue at hand into their reasoning, which in turn should inform their preferences for particular policies or actions (Niemeyer 2020). In Q methodology, propositional statements can be sampled from existing public discourse, generally using a sampling frame specific to the issue at hand (Brown 1970).</w:t>
      </w:r>
    </w:p>
    <w:p w14:paraId="34EFAA38" w14:textId="06C9D4E0" w:rsidR="00054BD9" w:rsidRDefault="001641E1" w:rsidP="00551FAF">
      <w:pPr>
        <w:pStyle w:val="paragraph"/>
      </w:pPr>
      <w:r>
        <w:t>T</w:t>
      </w:r>
      <w:r w:rsidR="007C5804" w:rsidRPr="009C0B42">
        <w:t>h</w:t>
      </w:r>
      <w:r w:rsidR="007F1728" w:rsidRPr="009C0B42">
        <w:t xml:space="preserve">e consideration surveys </w:t>
      </w:r>
      <w:r w:rsidR="00E75144" w:rsidRPr="009C0B42">
        <w:t xml:space="preserve">follow this approach </w:t>
      </w:r>
      <w:r w:rsidR="007F1728" w:rsidRPr="009C0B42">
        <w:t xml:space="preserve">for </w:t>
      </w:r>
      <w:r w:rsidR="00E75144" w:rsidRPr="009C0B42">
        <w:t>all our</w:t>
      </w:r>
      <w:r w:rsidR="007F1728" w:rsidRPr="009C0B42">
        <w:t xml:space="preserve"> studies</w:t>
      </w:r>
      <w:r w:rsidR="00E75144" w:rsidRPr="009C0B42">
        <w:t>. But the specific mechanism for collecting statements varies</w:t>
      </w:r>
      <w:r>
        <w:t>.</w:t>
      </w:r>
      <w:r w:rsidR="00054BD9" w:rsidRPr="009C0B42">
        <w:t xml:space="preserve"> </w:t>
      </w:r>
      <w:r w:rsidR="00E75144" w:rsidRPr="009C0B42">
        <w:t>For</w:t>
      </w:r>
      <w:r>
        <w:t xml:space="preserve"> example, for</w:t>
      </w:r>
      <w:r w:rsidR="00E75144" w:rsidRPr="009C0B42">
        <w:t xml:space="preserve"> the FNQCJ case</w:t>
      </w:r>
      <w:r w:rsidR="00120737" w:rsidRPr="009C0B42">
        <w:t xml:space="preserve">, statements were collected via focus groups </w:t>
      </w:r>
      <w:r w:rsidR="00067F61">
        <w:t>prior</w:t>
      </w:r>
      <w:r w:rsidR="008B5D0D" w:rsidRPr="009C0B42">
        <w:t xml:space="preserve"> to the deliberative forum</w:t>
      </w:r>
      <w:r w:rsidR="00D21D62" w:rsidRPr="009C0B42">
        <w:t xml:space="preserve">. </w:t>
      </w:r>
      <w:r w:rsidR="00067F61">
        <w:t>In contrast, f</w:t>
      </w:r>
      <w:r w:rsidR="00D21D62" w:rsidRPr="009C0B42">
        <w:t xml:space="preserve">or the </w:t>
      </w:r>
      <w:r w:rsidR="0061057C" w:rsidRPr="009C0B42">
        <w:t>AusCJ case</w:t>
      </w:r>
      <w:r w:rsidR="00450C69" w:rsidRPr="009C0B42">
        <w:t xml:space="preserve">, </w:t>
      </w:r>
      <w:r w:rsidR="00480BC4" w:rsidRPr="009C0B42">
        <w:t>an anticipatory case where comparatively little public discourse exists</w:t>
      </w:r>
      <w:r w:rsidR="00B44BA1">
        <w:t>,</w:t>
      </w:r>
      <w:r w:rsidR="00480BC4" w:rsidRPr="009C0B42">
        <w:t xml:space="preserve"> a more extensive process</w:t>
      </w:r>
      <w:r w:rsidR="00477BCD" w:rsidRPr="009C0B42">
        <w:t xml:space="preserve"> of </w:t>
      </w:r>
      <w:r w:rsidR="00B44BA1">
        <w:t>statement collection</w:t>
      </w:r>
      <w:r w:rsidR="00480BC4" w:rsidRPr="009C0B42">
        <w:t xml:space="preserve"> was necessary</w:t>
      </w:r>
      <w:r w:rsidR="00D26C95">
        <w:t xml:space="preserve">, involving </w:t>
      </w:r>
      <w:r w:rsidR="00130F0D" w:rsidRPr="009C0B42">
        <w:t>expert interviews, literature search</w:t>
      </w:r>
      <w:r w:rsidR="00896C6C" w:rsidRPr="009C0B42">
        <w:t xml:space="preserve">, </w:t>
      </w:r>
      <w:r w:rsidR="00D26C95">
        <w:t xml:space="preserve">and </w:t>
      </w:r>
      <w:r w:rsidR="00896C6C" w:rsidRPr="009C0B42">
        <w:t>media search</w:t>
      </w:r>
      <w:r w:rsidR="00BA56EA" w:rsidRPr="009C0B42">
        <w:t>.</w:t>
      </w:r>
    </w:p>
    <w:p w14:paraId="5988D6B1" w14:textId="03CB8369" w:rsidR="006D1277" w:rsidRDefault="006D1277" w:rsidP="006C63A1">
      <w:pPr>
        <w:pStyle w:val="Heading3"/>
      </w:pPr>
      <w:r>
        <w:t>Study Survey Instruments</w:t>
      </w:r>
    </w:p>
    <w:p w14:paraId="43D03FAD" w14:textId="2882D711" w:rsidR="00935E22" w:rsidRDefault="00EE15AC" w:rsidP="00EE15AC">
      <w:pPr>
        <w:pStyle w:val="Paragraphfirst"/>
      </w:pPr>
      <w:r>
        <w:t xml:space="preserve">The complete set of survey items used for all studies can be obtained from </w:t>
      </w:r>
      <w:hyperlink r:id="rId21" w:tgtFrame="_blank" w:history="1">
        <w:r w:rsidRPr="007D6F3D">
          <w:rPr>
            <w:rStyle w:val="Hyperlink"/>
            <w:lang w:val="en-AU"/>
          </w:rPr>
          <w:t>https://doi.org/10.7910/DVN/6OKNOY</w:t>
        </w:r>
      </w:hyperlink>
      <w:r>
        <w:t>. Alternatively,</w:t>
      </w:r>
      <w:r w:rsidR="006D1277">
        <w:t xml:space="preserve"> </w:t>
      </w:r>
      <w:r w:rsidR="006D1277">
        <w:fldChar w:fldCharType="begin"/>
      </w:r>
      <w:r w:rsidR="006D1277">
        <w:instrText>REF _Ref122349264</w:instrText>
      </w:r>
      <w:r w:rsidR="006D1277">
        <w:fldChar w:fldCharType="separate"/>
      </w:r>
      <w:r w:rsidR="009E37E7">
        <w:t xml:space="preserve">Table </w:t>
      </w:r>
      <w:r w:rsidR="009E37E7">
        <w:rPr>
          <w:noProof/>
        </w:rPr>
        <w:t>B.1</w:t>
      </w:r>
      <w:r w:rsidR="009E37E7">
        <w:t>.</w:t>
      </w:r>
      <w:r w:rsidR="009E37E7">
        <w:rPr>
          <w:noProof/>
        </w:rPr>
        <w:t>1</w:t>
      </w:r>
      <w:r w:rsidR="006D1277">
        <w:fldChar w:fldCharType="end"/>
      </w:r>
      <w:r w:rsidR="006D1277">
        <w:t xml:space="preserve"> provides </w:t>
      </w:r>
      <w:r w:rsidR="006D1277" w:rsidRPr="009C0B42">
        <w:t>links to downloadable surveys for data for</w:t>
      </w:r>
      <w:r w:rsidR="006D1277">
        <w:t xml:space="preserve"> </w:t>
      </w:r>
      <w:r w:rsidR="006D1277" w:rsidRPr="009C0B42">
        <w:t>each case</w:t>
      </w:r>
      <w:r>
        <w:t xml:space="preserve"> that </w:t>
      </w:r>
      <w:r w:rsidR="00C85B65" w:rsidRPr="009C0B42">
        <w:t xml:space="preserve">have been uploaded at </w:t>
      </w:r>
      <w:r w:rsidR="00C85B65" w:rsidRPr="009C0B42">
        <w:rPr>
          <w:i/>
        </w:rPr>
        <w:t>Participedia</w:t>
      </w:r>
      <w:r w:rsidR="00935E22" w:rsidRPr="009C0B42">
        <w:t xml:space="preserve">. </w:t>
      </w:r>
      <w:r w:rsidR="00262433" w:rsidRPr="009C0B42">
        <w:t>A</w:t>
      </w:r>
      <w:r w:rsidR="00C2196E" w:rsidRPr="009C0B42">
        <w:t xml:space="preserve"> few</w:t>
      </w:r>
      <w:r w:rsidR="00935E22" w:rsidRPr="009C0B42">
        <w:t xml:space="preserve"> </w:t>
      </w:r>
      <w:r w:rsidR="006A5492" w:rsidRPr="009C0B42">
        <w:t>ex</w:t>
      </w:r>
      <w:r w:rsidR="00935E22" w:rsidRPr="009C0B42">
        <w:t>ample</w:t>
      </w:r>
      <w:r w:rsidR="006A5492" w:rsidRPr="009C0B42">
        <w:t>s of</w:t>
      </w:r>
      <w:r w:rsidR="00935E22" w:rsidRPr="009C0B42">
        <w:t xml:space="preserve"> </w:t>
      </w:r>
      <w:r w:rsidR="006E6DDD" w:rsidRPr="009C0B42">
        <w:t>consideration</w:t>
      </w:r>
      <w:r w:rsidR="00935E22" w:rsidRPr="009C0B42">
        <w:t xml:space="preserve"> statements </w:t>
      </w:r>
      <w:r w:rsidR="00BC6BD3" w:rsidRPr="009C0B42">
        <w:t xml:space="preserve">and the full set of policy </w:t>
      </w:r>
      <w:r w:rsidR="00EC4C04" w:rsidRPr="009C0B42">
        <w:t xml:space="preserve">preference </w:t>
      </w:r>
      <w:r w:rsidR="00BC6BD3" w:rsidRPr="009C0B42">
        <w:t xml:space="preserve">options </w:t>
      </w:r>
      <w:r w:rsidR="00935E22" w:rsidRPr="009C0B42">
        <w:t xml:space="preserve">for </w:t>
      </w:r>
      <w:r w:rsidR="00F64A82" w:rsidRPr="009C0B42">
        <w:t>the FNQC</w:t>
      </w:r>
      <w:r w:rsidR="00B07620" w:rsidRPr="009C0B42">
        <w:t>J</w:t>
      </w:r>
      <w:r w:rsidR="00935E22" w:rsidRPr="009C0B42">
        <w:t xml:space="preserve"> stud</w:t>
      </w:r>
      <w:r w:rsidR="00B07620" w:rsidRPr="009C0B42">
        <w:t>y</w:t>
      </w:r>
      <w:r w:rsidR="00935E22" w:rsidRPr="009C0B42">
        <w:t xml:space="preserve"> are provided </w:t>
      </w:r>
      <w:r w:rsidR="008C4201">
        <w:t>in the main text</w:t>
      </w:r>
      <w:r w:rsidR="00935E22" w:rsidRPr="009C0B42">
        <w:t>.</w:t>
      </w:r>
    </w:p>
    <w:p w14:paraId="4D05829B" w14:textId="4E4FA3C1" w:rsidR="005D0AF8" w:rsidRPr="009C0B42" w:rsidRDefault="005D0AF8" w:rsidP="005D0AF8">
      <w:pPr>
        <w:pStyle w:val="Caption"/>
      </w:pPr>
      <w:bookmarkStart w:id="16" w:name="_Ref122349264"/>
      <w:r>
        <w:lastRenderedPageBreak/>
        <w:t xml:space="preserve">Table </w:t>
      </w:r>
      <w:r>
        <w:fldChar w:fldCharType="begin"/>
      </w:r>
      <w:r>
        <w:instrText>STYLEREF 2 \s</w:instrText>
      </w:r>
      <w:r>
        <w:fldChar w:fldCharType="separate"/>
      </w:r>
      <w:r w:rsidR="005F623F">
        <w:rPr>
          <w:noProof/>
        </w:rPr>
        <w:t>B.1</w:t>
      </w:r>
      <w:r>
        <w:fldChar w:fldCharType="end"/>
      </w:r>
      <w:r w:rsidR="005F623F">
        <w:t>.</w:t>
      </w:r>
      <w:r>
        <w:fldChar w:fldCharType="begin"/>
      </w:r>
      <w:r>
        <w:instrText>SEQ Table \* ARABIC \s 2</w:instrText>
      </w:r>
      <w:r>
        <w:fldChar w:fldCharType="separate"/>
      </w:r>
      <w:r w:rsidR="005F623F">
        <w:rPr>
          <w:noProof/>
        </w:rPr>
        <w:t>1</w:t>
      </w:r>
      <w:r>
        <w:fldChar w:fldCharType="end"/>
      </w:r>
      <w:bookmarkEnd w:id="16"/>
      <w:r w:rsidR="00770A06">
        <w:t>:</w:t>
      </w:r>
      <w:r w:rsidRPr="009C0B42">
        <w:t xml:space="preserve"> </w:t>
      </w:r>
      <w:r w:rsidR="00CE6BF3">
        <w:t>Study Survey Instruments</w:t>
      </w:r>
    </w:p>
    <w:tbl>
      <w:tblPr>
        <w:tblStyle w:val="APSROnlineAppendix"/>
        <w:tblW w:w="9639" w:type="dxa"/>
        <w:tblLook w:val="0420" w:firstRow="1" w:lastRow="0" w:firstColumn="0" w:lastColumn="0" w:noHBand="0" w:noVBand="1"/>
      </w:tblPr>
      <w:tblGrid>
        <w:gridCol w:w="4819"/>
        <w:gridCol w:w="4820"/>
      </w:tblGrid>
      <w:tr w:rsidR="006B13F4" w:rsidRPr="0054237C" w14:paraId="362ACB79" w14:textId="77777777" w:rsidTr="00CE6BF3">
        <w:trPr>
          <w:cnfStyle w:val="100000000000" w:firstRow="1" w:lastRow="0" w:firstColumn="0" w:lastColumn="0" w:oddVBand="0" w:evenVBand="0" w:oddHBand="0" w:evenHBand="0" w:firstRowFirstColumn="0" w:firstRowLastColumn="0" w:lastRowFirstColumn="0" w:lastRowLastColumn="0"/>
        </w:trPr>
        <w:tc>
          <w:tcPr>
            <w:tcW w:w="4819" w:type="dxa"/>
          </w:tcPr>
          <w:p w14:paraId="5482D238" w14:textId="77777777" w:rsidR="006B13F4" w:rsidRPr="0054237C" w:rsidRDefault="006B13F4" w:rsidP="00A45A19">
            <w:pPr>
              <w:pStyle w:val="TableHeader1"/>
              <w:spacing w:after="24"/>
              <w:jc w:val="left"/>
            </w:pPr>
            <w:r w:rsidRPr="0054237C">
              <w:t>Study</w:t>
            </w:r>
          </w:p>
        </w:tc>
        <w:tc>
          <w:tcPr>
            <w:tcW w:w="4820" w:type="dxa"/>
          </w:tcPr>
          <w:p w14:paraId="39C7844A" w14:textId="77777777" w:rsidR="006B13F4" w:rsidRPr="0054237C" w:rsidRDefault="006B13F4" w:rsidP="0054237C">
            <w:pPr>
              <w:pStyle w:val="TableHeader1"/>
              <w:spacing w:after="24"/>
            </w:pPr>
            <w:r w:rsidRPr="0054237C">
              <w:t>Survey Instrument Download†</w:t>
            </w:r>
          </w:p>
        </w:tc>
      </w:tr>
      <w:tr w:rsidR="00CE6BF3" w:rsidRPr="00756C70" w14:paraId="0FAEF86C" w14:textId="77777777" w:rsidTr="00CE6BF3">
        <w:trPr>
          <w:tblHeader w:val="0"/>
        </w:trPr>
        <w:tc>
          <w:tcPr>
            <w:tcW w:w="4819" w:type="dxa"/>
          </w:tcPr>
          <w:p w14:paraId="5961B205" w14:textId="4E0DA343" w:rsidR="00CE6BF3" w:rsidRPr="00CE6BF3" w:rsidRDefault="00CE6BF3" w:rsidP="00CE6BF3">
            <w:pPr>
              <w:pStyle w:val="TableHeadingsColumn"/>
              <w:spacing w:before="144" w:after="24"/>
            </w:pPr>
            <w:r w:rsidRPr="00CE6BF3">
              <w:t>1. Uppsala Speaks</w:t>
            </w:r>
          </w:p>
        </w:tc>
        <w:tc>
          <w:tcPr>
            <w:tcW w:w="4820" w:type="dxa"/>
          </w:tcPr>
          <w:p w14:paraId="13F74216" w14:textId="7C3D1661" w:rsidR="00CE6BF3" w:rsidRPr="00CE6BF3" w:rsidRDefault="00CE6BF3" w:rsidP="00A45A19">
            <w:pPr>
              <w:pStyle w:val="Tabletext0"/>
              <w:spacing w:after="24"/>
              <w:jc w:val="center"/>
            </w:pPr>
            <w:r w:rsidRPr="00CE6BF3">
              <w:t>https://tinyurl.com/kfe6esx</w:t>
            </w:r>
          </w:p>
        </w:tc>
      </w:tr>
      <w:tr w:rsidR="00CE6BF3" w:rsidRPr="00756C70" w14:paraId="481C21A8" w14:textId="77777777" w:rsidTr="00CE6BF3">
        <w:trPr>
          <w:cnfStyle w:val="000000010000" w:firstRow="0" w:lastRow="0" w:firstColumn="0" w:lastColumn="0" w:oddVBand="0" w:evenVBand="0" w:oddHBand="0" w:evenHBand="1" w:firstRowFirstColumn="0" w:firstRowLastColumn="0" w:lastRowFirstColumn="0" w:lastRowLastColumn="0"/>
          <w:tblHeader w:val="0"/>
        </w:trPr>
        <w:tc>
          <w:tcPr>
            <w:tcW w:w="4819" w:type="dxa"/>
          </w:tcPr>
          <w:p w14:paraId="65310267" w14:textId="4E908DA9" w:rsidR="00CE6BF3" w:rsidRPr="00CE6BF3" w:rsidRDefault="00CE6BF3" w:rsidP="00CE6BF3">
            <w:pPr>
              <w:pStyle w:val="TableHeadingsColumn"/>
              <w:spacing w:before="144" w:after="24"/>
            </w:pPr>
            <w:r w:rsidRPr="00CE6BF3">
              <w:t>2. FNQCJ</w:t>
            </w:r>
          </w:p>
        </w:tc>
        <w:tc>
          <w:tcPr>
            <w:tcW w:w="4820" w:type="dxa"/>
          </w:tcPr>
          <w:p w14:paraId="243609A1" w14:textId="1A976124" w:rsidR="00CE6BF3" w:rsidRPr="00CE6BF3" w:rsidRDefault="00CE6BF3" w:rsidP="00A45A19">
            <w:pPr>
              <w:pStyle w:val="Tabletext0"/>
              <w:spacing w:after="24"/>
              <w:jc w:val="center"/>
            </w:pPr>
            <w:r w:rsidRPr="00CE6BF3">
              <w:t>https://tinyurl.com/yhz9bxuh</w:t>
            </w:r>
          </w:p>
        </w:tc>
      </w:tr>
      <w:tr w:rsidR="00CE6BF3" w:rsidRPr="00756C70" w14:paraId="2D3330B6" w14:textId="77777777" w:rsidTr="00CE6BF3">
        <w:trPr>
          <w:tblHeader w:val="0"/>
        </w:trPr>
        <w:tc>
          <w:tcPr>
            <w:tcW w:w="4819" w:type="dxa"/>
          </w:tcPr>
          <w:p w14:paraId="58640805" w14:textId="3C766643" w:rsidR="00CE6BF3" w:rsidRPr="00CE6BF3" w:rsidRDefault="00CE6BF3" w:rsidP="00CE6BF3">
            <w:pPr>
              <w:pStyle w:val="TableHeadingsColumn"/>
              <w:spacing w:before="144" w:after="24"/>
            </w:pPr>
            <w:r w:rsidRPr="00CE6BF3">
              <w:t>3. Australian Citizens’ Parliament</w:t>
            </w:r>
          </w:p>
        </w:tc>
        <w:tc>
          <w:tcPr>
            <w:tcW w:w="4820" w:type="dxa"/>
          </w:tcPr>
          <w:p w14:paraId="10948807" w14:textId="253DFD6C" w:rsidR="00CE6BF3" w:rsidRPr="00CE6BF3" w:rsidRDefault="00CE6BF3" w:rsidP="00A45A19">
            <w:pPr>
              <w:pStyle w:val="Tabletext0"/>
              <w:spacing w:after="24"/>
              <w:jc w:val="center"/>
            </w:pPr>
            <w:r w:rsidRPr="00CE6BF3">
              <w:t>https://tinyurl.com/yckbtf8a</w:t>
            </w:r>
          </w:p>
        </w:tc>
      </w:tr>
      <w:tr w:rsidR="00CE6BF3" w:rsidRPr="00756C70" w14:paraId="0DD7FEC9" w14:textId="77777777" w:rsidTr="00CE6BF3">
        <w:trPr>
          <w:cnfStyle w:val="000000010000" w:firstRow="0" w:lastRow="0" w:firstColumn="0" w:lastColumn="0" w:oddVBand="0" w:evenVBand="0" w:oddHBand="0" w:evenHBand="1" w:firstRowFirstColumn="0" w:firstRowLastColumn="0" w:lastRowFirstColumn="0" w:lastRowLastColumn="0"/>
          <w:tblHeader w:val="0"/>
        </w:trPr>
        <w:tc>
          <w:tcPr>
            <w:tcW w:w="4819" w:type="dxa"/>
          </w:tcPr>
          <w:p w14:paraId="66244337" w14:textId="562FCCFC" w:rsidR="00CE6BF3" w:rsidRPr="00CE6BF3" w:rsidRDefault="00CE6BF3" w:rsidP="00CE6BF3">
            <w:pPr>
              <w:pStyle w:val="TableHeadingsColumn"/>
              <w:spacing w:before="144" w:after="24"/>
            </w:pPr>
            <w:r w:rsidRPr="00CE6BF3">
              <w:t>4. Sydney Climate Change Adaption</w:t>
            </w:r>
          </w:p>
        </w:tc>
        <w:tc>
          <w:tcPr>
            <w:tcW w:w="4820" w:type="dxa"/>
          </w:tcPr>
          <w:p w14:paraId="18339496" w14:textId="02D7B498" w:rsidR="00CE6BF3" w:rsidRPr="00CE6BF3" w:rsidRDefault="00CE6BF3" w:rsidP="00A45A19">
            <w:pPr>
              <w:pStyle w:val="Tabletext0"/>
              <w:spacing w:after="24"/>
              <w:jc w:val="center"/>
            </w:pPr>
            <w:r w:rsidRPr="00CE6BF3">
              <w:t>https://tinyurl.com/2euc326f</w:t>
            </w:r>
          </w:p>
        </w:tc>
      </w:tr>
      <w:tr w:rsidR="00CE6BF3" w:rsidRPr="00756C70" w14:paraId="0ED7C89A" w14:textId="77777777" w:rsidTr="00CE6BF3">
        <w:trPr>
          <w:tblHeader w:val="0"/>
        </w:trPr>
        <w:tc>
          <w:tcPr>
            <w:tcW w:w="4819" w:type="dxa"/>
          </w:tcPr>
          <w:p w14:paraId="13D0481F" w14:textId="2837E4EA" w:rsidR="00CE6BF3" w:rsidRPr="00CE6BF3" w:rsidRDefault="00CE6BF3" w:rsidP="00CE6BF3">
            <w:pPr>
              <w:pStyle w:val="TableHeadingsColumn"/>
              <w:spacing w:before="144" w:after="24"/>
            </w:pPr>
            <w:r w:rsidRPr="00CE6BF3">
              <w:t>5. ForestERA</w:t>
            </w:r>
          </w:p>
        </w:tc>
        <w:tc>
          <w:tcPr>
            <w:tcW w:w="4820" w:type="dxa"/>
          </w:tcPr>
          <w:p w14:paraId="386B7E44" w14:textId="0355B99C" w:rsidR="00CE6BF3" w:rsidRPr="00CE6BF3" w:rsidRDefault="00CE6BF3" w:rsidP="00A45A19">
            <w:pPr>
              <w:pStyle w:val="Tabletext0"/>
              <w:spacing w:after="24"/>
              <w:jc w:val="center"/>
            </w:pPr>
            <w:r w:rsidRPr="00CE6BF3">
              <w:t>https://tinyurl.com/35xzx5zn</w:t>
            </w:r>
          </w:p>
        </w:tc>
      </w:tr>
      <w:tr w:rsidR="00CE6BF3" w:rsidRPr="00756C70" w14:paraId="27762559" w14:textId="77777777" w:rsidTr="00CE6BF3">
        <w:trPr>
          <w:cnfStyle w:val="000000010000" w:firstRow="0" w:lastRow="0" w:firstColumn="0" w:lastColumn="0" w:oddVBand="0" w:evenVBand="0" w:oddHBand="0" w:evenHBand="1" w:firstRowFirstColumn="0" w:firstRowLastColumn="0" w:lastRowFirstColumn="0" w:lastRowLastColumn="0"/>
          <w:tblHeader w:val="0"/>
        </w:trPr>
        <w:tc>
          <w:tcPr>
            <w:tcW w:w="4819" w:type="dxa"/>
          </w:tcPr>
          <w:p w14:paraId="4448B0D2" w14:textId="0ABE3C90" w:rsidR="00CE6BF3" w:rsidRPr="00CE6BF3" w:rsidRDefault="00CE6BF3" w:rsidP="00CE6BF3">
            <w:pPr>
              <w:pStyle w:val="TableHeadingsColumn"/>
              <w:spacing w:before="144" w:after="24"/>
            </w:pPr>
            <w:r w:rsidRPr="00CE6BF3">
              <w:t>6. Biobanking, Regulation</w:t>
            </w:r>
          </w:p>
        </w:tc>
        <w:tc>
          <w:tcPr>
            <w:tcW w:w="4820" w:type="dxa"/>
          </w:tcPr>
          <w:p w14:paraId="33B45037" w14:textId="3F261E34" w:rsidR="00CE6BF3" w:rsidRPr="00CE6BF3" w:rsidRDefault="00CE6BF3" w:rsidP="00A45A19">
            <w:pPr>
              <w:pStyle w:val="Tabletext0"/>
              <w:spacing w:after="24"/>
              <w:jc w:val="center"/>
            </w:pPr>
            <w:r w:rsidRPr="00CE6BF3">
              <w:t>https://tinyurl.com/3cvkmwu5</w:t>
            </w:r>
          </w:p>
        </w:tc>
      </w:tr>
      <w:tr w:rsidR="00CE6BF3" w:rsidRPr="00756C70" w14:paraId="388A6A82" w14:textId="77777777" w:rsidTr="00CE6BF3">
        <w:trPr>
          <w:tblHeader w:val="0"/>
        </w:trPr>
        <w:tc>
          <w:tcPr>
            <w:tcW w:w="4819" w:type="dxa"/>
          </w:tcPr>
          <w:p w14:paraId="27D7BC03" w14:textId="34618C14" w:rsidR="00CE6BF3" w:rsidRPr="00CE6BF3" w:rsidRDefault="00CE6BF3" w:rsidP="00CE6BF3">
            <w:pPr>
              <w:pStyle w:val="TableHeadingsColumn"/>
              <w:spacing w:before="144" w:after="24"/>
            </w:pPr>
            <w:r w:rsidRPr="00CE6BF3">
              <w:t>7. Fremantle Bridge</w:t>
            </w:r>
          </w:p>
        </w:tc>
        <w:tc>
          <w:tcPr>
            <w:tcW w:w="4820" w:type="dxa"/>
          </w:tcPr>
          <w:p w14:paraId="1A548BF8" w14:textId="1D47B748" w:rsidR="00CE6BF3" w:rsidRPr="00CE6BF3" w:rsidRDefault="00CE6BF3" w:rsidP="00A45A19">
            <w:pPr>
              <w:pStyle w:val="Tabletext0"/>
              <w:spacing w:after="24"/>
              <w:jc w:val="center"/>
            </w:pPr>
            <w:r w:rsidRPr="00CE6BF3">
              <w:t>https://tinyurl.com/3cvkmwu5</w:t>
            </w:r>
          </w:p>
        </w:tc>
      </w:tr>
      <w:tr w:rsidR="00CE6BF3" w:rsidRPr="00756C70" w14:paraId="68FD3C81" w14:textId="77777777" w:rsidTr="00CE6BF3">
        <w:trPr>
          <w:cnfStyle w:val="000000010000" w:firstRow="0" w:lastRow="0" w:firstColumn="0" w:lastColumn="0" w:oddVBand="0" w:evenVBand="0" w:oddHBand="0" w:evenHBand="1" w:firstRowFirstColumn="0" w:firstRowLastColumn="0" w:lastRowFirstColumn="0" w:lastRowLastColumn="0"/>
          <w:tblHeader w:val="0"/>
        </w:trPr>
        <w:tc>
          <w:tcPr>
            <w:tcW w:w="4819" w:type="dxa"/>
          </w:tcPr>
          <w:p w14:paraId="12FB602B" w14:textId="634EFABA" w:rsidR="00CE6BF3" w:rsidRPr="00CE6BF3" w:rsidRDefault="00CE6BF3" w:rsidP="00CE6BF3">
            <w:pPr>
              <w:pStyle w:val="TableHeadingsColumn"/>
              <w:spacing w:before="144" w:after="24"/>
            </w:pPr>
            <w:r w:rsidRPr="00CE6BF3">
              <w:t>8. Climate change and the public sphere (CCPS)</w:t>
            </w:r>
          </w:p>
        </w:tc>
        <w:tc>
          <w:tcPr>
            <w:tcW w:w="4820" w:type="dxa"/>
          </w:tcPr>
          <w:p w14:paraId="50A51AAD" w14:textId="67F5ACE6" w:rsidR="00CE6BF3" w:rsidRPr="00CE6BF3" w:rsidRDefault="00CE6BF3" w:rsidP="00A45A19">
            <w:pPr>
              <w:pStyle w:val="Tabletext0"/>
              <w:spacing w:after="24"/>
              <w:jc w:val="center"/>
            </w:pPr>
            <w:r w:rsidRPr="00CE6BF3">
              <w:t>https://tinyurl.com/4f5ne2jx</w:t>
            </w:r>
          </w:p>
        </w:tc>
      </w:tr>
      <w:tr w:rsidR="00CE6BF3" w:rsidRPr="00756C70" w14:paraId="296CE40B" w14:textId="77777777" w:rsidTr="00CE6BF3">
        <w:trPr>
          <w:tblHeader w:val="0"/>
        </w:trPr>
        <w:tc>
          <w:tcPr>
            <w:tcW w:w="4819" w:type="dxa"/>
          </w:tcPr>
          <w:p w14:paraId="58ACD161" w14:textId="56F6F302" w:rsidR="00CE6BF3" w:rsidRPr="00CE6BF3" w:rsidRDefault="00CE6BF3" w:rsidP="00CE6BF3">
            <w:pPr>
              <w:pStyle w:val="TableHeadingsColumn"/>
              <w:spacing w:before="144" w:after="24"/>
            </w:pPr>
            <w:r w:rsidRPr="00CE6BF3">
              <w:t>9. Energy Futures Study</w:t>
            </w:r>
          </w:p>
        </w:tc>
        <w:tc>
          <w:tcPr>
            <w:tcW w:w="4820" w:type="dxa"/>
          </w:tcPr>
          <w:p w14:paraId="78E94E47" w14:textId="5AD56C71" w:rsidR="00CE6BF3" w:rsidRPr="00CE6BF3" w:rsidRDefault="00CE6BF3" w:rsidP="00A45A19">
            <w:pPr>
              <w:pStyle w:val="Tabletext0"/>
              <w:spacing w:after="24"/>
              <w:jc w:val="center"/>
            </w:pPr>
            <w:r w:rsidRPr="00CE6BF3">
              <w:t>https://tinyurl.com/yc22knuk</w:t>
            </w:r>
          </w:p>
        </w:tc>
      </w:tr>
      <w:tr w:rsidR="00CE6BF3" w:rsidRPr="00756C70" w14:paraId="195FC53B" w14:textId="77777777" w:rsidTr="00CE6BF3">
        <w:trPr>
          <w:cnfStyle w:val="000000010000" w:firstRow="0" w:lastRow="0" w:firstColumn="0" w:lastColumn="0" w:oddVBand="0" w:evenVBand="0" w:oddHBand="0" w:evenHBand="1" w:firstRowFirstColumn="0" w:firstRowLastColumn="0" w:lastRowFirstColumn="0" w:lastRowLastColumn="0"/>
          <w:tblHeader w:val="0"/>
        </w:trPr>
        <w:tc>
          <w:tcPr>
            <w:tcW w:w="4819" w:type="dxa"/>
          </w:tcPr>
          <w:p w14:paraId="5FFF5DF3" w14:textId="48AE074A" w:rsidR="00CE6BF3" w:rsidRPr="00CE6BF3" w:rsidRDefault="00CE6BF3" w:rsidP="00CE6BF3">
            <w:pPr>
              <w:pStyle w:val="TableHeadingsColumn"/>
              <w:spacing w:before="144" w:after="24"/>
            </w:pPr>
            <w:r w:rsidRPr="00CE6BF3">
              <w:t>10.Valsamoggia Council Amalgamation</w:t>
            </w:r>
          </w:p>
        </w:tc>
        <w:tc>
          <w:tcPr>
            <w:tcW w:w="4820" w:type="dxa"/>
          </w:tcPr>
          <w:p w14:paraId="62C4222B" w14:textId="575A6C5C" w:rsidR="00CE6BF3" w:rsidRPr="00CE6BF3" w:rsidRDefault="00CE6BF3" w:rsidP="00A45A19">
            <w:pPr>
              <w:pStyle w:val="Tabletext0"/>
              <w:spacing w:after="24"/>
              <w:jc w:val="center"/>
            </w:pPr>
            <w:r w:rsidRPr="00CE6BF3">
              <w:t>https://tinyurl.com/2p95sypy</w:t>
            </w:r>
          </w:p>
        </w:tc>
      </w:tr>
      <w:tr w:rsidR="00CE6BF3" w:rsidRPr="00756C70" w14:paraId="6DFD9BA6" w14:textId="77777777" w:rsidTr="00CE6BF3">
        <w:trPr>
          <w:tblHeader w:val="0"/>
        </w:trPr>
        <w:tc>
          <w:tcPr>
            <w:tcW w:w="4819" w:type="dxa"/>
          </w:tcPr>
          <w:p w14:paraId="6CF67CE0" w14:textId="42FBF464" w:rsidR="00CE6BF3" w:rsidRPr="00CE6BF3" w:rsidRDefault="00CE6BF3" w:rsidP="00CE6BF3">
            <w:pPr>
              <w:pStyle w:val="TableHeadingsColumn"/>
              <w:spacing w:before="144" w:after="24"/>
            </w:pPr>
            <w:r w:rsidRPr="00CE6BF3">
              <w:t>11. Great Barrier Reef Futures</w:t>
            </w:r>
          </w:p>
        </w:tc>
        <w:tc>
          <w:tcPr>
            <w:tcW w:w="4820" w:type="dxa"/>
          </w:tcPr>
          <w:p w14:paraId="4721927D" w14:textId="56DB7A8A" w:rsidR="00CE6BF3" w:rsidRPr="00CE6BF3" w:rsidRDefault="00CE6BF3" w:rsidP="00A45A19">
            <w:pPr>
              <w:pStyle w:val="Tabletext0"/>
              <w:spacing w:after="24"/>
              <w:jc w:val="center"/>
            </w:pPr>
            <w:r w:rsidRPr="00CE6BF3">
              <w:t>https://tinyurl.com/4j3t3t8m</w:t>
            </w:r>
          </w:p>
        </w:tc>
      </w:tr>
      <w:tr w:rsidR="00CE6BF3" w:rsidRPr="00756C70" w14:paraId="63077826" w14:textId="77777777" w:rsidTr="00CE6BF3">
        <w:trPr>
          <w:cnfStyle w:val="000000010000" w:firstRow="0" w:lastRow="0" w:firstColumn="0" w:lastColumn="0" w:oddVBand="0" w:evenVBand="0" w:oddHBand="0" w:evenHBand="1" w:firstRowFirstColumn="0" w:firstRowLastColumn="0" w:lastRowFirstColumn="0" w:lastRowLastColumn="0"/>
          <w:tblHeader w:val="0"/>
        </w:trPr>
        <w:tc>
          <w:tcPr>
            <w:tcW w:w="4819" w:type="dxa"/>
          </w:tcPr>
          <w:p w14:paraId="44020DDC" w14:textId="3CF8F4A6" w:rsidR="00CE6BF3" w:rsidRPr="00CE6BF3" w:rsidRDefault="00CE6BF3" w:rsidP="00CE6BF3">
            <w:pPr>
              <w:pStyle w:val="TableHeadingsColumn"/>
              <w:spacing w:before="144" w:after="24"/>
            </w:pPr>
            <w:r w:rsidRPr="00CE6BF3">
              <w:t>12. Human Genome Editing CJ</w:t>
            </w:r>
          </w:p>
        </w:tc>
        <w:tc>
          <w:tcPr>
            <w:tcW w:w="4820" w:type="dxa"/>
          </w:tcPr>
          <w:p w14:paraId="1DDA8405" w14:textId="35CE4917" w:rsidR="00CE6BF3" w:rsidRPr="00CE6BF3" w:rsidRDefault="00CE6BF3" w:rsidP="00A45A19">
            <w:pPr>
              <w:pStyle w:val="Tabletext0"/>
              <w:spacing w:after="24"/>
              <w:jc w:val="center"/>
            </w:pPr>
            <w:r w:rsidRPr="00CE6BF3">
              <w:t>https://tinyurl.com/ms7cdcp7</w:t>
            </w:r>
          </w:p>
        </w:tc>
      </w:tr>
    </w:tbl>
    <w:p w14:paraId="5057FAB8" w14:textId="53F05283" w:rsidR="005D0AF8" w:rsidRPr="009C0B42" w:rsidRDefault="005D0AF8" w:rsidP="005D0AF8">
      <w:pPr>
        <w:pStyle w:val="TableFooter"/>
      </w:pPr>
      <w:r w:rsidRPr="009C0B42">
        <w:t>Notes: †</w:t>
      </w:r>
      <w:r>
        <w:t>L</w:t>
      </w:r>
      <w:r w:rsidRPr="009C0B42">
        <w:t>inks valid 7 February 2022.</w:t>
      </w:r>
    </w:p>
    <w:p w14:paraId="137832B4" w14:textId="501ECEE9" w:rsidR="00705D97" w:rsidRDefault="001262C8" w:rsidP="00221E23">
      <w:pPr>
        <w:pStyle w:val="Heading2"/>
        <w:rPr>
          <w:lang w:val="en-GB"/>
        </w:rPr>
      </w:pPr>
      <w:bookmarkStart w:id="17" w:name="_Toc97203726"/>
      <w:bookmarkStart w:id="18" w:name="_Toc97203727"/>
      <w:bookmarkStart w:id="19" w:name="_Toc97203728"/>
      <w:bookmarkStart w:id="20" w:name="_Toc97203729"/>
      <w:bookmarkStart w:id="21" w:name="_Toc97203730"/>
      <w:bookmarkStart w:id="22" w:name="_Toc97203731"/>
      <w:bookmarkStart w:id="23" w:name="_Toc97203732"/>
      <w:bookmarkStart w:id="24" w:name="_Toc97203733"/>
      <w:bookmarkStart w:id="25" w:name="_Toc97203734"/>
      <w:bookmarkStart w:id="26" w:name="_Toc97203735"/>
      <w:bookmarkStart w:id="27" w:name="_Toc97203736"/>
      <w:bookmarkStart w:id="28" w:name="_Toc97203737"/>
      <w:bookmarkStart w:id="29" w:name="_Toc97203738"/>
      <w:bookmarkStart w:id="30" w:name="_Toc97203739"/>
      <w:bookmarkStart w:id="31" w:name="_Toc97203740"/>
      <w:bookmarkStart w:id="32" w:name="_Toc97203741"/>
      <w:bookmarkStart w:id="33" w:name="_Toc97203742"/>
      <w:bookmarkStart w:id="34" w:name="_Toc97203743"/>
      <w:bookmarkStart w:id="35" w:name="_Toc97203744"/>
      <w:bookmarkStart w:id="36" w:name="_Toc97203745"/>
      <w:bookmarkStart w:id="37" w:name="_Toc97203746"/>
      <w:bookmarkStart w:id="38" w:name="_Toc97203747"/>
      <w:bookmarkStart w:id="39" w:name="_Toc97203748"/>
      <w:bookmarkStart w:id="40" w:name="_Toc97203749"/>
      <w:bookmarkStart w:id="41" w:name="_Toc97203750"/>
      <w:bookmarkStart w:id="42" w:name="_Toc97203751"/>
      <w:bookmarkStart w:id="43" w:name="_Toc97203752"/>
      <w:bookmarkStart w:id="44" w:name="_Toc97203753"/>
      <w:bookmarkStart w:id="45" w:name="_Toc97203754"/>
      <w:bookmarkStart w:id="46" w:name="_Toc97203755"/>
      <w:bookmarkStart w:id="47" w:name="_Toc97203756"/>
      <w:bookmarkStart w:id="48" w:name="_Toc97203757"/>
      <w:bookmarkStart w:id="49" w:name="_Toc97203758"/>
      <w:bookmarkStart w:id="50" w:name="_Toc97203759"/>
      <w:bookmarkStart w:id="51" w:name="_Toc97203760"/>
      <w:bookmarkStart w:id="52" w:name="_Toc97203761"/>
      <w:bookmarkStart w:id="53" w:name="_Toc97203762"/>
      <w:bookmarkStart w:id="54" w:name="_Toc97203763"/>
      <w:bookmarkStart w:id="55" w:name="_Toc97203764"/>
      <w:bookmarkStart w:id="56" w:name="_Toc97203765"/>
      <w:bookmarkStart w:id="57" w:name="_Toc97203766"/>
      <w:bookmarkStart w:id="58" w:name="_Toc97203767"/>
      <w:bookmarkStart w:id="59" w:name="_Toc97203768"/>
      <w:bookmarkStart w:id="60" w:name="_Toc97203769"/>
      <w:bookmarkStart w:id="61" w:name="_Toc97203770"/>
      <w:bookmarkStart w:id="62" w:name="_Toc97203771"/>
      <w:bookmarkStart w:id="63" w:name="_Toc97203772"/>
      <w:bookmarkStart w:id="64" w:name="_Toc97203773"/>
      <w:bookmarkStart w:id="65" w:name="_Toc97203774"/>
      <w:bookmarkStart w:id="66" w:name="_Toc97203775"/>
      <w:bookmarkStart w:id="67" w:name="_Toc97203776"/>
      <w:bookmarkStart w:id="68" w:name="_Toc97203777"/>
      <w:bookmarkStart w:id="69" w:name="_Toc97231527"/>
      <w:bookmarkStart w:id="70" w:name="_Toc97231528"/>
      <w:bookmarkStart w:id="71" w:name="_Toc97231529"/>
      <w:bookmarkStart w:id="72" w:name="_Toc97231530"/>
      <w:bookmarkStart w:id="73" w:name="_Toc97231531"/>
      <w:bookmarkStart w:id="74" w:name="_Toc97231532"/>
      <w:bookmarkStart w:id="75" w:name="_Toc97231533"/>
      <w:bookmarkStart w:id="76" w:name="_Toc97231534"/>
      <w:bookmarkStart w:id="77" w:name="_Toc97231535"/>
      <w:bookmarkStart w:id="78" w:name="_Toc97231536"/>
      <w:bookmarkStart w:id="79" w:name="_Toc97231537"/>
      <w:bookmarkStart w:id="80" w:name="_Toc97231538"/>
      <w:bookmarkStart w:id="81" w:name="_Toc97231539"/>
      <w:bookmarkStart w:id="82" w:name="_Toc97231540"/>
      <w:bookmarkStart w:id="83" w:name="_Toc97231541"/>
      <w:bookmarkStart w:id="84" w:name="_Toc97231542"/>
      <w:bookmarkStart w:id="85" w:name="_Toc97231543"/>
      <w:bookmarkStart w:id="86" w:name="_Toc97231544"/>
      <w:bookmarkStart w:id="87" w:name="_Toc97231545"/>
      <w:bookmarkStart w:id="88" w:name="_Toc97231546"/>
      <w:bookmarkStart w:id="89" w:name="_Toc97231547"/>
      <w:bookmarkStart w:id="90" w:name="_Toc97231548"/>
      <w:bookmarkStart w:id="91" w:name="_Toc97231549"/>
      <w:bookmarkStart w:id="92" w:name="_Toc97231550"/>
      <w:bookmarkStart w:id="93" w:name="_Toc97231551"/>
      <w:bookmarkStart w:id="94" w:name="_Toc97231552"/>
      <w:bookmarkStart w:id="95" w:name="_Toc97231553"/>
      <w:bookmarkStart w:id="96" w:name="_Toc97231554"/>
      <w:bookmarkStart w:id="97" w:name="_Toc97231555"/>
      <w:bookmarkStart w:id="98" w:name="_Toc97231556"/>
      <w:bookmarkStart w:id="99" w:name="_Toc97231557"/>
      <w:bookmarkStart w:id="100" w:name="_Toc97231558"/>
      <w:bookmarkStart w:id="101" w:name="_Toc97231559"/>
      <w:bookmarkStart w:id="102" w:name="_Toc97231560"/>
      <w:bookmarkStart w:id="103" w:name="_Toc97231561"/>
      <w:bookmarkStart w:id="104" w:name="_Toc97231562"/>
      <w:bookmarkStart w:id="105" w:name="_Toc97231563"/>
      <w:bookmarkStart w:id="106" w:name="_Toc97231564"/>
      <w:bookmarkStart w:id="107" w:name="_Toc97231565"/>
      <w:bookmarkStart w:id="108" w:name="_Toc97231566"/>
      <w:bookmarkStart w:id="109" w:name="_Toc97231567"/>
      <w:bookmarkStart w:id="110" w:name="_Toc97231568"/>
      <w:bookmarkStart w:id="111" w:name="_Toc97231569"/>
      <w:bookmarkStart w:id="112" w:name="_Toc97231570"/>
      <w:bookmarkStart w:id="113" w:name="_Toc97231571"/>
      <w:bookmarkStart w:id="114" w:name="_Toc97231572"/>
      <w:bookmarkStart w:id="115" w:name="_Toc97231573"/>
      <w:bookmarkStart w:id="116" w:name="_Toc97231574"/>
      <w:bookmarkStart w:id="117" w:name="_Toc97231575"/>
      <w:bookmarkStart w:id="118" w:name="_Toc97231576"/>
      <w:bookmarkStart w:id="119" w:name="_Toc97231577"/>
      <w:bookmarkStart w:id="120" w:name="_Toc97231578"/>
      <w:bookmarkStart w:id="121" w:name="_Toc97231579"/>
      <w:bookmarkStart w:id="122" w:name="_Toc97231580"/>
      <w:bookmarkStart w:id="123" w:name="_Toc97203779"/>
      <w:bookmarkStart w:id="124" w:name="_Toc97231581"/>
      <w:bookmarkStart w:id="125" w:name="_Toc9762209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lang w:val="en-GB"/>
        </w:rPr>
        <w:t>Generat</w:t>
      </w:r>
      <w:r w:rsidR="66CDE17F" w:rsidRPr="374FF3A4">
        <w:rPr>
          <w:lang w:val="en-GB"/>
        </w:rPr>
        <w:t>ing Survey Data</w:t>
      </w:r>
      <w:bookmarkEnd w:id="123"/>
      <w:bookmarkEnd w:id="124"/>
      <w:bookmarkEnd w:id="125"/>
    </w:p>
    <w:p w14:paraId="27B6D6FC" w14:textId="5B73B2D0" w:rsidR="0068764C" w:rsidRDefault="0068764C" w:rsidP="00EE709F">
      <w:pPr>
        <w:pStyle w:val="Heading3"/>
      </w:pPr>
      <w:bookmarkStart w:id="126" w:name="_Toc97622096"/>
      <w:r>
        <w:t>Surveying Consideration Opinions</w:t>
      </w:r>
      <w:bookmarkEnd w:id="126"/>
    </w:p>
    <w:p w14:paraId="3E487D9B" w14:textId="7AED7134" w:rsidR="00E22B16" w:rsidRPr="009C0B42" w:rsidRDefault="00553307" w:rsidP="00861D12">
      <w:pPr>
        <w:pStyle w:val="Paragraphfirst"/>
      </w:pPr>
      <w:r w:rsidRPr="009C0B42">
        <w:t xml:space="preserve">Opinions regarding </w:t>
      </w:r>
      <w:r w:rsidR="008A522A" w:rsidRPr="009C0B42">
        <w:t>the set of</w:t>
      </w:r>
      <w:r w:rsidRPr="009C0B42">
        <w:t xml:space="preserve"> considerations can be surveyed using a Likert response along a </w:t>
      </w:r>
      <w:r w:rsidR="00191777" w:rsidRPr="009C0B42">
        <w:t>dis</w:t>
      </w:r>
      <w:r w:rsidRPr="009C0B42">
        <w:t>agree-agree scale</w:t>
      </w:r>
      <w:r w:rsidR="002E1A6B">
        <w:t>—</w:t>
      </w:r>
      <w:r w:rsidR="00CD4F84" w:rsidRPr="009C0B42">
        <w:t>usually either a 5</w:t>
      </w:r>
      <w:r w:rsidR="00E545B0" w:rsidRPr="009C0B42">
        <w:t>-point</w:t>
      </w:r>
      <w:r w:rsidR="00CD4F84" w:rsidRPr="009C0B42">
        <w:t xml:space="preserve"> or </w:t>
      </w:r>
      <w:r w:rsidR="00946312" w:rsidRPr="009C0B42">
        <w:t>7</w:t>
      </w:r>
      <w:r w:rsidR="00E545B0" w:rsidRPr="009C0B42">
        <w:t>-</w:t>
      </w:r>
      <w:r w:rsidR="00946312" w:rsidRPr="009C0B42">
        <w:t>point scale</w:t>
      </w:r>
      <w:r w:rsidR="00B555FA" w:rsidRPr="009C0B42">
        <w:t>, but up to 11-point for some of our cases</w:t>
      </w:r>
      <w:r w:rsidR="00946312" w:rsidRPr="009C0B42">
        <w:t>.</w:t>
      </w:r>
      <w:r w:rsidR="00E545B0" w:rsidRPr="009C0B42">
        <w:t xml:space="preserve"> </w:t>
      </w:r>
      <w:r w:rsidRPr="009C0B42">
        <w:t>However,</w:t>
      </w:r>
      <w:r w:rsidR="00B04CDF" w:rsidRPr="009C0B42">
        <w:t xml:space="preserve"> although Likert rating produces </w:t>
      </w:r>
      <w:r w:rsidR="00D57784" w:rsidRPr="009C0B42">
        <w:t xml:space="preserve">reasonable results, </w:t>
      </w:r>
      <w:r w:rsidR="00B04CDF" w:rsidRPr="009C0B42">
        <w:t xml:space="preserve">we have found that </w:t>
      </w:r>
      <w:r w:rsidR="00D57784" w:rsidRPr="009C0B42">
        <w:t xml:space="preserve">obtaining </w:t>
      </w:r>
      <w:r w:rsidR="00A84310" w:rsidRPr="009C0B42">
        <w:t xml:space="preserve">opinion on </w:t>
      </w:r>
      <w:r w:rsidR="00D57784" w:rsidRPr="009C0B42">
        <w:t>consideration</w:t>
      </w:r>
      <w:r w:rsidR="00A84310" w:rsidRPr="009C0B42">
        <w:t>s</w:t>
      </w:r>
      <w:r w:rsidR="00B04CDF" w:rsidRPr="009C0B42">
        <w:t xml:space="preserve"> </w:t>
      </w:r>
      <w:r w:rsidRPr="009C0B42">
        <w:t>using quasi-ranking</w:t>
      </w:r>
      <w:r w:rsidR="00946312" w:rsidRPr="009C0B42">
        <w:t xml:space="preserve"> </w:t>
      </w:r>
      <w:r w:rsidR="004E52AC" w:rsidRPr="009C0B42">
        <w:t>produces stronger results</w:t>
      </w:r>
      <w:r w:rsidRPr="009C0B42">
        <w:t xml:space="preserve">. </w:t>
      </w:r>
      <w:r w:rsidR="00884B03" w:rsidRPr="009C0B42">
        <w:t>Q</w:t>
      </w:r>
      <w:r w:rsidR="00961F90" w:rsidRPr="009C0B42">
        <w:t>uasi</w:t>
      </w:r>
      <w:r w:rsidR="00884B03" w:rsidRPr="009C0B42">
        <w:t>-</w:t>
      </w:r>
      <w:r w:rsidR="00961F90" w:rsidRPr="009C0B42">
        <w:t xml:space="preserve">ranking </w:t>
      </w:r>
      <w:r w:rsidR="00837309" w:rsidRPr="009C0B42">
        <w:t>is</w:t>
      </w:r>
      <w:r w:rsidR="00961F90" w:rsidRPr="009C0B42">
        <w:t xml:space="preserve"> commonly used in Q methodology, where </w:t>
      </w:r>
      <w:r w:rsidR="000A6FC8" w:rsidRPr="009C0B42">
        <w:t>responses are sorted into a pre-defined distribution</w:t>
      </w:r>
      <w:r w:rsidR="00C717AD" w:rsidRPr="009C0B42">
        <w:t>.</w:t>
      </w:r>
      <w:r w:rsidR="000A6FC8" w:rsidRPr="009C0B42">
        <w:t xml:space="preserve"> </w:t>
      </w:r>
      <w:r w:rsidR="00C717AD" w:rsidRPr="009C0B42">
        <w:t>T</w:t>
      </w:r>
      <w:r w:rsidR="000A6FC8" w:rsidRPr="009C0B42">
        <w:t xml:space="preserve">he </w:t>
      </w:r>
      <w:r w:rsidR="00E728C7" w:rsidRPr="009C0B42">
        <w:t>shape approximates a normal distribution</w:t>
      </w:r>
      <w:r w:rsidR="00E22B16" w:rsidRPr="009C0B42">
        <w:t xml:space="preserve"> across a series of (usually up to 11) categories (columns) from </w:t>
      </w:r>
      <w:r w:rsidR="00283C1B">
        <w:t>“</w:t>
      </w:r>
      <w:r w:rsidR="00E22B16" w:rsidRPr="009C0B42">
        <w:t>most disagree</w:t>
      </w:r>
      <w:r w:rsidR="00283C1B">
        <w:t>”</w:t>
      </w:r>
      <w:r w:rsidR="00E22B16" w:rsidRPr="009C0B42">
        <w:t xml:space="preserve"> to </w:t>
      </w:r>
      <w:r w:rsidR="00283C1B">
        <w:t>“</w:t>
      </w:r>
      <w:r w:rsidR="00E22B16" w:rsidRPr="009C0B42">
        <w:t>most agree.</w:t>
      </w:r>
      <w:r w:rsidR="00283C1B">
        <w:t>”</w:t>
      </w:r>
    </w:p>
    <w:p w14:paraId="09695079" w14:textId="5BA8A888" w:rsidR="0068764C" w:rsidRPr="009C0B42" w:rsidRDefault="0032492A" w:rsidP="00551FAF">
      <w:pPr>
        <w:pStyle w:val="paragraph"/>
      </w:pPr>
      <w:r>
        <w:t>G</w:t>
      </w:r>
      <w:r w:rsidR="00961F90" w:rsidRPr="009C0B42">
        <w:t>enerally</w:t>
      </w:r>
      <w:r w:rsidR="00423FDF">
        <w:t>,</w:t>
      </w:r>
      <w:r w:rsidR="00961F90" w:rsidRPr="009C0B42">
        <w:t xml:space="preserve"> the difference between forced and free ranking of statements has few consequences.</w:t>
      </w:r>
      <w:r w:rsidR="00E728C7" w:rsidRPr="009C0B42">
        <w:t xml:space="preserve"> We te</w:t>
      </w:r>
      <w:r w:rsidR="006A13ED" w:rsidRPr="009C0B42">
        <w:t>s</w:t>
      </w:r>
      <w:r w:rsidR="00E728C7" w:rsidRPr="009C0B42">
        <w:t>t</w:t>
      </w:r>
      <w:r w:rsidR="006A13ED" w:rsidRPr="009C0B42">
        <w:t>ed</w:t>
      </w:r>
      <w:r w:rsidR="00E728C7" w:rsidRPr="009C0B42">
        <w:t xml:space="preserve"> the difference</w:t>
      </w:r>
      <w:r w:rsidR="002872AA">
        <w:t>,</w:t>
      </w:r>
      <w:r w:rsidR="00115F2F" w:rsidRPr="009C0B42">
        <w:t xml:space="preserve"> </w:t>
      </w:r>
      <w:r w:rsidR="00E728C7" w:rsidRPr="009C0B42">
        <w:t xml:space="preserve">obtaining both </w:t>
      </w:r>
      <w:r w:rsidR="008A3D4B" w:rsidRPr="009C0B42">
        <w:t xml:space="preserve">types of response by first asking participants to provide a </w:t>
      </w:r>
      <w:r w:rsidR="004A061A" w:rsidRPr="009C0B42">
        <w:t xml:space="preserve">Likert response to </w:t>
      </w:r>
      <w:r w:rsidR="00A674A2" w:rsidRPr="009C0B42">
        <w:t>each consideration</w:t>
      </w:r>
      <w:r w:rsidR="004A061A" w:rsidRPr="009C0B42">
        <w:t xml:space="preserve"> statement</w:t>
      </w:r>
      <w:r w:rsidR="00115F2F" w:rsidRPr="009C0B42">
        <w:t xml:space="preserve">, </w:t>
      </w:r>
      <w:r w:rsidR="001A4D82" w:rsidRPr="009C0B42">
        <w:t>prior to their quasi-ranking</w:t>
      </w:r>
      <w:r w:rsidR="00115F2F" w:rsidRPr="009C0B42">
        <w:t xml:space="preserve">. </w:t>
      </w:r>
      <w:bookmarkStart w:id="127" w:name="ForcedVsUnforced_R1_11_Edit"/>
      <w:r w:rsidR="005B7083">
        <w:t>The correlation between</w:t>
      </w:r>
      <w:r w:rsidR="007B0AC6">
        <w:t xml:space="preserve"> the resulting</w:t>
      </w:r>
      <w:r w:rsidR="005B7083">
        <w:t xml:space="preserve"> DRI scores</w:t>
      </w:r>
      <w:r w:rsidR="00D04BCD">
        <w:t xml:space="preserve"> using these collection methods</w:t>
      </w:r>
      <w:r w:rsidR="005B7083">
        <w:t xml:space="preserve"> </w:t>
      </w:r>
      <w:r w:rsidR="007B0AC6">
        <w:t xml:space="preserve">is </w:t>
      </w:r>
      <w:r w:rsidR="00AB2DE4">
        <w:t>0.93.</w:t>
      </w:r>
      <w:bookmarkEnd w:id="127"/>
    </w:p>
    <w:p w14:paraId="3F89B96A" w14:textId="759A6B42" w:rsidR="00E22B16" w:rsidRPr="009C0B42" w:rsidRDefault="0068764C" w:rsidP="00EE709F">
      <w:pPr>
        <w:pStyle w:val="Heading3"/>
      </w:pPr>
      <w:bookmarkStart w:id="128" w:name="_Toc97622097"/>
      <w:r w:rsidRPr="009C0B42">
        <w:t>Surveying Policy Preferences</w:t>
      </w:r>
      <w:bookmarkEnd w:id="128"/>
    </w:p>
    <w:p w14:paraId="18D60E4C" w14:textId="1BBA2AB7" w:rsidR="00547472" w:rsidRDefault="00E22B16" w:rsidP="00861D12">
      <w:pPr>
        <w:pStyle w:val="Paragraphfirst"/>
      </w:pPr>
      <w:r w:rsidRPr="009C0B42">
        <w:t>Policy preferences are obtained using a ranked ordering of the available options</w:t>
      </w:r>
      <w:r w:rsidR="00553307" w:rsidRPr="009C0B42">
        <w:t xml:space="preserve"> (usually between 5 and 10) in the form of actions or policies.</w:t>
      </w:r>
      <w:r w:rsidRPr="009C0B42">
        <w:t xml:space="preserve"> </w:t>
      </w:r>
    </w:p>
    <w:p w14:paraId="7BAA49AD" w14:textId="600B316D" w:rsidR="00C22AD6" w:rsidRDefault="00C22AD6" w:rsidP="00EE709F">
      <w:pPr>
        <w:pStyle w:val="Heading1"/>
      </w:pPr>
      <w:bookmarkStart w:id="129" w:name="_Toc95225557"/>
      <w:bookmarkStart w:id="130" w:name="_Toc97203781"/>
      <w:bookmarkStart w:id="131" w:name="_Toc97231582"/>
      <w:bookmarkStart w:id="132" w:name="_Toc97622099"/>
      <w:bookmarkEnd w:id="129"/>
      <w:r>
        <w:lastRenderedPageBreak/>
        <w:t>DRI</w:t>
      </w:r>
      <w:r w:rsidR="001225FC">
        <w:t xml:space="preserve"> Method: Calculations and Procedures</w:t>
      </w:r>
      <w:bookmarkEnd w:id="130"/>
      <w:bookmarkEnd w:id="131"/>
      <w:bookmarkEnd w:id="132"/>
    </w:p>
    <w:p w14:paraId="5BC9C0D7" w14:textId="2DFF7040" w:rsidR="00C22AD6" w:rsidRDefault="001225FC" w:rsidP="00EE709F">
      <w:pPr>
        <w:pStyle w:val="Heading2"/>
      </w:pPr>
      <w:bookmarkStart w:id="133" w:name="_Toc97203782"/>
      <w:bookmarkStart w:id="134" w:name="_Toc97231583"/>
      <w:bookmarkStart w:id="135" w:name="_Toc97622100"/>
      <w:r>
        <w:t>Procedure for Calculating DRI</w:t>
      </w:r>
      <w:bookmarkEnd w:id="133"/>
      <w:bookmarkEnd w:id="134"/>
      <w:bookmarkEnd w:id="135"/>
    </w:p>
    <w:p w14:paraId="1897B355" w14:textId="3E816FB5" w:rsidR="00211B2A" w:rsidRPr="009C0B42" w:rsidRDefault="0E345509" w:rsidP="002A63D3">
      <w:pPr>
        <w:pStyle w:val="Paragraphfirst"/>
      </w:pPr>
      <w:r>
        <w:t xml:space="preserve">Here we expand on the procedure for calculating DRI. </w:t>
      </w:r>
      <w:r>
        <w:fldChar w:fldCharType="begin"/>
      </w:r>
      <w:r>
        <w:instrText>REF _Ref122352316</w:instrText>
      </w:r>
      <w:r>
        <w:fldChar w:fldCharType="separate"/>
      </w:r>
      <w:r>
        <w:t xml:space="preserve">Figure </w:t>
      </w:r>
      <w:r w:rsidRPr="0E345509">
        <w:rPr>
          <w:noProof/>
        </w:rPr>
        <w:t>C.1</w:t>
      </w:r>
      <w:r>
        <w:t>.</w:t>
      </w:r>
      <w:r w:rsidRPr="0E345509">
        <w:rPr>
          <w:noProof/>
        </w:rPr>
        <w:t>1</w:t>
      </w:r>
      <w:r>
        <w:fldChar w:fldCharType="end"/>
      </w:r>
      <w:r>
        <w:t xml:space="preserve"> is a more detailed version of Figure 1 in the main text. The figure plots intersubjective consistency for four sample individuals (A,B,C,D) from the FNQCJ case.</w:t>
      </w:r>
    </w:p>
    <w:p w14:paraId="09C80F81" w14:textId="2D12CDCA" w:rsidR="000D1569" w:rsidRPr="009C0B42" w:rsidRDefault="009D3C8D" w:rsidP="00551FAF">
      <w:pPr>
        <w:pStyle w:val="paragraph"/>
      </w:pPr>
      <w:r w:rsidRPr="009C0B42">
        <w:t>T</w:t>
      </w:r>
      <w:r w:rsidR="000D1569" w:rsidRPr="009C0B42">
        <w:t>he DRI method involves aggregating geometric distances rather than us</w:t>
      </w:r>
      <w:r w:rsidRPr="009C0B42">
        <w:t xml:space="preserve">ing </w:t>
      </w:r>
      <w:r w:rsidR="000D1569" w:rsidRPr="009C0B42">
        <w:t xml:space="preserve">a least squares method (such as Lin’s Concordance) to </w:t>
      </w:r>
      <w:r w:rsidR="009712F9" w:rsidRPr="009C0B42">
        <w:t>ascertain</w:t>
      </w:r>
      <w:r w:rsidR="000D1569" w:rsidRPr="009C0B42">
        <w:t xml:space="preserve"> the consistency relationship between considerations and preferences. </w:t>
      </w:r>
      <w:r w:rsidR="009712F9" w:rsidRPr="009C0B42">
        <w:t>T</w:t>
      </w:r>
      <w:r w:rsidR="000D1569" w:rsidRPr="009C0B42">
        <w:t>his approach</w:t>
      </w:r>
      <w:r w:rsidR="000D1569" w:rsidRPr="009C0B42" w:rsidDel="009712F9">
        <w:t xml:space="preserve"> </w:t>
      </w:r>
      <w:r w:rsidR="000D1569" w:rsidRPr="009C0B42">
        <w:t>overcome</w:t>
      </w:r>
      <w:r w:rsidR="009712F9" w:rsidRPr="009C0B42">
        <w:t>s</w:t>
      </w:r>
      <w:r w:rsidR="000D1569" w:rsidRPr="009C0B42">
        <w:t xml:space="preserve"> the problem of domain restriction</w:t>
      </w:r>
      <w:r w:rsidR="00211B2A" w:rsidRPr="009C0B42">
        <w:t xml:space="preserve"> </w:t>
      </w:r>
      <w:r w:rsidR="009D273F" w:rsidRPr="009C0B42">
        <w:t>(Meade 2010)</w:t>
      </w:r>
      <w:r w:rsidR="000D1569" w:rsidRPr="009C0B42">
        <w:t xml:space="preserve">. The effect </w:t>
      </w:r>
      <w:r w:rsidR="00D42676" w:rsidRPr="009C0B42">
        <w:t xml:space="preserve">of </w:t>
      </w:r>
      <w:r w:rsidR="00211B2A" w:rsidRPr="009C0B42">
        <w:t xml:space="preserve">domain restriction </w:t>
      </w:r>
      <w:r w:rsidR="000D1569" w:rsidRPr="009C0B42">
        <w:t>is illustrated by comparing the left-hand side of</w:t>
      </w:r>
      <w:r w:rsidR="007D2B73">
        <w:t xml:space="preserve"> </w:t>
      </w:r>
      <w:r>
        <w:fldChar w:fldCharType="begin"/>
      </w:r>
      <w:r>
        <w:instrText>REF _Ref122352316</w:instrText>
      </w:r>
      <w:r>
        <w:fldChar w:fldCharType="separate"/>
      </w:r>
      <w:r w:rsidR="007D2B73">
        <w:t xml:space="preserve">Figure </w:t>
      </w:r>
      <w:r w:rsidR="007D2B73">
        <w:rPr>
          <w:noProof/>
        </w:rPr>
        <w:t>C.1</w:t>
      </w:r>
      <w:r w:rsidR="007D2B73">
        <w:t>.</w:t>
      </w:r>
      <w:r w:rsidR="007D2B73">
        <w:rPr>
          <w:noProof/>
        </w:rPr>
        <w:t>1</w:t>
      </w:r>
      <w:r>
        <w:fldChar w:fldCharType="end"/>
      </w:r>
      <w:r w:rsidR="000D1569" w:rsidRPr="009C0B42">
        <w:t xml:space="preserve">, which reports data from a subsample of actual pairs from the FNQCJ case </w:t>
      </w:r>
      <w:r w:rsidR="00896369">
        <w:t>(reported in Figure 1</w:t>
      </w:r>
      <w:r w:rsidR="00EA3422">
        <w:t xml:space="preserve"> in the main text</w:t>
      </w:r>
      <w:r w:rsidR="00896369">
        <w:t xml:space="preserve">) </w:t>
      </w:r>
      <w:r w:rsidR="000D1569" w:rsidRPr="009C0B42">
        <w:t xml:space="preserve">to the </w:t>
      </w:r>
      <w:r w:rsidR="006F4026" w:rsidRPr="009C0B42">
        <w:t>right-hand</w:t>
      </w:r>
      <w:r w:rsidR="000D1569" w:rsidRPr="009C0B42">
        <w:t xml:space="preserve"> side of the figure, which illustrates a hypothetical </w:t>
      </w:r>
      <w:r w:rsidR="00283C1B">
        <w:t>“</w:t>
      </w:r>
      <w:r w:rsidR="000D1569" w:rsidRPr="009C0B42">
        <w:t>strong consensus</w:t>
      </w:r>
      <w:r w:rsidR="00283C1B">
        <w:t>”</w:t>
      </w:r>
      <w:r w:rsidR="000D1569" w:rsidRPr="009C0B42">
        <w:t xml:space="preserve"> case where the same individuals increase their overall agreement regarding considerations and </w:t>
      </w:r>
      <w:r w:rsidR="00CB3C69" w:rsidRPr="009C0B42">
        <w:t>preferences but</w:t>
      </w:r>
      <w:r w:rsidR="000D1569" w:rsidRPr="009C0B42">
        <w:t xml:space="preserve"> maintain the same level of intersubjective consistency.</w:t>
      </w:r>
      <w:r w:rsidR="001F2ADB">
        <w:t xml:space="preserve"> </w:t>
      </w:r>
      <w:r w:rsidR="000D1569" w:rsidRPr="009C0B42">
        <w:t>If we were to use a least squares method, the strong consensus case would result in a lower aggregate result, even though there has been no actual change in level of consistency. Hence</w:t>
      </w:r>
      <w:r w:rsidR="008F629B" w:rsidRPr="009C0B42" w:rsidDel="003D5478">
        <w:t xml:space="preserve"> </w:t>
      </w:r>
      <w:r w:rsidR="000D1569" w:rsidRPr="009C0B42">
        <w:t>our method involv</w:t>
      </w:r>
      <w:r w:rsidR="006642AD" w:rsidRPr="009C0B42">
        <w:t>es</w:t>
      </w:r>
      <w:r w:rsidR="000D1569" w:rsidRPr="009C0B42">
        <w:t xml:space="preserve"> aggregation and standardization of intersubjective consistency, measured as the distance from the 1:1 line</w:t>
      </w:r>
      <w:r w:rsidR="00C903DC" w:rsidRPr="009C0B42">
        <w:t>,</w:t>
      </w:r>
      <w:r w:rsidR="000D1569" w:rsidRPr="009C0B42">
        <w:t xml:space="preserve"> using the following steps</w:t>
      </w:r>
      <w:r w:rsidR="008F629B" w:rsidRPr="009C0B42">
        <w:t>:</w:t>
      </w:r>
    </w:p>
    <w:p w14:paraId="3888183E" w14:textId="602960C0" w:rsidR="00DA2FD8" w:rsidRPr="009C0B42" w:rsidRDefault="00DA2FD8" w:rsidP="00EE709F">
      <w:pPr>
        <w:pStyle w:val="ListParagraph"/>
        <w:numPr>
          <w:ilvl w:val="0"/>
          <w:numId w:val="2"/>
        </w:numPr>
      </w:pPr>
      <w:r w:rsidRPr="009C0B42">
        <w:t>C</w:t>
      </w:r>
      <w:r w:rsidR="007519B2" w:rsidRPr="009C0B42">
        <w:t>orrelating</w:t>
      </w:r>
      <w:r w:rsidR="00B546CF" w:rsidRPr="009C0B42">
        <w:t xml:space="preserve"> pairs of individuals</w:t>
      </w:r>
      <w:r w:rsidRPr="009C0B42">
        <w:t xml:space="preserve">’ survey responses to </w:t>
      </w:r>
      <w:r w:rsidR="007519B2" w:rsidRPr="009C0B42">
        <w:t>considerations, and</w:t>
      </w:r>
      <w:r w:rsidRPr="009C0B42">
        <w:t xml:space="preserve"> also (separately) </w:t>
      </w:r>
      <w:r w:rsidR="007062C5">
        <w:t>pairs’</w:t>
      </w:r>
      <w:r w:rsidR="007164A2" w:rsidRPr="009C0B42">
        <w:t xml:space="preserve"> </w:t>
      </w:r>
      <w:r w:rsidRPr="009C0B42">
        <w:t xml:space="preserve">policy </w:t>
      </w:r>
      <w:r w:rsidR="007519B2" w:rsidRPr="009C0B42">
        <w:t>preference</w:t>
      </w:r>
      <w:r w:rsidRPr="009C0B42">
        <w:t xml:space="preserve">s </w:t>
      </w:r>
      <w:r w:rsidR="007519B2" w:rsidRPr="009C0B42">
        <w:t>using Spearman correlation</w:t>
      </w:r>
      <w:r w:rsidR="007164A2" w:rsidRPr="009C0B42">
        <w:t>,</w:t>
      </w:r>
      <w:r w:rsidR="007519B2" w:rsidRPr="009C0B42">
        <w:t xml:space="preserve"> </w:t>
      </w:r>
      <w:r w:rsidR="007519B2" w:rsidRPr="00223450">
        <w:rPr>
          <w:rFonts w:eastAsia="Calibri"/>
        </w:rPr>
        <w:t>ρ</w:t>
      </w:r>
      <w:r w:rsidR="007519B2" w:rsidRPr="009C0B42">
        <w:t xml:space="preserve">. </w:t>
      </w:r>
    </w:p>
    <w:p w14:paraId="542DB6C6" w14:textId="77777777" w:rsidR="002A28B4" w:rsidRPr="009C0B42" w:rsidRDefault="00DA2FD8" w:rsidP="00EE709F">
      <w:pPr>
        <w:pStyle w:val="ListParagraph"/>
        <w:numPr>
          <w:ilvl w:val="0"/>
          <w:numId w:val="2"/>
        </w:numPr>
      </w:pPr>
      <w:r w:rsidRPr="009C0B42">
        <w:rPr>
          <w:rFonts w:eastAsia="Calibri"/>
        </w:rPr>
        <w:t>Calculating intersubjective</w:t>
      </w:r>
      <w:r w:rsidR="007519B2" w:rsidRPr="009C0B42">
        <w:t xml:space="preserve"> consistency for all </w:t>
      </w:r>
      <w:r w:rsidRPr="009C0B42">
        <w:t xml:space="preserve">combinations of </w:t>
      </w:r>
      <w:r w:rsidR="007519B2" w:rsidRPr="009C0B42">
        <w:t xml:space="preserve">pairs of individuals. </w:t>
      </w:r>
    </w:p>
    <w:p w14:paraId="1ACFBCE4" w14:textId="1FE9D258" w:rsidR="002A28B4" w:rsidRPr="009C0B42" w:rsidRDefault="002A28B4" w:rsidP="00EE709F">
      <w:pPr>
        <w:pStyle w:val="ListParagraph"/>
        <w:numPr>
          <w:ilvl w:val="0"/>
          <w:numId w:val="2"/>
        </w:numPr>
      </w:pPr>
      <w:r w:rsidRPr="009C0B42">
        <w:t>C</w:t>
      </w:r>
      <w:r w:rsidR="007519B2" w:rsidRPr="009C0B42">
        <w:t>alculating DRI for each individual</w:t>
      </w:r>
      <w:r w:rsidR="00BF0CC2" w:rsidRPr="009C0B42">
        <w:t xml:space="preserve"> by aggregating intersubjective consistency for all pairs including that individual</w:t>
      </w:r>
      <w:r w:rsidRPr="009C0B42">
        <w:t xml:space="preserve"> (this data </w:t>
      </w:r>
      <w:r w:rsidR="00B2782D" w:rsidRPr="009C0B42">
        <w:t>is</w:t>
      </w:r>
      <w:r w:rsidRPr="009C0B42">
        <w:t xml:space="preserve"> used in the MLM analysis)</w:t>
      </w:r>
      <w:r w:rsidR="007519B2" w:rsidRPr="009C0B42">
        <w:t>.</w:t>
      </w:r>
    </w:p>
    <w:p w14:paraId="1E05475F" w14:textId="02DD037B" w:rsidR="007519B2" w:rsidRPr="009C0B42" w:rsidRDefault="002A28B4" w:rsidP="00EE709F">
      <w:pPr>
        <w:pStyle w:val="ListParagraph"/>
        <w:numPr>
          <w:ilvl w:val="0"/>
          <w:numId w:val="2"/>
        </w:numPr>
      </w:pPr>
      <w:r w:rsidRPr="009C0B42">
        <w:t>Aggregating individual DRI</w:t>
      </w:r>
      <w:r w:rsidR="007519B2" w:rsidRPr="009C0B42">
        <w:t xml:space="preserve"> to produce DRI for the group</w:t>
      </w:r>
      <w:r w:rsidRPr="009C0B42">
        <w:t xml:space="preserve"> (reported in Table 3 in the main text</w:t>
      </w:r>
      <w:r w:rsidR="00FB76E4" w:rsidRPr="009C0B42">
        <w:t>)</w:t>
      </w:r>
      <w:r w:rsidRPr="009C0B42">
        <w:t>.</w:t>
      </w:r>
    </w:p>
    <w:p w14:paraId="1E5C6E2D" w14:textId="5893DE62" w:rsidR="001E10E9" w:rsidRDefault="005227A5" w:rsidP="002A63D3">
      <w:pPr>
        <w:pStyle w:val="Paragraphfirst"/>
      </w:pPr>
      <w:r w:rsidRPr="009C0B42">
        <w:t>In step 1, the intersubjective correlations for both considerations (</w:t>
      </w:r>
      <m:oMath>
        <m:sSubSup>
          <m:sSubSupPr>
            <m:ctrlPr>
              <w:rPr>
                <w:rFonts w:ascii="Cambria Math" w:hAnsi="Cambria Math"/>
                <w:i/>
              </w:rPr>
            </m:ctrlPr>
          </m:sSubSupPr>
          <m:e>
            <m:r>
              <w:rPr>
                <w:rFonts w:ascii="Cambria Math" w:hAnsi="Cambria Math"/>
              </w:rPr>
              <m:t>ρ</m:t>
            </m:r>
          </m:e>
          <m:sub>
            <m:r>
              <w:rPr>
                <w:rFonts w:ascii="Cambria Math" w:hAnsi="Cambria Math"/>
              </w:rPr>
              <m:t>j</m:t>
            </m:r>
          </m:sub>
          <m:sup>
            <m:r>
              <w:rPr>
                <w:rFonts w:ascii="Cambria Math" w:hAnsi="Cambria Math"/>
              </w:rPr>
              <m:t>cons</m:t>
            </m:r>
          </m:sup>
        </m:sSubSup>
      </m:oMath>
      <w:r w:rsidRPr="009C0B42">
        <w:rPr>
          <w:rFonts w:eastAsiaTheme="minorEastAsia"/>
        </w:rPr>
        <w:t>) and preferences (</w:t>
      </w:r>
      <m:oMath>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j</m:t>
            </m:r>
          </m:sub>
          <m:sup>
            <m:r>
              <w:rPr>
                <w:rFonts w:ascii="Cambria Math" w:eastAsiaTheme="minorEastAsia" w:hAnsi="Cambria Math"/>
              </w:rPr>
              <m:t>pref</m:t>
            </m:r>
          </m:sup>
        </m:sSubSup>
      </m:oMath>
      <w:r w:rsidRPr="009C0B42">
        <w:rPr>
          <w:rFonts w:eastAsiaTheme="minorEastAsia"/>
        </w:rPr>
        <w:t>)</w:t>
      </w:r>
      <w:r w:rsidRPr="009C0B42">
        <w:t xml:space="preserve"> are calculated for all sets of pairs (J = [AB, AC, AD, BC, BD, CD])</w:t>
      </w:r>
      <w:r w:rsidR="00F6567D" w:rsidRPr="009C0B42">
        <w:t xml:space="preserve"> using Spearman’s rank correlation</w:t>
      </w:r>
      <w:r w:rsidR="00EA17FE" w:rsidRPr="009C0B42">
        <w:t>. F</w:t>
      </w:r>
      <w:r w:rsidRPr="009C0B42">
        <w:t xml:space="preserve">or </w:t>
      </w:r>
      <w:r w:rsidRPr="00C72A9C">
        <w:rPr>
          <w:i/>
          <w:iCs/>
        </w:rPr>
        <w:t>n</w:t>
      </w:r>
      <w:r w:rsidRPr="009C0B42">
        <w:t> = </w:t>
      </w:r>
      <w:r w:rsidR="00F2654D">
        <w:t>4</w:t>
      </w:r>
      <w:r w:rsidRPr="009C0B42">
        <w:t xml:space="preserve"> individuals in the example, the total number of pairs</w:t>
      </w:r>
      <w:r w:rsidR="00C72A9C">
        <w:t xml:space="preserve"> </w:t>
      </w:r>
      <m:oMath>
        <m:sSub>
          <m:sSubPr>
            <m:ctrlPr>
              <w:rPr>
                <w:rFonts w:ascii="Cambria Math" w:hAnsi="Cambria Math"/>
                <w:i/>
              </w:rPr>
            </m:ctrlPr>
          </m:sSubPr>
          <m:e>
            <m:r>
              <w:rPr>
                <w:rFonts w:ascii="Cambria Math" w:hAnsi="Cambria Math"/>
              </w:rPr>
              <m:t>(n</m:t>
            </m:r>
          </m:e>
          <m:sub>
            <m:r>
              <w:rPr>
                <w:rFonts w:ascii="Cambria Math" w:hAnsi="Cambria Math"/>
              </w:rPr>
              <m:t>z</m:t>
            </m:r>
          </m:sub>
        </m:sSub>
      </m:oMath>
      <w:r w:rsidR="00C72A9C">
        <w:t xml:space="preserve">) </w:t>
      </w:r>
      <w:r w:rsidR="00B0792B">
        <w:t>can be calculated:</w:t>
      </w:r>
    </w:p>
    <w:p w14:paraId="68B65A48" w14:textId="5A80EE05" w:rsidR="00F6567D" w:rsidRPr="009C0B42" w:rsidRDefault="001340B4" w:rsidP="008B3F05">
      <w:pPr>
        <w:pStyle w:val="paragraph"/>
        <w:spacing w:line="240" w:lineRule="auto"/>
        <w:jc w:val="cente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z</m:t>
            </m:r>
          </m:sub>
        </m:sSub>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num>
          <m:den>
            <m:r>
              <w:rPr>
                <w:rFonts w:ascii="Cambria Math" w:hAnsi="Cambria Math"/>
              </w:rPr>
              <m:t>2</m:t>
            </m:r>
          </m:den>
        </m:f>
        <m:r>
          <w:rPr>
            <w:rFonts w:ascii="Cambria Math" w:hAnsi="Cambria Math"/>
          </w:rPr>
          <m:t>=6</m:t>
        </m:r>
      </m:oMath>
      <w:r w:rsidR="005227A5" w:rsidRPr="009C0B42">
        <w:rPr>
          <w:rFonts w:eastAsiaTheme="minorEastAsia"/>
        </w:rPr>
        <w:t>.</w:t>
      </w:r>
    </w:p>
    <w:p w14:paraId="769C1B23" w14:textId="21B8B7D3" w:rsidR="00F6567D" w:rsidRPr="009C0B42" w:rsidRDefault="00F6567D" w:rsidP="00650EAB">
      <w:pPr>
        <w:pStyle w:val="paragraph"/>
        <w:rPr>
          <w:rFonts w:eastAsiaTheme="minorEastAsia"/>
        </w:rPr>
      </w:pPr>
      <w:r w:rsidRPr="009C0B42">
        <w:rPr>
          <w:rFonts w:eastAsiaTheme="minorEastAsia"/>
        </w:rPr>
        <w:t xml:space="preserve">Spearman </w:t>
      </w:r>
      <w:r w:rsidRPr="00FC3589">
        <w:rPr>
          <w:rFonts w:eastAsiaTheme="minorEastAsia"/>
        </w:rPr>
        <w:t>ρ</w:t>
      </w:r>
      <w:r w:rsidRPr="009C0B42">
        <w:rPr>
          <w:rFonts w:eastAsiaTheme="minorEastAsia"/>
        </w:rPr>
        <w:t xml:space="preserve"> is used because it is appropriate </w:t>
      </w:r>
      <w:r w:rsidR="00E834F3" w:rsidRPr="009C0B42">
        <w:rPr>
          <w:rFonts w:eastAsiaTheme="minorEastAsia"/>
        </w:rPr>
        <w:t>for</w:t>
      </w:r>
      <w:r w:rsidRPr="009C0B42">
        <w:rPr>
          <w:rFonts w:eastAsiaTheme="minorEastAsia"/>
        </w:rPr>
        <w:t xml:space="preserve"> correlat</w:t>
      </w:r>
      <w:r w:rsidR="00E834F3" w:rsidRPr="009C0B42">
        <w:rPr>
          <w:rFonts w:eastAsiaTheme="minorEastAsia"/>
        </w:rPr>
        <w:t>ing</w:t>
      </w:r>
      <w:r w:rsidRPr="009C0B42">
        <w:rPr>
          <w:rFonts w:eastAsiaTheme="minorEastAsia"/>
        </w:rPr>
        <w:t xml:space="preserve"> non-linear relationships and ordinal data such as Likert scale ranks</w:t>
      </w:r>
      <w:r w:rsidRPr="009C0B42">
        <w:t xml:space="preserve"> </w:t>
      </w:r>
      <w:r w:rsidR="009D273F" w:rsidRPr="009C0B42">
        <w:t>(Lehman et al. 2013, 127)</w:t>
      </w:r>
      <w:r w:rsidRPr="009C0B42">
        <w:t xml:space="preserve">. These calculations were performed </w:t>
      </w:r>
      <w:r w:rsidRPr="00673607">
        <w:t xml:space="preserve">using the R script </w:t>
      </w:r>
      <w:r w:rsidRPr="009C0B42">
        <w:t>(</w:t>
      </w:r>
      <w:r w:rsidR="007667F3">
        <w:t xml:space="preserve">data </w:t>
      </w:r>
      <w:r w:rsidRPr="009C0B42">
        <w:t>step 1</w:t>
      </w:r>
      <w:r w:rsidR="00FE4872">
        <w:t xml:space="preserve">; </w:t>
      </w:r>
      <w:r w:rsidR="0097599C">
        <w:t>see Dataverse repository</w:t>
      </w:r>
      <w:r w:rsidR="00FE4872">
        <w:t xml:space="preserve"> </w:t>
      </w:r>
      <w:hyperlink r:id="rId22" w:tgtFrame="_blank" w:history="1">
        <w:r w:rsidR="00086E84" w:rsidRPr="007D6F3D">
          <w:rPr>
            <w:rStyle w:val="Hyperlink"/>
            <w:lang w:val="en-AU"/>
          </w:rPr>
          <w:t>https://doi.org/10.7910/DVN/6OKNOY</w:t>
        </w:r>
      </w:hyperlink>
      <w:r w:rsidR="00086E84">
        <w:t>)</w:t>
      </w:r>
      <w:r w:rsidRPr="009C0B42">
        <w:t>.</w:t>
      </w:r>
    </w:p>
    <w:p w14:paraId="655004C9" w14:textId="06A74601" w:rsidR="005227A5" w:rsidRPr="009C0B42" w:rsidRDefault="00364995" w:rsidP="00551FAF">
      <w:pPr>
        <w:pStyle w:val="paragraph"/>
        <w:rPr>
          <w:rFonts w:eastAsia="Calibri"/>
        </w:rPr>
      </w:pPr>
      <w:r w:rsidRPr="009C0B42">
        <w:lastRenderedPageBreak/>
        <w:t>Figure C</w:t>
      </w:r>
      <w:r w:rsidR="00F431D5">
        <w:t>.</w:t>
      </w:r>
      <w:r w:rsidRPr="009C0B42">
        <w:rPr>
          <w:noProof/>
        </w:rPr>
        <w:t>1</w:t>
      </w:r>
      <w:r w:rsidR="00F431D5">
        <w:rPr>
          <w:noProof/>
        </w:rPr>
        <w:t>.1</w:t>
      </w:r>
      <w:r w:rsidR="008C4201">
        <w:rPr>
          <w:noProof/>
        </w:rPr>
        <w:t xml:space="preserve"> </w:t>
      </w:r>
      <w:r w:rsidR="005227A5" w:rsidRPr="0E345509">
        <w:rPr>
          <w:rFonts w:eastAsiaTheme="minorEastAsia"/>
        </w:rPr>
        <w:t xml:space="preserve">plots </w:t>
      </w:r>
      <w:r w:rsidR="00E010A6" w:rsidRPr="0E345509">
        <w:rPr>
          <w:rFonts w:eastAsiaTheme="minorEastAsia"/>
        </w:rPr>
        <w:t>all six example</w:t>
      </w:r>
      <w:r w:rsidR="005227A5" w:rsidRPr="0E345509">
        <w:rPr>
          <w:rFonts w:eastAsiaTheme="minorEastAsia"/>
        </w:rPr>
        <w:t xml:space="preserve"> pairs</w:t>
      </w:r>
      <w:r w:rsidR="00E010A6" w:rsidRPr="0E345509">
        <w:rPr>
          <w:rFonts w:eastAsiaTheme="minorEastAsia"/>
        </w:rPr>
        <w:t xml:space="preserve"> (</w:t>
      </w:r>
      <w:proofErr w:type="spellStart"/>
      <w:r w:rsidR="00E010A6" w:rsidRPr="00EA3422">
        <w:rPr>
          <w:rFonts w:eastAsiaTheme="minorEastAsia"/>
        </w:rPr>
        <w:t>i</w:t>
      </w:r>
      <w:proofErr w:type="spellEnd"/>
      <w:r w:rsidR="00E010A6" w:rsidRPr="0E345509">
        <w:rPr>
          <w:rFonts w:eastAsiaTheme="minorEastAsia"/>
        </w:rPr>
        <w:t>,</w:t>
      </w:r>
      <w:r w:rsidRPr="00EA3422">
        <w:rPr>
          <w:rFonts w:eastAsiaTheme="minorEastAsia"/>
        </w:rPr>
        <w:t xml:space="preserve"> </w:t>
      </w:r>
      <w:r w:rsidR="00E010A6" w:rsidRPr="00EA3422">
        <w:rPr>
          <w:rFonts w:eastAsiaTheme="minorEastAsia"/>
        </w:rPr>
        <w:t>j</w:t>
      </w:r>
      <w:r w:rsidR="00E010A6" w:rsidRPr="0E345509">
        <w:rPr>
          <w:rFonts w:eastAsiaTheme="minorEastAsia"/>
        </w:rPr>
        <w:t>)</w:t>
      </w:r>
      <w:r w:rsidR="005227A5" w:rsidRPr="0E345509">
        <w:rPr>
          <w:rFonts w:eastAsiaTheme="minorEastAsia"/>
        </w:rPr>
        <w:t xml:space="preserve">, </w:t>
      </w:r>
      <w:r w:rsidR="003F6018" w:rsidRPr="0E345509">
        <w:rPr>
          <w:rFonts w:eastAsiaTheme="minorEastAsia"/>
        </w:rPr>
        <w:t>based on</w:t>
      </w:r>
      <w:r w:rsidR="005227A5" w:rsidRPr="009C0B42">
        <w:rPr>
          <w:rFonts w:eastAsia="Calibri"/>
        </w:rPr>
        <w:t xml:space="preserve"> </w:t>
      </w:r>
      <w:r w:rsidR="00E010A6" w:rsidRPr="009C0B42">
        <w:rPr>
          <w:rFonts w:eastAsia="Calibri"/>
        </w:rPr>
        <w:t>their Spearman correlations</w:t>
      </w:r>
      <w:r w:rsidR="005227A5" w:rsidRPr="009C0B42">
        <w:rPr>
          <w:rFonts w:eastAsia="Calibri"/>
        </w:rPr>
        <w:t xml:space="preserve"> (</w:t>
      </w:r>
      <m:oMath>
        <m:sSubSup>
          <m:sSubSupPr>
            <m:ctrlPr>
              <w:rPr>
                <w:rFonts w:ascii="Cambria Math" w:hAnsi="Cambria Math"/>
                <w:i/>
              </w:rPr>
            </m:ctrlPr>
          </m:sSubSupPr>
          <m:e>
            <m:r>
              <w:rPr>
                <w:rFonts w:ascii="Cambria Math" w:hAnsi="Cambria Math"/>
              </w:rPr>
              <m:t>ρ</m:t>
            </m:r>
          </m:e>
          <m:sub>
            <m:r>
              <w:rPr>
                <w:rFonts w:ascii="Cambria Math" w:hAnsi="Cambria Math"/>
              </w:rPr>
              <m:t>i,j</m:t>
            </m:r>
          </m:sub>
          <m:sup>
            <m:r>
              <w:rPr>
                <w:rFonts w:ascii="Cambria Math" w:hAnsi="Cambria Math"/>
              </w:rPr>
              <m:t>cons</m:t>
            </m:r>
          </m:sup>
        </m:sSubSup>
      </m:oMath>
      <w:r w:rsidR="005227A5" w:rsidRPr="009C0B42">
        <w:rPr>
          <w:rFonts w:eastAsia="Calibri"/>
        </w:rPr>
        <w:t>and</w:t>
      </w:r>
      <w:r w:rsidR="009D7FF0">
        <w:rPr>
          <w:rFonts w:eastAsia="Calibri"/>
        </w:rPr>
        <w:t> </w:t>
      </w:r>
      <m:oMath>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i,j</m:t>
            </m:r>
          </m:sub>
          <m:sup>
            <m:r>
              <w:rPr>
                <w:rFonts w:ascii="Cambria Math" w:eastAsiaTheme="minorEastAsia" w:hAnsi="Cambria Math"/>
              </w:rPr>
              <m:t>pref</m:t>
            </m:r>
          </m:sup>
        </m:sSubSup>
      </m:oMath>
      <w:r w:rsidR="005227A5" w:rsidRPr="009C0B42">
        <w:rPr>
          <w:rFonts w:eastAsia="Calibri"/>
        </w:rPr>
        <w:t>).</w:t>
      </w:r>
    </w:p>
    <w:p w14:paraId="1339A0A1" w14:textId="1D1B101E" w:rsidR="00B15CC1" w:rsidRPr="009C0B42" w:rsidRDefault="009E37E7" w:rsidP="009E37E7">
      <w:pPr>
        <w:pStyle w:val="Caption"/>
      </w:pPr>
      <w:bookmarkStart w:id="136" w:name="_Ref122352316"/>
      <w:bookmarkStart w:id="137" w:name="_Ref97579255"/>
      <w:r>
        <w:t xml:space="preserve">Figure </w:t>
      </w:r>
      <w:r>
        <w:fldChar w:fldCharType="begin"/>
      </w:r>
      <w:r>
        <w:instrText>STYLEREF 2 \s</w:instrText>
      </w:r>
      <w:r>
        <w:fldChar w:fldCharType="separate"/>
      </w:r>
      <w:r w:rsidR="00770A06">
        <w:rPr>
          <w:noProof/>
        </w:rPr>
        <w:t>C.1</w:t>
      </w:r>
      <w:r>
        <w:fldChar w:fldCharType="end"/>
      </w:r>
      <w:r w:rsidR="00770A06">
        <w:t>.</w:t>
      </w:r>
      <w:r>
        <w:fldChar w:fldCharType="begin"/>
      </w:r>
      <w:r>
        <w:instrText>SEQ Figure \* ARABIC \s 2</w:instrText>
      </w:r>
      <w:r>
        <w:fldChar w:fldCharType="separate"/>
      </w:r>
      <w:r w:rsidR="00770A06">
        <w:rPr>
          <w:noProof/>
        </w:rPr>
        <w:t>1</w:t>
      </w:r>
      <w:r>
        <w:fldChar w:fldCharType="end"/>
      </w:r>
      <w:bookmarkEnd w:id="136"/>
      <w:r w:rsidR="00770A06">
        <w:t>:</w:t>
      </w:r>
      <w:r w:rsidR="00EE15AC">
        <w:t xml:space="preserve"> </w:t>
      </w:r>
      <w:r w:rsidR="00B15CC1" w:rsidRPr="009C0B42">
        <w:t>Detailed Illustrative Intersubjective Consistency Plot</w:t>
      </w:r>
      <w:bookmarkEnd w:id="137"/>
    </w:p>
    <w:p w14:paraId="06346F99" w14:textId="1E4971AC" w:rsidR="00974067" w:rsidRDefault="005A2D0E" w:rsidP="00B35369">
      <w:pPr>
        <w:pStyle w:val="Figure"/>
      </w:pPr>
      <w:r>
        <w:rPr>
          <w:noProof/>
        </w:rPr>
        <w:drawing>
          <wp:inline distT="0" distB="0" distL="0" distR="0" wp14:anchorId="029A95CD" wp14:editId="7A6282E3">
            <wp:extent cx="5731510" cy="2828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stretch>
                      <a:fillRect/>
                    </a:stretch>
                  </pic:blipFill>
                  <pic:spPr>
                    <a:xfrm>
                      <a:off x="0" y="0"/>
                      <a:ext cx="5731510" cy="2828290"/>
                    </a:xfrm>
                    <a:prstGeom prst="rect">
                      <a:avLst/>
                    </a:prstGeom>
                  </pic:spPr>
                </pic:pic>
              </a:graphicData>
            </a:graphic>
          </wp:inline>
        </w:drawing>
      </w:r>
    </w:p>
    <w:p w14:paraId="0A7925AB" w14:textId="2F4DA514" w:rsidR="001976D4" w:rsidRPr="00861D12" w:rsidRDefault="001976D4" w:rsidP="005679EE">
      <w:pPr>
        <w:pStyle w:val="FigureFooter"/>
        <w:pBdr>
          <w:bottom w:val="none" w:sz="0" w:space="0" w:color="auto"/>
        </w:pBdr>
      </w:pPr>
    </w:p>
    <w:p w14:paraId="3563DA63" w14:textId="5A354045" w:rsidR="004360D1" w:rsidRPr="009C0B42" w:rsidRDefault="004360D1" w:rsidP="0057353F">
      <w:pPr>
        <w:pStyle w:val="Paragraphfirst"/>
      </w:pPr>
      <w:r w:rsidRPr="009C0B42">
        <w:rPr>
          <w:rFonts w:eastAsia="Calibri"/>
        </w:rPr>
        <w:t xml:space="preserve">Step 2 calculates the distance of all pairs from the </w:t>
      </w:r>
      <w:r w:rsidRPr="009C0B42">
        <w:t xml:space="preserve">1:1 </w:t>
      </w:r>
      <w:r w:rsidR="00A2438B" w:rsidRPr="009C0B42">
        <w:t xml:space="preserve">line </w:t>
      </w:r>
      <w:r w:rsidRPr="009C0B42">
        <w:t xml:space="preserve">(intersubjective consistency), </w:t>
      </w:r>
      <w:r w:rsidR="00224903" w:rsidRPr="009C0B42">
        <w:t xml:space="preserve">as </w:t>
      </w:r>
      <w:r w:rsidRPr="009C0B42">
        <w:t xml:space="preserve">shown in </w:t>
      </w:r>
      <w:r w:rsidR="00C839E1" w:rsidRPr="009C0B42">
        <w:t xml:space="preserve">Figure </w:t>
      </w:r>
      <w:r w:rsidR="00864E73">
        <w:rPr>
          <w:noProof/>
        </w:rPr>
        <w:t>C</w:t>
      </w:r>
      <w:r w:rsidR="00F431D5">
        <w:t>.1.</w:t>
      </w:r>
      <w:r w:rsidR="00C839E1" w:rsidRPr="009C0B42">
        <w:rPr>
          <w:noProof/>
        </w:rPr>
        <w:t>1</w:t>
      </w:r>
      <w:r w:rsidRPr="009C0B42">
        <w:t>. The modal orthogonal distance (</w:t>
      </w:r>
      <w:r w:rsidRPr="009C0B42">
        <w:rPr>
          <w:i/>
        </w:rPr>
        <w:t>d</w:t>
      </w:r>
      <w:r w:rsidRPr="009C0B42">
        <w:t>) is obtained for a given pair (</w:t>
      </w:r>
      <w:proofErr w:type="spellStart"/>
      <w:r w:rsidR="00E010A6" w:rsidRPr="009C0B42">
        <w:rPr>
          <w:i/>
        </w:rPr>
        <w:t>i</w:t>
      </w:r>
      <w:proofErr w:type="spellEnd"/>
      <w:r w:rsidR="00E010A6" w:rsidRPr="009C0B42">
        <w:t xml:space="preserve">, </w:t>
      </w:r>
      <w:r w:rsidRPr="009C0B42">
        <w:rPr>
          <w:i/>
        </w:rPr>
        <w:t>j</w:t>
      </w:r>
      <w:r w:rsidRPr="009C0B42">
        <w:t xml:space="preserve">) using </w:t>
      </w:r>
      <m:oMath>
        <m:sSub>
          <m:sSubPr>
            <m:ctrlPr>
              <w:rPr>
                <w:rFonts w:ascii="Cambria Math" w:hAnsi="Cambria Math"/>
              </w:rPr>
            </m:ctrlPr>
          </m:sSubPr>
          <m:e>
            <m:r>
              <w:rPr>
                <w:rFonts w:ascii="Cambria Math" w:hAnsi="Cambria Math"/>
              </w:rPr>
              <m:t>d</m:t>
            </m:r>
          </m:e>
          <m:sub>
            <m:r>
              <w:rPr>
                <w:rFonts w:ascii="Cambria Math" w:hAnsi="Cambria Math"/>
              </w:rPr>
              <m:t>j</m:t>
            </m:r>
          </m:sub>
        </m:sSub>
        <m:r>
          <w:rPr>
            <w:rFonts w:ascii="Cambria Math" w:hAnsi="Cambria Math"/>
          </w:rPr>
          <m:t>= </m:t>
        </m:r>
        <m:f>
          <m:fPr>
            <m:type m:val="lin"/>
            <m:ctrlPr>
              <w:rPr>
                <w:rFonts w:ascii="Cambria Math" w:hAnsi="Cambria Math"/>
                <w:i/>
              </w:rPr>
            </m:ctrlPr>
          </m:fPr>
          <m:num>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ρ</m:t>
                    </m:r>
                  </m:e>
                  <m:sub>
                    <m:r>
                      <w:rPr>
                        <w:rFonts w:ascii="Cambria Math" w:hAnsi="Cambria Math"/>
                      </w:rPr>
                      <m:t>i,j</m:t>
                    </m:r>
                  </m:sub>
                  <m:sup>
                    <m:r>
                      <w:rPr>
                        <w:rFonts w:ascii="Cambria Math" w:hAnsi="Cambria Math"/>
                      </w:rPr>
                      <m:t>pref</m:t>
                    </m:r>
                  </m:sup>
                </m:sSubSup>
                <m:r>
                  <w:rPr>
                    <w:rFonts w:ascii="Cambria Math" w:hAnsi="Cambria Math"/>
                  </w:rPr>
                  <m:t>-</m:t>
                </m:r>
                <m:sSubSup>
                  <m:sSubSupPr>
                    <m:ctrlPr>
                      <w:rPr>
                        <w:rFonts w:ascii="Cambria Math" w:hAnsi="Cambria Math"/>
                        <w:i/>
                      </w:rPr>
                    </m:ctrlPr>
                  </m:sSubSupPr>
                  <m:e>
                    <m:r>
                      <w:rPr>
                        <w:rFonts w:ascii="Cambria Math" w:hAnsi="Cambria Math"/>
                      </w:rPr>
                      <m:t>ρ</m:t>
                    </m:r>
                  </m:e>
                  <m:sub>
                    <m:r>
                      <w:rPr>
                        <w:rFonts w:ascii="Cambria Math" w:hAnsi="Cambria Math"/>
                      </w:rPr>
                      <m:t>i,j</m:t>
                    </m:r>
                  </m:sub>
                  <m:sup>
                    <m:r>
                      <w:rPr>
                        <w:rFonts w:ascii="Cambria Math" w:hAnsi="Cambria Math"/>
                      </w:rPr>
                      <m:t>cons</m:t>
                    </m:r>
                  </m:sup>
                </m:sSubSup>
              </m:e>
            </m:d>
          </m:num>
          <m:den>
            <m:rad>
              <m:radPr>
                <m:degHide m:val="1"/>
                <m:ctrlPr>
                  <w:rPr>
                    <w:rFonts w:ascii="Cambria Math" w:hAnsi="Cambria Math"/>
                    <w:i/>
                  </w:rPr>
                </m:ctrlPr>
              </m:radPr>
              <m:deg/>
              <m:e>
                <m:r>
                  <w:rPr>
                    <w:rFonts w:ascii="Cambria Math" w:hAnsi="Cambria Math"/>
                  </w:rPr>
                  <m:t>2</m:t>
                </m:r>
              </m:e>
            </m:rad>
          </m:den>
        </m:f>
      </m:oMath>
      <w:r w:rsidRPr="009C0B42">
        <w:t xml:space="preserve">. In the </w:t>
      </w:r>
      <w:r w:rsidR="00E010A6" w:rsidRPr="009C0B42">
        <w:t xml:space="preserve">left hand side of </w:t>
      </w:r>
      <w:r w:rsidR="00361347" w:rsidRPr="009C0B42">
        <w:t xml:space="preserve">the </w:t>
      </w:r>
      <w:r w:rsidRPr="009C0B42">
        <w:t>figure</w:t>
      </w:r>
      <w:r w:rsidR="009B0B67">
        <w:t>,</w:t>
      </w:r>
      <w:r w:rsidRPr="009C0B42">
        <w:t xml:space="preserve"> the distances for all example pairs (</w:t>
      </w:r>
      <w:proofErr w:type="spellStart"/>
      <w:r w:rsidRPr="009C0B42">
        <w:rPr>
          <w:i/>
        </w:rPr>
        <w:t>d</w:t>
      </w:r>
      <w:r w:rsidRPr="009C0B42">
        <w:rPr>
          <w:i/>
          <w:vertAlign w:val="subscript"/>
        </w:rPr>
        <w:t>a,b</w:t>
      </w:r>
      <w:proofErr w:type="spellEnd"/>
      <w:r w:rsidRPr="009C0B42">
        <w:t xml:space="preserve">, </w:t>
      </w:r>
      <w:proofErr w:type="spellStart"/>
      <w:r w:rsidRPr="009C0B42">
        <w:rPr>
          <w:i/>
        </w:rPr>
        <w:t>d</w:t>
      </w:r>
      <w:r w:rsidRPr="009C0B42">
        <w:rPr>
          <w:i/>
          <w:vertAlign w:val="subscript"/>
        </w:rPr>
        <w:t>a,c</w:t>
      </w:r>
      <w:proofErr w:type="spellEnd"/>
      <w:r w:rsidRPr="009C0B42">
        <w:t>,</w:t>
      </w:r>
      <w:r w:rsidRPr="009C0B42">
        <w:rPr>
          <w:i/>
        </w:rPr>
        <w:t xml:space="preserve"> </w:t>
      </w:r>
      <w:proofErr w:type="spellStart"/>
      <w:r w:rsidRPr="009C0B42">
        <w:rPr>
          <w:i/>
        </w:rPr>
        <w:t>d</w:t>
      </w:r>
      <w:r w:rsidRPr="009C0B42">
        <w:rPr>
          <w:i/>
          <w:vertAlign w:val="subscript"/>
        </w:rPr>
        <w:t>a,d</w:t>
      </w:r>
      <w:proofErr w:type="spellEnd"/>
      <w:r w:rsidRPr="009C0B42">
        <w:rPr>
          <w:vertAlign w:val="subscript"/>
        </w:rPr>
        <w:t>,</w:t>
      </w:r>
      <w:r w:rsidRPr="009C0B42">
        <w:rPr>
          <w:i/>
        </w:rPr>
        <w:t xml:space="preserve"> </w:t>
      </w:r>
      <w:proofErr w:type="spellStart"/>
      <w:r w:rsidRPr="009C0B42">
        <w:rPr>
          <w:i/>
        </w:rPr>
        <w:t>d</w:t>
      </w:r>
      <w:r w:rsidRPr="009C0B42">
        <w:rPr>
          <w:i/>
          <w:vertAlign w:val="subscript"/>
        </w:rPr>
        <w:t>b,c</w:t>
      </w:r>
      <w:proofErr w:type="spellEnd"/>
      <w:r w:rsidRPr="009C0B42">
        <w:t>,</w:t>
      </w:r>
      <w:r w:rsidRPr="009C0B42">
        <w:rPr>
          <w:i/>
        </w:rPr>
        <w:t xml:space="preserve"> </w:t>
      </w:r>
      <w:proofErr w:type="spellStart"/>
      <w:r w:rsidRPr="009C0B42">
        <w:rPr>
          <w:i/>
        </w:rPr>
        <w:t>d</w:t>
      </w:r>
      <w:r w:rsidRPr="009C0B42">
        <w:rPr>
          <w:i/>
          <w:vertAlign w:val="subscript"/>
        </w:rPr>
        <w:t>b,d</w:t>
      </w:r>
      <w:proofErr w:type="spellEnd"/>
      <w:r w:rsidRPr="009C0B42">
        <w:t xml:space="preserve">, </w:t>
      </w:r>
      <w:proofErr w:type="spellStart"/>
      <w:r w:rsidRPr="009C0B42">
        <w:rPr>
          <w:i/>
        </w:rPr>
        <w:t>d</w:t>
      </w:r>
      <w:r w:rsidRPr="009C0B42">
        <w:rPr>
          <w:i/>
          <w:vertAlign w:val="subscript"/>
        </w:rPr>
        <w:t>c,d</w:t>
      </w:r>
      <w:proofErr w:type="spellEnd"/>
      <w:r w:rsidRPr="009C0B42">
        <w:t>) are indicated using dashed lines.</w:t>
      </w:r>
    </w:p>
    <w:p w14:paraId="5E0FE204" w14:textId="25EE6347" w:rsidR="004360D1" w:rsidRPr="009C0B42" w:rsidRDefault="004360D1" w:rsidP="006569E1">
      <w:pPr>
        <w:pStyle w:val="paragraph"/>
        <w:rPr>
          <w:shd w:val="clear" w:color="auto" w:fill="FFFFFF"/>
        </w:rPr>
      </w:pPr>
      <w:r w:rsidRPr="009C0B42">
        <w:t>Step 3, calculating individual DRI (DRI</w:t>
      </w:r>
      <w:r w:rsidRPr="009C0B42">
        <w:rPr>
          <w:i/>
          <w:vertAlign w:val="superscript"/>
        </w:rPr>
        <w:t>Ind</w:t>
      </w:r>
      <w:r w:rsidRPr="009C0B42">
        <w:t>) for each member of the group (</w:t>
      </w:r>
      <w:proofErr w:type="spellStart"/>
      <w:r w:rsidRPr="009C0B42">
        <w:rPr>
          <w:i/>
        </w:rPr>
        <w:t>i</w:t>
      </w:r>
      <w:proofErr w:type="spellEnd"/>
      <w:r w:rsidRPr="009C0B42">
        <w:t>), involves finding the average modal distance (</w:t>
      </w:r>
      <m:oMath>
        <m:sSub>
          <m:sSubPr>
            <m:ctrlPr>
              <w:rPr>
                <w:rFonts w:ascii="Cambria Math" w:hAnsi="Cambria Math"/>
                <w:i/>
                <w:shd w:val="clear" w:color="auto" w:fill="FFFFFF"/>
              </w:rPr>
            </m:ctrlPr>
          </m:sSubPr>
          <m:e>
            <m:acc>
              <m:accPr>
                <m:chr m:val="̅"/>
                <m:ctrlPr>
                  <w:rPr>
                    <w:rFonts w:ascii="Cambria Math" w:hAnsi="Cambria Math"/>
                    <w:i/>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i</m:t>
            </m:r>
          </m:sub>
        </m:sSub>
        <m:r>
          <w:rPr>
            <w:rFonts w:ascii="Cambria Math" w:hAnsi="Cambria Math"/>
            <w:shd w:val="clear" w:color="auto" w:fill="FFFFFF"/>
          </w:rPr>
          <m:t>)</m:t>
        </m:r>
      </m:oMath>
      <w:r w:rsidRPr="009C0B42">
        <w:t>, where:</w:t>
      </w:r>
      <m:oMath>
        <m:r>
          <w:rPr>
            <w:rFonts w:ascii="Cambria Math" w:hAnsi="Cambria Math"/>
            <w:shd w:val="clear" w:color="auto" w:fill="FFFFFF"/>
          </w:rPr>
          <m:t xml:space="preserve"> </m:t>
        </m:r>
        <m:sSub>
          <m:sSubPr>
            <m:ctrlPr>
              <w:rPr>
                <w:rFonts w:ascii="Cambria Math" w:hAnsi="Cambria Math"/>
                <w:i/>
                <w:shd w:val="clear" w:color="auto" w:fill="FFFFFF"/>
              </w:rPr>
            </m:ctrlPr>
          </m:sSubPr>
          <m:e>
            <m:acc>
              <m:accPr>
                <m:chr m:val="̅"/>
                <m:ctrlPr>
                  <w:rPr>
                    <w:rFonts w:ascii="Cambria Math" w:hAnsi="Cambria Math"/>
                    <w:i/>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i</m:t>
            </m:r>
          </m:sub>
        </m:sSub>
        <m:r>
          <w:rPr>
            <w:rFonts w:ascii="Cambria Math" w:hAnsi="Cambria Math"/>
            <w:shd w:val="clear" w:color="auto" w:fill="FFFFFF"/>
          </w:rPr>
          <m:t>=</m:t>
        </m:r>
        <m:f>
          <m:fPr>
            <m:ctrlPr>
              <w:rPr>
                <w:rFonts w:ascii="Cambria Math" w:eastAsia="Calibri" w:hAnsi="Cambria Math"/>
                <w:i/>
                <w:shd w:val="clear" w:color="auto" w:fill="FFFFFF"/>
              </w:rPr>
            </m:ctrlPr>
          </m:fPr>
          <m:num>
            <m:r>
              <w:rPr>
                <w:rFonts w:ascii="Cambria Math" w:eastAsia="Calibri" w:hAnsi="Cambria Math"/>
                <w:shd w:val="clear" w:color="auto" w:fill="FFFFFF"/>
              </w:rPr>
              <m:t>1</m:t>
            </m:r>
          </m:num>
          <m:den>
            <m:sSub>
              <m:sSubPr>
                <m:ctrlPr>
                  <w:rPr>
                    <w:rFonts w:ascii="Cambria Math" w:eastAsia="Calibri" w:hAnsi="Cambria Math"/>
                    <w:i/>
                    <w:shd w:val="clear" w:color="auto" w:fill="FFFFFF"/>
                  </w:rPr>
                </m:ctrlPr>
              </m:sSubPr>
              <m:e>
                <m:r>
                  <w:rPr>
                    <w:rFonts w:ascii="Cambria Math" w:eastAsia="Calibri" w:hAnsi="Cambria Math"/>
                    <w:shd w:val="clear" w:color="auto" w:fill="FFFFFF"/>
                  </w:rPr>
                  <m:t>m</m:t>
                </m:r>
              </m:e>
              <m:sub>
                <m:r>
                  <w:rPr>
                    <w:rFonts w:ascii="Cambria Math" w:eastAsia="Calibri" w:hAnsi="Cambria Math"/>
                    <w:shd w:val="clear" w:color="auto" w:fill="FFFFFF"/>
                  </w:rPr>
                  <m:t>i</m:t>
                </m:r>
              </m:sub>
            </m:sSub>
          </m:den>
        </m:f>
        <m:nary>
          <m:naryPr>
            <m:chr m:val="∑"/>
            <m:limLoc m:val="undOvr"/>
            <m:ctrlPr>
              <w:rPr>
                <w:rFonts w:ascii="Cambria Math" w:eastAsia="Calibri" w:hAnsi="Cambria Math"/>
                <w:i/>
                <w:shd w:val="clear" w:color="auto" w:fill="FFFFFF"/>
              </w:rPr>
            </m:ctrlPr>
          </m:naryPr>
          <m:sub>
            <m:r>
              <w:rPr>
                <w:rFonts w:ascii="Cambria Math" w:eastAsia="Calibri" w:hAnsi="Cambria Math"/>
                <w:shd w:val="clear" w:color="auto" w:fill="FFFFFF"/>
              </w:rPr>
              <m:t>j=1</m:t>
            </m:r>
          </m:sub>
          <m:sup>
            <m:sSub>
              <m:sSubPr>
                <m:ctrlPr>
                  <w:rPr>
                    <w:rFonts w:ascii="Cambria Math" w:eastAsia="Calibri" w:hAnsi="Cambria Math"/>
                    <w:i/>
                    <w:shd w:val="clear" w:color="auto" w:fill="FFFFFF"/>
                  </w:rPr>
                </m:ctrlPr>
              </m:sSubPr>
              <m:e>
                <m:r>
                  <w:rPr>
                    <w:rFonts w:ascii="Cambria Math" w:eastAsia="Calibri" w:hAnsi="Cambria Math"/>
                    <w:shd w:val="clear" w:color="auto" w:fill="FFFFFF"/>
                  </w:rPr>
                  <m:t>m</m:t>
                </m:r>
              </m:e>
              <m:sub>
                <m:r>
                  <w:rPr>
                    <w:rFonts w:ascii="Cambria Math" w:eastAsia="Calibri" w:hAnsi="Cambria Math"/>
                    <w:shd w:val="clear" w:color="auto" w:fill="FFFFFF"/>
                  </w:rPr>
                  <m:t>i</m:t>
                </m:r>
              </m:sub>
            </m:sSub>
          </m:sup>
          <m:e>
            <m:sSubSup>
              <m:sSubSupPr>
                <m:ctrlPr>
                  <w:rPr>
                    <w:rFonts w:ascii="Cambria Math" w:eastAsia="Calibri" w:hAnsi="Cambria Math"/>
                    <w:i/>
                  </w:rPr>
                </m:ctrlPr>
              </m:sSubSupPr>
              <m:e>
                <m:r>
                  <w:rPr>
                    <w:rFonts w:ascii="Cambria Math" w:eastAsia="Calibri" w:hAnsi="Cambria Math"/>
                  </w:rPr>
                  <m:t>d</m:t>
                </m:r>
              </m:e>
              <m:sub>
                <m:r>
                  <w:rPr>
                    <w:rFonts w:ascii="Cambria Math" w:eastAsia="Calibri" w:hAnsi="Cambria Math"/>
                  </w:rPr>
                  <m:t>j</m:t>
                </m:r>
              </m:sub>
              <m:sup>
                <m:r>
                  <w:rPr>
                    <w:rFonts w:ascii="Cambria Math" w:eastAsia="Calibri" w:hAnsi="Cambria Math"/>
                  </w:rPr>
                  <m:t>i</m:t>
                </m:r>
              </m:sup>
            </m:sSubSup>
          </m:e>
        </m:nary>
      </m:oMath>
      <w:r w:rsidRPr="009C0B42">
        <w:rPr>
          <w:rFonts w:eastAsiaTheme="minorEastAsia"/>
          <w:shd w:val="clear" w:color="auto" w:fill="FFFFFF"/>
        </w:rPr>
        <w:t xml:space="preserve"> </w:t>
      </w:r>
      <w:r w:rsidRPr="009C0B42">
        <w:t xml:space="preserve">for all pairs that include individual </w:t>
      </w:r>
      <w:proofErr w:type="spellStart"/>
      <w:r w:rsidRPr="009C0B42">
        <w:rPr>
          <w:i/>
        </w:rPr>
        <w:t>i</w:t>
      </w:r>
      <w:proofErr w:type="spellEnd"/>
      <w:r w:rsidRPr="009C0B42">
        <w:rPr>
          <w:shd w:val="clear" w:color="auto" w:fill="FFFFFF"/>
        </w:rPr>
        <w:t>; (</w:t>
      </w:r>
      <w:r w:rsidRPr="009C0B42">
        <w:rPr>
          <w:i/>
        </w:rPr>
        <w:t>J</w:t>
      </w:r>
      <w:r w:rsidRPr="009C0B42">
        <w:rPr>
          <w:i/>
          <w:vertAlign w:val="subscript"/>
        </w:rPr>
        <w:t>i</w:t>
      </w:r>
      <w:r w:rsidRPr="009C0B42">
        <w:t>;</w:t>
      </w:r>
      <w:r w:rsidR="00BC34BC">
        <w:t> </w:t>
      </w:r>
      <w:r w:rsidRPr="009C0B42">
        <w:rPr>
          <w:i/>
        </w:rPr>
        <w:t>j</w:t>
      </w:r>
      <w:r w:rsidRPr="009C0B42">
        <w:t>…</w:t>
      </w:r>
      <w:r w:rsidRPr="009C0B42">
        <w:rPr>
          <w:i/>
        </w:rPr>
        <w:t>m</w:t>
      </w:r>
      <w:r w:rsidRPr="009C0B42">
        <w:rPr>
          <w:i/>
          <w:vertAlign w:val="subscript"/>
        </w:rPr>
        <w:t>i</w:t>
      </w:r>
      <w:r w:rsidRPr="009C0B42">
        <w:t xml:space="preserve">; where </w:t>
      </w:r>
      <w:r w:rsidRPr="009C0B42">
        <w:rPr>
          <w:i/>
        </w:rPr>
        <w:t>m</w:t>
      </w:r>
      <w:r w:rsidRPr="009C0B42">
        <w:rPr>
          <w:i/>
          <w:vertAlign w:val="subscript"/>
        </w:rPr>
        <w:t>i</w:t>
      </w:r>
      <w:r w:rsidR="008E5A19">
        <w:t xml:space="preserve"> </w:t>
      </w:r>
      <w:r w:rsidRPr="009C0B42">
        <w:t xml:space="preserve">= </w:t>
      </w:r>
      <w:r w:rsidRPr="009C0B42">
        <w:rPr>
          <w:i/>
        </w:rPr>
        <w:t>n</w:t>
      </w:r>
      <w:r w:rsidRPr="009C0B42">
        <w:t>-1)</w:t>
      </w:r>
    </w:p>
    <w:p w14:paraId="46E27DB1" w14:textId="522DD67C" w:rsidR="007931A1" w:rsidRPr="009C0B42" w:rsidRDefault="004360D1" w:rsidP="00650EAB">
      <w:pPr>
        <w:pStyle w:val="paragraph"/>
      </w:pPr>
      <w:r w:rsidRPr="00650EAB">
        <w:t>Individual</w:t>
      </w:r>
      <w:r w:rsidRPr="009C0B42">
        <w:t xml:space="preserve"> DRI (DRI</w:t>
      </w:r>
      <w:r w:rsidRPr="009C0B42">
        <w:rPr>
          <w:i/>
          <w:vertAlign w:val="superscript"/>
        </w:rPr>
        <w:t>Ind</w:t>
      </w:r>
      <w:r w:rsidRPr="009C0B42">
        <w:t xml:space="preserve">) is then calculated by transforming </w:t>
      </w:r>
      <m:oMath>
        <m:sSub>
          <m:sSubPr>
            <m:ctrlPr>
              <w:rPr>
                <w:rFonts w:ascii="Cambria Math" w:hAnsi="Cambria Math"/>
                <w:i/>
                <w:shd w:val="clear" w:color="auto" w:fill="FFFFFF"/>
              </w:rPr>
            </m:ctrlPr>
          </m:sSubPr>
          <m:e>
            <m:acc>
              <m:accPr>
                <m:chr m:val="̅"/>
                <m:ctrlPr>
                  <w:rPr>
                    <w:rFonts w:ascii="Cambria Math" w:hAnsi="Cambria Math"/>
                    <w:i/>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i</m:t>
            </m:r>
          </m:sub>
        </m:sSub>
      </m:oMath>
      <w:r w:rsidRPr="009C0B42">
        <w:t xml:space="preserve"> int</w:t>
      </w:r>
      <w:r w:rsidR="00017D26">
        <w:t>o a -1 to</w:t>
      </w:r>
      <w:r w:rsidRPr="009C0B42">
        <w:t xml:space="preserve"> 1 scale using the theoretical maximum average distance </w:t>
      </w:r>
      <w:r w:rsidR="0064213B" w:rsidRPr="009C0B42">
        <w:t xml:space="preserve">for </w:t>
      </w:r>
      <w:r w:rsidR="007931A1" w:rsidRPr="009C0B42">
        <w:t>the group</w:t>
      </w:r>
      <w:r w:rsidR="002E1A6B">
        <w:t>—</w:t>
      </w:r>
      <w:r w:rsidRPr="009C0B42">
        <w:t>or Lambda (</w:t>
      </w:r>
      <w:r w:rsidRPr="00756492">
        <w:rPr>
          <w:i/>
          <w:iCs/>
        </w:rPr>
        <w:t>λ</w:t>
      </w:r>
      <w:r w:rsidRPr="009C0B42">
        <w:t xml:space="preserve"> = </w:t>
      </w:r>
      <m:oMath>
        <m:sSubSup>
          <m:sSubSupPr>
            <m:ctrlPr>
              <w:rPr>
                <w:rFonts w:ascii="Cambria Math" w:hAnsi="Cambria Math"/>
                <w:i/>
                <w:shd w:val="clear" w:color="auto" w:fill="FFFFFF"/>
              </w:rPr>
            </m:ctrlPr>
          </m:sSubSupPr>
          <m:e>
            <m:acc>
              <m:accPr>
                <m:chr m:val="̅"/>
                <m:ctrlPr>
                  <w:rPr>
                    <w:rFonts w:ascii="Cambria Math" w:hAnsi="Cambria Math"/>
                    <w:i/>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max</m:t>
            </m:r>
          </m:sub>
          <m:sup/>
        </m:sSubSup>
      </m:oMath>
      <w:r w:rsidR="00D64CF1" w:rsidRPr="009C0B42">
        <w:t xml:space="preserve">; where </w:t>
      </w:r>
      <w:r w:rsidR="00D64CF1" w:rsidRPr="00FC3589">
        <w:t>λ</w:t>
      </w:r>
      <w:r w:rsidR="00D64CF1" w:rsidRPr="009C0B42">
        <w:t xml:space="preserve"> = </w:t>
      </w:r>
      <m:oMath>
        <m:f>
          <m:fPr>
            <m:type m:val="lin"/>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w:r w:rsidR="00D64CF1" w:rsidRPr="009C0B42">
        <w:t xml:space="preserve"> or 0.71)</w:t>
      </w:r>
      <w:r w:rsidR="007931A1" w:rsidRPr="009C0B42">
        <w:t>.</w:t>
      </w:r>
    </w:p>
    <w:p w14:paraId="71EF86D0" w14:textId="7D05F9DC" w:rsidR="009B00E4" w:rsidRPr="009C0B42" w:rsidRDefault="007931A1" w:rsidP="00A72C3A">
      <w:pPr>
        <w:pStyle w:val="paragraph"/>
      </w:pPr>
      <w:r w:rsidRPr="009C0B42">
        <w:t xml:space="preserve">Lambda, which </w:t>
      </w:r>
      <w:r w:rsidR="00D64CF1" w:rsidRPr="009C0B42">
        <w:t xml:space="preserve">is </w:t>
      </w:r>
      <w:r w:rsidR="004360D1" w:rsidRPr="009C0B42">
        <w:t>graphically indicated in</w:t>
      </w:r>
      <w:r w:rsidR="007D2B73">
        <w:t xml:space="preserve"> </w:t>
      </w:r>
      <w:r>
        <w:fldChar w:fldCharType="begin"/>
      </w:r>
      <w:r>
        <w:instrText>REF _Ref122352316</w:instrText>
      </w:r>
      <w:r>
        <w:fldChar w:fldCharType="separate"/>
      </w:r>
      <w:r w:rsidR="0E345509">
        <w:t xml:space="preserve">Figure </w:t>
      </w:r>
      <w:r w:rsidR="0E345509" w:rsidRPr="0E345509">
        <w:rPr>
          <w:noProof/>
        </w:rPr>
        <w:t>C.1</w:t>
      </w:r>
      <w:r w:rsidR="0E345509">
        <w:t>.</w:t>
      </w:r>
      <w:r w:rsidR="0E345509" w:rsidRPr="0E345509">
        <w:rPr>
          <w:noProof/>
        </w:rPr>
        <w:t>1</w:t>
      </w:r>
      <w:r>
        <w:fldChar w:fldCharType="end"/>
      </w:r>
      <w:r w:rsidR="000E28BC" w:rsidRPr="009C0B42">
        <w:t xml:space="preserve">, provides the upper boundary for average </w:t>
      </w:r>
      <w:r w:rsidR="00D64CF1" w:rsidRPr="009C0B42">
        <w:t>distance</w:t>
      </w:r>
      <w:r w:rsidR="00457249" w:rsidRPr="009C0B42">
        <w:t>.</w:t>
      </w:r>
      <w:r w:rsidR="00D64CF1" w:rsidRPr="009C0B42">
        <w:t xml:space="preserve"> </w:t>
      </w:r>
      <w:r w:rsidR="00697389" w:rsidRPr="009C0B42">
        <w:t>The tendency for the maximum average distance to converge (</w:t>
      </w:r>
      <w:r w:rsidR="00B54220" w:rsidRPr="009C0B42">
        <w:t xml:space="preserve">on an </w:t>
      </w:r>
      <w:r w:rsidR="00697389" w:rsidRPr="009C0B42">
        <w:t xml:space="preserve">asymptote) </w:t>
      </w:r>
      <w:r w:rsidR="00132E97" w:rsidRPr="009C0B42">
        <w:t xml:space="preserve">on a maximum value less than </w:t>
      </w:r>
      <w:r w:rsidR="000614B1" w:rsidRPr="009C0B42">
        <w:t>1.41</w:t>
      </w:r>
      <w:r w:rsidR="002E1A6B">
        <w:t>—</w:t>
      </w:r>
      <w:r w:rsidR="000614B1" w:rsidRPr="009C0B42">
        <w:t>i.e., it is not possible for all values to fall on the extreme corners of the intersubjective consistency plot</w:t>
      </w:r>
      <w:r w:rsidR="002E1A6B">
        <w:t>—</w:t>
      </w:r>
      <w:r w:rsidR="009B00E4" w:rsidRPr="009C0B42">
        <w:t xml:space="preserve">is </w:t>
      </w:r>
      <w:r w:rsidR="00697389" w:rsidRPr="009C0B42">
        <w:t xml:space="preserve">because of the interrelationships between </w:t>
      </w:r>
      <w:r w:rsidR="007E363B">
        <w:t xml:space="preserve">different </w:t>
      </w:r>
      <w:r w:rsidR="00697389" w:rsidRPr="009C0B42">
        <w:t>pairs of individuals. For example, in</w:t>
      </w:r>
      <w:r w:rsidR="007D2B73">
        <w:t xml:space="preserve"> </w:t>
      </w:r>
      <w:r>
        <w:fldChar w:fldCharType="begin"/>
      </w:r>
      <w:r>
        <w:instrText>REF _Ref122352316</w:instrText>
      </w:r>
      <w:r>
        <w:fldChar w:fldCharType="separate"/>
      </w:r>
      <w:r w:rsidR="0E345509">
        <w:t xml:space="preserve">Figure </w:t>
      </w:r>
      <w:r w:rsidR="0E345509" w:rsidRPr="0E345509">
        <w:rPr>
          <w:noProof/>
        </w:rPr>
        <w:t>C.1</w:t>
      </w:r>
      <w:r w:rsidR="0E345509">
        <w:t>.</w:t>
      </w:r>
      <w:r w:rsidR="0E345509" w:rsidRPr="0E345509">
        <w:rPr>
          <w:noProof/>
        </w:rPr>
        <w:t>1</w:t>
      </w:r>
      <w:r>
        <w:fldChar w:fldCharType="end"/>
      </w:r>
      <w:r w:rsidR="00697389" w:rsidRPr="009C0B42">
        <w:t xml:space="preserve">, if individual A transforms their position, decreasing </w:t>
      </w:r>
      <w:r w:rsidR="00697389" w:rsidRPr="009C0B42">
        <w:lastRenderedPageBreak/>
        <w:t>their consistency with C</w:t>
      </w:r>
      <w:r w:rsidR="009B00E4" w:rsidRPr="009C0B42">
        <w:t xml:space="preserve"> toward one of the corners of the graph</w:t>
      </w:r>
      <w:r w:rsidR="00697389" w:rsidRPr="009C0B42">
        <w:t>, this will also transform their consistency with the remainder of the group</w:t>
      </w:r>
      <w:r w:rsidR="009B00E4" w:rsidRPr="009C0B42">
        <w:t>.</w:t>
      </w:r>
      <w:r w:rsidR="00975F56">
        <w:t xml:space="preserve"> </w:t>
      </w:r>
      <w:r w:rsidR="009B00E4" w:rsidRPr="009C0B42">
        <w:t>Th</w:t>
      </w:r>
      <w:r w:rsidR="00B44A20">
        <w:t>ere is</w:t>
      </w:r>
      <w:r w:rsidR="009B00E4" w:rsidRPr="009C0B42">
        <w:t xml:space="preserve"> </w:t>
      </w:r>
      <w:r w:rsidR="00697389" w:rsidRPr="009C0B42">
        <w:t xml:space="preserve">a very strong chance that their consistency with D, which previously fell outside </w:t>
      </w:r>
      <w:r w:rsidR="00697389" w:rsidRPr="00FC3589">
        <w:t>λ</w:t>
      </w:r>
      <w:r w:rsidR="000475EA" w:rsidRPr="009C0B42">
        <w:t>,</w:t>
      </w:r>
      <w:r w:rsidR="00697389" w:rsidRPr="009C0B42">
        <w:t xml:space="preserve"> will </w:t>
      </w:r>
      <w:r w:rsidR="009B00E4" w:rsidRPr="009C0B42">
        <w:t xml:space="preserve">correspondingly </w:t>
      </w:r>
      <w:r w:rsidR="00697389" w:rsidRPr="009C0B42">
        <w:t>decrease.</w:t>
      </w:r>
      <w:r w:rsidR="00697389">
        <w:rPr>
          <w:rStyle w:val="FootnoteReference"/>
        </w:rPr>
        <w:footnoteReference w:id="2"/>
      </w:r>
      <w:r w:rsidR="00697389" w:rsidRPr="009C0B42">
        <w:t xml:space="preserve"> </w:t>
      </w:r>
    </w:p>
    <w:p w14:paraId="0E833F7D" w14:textId="4BE9659F" w:rsidR="008A6C33" w:rsidRPr="009C0B42" w:rsidRDefault="009B00E4" w:rsidP="007931A1">
      <w:pPr>
        <w:pStyle w:val="paragraph"/>
      </w:pPr>
      <w:r w:rsidRPr="009C0B42">
        <w:t xml:space="preserve">The tendency to </w:t>
      </w:r>
      <w:r w:rsidR="00BF2CE6" w:rsidRPr="009C0B42">
        <w:t xml:space="preserve">converge on an </w:t>
      </w:r>
      <w:r w:rsidRPr="009C0B42">
        <w:t xml:space="preserve">asymptote on </w:t>
      </w:r>
      <w:r w:rsidR="00827E20" w:rsidRPr="009C0B42">
        <w:t>Lambda</w:t>
      </w:r>
      <w:r w:rsidR="008A6C33" w:rsidRPr="009C0B42">
        <w:t xml:space="preserve"> </w:t>
      </w:r>
      <w:r w:rsidR="00A501E0" w:rsidRPr="009C0B42">
        <w:t xml:space="preserve">has been tested </w:t>
      </w:r>
      <w:r w:rsidR="00BF2CE6" w:rsidRPr="009C0B42">
        <w:t xml:space="preserve">by </w:t>
      </w:r>
      <w:r w:rsidR="00BB7E96" w:rsidRPr="009C0B42">
        <w:t xml:space="preserve">generating hypothetical cases using </w:t>
      </w:r>
      <w:r w:rsidR="00A501E0" w:rsidRPr="009C0B42">
        <w:t>Monte Carlo</w:t>
      </w:r>
      <w:r w:rsidR="00BF2CE6" w:rsidRPr="009C0B42">
        <w:t xml:space="preserve"> simulation</w:t>
      </w:r>
      <w:r w:rsidR="00501D5B" w:rsidRPr="009C0B42">
        <w:t>. C</w:t>
      </w:r>
      <w:r w:rsidR="000F7FED" w:rsidRPr="009C0B42">
        <w:t>onvergence occurs very quickl</w:t>
      </w:r>
      <w:r w:rsidR="00C122E6" w:rsidRPr="009C0B42">
        <w:t>y, where average distance</w:t>
      </w:r>
      <w:r w:rsidR="000F7FED" w:rsidRPr="009C0B42">
        <w:t xml:space="preserve"> </w:t>
      </w:r>
      <w:r w:rsidR="00C122E6" w:rsidRPr="009C0B42">
        <w:t xml:space="preserve">asymptotes on </w:t>
      </w:r>
      <w:r w:rsidR="00C122E6" w:rsidRPr="00FC3589">
        <w:t>λ</w:t>
      </w:r>
      <w:r w:rsidR="00C122E6" w:rsidRPr="009C0B42">
        <w:t xml:space="preserve"> as n→∞, </w:t>
      </w:r>
      <w:r w:rsidR="000F7FED" w:rsidRPr="009C0B42">
        <w:t>once the items capturing considerations</w:t>
      </w:r>
      <w:r w:rsidR="00F327D3" w:rsidRPr="009C0B42">
        <w:t xml:space="preserve"> and</w:t>
      </w:r>
      <w:r w:rsidR="000F7FED" w:rsidRPr="009C0B42">
        <w:t xml:space="preserve"> </w:t>
      </w:r>
      <w:r w:rsidR="00E65278" w:rsidRPr="009C0B42">
        <w:t>preferences</w:t>
      </w:r>
      <w:r w:rsidR="000F7FED" w:rsidRPr="009C0B42">
        <w:t xml:space="preserve"> and number of individuals </w:t>
      </w:r>
      <w:r w:rsidR="00E65278" w:rsidRPr="009C0B42">
        <w:t xml:space="preserve">are </w:t>
      </w:r>
      <w:r w:rsidR="00BC2AF4" w:rsidRPr="009C0B42">
        <w:t>all</w:t>
      </w:r>
      <w:r w:rsidR="00E65278" w:rsidRPr="009C0B42">
        <w:t xml:space="preserve"> greater than </w:t>
      </w:r>
      <w:r w:rsidR="00C122E6" w:rsidRPr="009C0B42">
        <w:t>2</w:t>
      </w:r>
      <w:r w:rsidR="00E65278" w:rsidRPr="009C0B42">
        <w:t xml:space="preserve">. </w:t>
      </w:r>
    </w:p>
    <w:p w14:paraId="21B55888" w14:textId="454D02F9" w:rsidR="004360D1" w:rsidRPr="009C0B42" w:rsidRDefault="00474122" w:rsidP="00B3766A">
      <w:pPr>
        <w:pStyle w:val="paragraph"/>
        <w:keepNext/>
        <w:rPr>
          <w:rFonts w:eastAsiaTheme="minorEastAsia"/>
        </w:rPr>
      </w:pPr>
      <w:r w:rsidRPr="009C0B42">
        <w:t xml:space="preserve">Taking </w:t>
      </w:r>
      <w:r w:rsidR="00791CDC" w:rsidRPr="009C0B42">
        <w:t xml:space="preserve">Lambda </w:t>
      </w:r>
      <w:r w:rsidRPr="009C0B42">
        <w:t>into</w:t>
      </w:r>
      <w:r w:rsidR="00791CDC" w:rsidRPr="009C0B42">
        <w:t xml:space="preserve"> account</w:t>
      </w:r>
      <w:r w:rsidR="00705698" w:rsidRPr="009C0B42">
        <w:t>,</w:t>
      </w:r>
      <w:r w:rsidRPr="009C0B42">
        <w:t xml:space="preserve"> </w:t>
      </w:r>
      <w:r w:rsidR="001925EB" w:rsidRPr="009C0B42">
        <w:t>DRI for</w:t>
      </w:r>
      <w:r w:rsidR="004360D1" w:rsidRPr="009C0B42">
        <w:t xml:space="preserve"> individual </w:t>
      </w:r>
      <w:proofErr w:type="spellStart"/>
      <w:r w:rsidR="004360D1" w:rsidRPr="009C0B42">
        <w:rPr>
          <w:i/>
        </w:rPr>
        <w:t>i</w:t>
      </w:r>
      <w:proofErr w:type="spellEnd"/>
      <w:r w:rsidR="004360D1" w:rsidRPr="009C0B42">
        <w:rPr>
          <w:i/>
        </w:rPr>
        <w:t xml:space="preserve"> </w:t>
      </w:r>
      <w:r w:rsidR="004360D1" w:rsidRPr="009C0B42">
        <w:t>is</w:t>
      </w:r>
      <w:r w:rsidR="001925EB" w:rsidRPr="009C0B42">
        <w:t xml:space="preserve"> calculated using:</w:t>
      </w:r>
    </w:p>
    <w:p w14:paraId="451214C0" w14:textId="77777777" w:rsidR="004360D1" w:rsidRPr="00D4723A" w:rsidRDefault="001340B4" w:rsidP="008B3F05">
      <w:pPr>
        <w:pStyle w:val="paragraph"/>
        <w:spacing w:line="240" w:lineRule="auto"/>
        <w:rPr>
          <w:rFonts w:eastAsiaTheme="minorEastAsia"/>
        </w:rPr>
      </w:pPr>
      <m:oMathPara>
        <m:oMath>
          <m:sSubSup>
            <m:sSubSupPr>
              <m:ctrlPr>
                <w:rPr>
                  <w:rFonts w:ascii="Cambria Math" w:hAnsi="Cambria Math"/>
                  <w:i/>
                </w:rPr>
              </m:ctrlPr>
            </m:sSubSupPr>
            <m:e>
              <m:r>
                <w:rPr>
                  <w:rFonts w:ascii="Cambria Math" w:hAnsi="Cambria Math"/>
                </w:rPr>
                <m:t>DRI</m:t>
              </m:r>
            </m:e>
            <m:sub>
              <m:r>
                <w:rPr>
                  <w:rFonts w:ascii="Cambria Math" w:hAnsi="Cambria Math"/>
                </w:rPr>
                <m:t>i</m:t>
              </m:r>
            </m:sub>
            <m:sup>
              <m:r>
                <w:rPr>
                  <w:rFonts w:ascii="Cambria Math" w:hAnsi="Cambria Math"/>
                </w:rPr>
                <m:t>Ind</m:t>
              </m:r>
            </m:sup>
          </m:sSubSup>
          <m:r>
            <w:rPr>
              <w:rFonts w:ascii="Cambria Math" w:eastAsia="Calibri" w:hAnsi="Cambria Math"/>
            </w:rPr>
            <m:t>=</m:t>
          </m:r>
          <m:f>
            <m:fPr>
              <m:ctrlPr>
                <w:rPr>
                  <w:rFonts w:ascii="Cambria Math" w:eastAsia="Calibri" w:hAnsi="Cambria Math"/>
                  <w:i/>
                </w:rPr>
              </m:ctrlPr>
            </m:fPr>
            <m:num>
              <m:r>
                <w:rPr>
                  <w:rFonts w:ascii="Cambria Math" w:hAnsi="Cambria Math"/>
                </w:rPr>
                <m:t>λ</m:t>
              </m:r>
              <m:r>
                <w:rPr>
                  <w:rFonts w:ascii="Cambria Math" w:eastAsia="Calibri" w:hAnsi="Cambria Math"/>
                </w:rPr>
                <m:t>-2</m:t>
              </m:r>
              <m:sSub>
                <m:sSubPr>
                  <m:ctrlPr>
                    <w:rPr>
                      <w:rFonts w:ascii="Cambria Math" w:hAnsi="Cambria Math"/>
                      <w:i/>
                      <w:shd w:val="clear" w:color="auto" w:fill="FFFFFF"/>
                    </w:rPr>
                  </m:ctrlPr>
                </m:sSubPr>
                <m:e>
                  <m:acc>
                    <m:accPr>
                      <m:chr m:val="̅"/>
                      <m:ctrlPr>
                        <w:rPr>
                          <w:rFonts w:ascii="Cambria Math" w:hAnsi="Cambria Math"/>
                          <w:i/>
                          <w:shd w:val="clear" w:color="auto" w:fill="FFFFFF"/>
                        </w:rPr>
                      </m:ctrlPr>
                    </m:accPr>
                    <m:e>
                      <m:r>
                        <w:rPr>
                          <w:rFonts w:ascii="Cambria Math" w:hAnsi="Cambria Math"/>
                          <w:shd w:val="clear" w:color="auto" w:fill="FFFFFF"/>
                        </w:rPr>
                        <m:t>D</m:t>
                      </m:r>
                    </m:e>
                  </m:acc>
                </m:e>
                <m:sub>
                  <m:r>
                    <w:rPr>
                      <w:rFonts w:ascii="Cambria Math" w:hAnsi="Cambria Math"/>
                      <w:shd w:val="clear" w:color="auto" w:fill="FFFFFF"/>
                    </w:rPr>
                    <m:t>i</m:t>
                  </m:r>
                </m:sub>
              </m:sSub>
            </m:num>
            <m:den>
              <m:r>
                <w:rPr>
                  <w:rFonts w:ascii="Cambria Math" w:hAnsi="Cambria Math"/>
                </w:rPr>
                <m:t>λ</m:t>
              </m:r>
            </m:den>
          </m:f>
        </m:oMath>
      </m:oMathPara>
    </w:p>
    <w:p w14:paraId="61B2DE31" w14:textId="5D3B9328" w:rsidR="004360D1" w:rsidRPr="009C0B42" w:rsidRDefault="000A0E20" w:rsidP="0057353F">
      <w:pPr>
        <w:pStyle w:val="paragraph"/>
      </w:pPr>
      <w:r w:rsidRPr="009C0B42">
        <w:t xml:space="preserve">In Step 4 </w:t>
      </w:r>
      <w:r w:rsidR="004360D1" w:rsidRPr="009C0B42">
        <w:t xml:space="preserve">DRI is </w:t>
      </w:r>
      <w:r w:rsidR="004360D1" w:rsidRPr="009C0B42">
        <w:rPr>
          <w:rFonts w:eastAsiaTheme="minorEastAsia"/>
        </w:rPr>
        <w:t xml:space="preserve">calculated for the group by averaging </w:t>
      </w:r>
      <w:r w:rsidR="004360D1" w:rsidRPr="009C0B42">
        <w:t>DRI</w:t>
      </w:r>
      <w:r w:rsidR="004360D1" w:rsidRPr="009C0B42">
        <w:rPr>
          <w:i/>
          <w:vertAlign w:val="superscript"/>
        </w:rPr>
        <w:t>Ind</w:t>
      </w:r>
      <w:r w:rsidRPr="009C0B42">
        <w:t xml:space="preserve">: </w:t>
      </w:r>
    </w:p>
    <w:p w14:paraId="2602F2D7" w14:textId="77777777" w:rsidR="004360D1" w:rsidRPr="009C0B42" w:rsidRDefault="004360D1" w:rsidP="008B3F05">
      <w:pPr>
        <w:pStyle w:val="paragraph"/>
        <w:spacing w:line="240" w:lineRule="auto"/>
        <w:jc w:val="center"/>
      </w:pPr>
      <m:oMath>
        <m:r>
          <w:rPr>
            <w:rFonts w:ascii="Cambria Math" w:hAnsi="Cambria Math"/>
            <w:shd w:val="clear" w:color="auto" w:fill="FFFFFF"/>
          </w:rPr>
          <m:t>DRI=</m:t>
        </m:r>
        <m:f>
          <m:fPr>
            <m:ctrlPr>
              <w:rPr>
                <w:rFonts w:ascii="Cambria Math" w:eastAsia="Calibri" w:hAnsi="Cambria Math"/>
                <w:i/>
                <w:shd w:val="clear" w:color="auto" w:fill="FFFFFF"/>
              </w:rPr>
            </m:ctrlPr>
          </m:fPr>
          <m:num>
            <m:r>
              <w:rPr>
                <w:rFonts w:ascii="Cambria Math" w:eastAsia="Calibri" w:hAnsi="Cambria Math"/>
                <w:shd w:val="clear" w:color="auto" w:fill="FFFFFF"/>
              </w:rPr>
              <m:t>1</m:t>
            </m:r>
          </m:num>
          <m:den>
            <m:r>
              <w:rPr>
                <w:rFonts w:ascii="Cambria Math" w:eastAsia="Calibri" w:hAnsi="Cambria Math"/>
                <w:shd w:val="clear" w:color="auto" w:fill="FFFFFF"/>
              </w:rPr>
              <m:t>n</m:t>
            </m:r>
          </m:den>
        </m:f>
        <m:nary>
          <m:naryPr>
            <m:chr m:val="∑"/>
            <m:limLoc m:val="undOvr"/>
            <m:ctrlPr>
              <w:rPr>
                <w:rFonts w:ascii="Cambria Math" w:eastAsia="Calibri" w:hAnsi="Cambria Math"/>
                <w:i/>
                <w:shd w:val="clear" w:color="auto" w:fill="FFFFFF"/>
              </w:rPr>
            </m:ctrlPr>
          </m:naryPr>
          <m:sub>
            <m:r>
              <w:rPr>
                <w:rFonts w:ascii="Cambria Math" w:eastAsia="Calibri" w:hAnsi="Cambria Math"/>
                <w:shd w:val="clear" w:color="auto" w:fill="FFFFFF"/>
              </w:rPr>
              <m:t>i=1</m:t>
            </m:r>
          </m:sub>
          <m:sup>
            <m:r>
              <w:rPr>
                <w:rFonts w:ascii="Cambria Math" w:eastAsia="Calibri" w:hAnsi="Cambria Math"/>
                <w:shd w:val="clear" w:color="auto" w:fill="FFFFFF"/>
              </w:rPr>
              <m:t>n</m:t>
            </m:r>
          </m:sup>
          <m:e>
            <m:sSubSup>
              <m:sSubSupPr>
                <m:ctrlPr>
                  <w:rPr>
                    <w:rFonts w:ascii="Cambria Math" w:eastAsiaTheme="minorEastAsia" w:hAnsi="Cambria Math"/>
                    <w:i/>
                    <w:shd w:val="clear" w:color="auto" w:fill="FFFFFF"/>
                  </w:rPr>
                </m:ctrlPr>
              </m:sSubSupPr>
              <m:e>
                <m:r>
                  <w:rPr>
                    <w:rFonts w:ascii="Cambria Math" w:eastAsiaTheme="minorEastAsia" w:hAnsi="Cambria Math"/>
                    <w:shd w:val="clear" w:color="auto" w:fill="FFFFFF"/>
                  </w:rPr>
                  <m:t>DRI</m:t>
                </m:r>
              </m:e>
              <m:sub>
                <m:r>
                  <w:rPr>
                    <w:rFonts w:ascii="Cambria Math" w:eastAsiaTheme="minorEastAsia" w:hAnsi="Cambria Math"/>
                    <w:shd w:val="clear" w:color="auto" w:fill="FFFFFF"/>
                  </w:rPr>
                  <m:t>i</m:t>
                </m:r>
              </m:sub>
              <m:sup>
                <m:r>
                  <w:rPr>
                    <w:rFonts w:ascii="Cambria Math" w:eastAsiaTheme="minorEastAsia" w:hAnsi="Cambria Math"/>
                    <w:shd w:val="clear" w:color="auto" w:fill="FFFFFF"/>
                  </w:rPr>
                  <m:t>Ind</m:t>
                </m:r>
              </m:sup>
            </m:sSubSup>
          </m:e>
        </m:nary>
      </m:oMath>
      <w:r w:rsidRPr="009C0B42">
        <w:rPr>
          <w:rFonts w:eastAsiaTheme="minorEastAsia"/>
          <w:sz w:val="20"/>
          <w:szCs w:val="20"/>
          <w:shd w:val="clear" w:color="auto" w:fill="FFFFFF"/>
        </w:rPr>
        <w:t xml:space="preserve"> </w:t>
      </w:r>
      <w:r w:rsidRPr="009C0B42">
        <w:t xml:space="preserve">   for all </w:t>
      </w:r>
      <w:proofErr w:type="spellStart"/>
      <w:r w:rsidRPr="009C0B42">
        <w:rPr>
          <w:i/>
        </w:rPr>
        <w:t>i</w:t>
      </w:r>
      <w:proofErr w:type="spellEnd"/>
      <w:r w:rsidRPr="009C0B42">
        <w:t xml:space="preserve"> (</w:t>
      </w:r>
      <w:proofErr w:type="spellStart"/>
      <w:r w:rsidRPr="009C0B42">
        <w:rPr>
          <w:i/>
        </w:rPr>
        <w:t>i</w:t>
      </w:r>
      <w:proofErr w:type="spellEnd"/>
      <w:r w:rsidRPr="009C0B42">
        <w:t>…</w:t>
      </w:r>
      <w:r w:rsidRPr="009C0B42">
        <w:rPr>
          <w:i/>
        </w:rPr>
        <w:t>n</w:t>
      </w:r>
      <w:r w:rsidRPr="009C0B42">
        <w:t>)</w:t>
      </w:r>
    </w:p>
    <w:p w14:paraId="6B7AE2A4" w14:textId="6D7E9A04" w:rsidR="001976D4" w:rsidRDefault="000D05A1" w:rsidP="00EE709F">
      <w:pPr>
        <w:pStyle w:val="Heading2"/>
      </w:pPr>
      <w:bookmarkStart w:id="138" w:name="_Toc97203783"/>
      <w:bookmarkStart w:id="139" w:name="_Toc97231584"/>
      <w:bookmarkStart w:id="140" w:name="_Toc97622101"/>
      <w:r>
        <w:t>Data and Calculations</w:t>
      </w:r>
      <w:bookmarkEnd w:id="138"/>
      <w:bookmarkEnd w:id="139"/>
      <w:bookmarkEnd w:id="140"/>
    </w:p>
    <w:p w14:paraId="39165500" w14:textId="0CE127BA" w:rsidR="002A39D8" w:rsidRPr="009C0B42" w:rsidRDefault="002A39D8" w:rsidP="002A63D3">
      <w:pPr>
        <w:pStyle w:val="Paragraphfirst"/>
      </w:pPr>
      <w:r w:rsidRPr="009C0B42">
        <w:t>Calculation of</w:t>
      </w:r>
      <w:r w:rsidR="00603A31" w:rsidRPr="009C0B42">
        <w:t xml:space="preserve"> individual DRI </w:t>
      </w:r>
      <w:r w:rsidR="00962F52" w:rsidRPr="009C0B42">
        <w:t xml:space="preserve">can be performed using the dataset provided </w:t>
      </w:r>
      <w:r w:rsidR="0038770F" w:rsidRPr="009C0B42">
        <w:t>in the attached Excel file</w:t>
      </w:r>
      <w:r w:rsidR="00962F52" w:rsidRPr="009C0B42">
        <w:t xml:space="preserve"> using the R code. The </w:t>
      </w:r>
      <w:r w:rsidR="00D6235F">
        <w:t>f</w:t>
      </w:r>
      <w:r w:rsidR="0038770F" w:rsidRPr="009C0B42">
        <w:t xml:space="preserve">irst worksheet in the file provides </w:t>
      </w:r>
      <w:r w:rsidR="008E24DE" w:rsidRPr="009C0B42">
        <w:t xml:space="preserve">the pre and post deliberative responses to the respective consideration and preference </w:t>
      </w:r>
      <w:r w:rsidR="00C228B7" w:rsidRPr="009C0B42">
        <w:t>surveys</w:t>
      </w:r>
      <w:r w:rsidR="008E24DE" w:rsidRPr="009C0B42">
        <w:t xml:space="preserve"> for </w:t>
      </w:r>
      <w:r w:rsidR="00C2386B" w:rsidRPr="009C0B42">
        <w:t>each</w:t>
      </w:r>
      <w:r w:rsidR="008E24DE" w:rsidRPr="009C0B42">
        <w:t xml:space="preserve"> of the cases</w:t>
      </w:r>
      <w:r w:rsidR="00C2386B" w:rsidRPr="009C0B42">
        <w:t xml:space="preserve">. This is </w:t>
      </w:r>
      <w:r w:rsidR="008E24DE" w:rsidRPr="009C0B42" w:rsidDel="00C2386B">
        <w:t>t</w:t>
      </w:r>
      <w:r w:rsidR="008E24DE" w:rsidRPr="009C0B42">
        <w:t xml:space="preserve">he raw data needed to calculate DRI. </w:t>
      </w:r>
      <w:r w:rsidR="00C228B7" w:rsidRPr="009C0B42">
        <w:t>The first set of R code calculates all sets of intersubjective correlations (which are also provided in the second worksheet in the Excel file)</w:t>
      </w:r>
      <w:r w:rsidR="006E7A81" w:rsidRPr="009C0B42">
        <w:t xml:space="preserve">, and then individual DRI (third worksheet). </w:t>
      </w:r>
    </w:p>
    <w:p w14:paraId="18B2CB66" w14:textId="68B05F3D" w:rsidR="006E7A81" w:rsidRDefault="006E7A81" w:rsidP="00551FAF">
      <w:pPr>
        <w:pStyle w:val="paragraph"/>
      </w:pPr>
      <w:r w:rsidRPr="009C0B42">
        <w:t>The MLM analysis is then performed using the second set of R code</w:t>
      </w:r>
      <w:r w:rsidR="00E43CB8" w:rsidRPr="009C0B42">
        <w:t xml:space="preserve"> using</w:t>
      </w:r>
      <w:r w:rsidR="00F10723" w:rsidRPr="009C0B42">
        <w:t xml:space="preserve"> </w:t>
      </w:r>
      <w:r w:rsidR="00E43CB8" w:rsidRPr="009C0B42">
        <w:t>the combined data provided in the Excel file</w:t>
      </w:r>
      <w:r w:rsidR="002E1A6B">
        <w:t>—</w:t>
      </w:r>
      <w:r w:rsidR="00E43CB8" w:rsidRPr="009C0B42">
        <w:t xml:space="preserve">which includes individual DRI values for all individuals, along with </w:t>
      </w:r>
      <w:r w:rsidR="00421AD8" w:rsidRPr="009C0B42">
        <w:t>the available</w:t>
      </w:r>
      <w:r w:rsidR="00E43CB8" w:rsidRPr="009C0B42">
        <w:t xml:space="preserve"> </w:t>
      </w:r>
      <w:r w:rsidR="00421AD8" w:rsidRPr="009C0B42">
        <w:t xml:space="preserve">demographic data and </w:t>
      </w:r>
      <w:r w:rsidR="000042E4" w:rsidRPr="009C0B42">
        <w:t>case study variables.</w:t>
      </w:r>
    </w:p>
    <w:p w14:paraId="453FF68A" w14:textId="27642C57" w:rsidR="00990A79" w:rsidRDefault="00356E2A" w:rsidP="004B2AD4">
      <w:pPr>
        <w:pStyle w:val="Heading1"/>
      </w:pPr>
      <w:bookmarkStart w:id="141" w:name="_Toc97622102"/>
      <w:bookmarkStart w:id="142" w:name="_Toc97622103"/>
      <w:bookmarkStart w:id="143" w:name="_Toc97622104"/>
      <w:bookmarkStart w:id="144" w:name="_Toc97622105"/>
      <w:bookmarkStart w:id="145" w:name="_Toc97622106"/>
      <w:bookmarkStart w:id="146" w:name="_Toc97622107"/>
      <w:bookmarkStart w:id="147" w:name="_Toc97622108"/>
      <w:bookmarkStart w:id="148" w:name="_Toc97622109"/>
      <w:bookmarkStart w:id="149" w:name="_Toc97231586"/>
      <w:bookmarkStart w:id="150" w:name="_Ref97584923"/>
      <w:bookmarkStart w:id="151" w:name="_Toc97622110"/>
      <w:bookmarkEnd w:id="141"/>
      <w:bookmarkEnd w:id="142"/>
      <w:bookmarkEnd w:id="143"/>
      <w:bookmarkEnd w:id="144"/>
      <w:bookmarkEnd w:id="145"/>
      <w:bookmarkEnd w:id="146"/>
      <w:bookmarkEnd w:id="147"/>
      <w:bookmarkEnd w:id="148"/>
      <w:r>
        <w:lastRenderedPageBreak/>
        <w:t xml:space="preserve">information AND </w:t>
      </w:r>
      <w:r w:rsidR="002F274E">
        <w:t xml:space="preserve">OTHER </w:t>
      </w:r>
      <w:r>
        <w:t>EFFECTS</w:t>
      </w:r>
      <w:bookmarkEnd w:id="149"/>
      <w:bookmarkEnd w:id="150"/>
      <w:bookmarkEnd w:id="151"/>
    </w:p>
    <w:p w14:paraId="4905C91E" w14:textId="2146D9D3" w:rsidR="0054675E" w:rsidRPr="00CA1FA5" w:rsidRDefault="0054675E" w:rsidP="00EE709F">
      <w:pPr>
        <w:pStyle w:val="Heading2"/>
      </w:pPr>
      <w:r w:rsidRPr="00AF63DC">
        <w:t xml:space="preserve">Information vs </w:t>
      </w:r>
      <w:r>
        <w:t xml:space="preserve">Formal </w:t>
      </w:r>
      <w:r w:rsidRPr="00AF63DC">
        <w:t xml:space="preserve">Deliberation </w:t>
      </w:r>
    </w:p>
    <w:p w14:paraId="1F0CD32F" w14:textId="4FBAF11C" w:rsidR="00287B4F" w:rsidRDefault="00D9236F" w:rsidP="002A63D3">
      <w:pPr>
        <w:pStyle w:val="Paragraphfirst"/>
      </w:pPr>
      <w:bookmarkStart w:id="152" w:name="_Toc97203786"/>
      <w:bookmarkStart w:id="153" w:name="_Toc97203787"/>
      <w:bookmarkEnd w:id="152"/>
      <w:bookmarkEnd w:id="153"/>
      <w:r w:rsidRPr="009C0B42">
        <w:t xml:space="preserve">The results in </w:t>
      </w:r>
      <w:bookmarkStart w:id="154" w:name="Variables_Heading"/>
      <w:r w:rsidR="009E37E7">
        <w:fldChar w:fldCharType="begin"/>
      </w:r>
      <w:r w:rsidR="009E37E7">
        <w:instrText xml:space="preserve"> REF _Ref122351084 </w:instrText>
      </w:r>
      <w:r w:rsidR="009E37E7">
        <w:fldChar w:fldCharType="separate"/>
      </w:r>
      <w:r w:rsidR="009E37E7">
        <w:t xml:space="preserve">Table </w:t>
      </w:r>
      <w:r w:rsidR="009E37E7">
        <w:rPr>
          <w:noProof/>
        </w:rPr>
        <w:t>D.1</w:t>
      </w:r>
      <w:r w:rsidR="009E37E7">
        <w:t>.</w:t>
      </w:r>
      <w:r w:rsidR="009E37E7">
        <w:rPr>
          <w:noProof/>
        </w:rPr>
        <w:t>1</w:t>
      </w:r>
      <w:r w:rsidR="009E37E7">
        <w:fldChar w:fldCharType="end"/>
      </w:r>
      <w:r w:rsidR="00AC3786">
        <w:t xml:space="preserve"> </w:t>
      </w:r>
      <w:r w:rsidRPr="009C0B42">
        <w:t xml:space="preserve">report the relative impact of </w:t>
      </w:r>
      <w:r w:rsidR="00283C1B">
        <w:t>“</w:t>
      </w:r>
      <w:r w:rsidRPr="009C0B42">
        <w:t>information</w:t>
      </w:r>
      <w:r w:rsidR="00283C1B">
        <w:t>”</w:t>
      </w:r>
      <w:r w:rsidRPr="009C0B42">
        <w:t xml:space="preserve"> and </w:t>
      </w:r>
      <w:r w:rsidR="00283C1B">
        <w:t>“</w:t>
      </w:r>
      <w:r w:rsidR="002F274E">
        <w:t xml:space="preserve">formal </w:t>
      </w:r>
      <w:r w:rsidRPr="009C0B42">
        <w:t>deliberation</w:t>
      </w:r>
      <w:r w:rsidR="00283C1B">
        <w:t>”</w:t>
      </w:r>
      <w:r w:rsidRPr="009C0B42">
        <w:t xml:space="preserve"> phases for the ten cases where data was obtained mid-process</w:t>
      </w:r>
      <w:r w:rsidR="00047FD8" w:rsidRPr="009C0B42">
        <w:t xml:space="preserve">, </w:t>
      </w:r>
      <w:r w:rsidRPr="009C0B42">
        <w:t>after much of the information was provided</w:t>
      </w:r>
      <w:r w:rsidR="00395D87" w:rsidRPr="009C0B42">
        <w:t xml:space="preserve"> but before </w:t>
      </w:r>
      <w:r w:rsidR="007159EF" w:rsidRPr="009C0B42">
        <w:t>formal</w:t>
      </w:r>
      <w:r w:rsidR="00395D87" w:rsidRPr="009C0B42">
        <w:t xml:space="preserve"> deliberation commenced</w:t>
      </w:r>
      <w:r w:rsidR="002E1A6B">
        <w:t>—</w:t>
      </w:r>
      <w:r w:rsidR="000B652C" w:rsidRPr="009C0B42">
        <w:t>though there was nothing to stop participants talking to each other during the information phase</w:t>
      </w:r>
      <w:r w:rsidR="00AD298A">
        <w:t>, so some of the change in DRI that we observe for that phase could be due to informal deliberation</w:t>
      </w:r>
      <w:r w:rsidRPr="009C0B42">
        <w:t>.</w:t>
      </w:r>
      <w:r w:rsidR="00875D5F" w:rsidRPr="009C0B42">
        <w:t xml:space="preserve"> </w:t>
      </w:r>
    </w:p>
    <w:p w14:paraId="41E24466" w14:textId="3E6039B1" w:rsidR="00E9278D" w:rsidRDefault="006D4487" w:rsidP="006D4487">
      <w:pPr>
        <w:pStyle w:val="Caption"/>
      </w:pPr>
      <w:bookmarkStart w:id="155" w:name="_Ref122351084"/>
      <w:r>
        <w:t xml:space="preserve">Table </w:t>
      </w:r>
      <w:r>
        <w:fldChar w:fldCharType="begin"/>
      </w:r>
      <w:r>
        <w:instrText>STYLEREF 2 \s</w:instrText>
      </w:r>
      <w:r>
        <w:fldChar w:fldCharType="separate"/>
      </w:r>
      <w:r w:rsidR="005F623F">
        <w:rPr>
          <w:noProof/>
        </w:rPr>
        <w:t>D.1</w:t>
      </w:r>
      <w:r>
        <w:fldChar w:fldCharType="end"/>
      </w:r>
      <w:r w:rsidR="005F623F">
        <w:t>.</w:t>
      </w:r>
      <w:r>
        <w:fldChar w:fldCharType="begin"/>
      </w:r>
      <w:r>
        <w:instrText>SEQ Table \* ARABIC \s 2</w:instrText>
      </w:r>
      <w:r>
        <w:fldChar w:fldCharType="separate"/>
      </w:r>
      <w:r w:rsidR="005F623F">
        <w:rPr>
          <w:noProof/>
        </w:rPr>
        <w:t>1</w:t>
      </w:r>
      <w:r>
        <w:fldChar w:fldCharType="end"/>
      </w:r>
      <w:bookmarkEnd w:id="155"/>
      <w:r w:rsidR="00770A06">
        <w:t>:</w:t>
      </w:r>
      <w:r w:rsidR="00EE15AC">
        <w:t xml:space="preserve"> </w:t>
      </w:r>
      <w:r w:rsidR="00AF63DC" w:rsidRPr="00AF63DC">
        <w:t xml:space="preserve">Information vs </w:t>
      </w:r>
      <w:r w:rsidR="00563CB6">
        <w:t xml:space="preserve">Formal </w:t>
      </w:r>
      <w:r w:rsidR="00AF63DC" w:rsidRPr="00AF63DC">
        <w:t>Deliberation Effects</w:t>
      </w:r>
    </w:p>
    <w:tbl>
      <w:tblPr>
        <w:tblStyle w:val="APSROnlineAppendix"/>
        <w:tblW w:w="9606" w:type="dxa"/>
        <w:tblLayout w:type="fixed"/>
        <w:tblLook w:val="0600" w:firstRow="0" w:lastRow="0" w:firstColumn="0" w:lastColumn="0" w:noHBand="1" w:noVBand="1"/>
      </w:tblPr>
      <w:tblGrid>
        <w:gridCol w:w="993"/>
        <w:gridCol w:w="3543"/>
        <w:gridCol w:w="1985"/>
        <w:gridCol w:w="1843"/>
        <w:gridCol w:w="1134"/>
        <w:gridCol w:w="108"/>
      </w:tblGrid>
      <w:tr w:rsidR="00932664" w:rsidRPr="0024443B" w14:paraId="08495988" w14:textId="4C563EE4" w:rsidTr="00EE15AC">
        <w:trPr>
          <w:gridAfter w:val="1"/>
          <w:wAfter w:w="108" w:type="dxa"/>
          <w:trHeight w:val="284"/>
        </w:trPr>
        <w:tc>
          <w:tcPr>
            <w:tcW w:w="993" w:type="dxa"/>
            <w:noWrap/>
          </w:tcPr>
          <w:p w14:paraId="75715557" w14:textId="77777777" w:rsidR="00B177FF" w:rsidRPr="0024443B" w:rsidRDefault="00B177FF" w:rsidP="0024629F">
            <w:pPr>
              <w:pStyle w:val="TableHeader2"/>
            </w:pPr>
          </w:p>
        </w:tc>
        <w:tc>
          <w:tcPr>
            <w:tcW w:w="3543" w:type="dxa"/>
            <w:noWrap/>
          </w:tcPr>
          <w:p w14:paraId="17E3D468" w14:textId="77777777" w:rsidR="00B177FF" w:rsidRPr="0024443B" w:rsidRDefault="00B177FF" w:rsidP="0024629F">
            <w:pPr>
              <w:pStyle w:val="TableHeader2"/>
            </w:pPr>
          </w:p>
        </w:tc>
        <w:tc>
          <w:tcPr>
            <w:tcW w:w="3828" w:type="dxa"/>
            <w:gridSpan w:val="2"/>
          </w:tcPr>
          <w:p w14:paraId="38064947" w14:textId="77777777" w:rsidR="00B177FF" w:rsidRPr="00B515F7" w:rsidRDefault="00B177FF" w:rsidP="00636D41">
            <w:pPr>
              <w:pStyle w:val="TableHeader1"/>
            </w:pPr>
            <w:r w:rsidRPr="00B515F7">
              <w:t xml:space="preserve">DRI Change </w:t>
            </w:r>
          </w:p>
          <w:p w14:paraId="602BB847" w14:textId="3148AB29" w:rsidR="00B177FF" w:rsidRPr="0024443B" w:rsidRDefault="00B177FF" w:rsidP="00636D41">
            <w:pPr>
              <w:pStyle w:val="TableHeader1"/>
            </w:pPr>
            <w:r w:rsidRPr="00B515F7">
              <w:t>(Phase)</w:t>
            </w:r>
          </w:p>
        </w:tc>
        <w:tc>
          <w:tcPr>
            <w:tcW w:w="1134" w:type="dxa"/>
          </w:tcPr>
          <w:p w14:paraId="23B79D8D" w14:textId="77777777" w:rsidR="00B177FF" w:rsidRPr="00B515F7" w:rsidRDefault="00B177FF" w:rsidP="00636D41">
            <w:pPr>
              <w:pStyle w:val="TableHeader1"/>
            </w:pPr>
          </w:p>
        </w:tc>
      </w:tr>
      <w:tr w:rsidR="00932664" w:rsidRPr="0024443B" w14:paraId="3F1C5BBD" w14:textId="7B287C09" w:rsidTr="00ED412B">
        <w:trPr>
          <w:trHeight w:val="284"/>
        </w:trPr>
        <w:tc>
          <w:tcPr>
            <w:tcW w:w="0" w:type="dxa"/>
            <w:tcBorders>
              <w:top w:val="nil"/>
              <w:bottom w:val="single" w:sz="4" w:space="0" w:color="auto"/>
            </w:tcBorders>
            <w:noWrap/>
            <w:hideMark/>
          </w:tcPr>
          <w:p w14:paraId="3399453D" w14:textId="5F63E783" w:rsidR="00B177FF" w:rsidRPr="0024443B" w:rsidRDefault="00D60EBC" w:rsidP="00863740">
            <w:pPr>
              <w:pStyle w:val="TableHeader2"/>
              <w:jc w:val="left"/>
            </w:pPr>
            <w:r>
              <w:t xml:space="preserve">Case </w:t>
            </w:r>
            <w:r w:rsidR="00B177FF">
              <w:t>#</w:t>
            </w:r>
          </w:p>
        </w:tc>
        <w:tc>
          <w:tcPr>
            <w:tcW w:w="0" w:type="dxa"/>
            <w:tcBorders>
              <w:top w:val="nil"/>
              <w:bottom w:val="single" w:sz="4" w:space="0" w:color="auto"/>
            </w:tcBorders>
            <w:noWrap/>
            <w:hideMark/>
          </w:tcPr>
          <w:p w14:paraId="1A020410" w14:textId="44A1922B" w:rsidR="00B177FF" w:rsidRPr="0024443B" w:rsidRDefault="00B177FF" w:rsidP="0051234C">
            <w:pPr>
              <w:pStyle w:val="TableHeader2"/>
            </w:pPr>
            <w:r>
              <w:t>Case</w:t>
            </w:r>
          </w:p>
        </w:tc>
        <w:tc>
          <w:tcPr>
            <w:tcW w:w="0" w:type="dxa"/>
            <w:tcBorders>
              <w:top w:val="nil"/>
              <w:bottom w:val="single" w:sz="4" w:space="0" w:color="auto"/>
            </w:tcBorders>
          </w:tcPr>
          <w:p w14:paraId="5BF5AFBD" w14:textId="48028077" w:rsidR="00B177FF" w:rsidRPr="0024443B" w:rsidRDefault="00B177FF" w:rsidP="0051234C">
            <w:pPr>
              <w:pStyle w:val="TableHeader2"/>
            </w:pPr>
            <w:r w:rsidRPr="0024443B">
              <w:t>Info</w:t>
            </w:r>
            <w:r>
              <w:t>rmation</w:t>
            </w:r>
          </w:p>
        </w:tc>
        <w:tc>
          <w:tcPr>
            <w:tcW w:w="0" w:type="dxa"/>
            <w:tcBorders>
              <w:top w:val="nil"/>
              <w:bottom w:val="single" w:sz="4" w:space="0" w:color="auto"/>
            </w:tcBorders>
          </w:tcPr>
          <w:p w14:paraId="7B63C890" w14:textId="23073644" w:rsidR="00B177FF" w:rsidRPr="0024443B" w:rsidRDefault="00B177FF" w:rsidP="0051234C">
            <w:pPr>
              <w:pStyle w:val="TableHeader2"/>
            </w:pPr>
            <w:r>
              <w:t xml:space="preserve">Formal </w:t>
            </w:r>
            <w:r w:rsidRPr="0024443B">
              <w:t>Delib</w:t>
            </w:r>
            <w:r>
              <w:t>eration</w:t>
            </w:r>
          </w:p>
        </w:tc>
        <w:tc>
          <w:tcPr>
            <w:tcW w:w="0" w:type="dxa"/>
            <w:gridSpan w:val="2"/>
            <w:tcBorders>
              <w:top w:val="nil"/>
              <w:bottom w:val="single" w:sz="4" w:space="0" w:color="auto"/>
            </w:tcBorders>
          </w:tcPr>
          <w:p w14:paraId="5B2B524A" w14:textId="7C44ECAC" w:rsidR="00B177FF" w:rsidRDefault="00ED412B" w:rsidP="0051234C">
            <w:pPr>
              <w:pStyle w:val="TableHeader2"/>
            </w:pPr>
            <w:r>
              <w:t>n</w:t>
            </w:r>
            <w:r w:rsidR="00B342C5">
              <w:t>†</w:t>
            </w:r>
          </w:p>
        </w:tc>
      </w:tr>
      <w:tr w:rsidR="00932664" w:rsidRPr="00A26FA5" w14:paraId="45A8154B" w14:textId="77777777" w:rsidTr="00ED412B">
        <w:trPr>
          <w:trHeight w:val="284"/>
        </w:trPr>
        <w:tc>
          <w:tcPr>
            <w:tcW w:w="0" w:type="dxa"/>
            <w:tcBorders>
              <w:top w:val="single" w:sz="4" w:space="0" w:color="auto"/>
            </w:tcBorders>
            <w:noWrap/>
            <w:hideMark/>
          </w:tcPr>
          <w:p w14:paraId="4F8D088D" w14:textId="7E33D61C" w:rsidR="0091174E" w:rsidRPr="002A63D3" w:rsidRDefault="0091174E" w:rsidP="009D7FF0">
            <w:pPr>
              <w:pStyle w:val="TableHeadingsColumn"/>
            </w:pPr>
            <w:r w:rsidRPr="002A63D3">
              <w:t>1</w:t>
            </w:r>
          </w:p>
        </w:tc>
        <w:tc>
          <w:tcPr>
            <w:tcW w:w="0" w:type="dxa"/>
            <w:tcBorders>
              <w:top w:val="single" w:sz="4" w:space="0" w:color="auto"/>
            </w:tcBorders>
            <w:noWrap/>
            <w:hideMark/>
          </w:tcPr>
          <w:p w14:paraId="708DE070" w14:textId="28B1FB52" w:rsidR="0091174E" w:rsidRPr="009C0B42" w:rsidRDefault="0091174E" w:rsidP="00932664">
            <w:pPr>
              <w:pStyle w:val="TableHeadingsColumn"/>
              <w:ind w:right="-331"/>
            </w:pPr>
            <w:r w:rsidRPr="00905900">
              <w:t xml:space="preserve">Uppsala Speaks </w:t>
            </w:r>
            <w:r w:rsidR="00C00558">
              <w:t>Group Briefing</w:t>
            </w:r>
          </w:p>
        </w:tc>
        <w:tc>
          <w:tcPr>
            <w:tcW w:w="0" w:type="dxa"/>
            <w:tcBorders>
              <w:top w:val="single" w:sz="4" w:space="0" w:color="auto"/>
            </w:tcBorders>
          </w:tcPr>
          <w:p w14:paraId="0DE81304" w14:textId="4420DDD2" w:rsidR="0091174E" w:rsidRPr="00632322" w:rsidRDefault="0091174E" w:rsidP="009D7FF0">
            <w:pPr>
              <w:pStyle w:val="TableDataCentred"/>
            </w:pPr>
            <w:r w:rsidRPr="00632322">
              <w:t>0.09**</w:t>
            </w:r>
          </w:p>
        </w:tc>
        <w:tc>
          <w:tcPr>
            <w:tcW w:w="0" w:type="dxa"/>
            <w:tcBorders>
              <w:top w:val="single" w:sz="4" w:space="0" w:color="auto"/>
            </w:tcBorders>
          </w:tcPr>
          <w:p w14:paraId="1B2E2A57" w14:textId="31345F56" w:rsidR="0091174E" w:rsidRPr="00632322" w:rsidRDefault="0091174E" w:rsidP="009D7FF0">
            <w:pPr>
              <w:pStyle w:val="TableDataCentred"/>
            </w:pPr>
            <w:r w:rsidRPr="00632322">
              <w:t>0.10**</w:t>
            </w:r>
          </w:p>
        </w:tc>
        <w:tc>
          <w:tcPr>
            <w:tcW w:w="0" w:type="dxa"/>
            <w:gridSpan w:val="2"/>
            <w:tcBorders>
              <w:top w:val="single" w:sz="4" w:space="0" w:color="auto"/>
            </w:tcBorders>
          </w:tcPr>
          <w:p w14:paraId="0ACF16BD" w14:textId="6A2C122C" w:rsidR="0091174E" w:rsidRPr="00632322" w:rsidRDefault="0091174E" w:rsidP="009D7FF0">
            <w:pPr>
              <w:pStyle w:val="TableDataCentred"/>
            </w:pPr>
            <w:r>
              <w:t>22</w:t>
            </w:r>
            <w:r w:rsidR="00D30324">
              <w:t xml:space="preserve"> </w:t>
            </w:r>
            <w:r>
              <w:t>(23)</w:t>
            </w:r>
          </w:p>
        </w:tc>
      </w:tr>
      <w:tr w:rsidR="00932664" w:rsidRPr="00A26FA5" w14:paraId="1616EFC3" w14:textId="41B7AB52" w:rsidTr="00EE15AC">
        <w:trPr>
          <w:trHeight w:val="284"/>
        </w:trPr>
        <w:tc>
          <w:tcPr>
            <w:tcW w:w="993" w:type="dxa"/>
            <w:noWrap/>
            <w:hideMark/>
          </w:tcPr>
          <w:p w14:paraId="282A60E4" w14:textId="77777777" w:rsidR="00B177FF" w:rsidRPr="002A63D3" w:rsidRDefault="00B177FF" w:rsidP="009D7FF0">
            <w:pPr>
              <w:pStyle w:val="TableHeadingsColumn"/>
            </w:pPr>
            <w:r w:rsidRPr="002A63D3">
              <w:t>2</w:t>
            </w:r>
          </w:p>
        </w:tc>
        <w:tc>
          <w:tcPr>
            <w:tcW w:w="3543" w:type="dxa"/>
            <w:noWrap/>
            <w:hideMark/>
          </w:tcPr>
          <w:p w14:paraId="7CD3DE4B" w14:textId="23E546AD" w:rsidR="00B177FF" w:rsidRPr="009C0B42" w:rsidRDefault="00B177FF" w:rsidP="009D7FF0">
            <w:pPr>
              <w:pStyle w:val="TableHeadingsColumn"/>
            </w:pPr>
            <w:r w:rsidRPr="009C0B42">
              <w:t>Uppsala Speaks Group Building Plus</w:t>
            </w:r>
          </w:p>
        </w:tc>
        <w:tc>
          <w:tcPr>
            <w:tcW w:w="1985" w:type="dxa"/>
          </w:tcPr>
          <w:p w14:paraId="5A065478" w14:textId="338C3170" w:rsidR="00B177FF" w:rsidRPr="00632322" w:rsidRDefault="00B177FF" w:rsidP="009D7FF0">
            <w:pPr>
              <w:pStyle w:val="TableDataCentred"/>
            </w:pPr>
            <w:r w:rsidRPr="00632322">
              <w:t>0.12***</w:t>
            </w:r>
          </w:p>
        </w:tc>
        <w:tc>
          <w:tcPr>
            <w:tcW w:w="1843" w:type="dxa"/>
          </w:tcPr>
          <w:p w14:paraId="3FE35756" w14:textId="6A1BCF82" w:rsidR="00B177FF" w:rsidRPr="00632322" w:rsidRDefault="00B177FF" w:rsidP="009D7FF0">
            <w:pPr>
              <w:pStyle w:val="TableDataCentred"/>
            </w:pPr>
            <w:r w:rsidRPr="00632322">
              <w:t>0.15***</w:t>
            </w:r>
          </w:p>
        </w:tc>
        <w:tc>
          <w:tcPr>
            <w:tcW w:w="1242" w:type="dxa"/>
            <w:gridSpan w:val="2"/>
          </w:tcPr>
          <w:p w14:paraId="3E344DF1" w14:textId="7C4F1F29" w:rsidR="00B177FF" w:rsidRPr="00632322" w:rsidRDefault="00F200F6" w:rsidP="009D7FF0">
            <w:pPr>
              <w:pStyle w:val="TableDataCentred"/>
            </w:pPr>
            <w:r>
              <w:t>2</w:t>
            </w:r>
            <w:r w:rsidR="00885B59">
              <w:t>4</w:t>
            </w:r>
            <w:r w:rsidR="00D30324">
              <w:t xml:space="preserve"> </w:t>
            </w:r>
            <w:r w:rsidR="00D84B9C">
              <w:t>(27)</w:t>
            </w:r>
          </w:p>
        </w:tc>
      </w:tr>
      <w:tr w:rsidR="00932664" w:rsidRPr="00A26FA5" w14:paraId="7518B421" w14:textId="49F69F5D" w:rsidTr="00EE15AC">
        <w:trPr>
          <w:trHeight w:val="284"/>
        </w:trPr>
        <w:tc>
          <w:tcPr>
            <w:tcW w:w="993" w:type="dxa"/>
            <w:noWrap/>
            <w:hideMark/>
          </w:tcPr>
          <w:p w14:paraId="464A33DC" w14:textId="77777777" w:rsidR="00B177FF" w:rsidRPr="002A63D3" w:rsidRDefault="00B177FF" w:rsidP="009D7FF0">
            <w:pPr>
              <w:pStyle w:val="TableHeadingsColumn"/>
            </w:pPr>
            <w:r w:rsidRPr="002A63D3">
              <w:t>6</w:t>
            </w:r>
          </w:p>
        </w:tc>
        <w:tc>
          <w:tcPr>
            <w:tcW w:w="3543" w:type="dxa"/>
            <w:noWrap/>
            <w:hideMark/>
          </w:tcPr>
          <w:p w14:paraId="27B45E28" w14:textId="77777777" w:rsidR="00B177FF" w:rsidRPr="00905900" w:rsidRDefault="00B177FF" w:rsidP="009D7FF0">
            <w:pPr>
              <w:pStyle w:val="TableHeadingsColumn"/>
            </w:pPr>
            <w:r w:rsidRPr="00905900">
              <w:t>Forest ERA Lay Citizens</w:t>
            </w:r>
          </w:p>
        </w:tc>
        <w:tc>
          <w:tcPr>
            <w:tcW w:w="1985" w:type="dxa"/>
          </w:tcPr>
          <w:p w14:paraId="44CE26CC" w14:textId="4328C09F" w:rsidR="00B177FF" w:rsidRPr="00632322" w:rsidRDefault="00E5120C" w:rsidP="009D7FF0">
            <w:pPr>
              <w:pStyle w:val="TableDataCentred"/>
            </w:pPr>
            <w:r>
              <w:t>0.0</w:t>
            </w:r>
            <w:r w:rsidR="00325DCD">
              <w:t>6</w:t>
            </w:r>
          </w:p>
        </w:tc>
        <w:tc>
          <w:tcPr>
            <w:tcW w:w="1843" w:type="dxa"/>
          </w:tcPr>
          <w:p w14:paraId="33B32E69" w14:textId="0D725C25" w:rsidR="00B177FF" w:rsidRPr="00632322" w:rsidRDefault="00B177FF" w:rsidP="009D7FF0">
            <w:pPr>
              <w:pStyle w:val="TableDataCentred"/>
            </w:pPr>
            <w:r w:rsidRPr="002A63D3">
              <w:t>0.</w:t>
            </w:r>
            <w:r w:rsidR="00325DCD">
              <w:t>09</w:t>
            </w:r>
          </w:p>
        </w:tc>
        <w:tc>
          <w:tcPr>
            <w:tcW w:w="1242" w:type="dxa"/>
            <w:gridSpan w:val="2"/>
          </w:tcPr>
          <w:p w14:paraId="154C83DC" w14:textId="56228761" w:rsidR="00B177FF" w:rsidRPr="002A63D3" w:rsidRDefault="00F200F6" w:rsidP="009D7FF0">
            <w:pPr>
              <w:pStyle w:val="TableDataCentred"/>
            </w:pPr>
            <w:r>
              <w:t>1</w:t>
            </w:r>
            <w:r w:rsidR="00E143FE">
              <w:t>1</w:t>
            </w:r>
            <w:r w:rsidR="00D30324">
              <w:t xml:space="preserve"> </w:t>
            </w:r>
            <w:r w:rsidR="00D84B9C">
              <w:t>(12)</w:t>
            </w:r>
          </w:p>
        </w:tc>
      </w:tr>
      <w:tr w:rsidR="00932664" w:rsidRPr="00A26FA5" w14:paraId="4275EBC1" w14:textId="74885300" w:rsidTr="00EE15AC">
        <w:trPr>
          <w:trHeight w:val="284"/>
        </w:trPr>
        <w:tc>
          <w:tcPr>
            <w:tcW w:w="993" w:type="dxa"/>
            <w:noWrap/>
            <w:hideMark/>
          </w:tcPr>
          <w:p w14:paraId="4FC33945" w14:textId="77777777" w:rsidR="00B177FF" w:rsidRPr="002A63D3" w:rsidRDefault="00B177FF" w:rsidP="009D7FF0">
            <w:pPr>
              <w:pStyle w:val="TableHeadingsColumn"/>
            </w:pPr>
            <w:r w:rsidRPr="002A63D3">
              <w:t>7</w:t>
            </w:r>
          </w:p>
        </w:tc>
        <w:tc>
          <w:tcPr>
            <w:tcW w:w="3543" w:type="dxa"/>
            <w:noWrap/>
            <w:hideMark/>
          </w:tcPr>
          <w:p w14:paraId="0F78D978" w14:textId="77777777" w:rsidR="00B177FF" w:rsidRPr="00905900" w:rsidRDefault="00B177FF" w:rsidP="009D7FF0">
            <w:pPr>
              <w:pStyle w:val="TableHeadingsColumn"/>
            </w:pPr>
            <w:r w:rsidRPr="00905900">
              <w:t>Forest ERA Stakeholders</w:t>
            </w:r>
          </w:p>
        </w:tc>
        <w:tc>
          <w:tcPr>
            <w:tcW w:w="1985" w:type="dxa"/>
          </w:tcPr>
          <w:p w14:paraId="327FCA51" w14:textId="4966EC43" w:rsidR="00B177FF" w:rsidRPr="00632322" w:rsidRDefault="00325DCD" w:rsidP="009D7FF0">
            <w:pPr>
              <w:pStyle w:val="TableDataCentred"/>
            </w:pPr>
            <w:r>
              <w:t>-</w:t>
            </w:r>
            <w:r w:rsidR="00B177FF" w:rsidRPr="002A63D3">
              <w:t>0.0</w:t>
            </w:r>
            <w:r>
              <w:t>7</w:t>
            </w:r>
          </w:p>
        </w:tc>
        <w:tc>
          <w:tcPr>
            <w:tcW w:w="1843" w:type="dxa"/>
          </w:tcPr>
          <w:p w14:paraId="6B816242" w14:textId="0C82B05E" w:rsidR="00B177FF" w:rsidRPr="00632322" w:rsidRDefault="00B177FF" w:rsidP="009D7FF0">
            <w:pPr>
              <w:pStyle w:val="TableDataCentred"/>
            </w:pPr>
            <w:r w:rsidRPr="002A63D3">
              <w:t>0.</w:t>
            </w:r>
            <w:r w:rsidR="00325DCD">
              <w:t>21***</w:t>
            </w:r>
          </w:p>
        </w:tc>
        <w:tc>
          <w:tcPr>
            <w:tcW w:w="1242" w:type="dxa"/>
            <w:gridSpan w:val="2"/>
          </w:tcPr>
          <w:p w14:paraId="2CE50F27" w14:textId="7E406269" w:rsidR="00B177FF" w:rsidRPr="002A63D3" w:rsidRDefault="00F200F6" w:rsidP="009D7FF0">
            <w:pPr>
              <w:pStyle w:val="TableDataCentred"/>
            </w:pPr>
            <w:r>
              <w:t>1</w:t>
            </w:r>
            <w:r w:rsidR="00C87057">
              <w:t>0</w:t>
            </w:r>
            <w:r w:rsidR="00D30324">
              <w:t xml:space="preserve"> </w:t>
            </w:r>
            <w:r w:rsidR="00D84B9C">
              <w:t>(86)</w:t>
            </w:r>
          </w:p>
        </w:tc>
      </w:tr>
      <w:tr w:rsidR="00932664" w:rsidRPr="00A26FA5" w14:paraId="53866F4C" w14:textId="36FFE24F" w:rsidTr="00EE15AC">
        <w:trPr>
          <w:trHeight w:val="284"/>
        </w:trPr>
        <w:tc>
          <w:tcPr>
            <w:tcW w:w="993" w:type="dxa"/>
            <w:noWrap/>
            <w:hideMark/>
          </w:tcPr>
          <w:p w14:paraId="121FC431" w14:textId="77777777" w:rsidR="00B177FF" w:rsidRPr="002A63D3" w:rsidRDefault="00B177FF" w:rsidP="009D7FF0">
            <w:pPr>
              <w:pStyle w:val="TableHeadingsColumn"/>
            </w:pPr>
            <w:r w:rsidRPr="002A63D3">
              <w:t>10</w:t>
            </w:r>
          </w:p>
        </w:tc>
        <w:tc>
          <w:tcPr>
            <w:tcW w:w="3543" w:type="dxa"/>
            <w:noWrap/>
            <w:hideMark/>
          </w:tcPr>
          <w:p w14:paraId="67B644BF" w14:textId="77777777" w:rsidR="00B177FF" w:rsidRPr="00905900" w:rsidRDefault="00B177FF" w:rsidP="009D7FF0">
            <w:pPr>
              <w:pStyle w:val="TableHeadingsColumn"/>
            </w:pPr>
            <w:r w:rsidRPr="00905900">
              <w:t>WA Biobank Citizens</w:t>
            </w:r>
          </w:p>
        </w:tc>
        <w:tc>
          <w:tcPr>
            <w:tcW w:w="1985" w:type="dxa"/>
          </w:tcPr>
          <w:p w14:paraId="65F7C1E7" w14:textId="2B5610FC" w:rsidR="00B177FF" w:rsidRPr="00632322" w:rsidRDefault="00B177FF" w:rsidP="009D7FF0">
            <w:pPr>
              <w:pStyle w:val="TableDataCentred"/>
            </w:pPr>
            <w:r w:rsidRPr="00632322">
              <w:t>0.17</w:t>
            </w:r>
          </w:p>
        </w:tc>
        <w:tc>
          <w:tcPr>
            <w:tcW w:w="1843" w:type="dxa"/>
          </w:tcPr>
          <w:p w14:paraId="6CD6B174" w14:textId="2203D4CB" w:rsidR="00B177FF" w:rsidRPr="00632322" w:rsidRDefault="00B177FF" w:rsidP="009D7FF0">
            <w:pPr>
              <w:pStyle w:val="TableDataCentred"/>
            </w:pPr>
            <w:r w:rsidRPr="00632322">
              <w:t>0.12*</w:t>
            </w:r>
          </w:p>
        </w:tc>
        <w:tc>
          <w:tcPr>
            <w:tcW w:w="1242" w:type="dxa"/>
            <w:gridSpan w:val="2"/>
          </w:tcPr>
          <w:p w14:paraId="1199CF1D" w14:textId="32E9D1EA" w:rsidR="00B177FF" w:rsidRPr="00632322" w:rsidRDefault="00431F67" w:rsidP="009D7FF0">
            <w:pPr>
              <w:pStyle w:val="TableDataCentred"/>
            </w:pPr>
            <w:r>
              <w:t>1</w:t>
            </w:r>
            <w:r w:rsidR="00325EBD">
              <w:t>5</w:t>
            </w:r>
            <w:r w:rsidR="00D30324">
              <w:t xml:space="preserve"> </w:t>
            </w:r>
            <w:r w:rsidR="00CE361D">
              <w:t>(</w:t>
            </w:r>
            <w:r w:rsidR="00A60DEA">
              <w:t>1</w:t>
            </w:r>
            <w:r w:rsidR="00325EBD">
              <w:t>6</w:t>
            </w:r>
            <w:r w:rsidR="00CE361D">
              <w:t>)</w:t>
            </w:r>
          </w:p>
        </w:tc>
      </w:tr>
      <w:tr w:rsidR="00932664" w:rsidRPr="00A26FA5" w14:paraId="74AF5180" w14:textId="05571CAB" w:rsidTr="00EE15AC">
        <w:trPr>
          <w:trHeight w:val="284"/>
        </w:trPr>
        <w:tc>
          <w:tcPr>
            <w:tcW w:w="993" w:type="dxa"/>
            <w:noWrap/>
            <w:hideMark/>
          </w:tcPr>
          <w:p w14:paraId="67688DF9" w14:textId="77777777" w:rsidR="00B177FF" w:rsidRPr="002A63D3" w:rsidRDefault="00B177FF" w:rsidP="009D7FF0">
            <w:pPr>
              <w:pStyle w:val="TableHeadingsColumn"/>
            </w:pPr>
            <w:r w:rsidRPr="002A63D3">
              <w:t>11</w:t>
            </w:r>
          </w:p>
        </w:tc>
        <w:tc>
          <w:tcPr>
            <w:tcW w:w="3543" w:type="dxa"/>
            <w:noWrap/>
            <w:hideMark/>
          </w:tcPr>
          <w:p w14:paraId="311B81B8" w14:textId="77777777" w:rsidR="00B177FF" w:rsidRPr="00905900" w:rsidRDefault="00B177FF" w:rsidP="009D7FF0">
            <w:pPr>
              <w:pStyle w:val="TableHeadingsColumn"/>
            </w:pPr>
            <w:r w:rsidRPr="00905900">
              <w:t>WA Biobank Stakeholders</w:t>
            </w:r>
          </w:p>
        </w:tc>
        <w:tc>
          <w:tcPr>
            <w:tcW w:w="1985" w:type="dxa"/>
          </w:tcPr>
          <w:p w14:paraId="0C78CE62" w14:textId="182BF84D" w:rsidR="00B177FF" w:rsidRPr="00632322" w:rsidRDefault="00B177FF" w:rsidP="009D7FF0">
            <w:pPr>
              <w:pStyle w:val="TableDataCentred"/>
            </w:pPr>
            <w:r w:rsidRPr="002A63D3">
              <w:t>-0.10</w:t>
            </w:r>
          </w:p>
        </w:tc>
        <w:tc>
          <w:tcPr>
            <w:tcW w:w="1843" w:type="dxa"/>
          </w:tcPr>
          <w:p w14:paraId="11923961" w14:textId="42B5B2EA" w:rsidR="00B177FF" w:rsidRPr="00632322" w:rsidRDefault="00B177FF" w:rsidP="009D7FF0">
            <w:pPr>
              <w:pStyle w:val="TableDataCentred"/>
            </w:pPr>
            <w:r w:rsidRPr="00632322">
              <w:t>0.04</w:t>
            </w:r>
          </w:p>
        </w:tc>
        <w:tc>
          <w:tcPr>
            <w:tcW w:w="1242" w:type="dxa"/>
            <w:gridSpan w:val="2"/>
          </w:tcPr>
          <w:p w14:paraId="79F380DE" w14:textId="47AFE714" w:rsidR="00CA6CFC" w:rsidRPr="00CA6CFC" w:rsidRDefault="00F00EAB" w:rsidP="009D7FF0">
            <w:pPr>
              <w:pStyle w:val="TableDataCentred"/>
            </w:pPr>
            <w:r>
              <w:t>1</w:t>
            </w:r>
            <w:r w:rsidR="0073760F">
              <w:t>6</w:t>
            </w:r>
            <w:r w:rsidR="00D30324">
              <w:t xml:space="preserve"> </w:t>
            </w:r>
            <w:r w:rsidR="00CA6CFC">
              <w:t>(26)</w:t>
            </w:r>
          </w:p>
        </w:tc>
      </w:tr>
      <w:tr w:rsidR="00932664" w:rsidRPr="00A26FA5" w14:paraId="0DAD6C73" w14:textId="02CD74E9" w:rsidTr="00EE15AC">
        <w:trPr>
          <w:trHeight w:val="284"/>
        </w:trPr>
        <w:tc>
          <w:tcPr>
            <w:tcW w:w="993" w:type="dxa"/>
            <w:noWrap/>
            <w:hideMark/>
          </w:tcPr>
          <w:p w14:paraId="70732C02" w14:textId="77777777" w:rsidR="00B177FF" w:rsidRPr="002A63D3" w:rsidRDefault="00B177FF" w:rsidP="009D7FF0">
            <w:pPr>
              <w:pStyle w:val="TableHeadingsColumn"/>
            </w:pPr>
            <w:r w:rsidRPr="002A63D3">
              <w:t>14</w:t>
            </w:r>
          </w:p>
        </w:tc>
        <w:tc>
          <w:tcPr>
            <w:tcW w:w="3543" w:type="dxa"/>
            <w:noWrap/>
            <w:hideMark/>
          </w:tcPr>
          <w:p w14:paraId="0D6C470F" w14:textId="77777777" w:rsidR="00B177FF" w:rsidRPr="00905900" w:rsidRDefault="00B177FF" w:rsidP="009D7FF0">
            <w:pPr>
              <w:pStyle w:val="TableHeadingsColumn"/>
            </w:pPr>
            <w:r w:rsidRPr="00905900">
              <w:t>Energy Futures WA</w:t>
            </w:r>
          </w:p>
        </w:tc>
        <w:tc>
          <w:tcPr>
            <w:tcW w:w="1985" w:type="dxa"/>
          </w:tcPr>
          <w:p w14:paraId="4B33676B" w14:textId="7FCD8508" w:rsidR="00B177FF" w:rsidRPr="00632322" w:rsidRDefault="00B177FF" w:rsidP="009D7FF0">
            <w:pPr>
              <w:pStyle w:val="TableDataCentred"/>
            </w:pPr>
            <w:r w:rsidRPr="00632322">
              <w:t>0.12**</w:t>
            </w:r>
          </w:p>
        </w:tc>
        <w:tc>
          <w:tcPr>
            <w:tcW w:w="1843" w:type="dxa"/>
          </w:tcPr>
          <w:p w14:paraId="0E13550E" w14:textId="601CA4BC" w:rsidR="00B177FF" w:rsidRPr="00632322" w:rsidRDefault="00B177FF" w:rsidP="009D7FF0">
            <w:pPr>
              <w:pStyle w:val="TableDataCentred"/>
            </w:pPr>
            <w:r w:rsidRPr="00632322">
              <w:t>0.15***</w:t>
            </w:r>
          </w:p>
        </w:tc>
        <w:tc>
          <w:tcPr>
            <w:tcW w:w="1242" w:type="dxa"/>
            <w:gridSpan w:val="2"/>
          </w:tcPr>
          <w:p w14:paraId="1F0AC0C6" w14:textId="36BCE9BB" w:rsidR="00CA350C" w:rsidRPr="00CA350C" w:rsidRDefault="007D6C86" w:rsidP="009D7FF0">
            <w:pPr>
              <w:pStyle w:val="TableDataCentred"/>
            </w:pPr>
            <w:r>
              <w:t>21</w:t>
            </w:r>
            <w:r w:rsidR="00D30324">
              <w:t xml:space="preserve"> </w:t>
            </w:r>
            <w:r w:rsidR="00993BFD">
              <w:t>(23)</w:t>
            </w:r>
          </w:p>
        </w:tc>
      </w:tr>
      <w:tr w:rsidR="00932664" w:rsidRPr="00A26FA5" w14:paraId="02906811" w14:textId="14AD1301" w:rsidTr="00EE15AC">
        <w:trPr>
          <w:trHeight w:val="284"/>
        </w:trPr>
        <w:tc>
          <w:tcPr>
            <w:tcW w:w="993" w:type="dxa"/>
            <w:noWrap/>
            <w:hideMark/>
          </w:tcPr>
          <w:p w14:paraId="51262B54" w14:textId="77777777" w:rsidR="00B177FF" w:rsidRPr="002A63D3" w:rsidRDefault="00B177FF" w:rsidP="009D7FF0">
            <w:pPr>
              <w:pStyle w:val="TableHeadingsColumn"/>
            </w:pPr>
            <w:r w:rsidRPr="002A63D3">
              <w:t>15</w:t>
            </w:r>
          </w:p>
        </w:tc>
        <w:tc>
          <w:tcPr>
            <w:tcW w:w="3543" w:type="dxa"/>
            <w:noWrap/>
            <w:hideMark/>
          </w:tcPr>
          <w:p w14:paraId="40590E28" w14:textId="77777777" w:rsidR="00B177FF" w:rsidRPr="00905900" w:rsidRDefault="00B177FF" w:rsidP="009D7FF0">
            <w:pPr>
              <w:pStyle w:val="TableHeadingsColumn"/>
            </w:pPr>
            <w:r w:rsidRPr="00905900">
              <w:t>Energy Futures NSW</w:t>
            </w:r>
          </w:p>
        </w:tc>
        <w:tc>
          <w:tcPr>
            <w:tcW w:w="1985" w:type="dxa"/>
          </w:tcPr>
          <w:p w14:paraId="5B8BD1BF" w14:textId="0A757653" w:rsidR="00B177FF" w:rsidRPr="00632322" w:rsidRDefault="00B177FF" w:rsidP="009D7FF0">
            <w:pPr>
              <w:pStyle w:val="TableDataCentred"/>
            </w:pPr>
            <w:r w:rsidRPr="00632322">
              <w:t>0.16*</w:t>
            </w:r>
          </w:p>
        </w:tc>
        <w:tc>
          <w:tcPr>
            <w:tcW w:w="1843" w:type="dxa"/>
          </w:tcPr>
          <w:p w14:paraId="1DFA75AA" w14:textId="4AE55A33" w:rsidR="00B177FF" w:rsidRPr="00632322" w:rsidRDefault="00B177FF" w:rsidP="009D7FF0">
            <w:pPr>
              <w:pStyle w:val="TableDataCentred"/>
            </w:pPr>
            <w:r w:rsidRPr="00632322">
              <w:t>0.06</w:t>
            </w:r>
          </w:p>
        </w:tc>
        <w:tc>
          <w:tcPr>
            <w:tcW w:w="1242" w:type="dxa"/>
            <w:gridSpan w:val="2"/>
          </w:tcPr>
          <w:p w14:paraId="4EBEDA8A" w14:textId="5837F348" w:rsidR="00993BFD" w:rsidRPr="00993BFD" w:rsidRDefault="00130DB1" w:rsidP="009D7FF0">
            <w:pPr>
              <w:pStyle w:val="TableDataCentred"/>
            </w:pPr>
            <w:r>
              <w:t>14</w:t>
            </w:r>
            <w:r w:rsidR="00D30324">
              <w:t xml:space="preserve"> </w:t>
            </w:r>
            <w:r w:rsidR="002A75A6">
              <w:t>(18)</w:t>
            </w:r>
          </w:p>
        </w:tc>
      </w:tr>
      <w:tr w:rsidR="00932664" w:rsidRPr="00A26FA5" w14:paraId="2242CDCE" w14:textId="57036D59" w:rsidTr="00EE15AC">
        <w:trPr>
          <w:trHeight w:val="284"/>
        </w:trPr>
        <w:tc>
          <w:tcPr>
            <w:tcW w:w="993" w:type="dxa"/>
            <w:noWrap/>
            <w:hideMark/>
          </w:tcPr>
          <w:p w14:paraId="78F5076C" w14:textId="77777777" w:rsidR="00B177FF" w:rsidRPr="002A63D3" w:rsidRDefault="00B177FF" w:rsidP="009D7FF0">
            <w:pPr>
              <w:pStyle w:val="TableHeadingsColumn"/>
            </w:pPr>
            <w:r w:rsidRPr="002A63D3">
              <w:t>16</w:t>
            </w:r>
          </w:p>
        </w:tc>
        <w:tc>
          <w:tcPr>
            <w:tcW w:w="3543" w:type="dxa"/>
            <w:noWrap/>
            <w:hideMark/>
          </w:tcPr>
          <w:p w14:paraId="6B2AC3BA" w14:textId="77777777" w:rsidR="00B177FF" w:rsidRPr="00905900" w:rsidRDefault="00B177FF" w:rsidP="009D7FF0">
            <w:pPr>
              <w:pStyle w:val="TableHeadingsColumn"/>
            </w:pPr>
            <w:r w:rsidRPr="00905900">
              <w:t>Energy Futures VIC</w:t>
            </w:r>
          </w:p>
        </w:tc>
        <w:tc>
          <w:tcPr>
            <w:tcW w:w="1985" w:type="dxa"/>
          </w:tcPr>
          <w:p w14:paraId="24ABCD94" w14:textId="5053BC1D" w:rsidR="00B177FF" w:rsidRPr="00632322" w:rsidRDefault="00B177FF" w:rsidP="009D7FF0">
            <w:pPr>
              <w:pStyle w:val="TableDataCentred"/>
            </w:pPr>
            <w:r w:rsidRPr="00632322">
              <w:t>0.23**</w:t>
            </w:r>
            <w:r w:rsidR="00AF7098">
              <w:t>*</w:t>
            </w:r>
          </w:p>
        </w:tc>
        <w:tc>
          <w:tcPr>
            <w:tcW w:w="1843" w:type="dxa"/>
          </w:tcPr>
          <w:p w14:paraId="6DFA6421" w14:textId="65F24F3A" w:rsidR="00B177FF" w:rsidRPr="00632322" w:rsidRDefault="00B177FF" w:rsidP="009D7FF0">
            <w:pPr>
              <w:pStyle w:val="TableDataCentred"/>
            </w:pPr>
            <w:r w:rsidRPr="00632322">
              <w:t>0.15***</w:t>
            </w:r>
          </w:p>
        </w:tc>
        <w:tc>
          <w:tcPr>
            <w:tcW w:w="1242" w:type="dxa"/>
            <w:gridSpan w:val="2"/>
          </w:tcPr>
          <w:p w14:paraId="3986CECB" w14:textId="02243BCD" w:rsidR="002A75A6" w:rsidRPr="002A75A6" w:rsidRDefault="00130DB1" w:rsidP="009D7FF0">
            <w:pPr>
              <w:pStyle w:val="TableDataCentred"/>
            </w:pPr>
            <w:r>
              <w:t>1</w:t>
            </w:r>
            <w:r w:rsidR="00FD034E">
              <w:t>5</w:t>
            </w:r>
            <w:r w:rsidR="00D30324">
              <w:t xml:space="preserve"> </w:t>
            </w:r>
            <w:r w:rsidR="00FD034E">
              <w:t>(19)</w:t>
            </w:r>
          </w:p>
        </w:tc>
      </w:tr>
      <w:tr w:rsidR="00932664" w:rsidRPr="00A26FA5" w14:paraId="719C227A" w14:textId="199908AB" w:rsidTr="00EE15AC">
        <w:trPr>
          <w:trHeight w:val="284"/>
        </w:trPr>
        <w:tc>
          <w:tcPr>
            <w:tcW w:w="993" w:type="dxa"/>
            <w:noWrap/>
            <w:hideMark/>
          </w:tcPr>
          <w:p w14:paraId="5B3E8DEA" w14:textId="77777777" w:rsidR="00B177FF" w:rsidRPr="002A63D3" w:rsidRDefault="00B177FF" w:rsidP="009D7FF0">
            <w:pPr>
              <w:pStyle w:val="TableHeadingsColumn"/>
            </w:pPr>
            <w:r w:rsidRPr="002A63D3">
              <w:t>18</w:t>
            </w:r>
          </w:p>
        </w:tc>
        <w:tc>
          <w:tcPr>
            <w:tcW w:w="3543" w:type="dxa"/>
            <w:noWrap/>
            <w:hideMark/>
          </w:tcPr>
          <w:p w14:paraId="09D72BA5" w14:textId="77777777" w:rsidR="00B177FF" w:rsidRPr="00905900" w:rsidRDefault="00B177FF" w:rsidP="009D7FF0">
            <w:pPr>
              <w:pStyle w:val="TableHeadingsColumn"/>
            </w:pPr>
            <w:r w:rsidRPr="00905900">
              <w:t>GBR Futures</w:t>
            </w:r>
          </w:p>
        </w:tc>
        <w:tc>
          <w:tcPr>
            <w:tcW w:w="1985" w:type="dxa"/>
          </w:tcPr>
          <w:p w14:paraId="57E4AF2B" w14:textId="1C2F74BB" w:rsidR="00B177FF" w:rsidRPr="00632322" w:rsidRDefault="00B177FF" w:rsidP="009D7FF0">
            <w:pPr>
              <w:pStyle w:val="TableDataCentred"/>
            </w:pPr>
            <w:r w:rsidRPr="00632322">
              <w:t>0.08</w:t>
            </w:r>
          </w:p>
        </w:tc>
        <w:tc>
          <w:tcPr>
            <w:tcW w:w="1843" w:type="dxa"/>
          </w:tcPr>
          <w:p w14:paraId="7B20E87F" w14:textId="018391BA" w:rsidR="00B177FF" w:rsidRPr="00632322" w:rsidRDefault="00B177FF" w:rsidP="009D7FF0">
            <w:pPr>
              <w:pStyle w:val="TableDataCentred"/>
            </w:pPr>
            <w:r w:rsidRPr="00632322">
              <w:t>0.04</w:t>
            </w:r>
          </w:p>
        </w:tc>
        <w:tc>
          <w:tcPr>
            <w:tcW w:w="1242" w:type="dxa"/>
            <w:gridSpan w:val="2"/>
          </w:tcPr>
          <w:p w14:paraId="1EEE584C" w14:textId="7F63F4AB" w:rsidR="00FD034E" w:rsidRPr="00FD034E" w:rsidRDefault="00FF1129" w:rsidP="009D7FF0">
            <w:pPr>
              <w:pStyle w:val="TableDataCentred"/>
            </w:pPr>
            <w:r>
              <w:t>7</w:t>
            </w:r>
            <w:r w:rsidR="00D30324">
              <w:t xml:space="preserve"> </w:t>
            </w:r>
            <w:r w:rsidR="00FD034E">
              <w:t>(7)</w:t>
            </w:r>
          </w:p>
        </w:tc>
      </w:tr>
    </w:tbl>
    <w:p w14:paraId="55D1E29C" w14:textId="434E4975" w:rsidR="007C110C" w:rsidRDefault="00EF02CE" w:rsidP="009D7FF0">
      <w:pPr>
        <w:pStyle w:val="TableFooter"/>
      </w:pPr>
      <w:r>
        <w:t xml:space="preserve">Note: </w:t>
      </w:r>
      <w:r w:rsidR="00E6427E" w:rsidRPr="009C0B42">
        <w:t>Two-tailed Wilcoxon Test: p&lt;0.1*, p&lt;0.05**, p&lt;0.01***</w:t>
      </w:r>
      <w:r w:rsidR="00A63224">
        <w:t>;</w:t>
      </w:r>
      <w:r w:rsidR="00B342C5">
        <w:t xml:space="preserve"> †Number of </w:t>
      </w:r>
      <w:r w:rsidR="00A63224">
        <w:t xml:space="preserve">available data points. Number of </w:t>
      </w:r>
      <w:r w:rsidR="0086350C">
        <w:t>participants</w:t>
      </w:r>
      <w:r w:rsidR="00A63224">
        <w:t xml:space="preserve"> for each case study </w:t>
      </w:r>
      <w:r w:rsidR="00ED412B">
        <w:t>(</w:t>
      </w:r>
      <w:r w:rsidR="00ED412B" w:rsidRPr="00ED412B">
        <w:rPr>
          <w:i/>
          <w:iCs/>
        </w:rPr>
        <w:t>N</w:t>
      </w:r>
      <w:r w:rsidR="00ED412B">
        <w:t xml:space="preserve">) </w:t>
      </w:r>
      <w:r w:rsidR="00FF0506">
        <w:t>is</w:t>
      </w:r>
      <w:r w:rsidR="00FD034E">
        <w:t xml:space="preserve"> </w:t>
      </w:r>
      <w:r w:rsidR="0086350C">
        <w:t>shown in parenthesis.</w:t>
      </w:r>
    </w:p>
    <w:p w14:paraId="3F4BCDEE" w14:textId="4C873ECA" w:rsidR="009F2FBD" w:rsidRDefault="009F2FBD" w:rsidP="00EE709F">
      <w:pPr>
        <w:pStyle w:val="Heading2"/>
      </w:pPr>
      <w:r>
        <w:t>Group Building and Deliberative Phases</w:t>
      </w:r>
    </w:p>
    <w:p w14:paraId="4AD87299" w14:textId="41475D59" w:rsidR="00534C4D" w:rsidRPr="009C0B42" w:rsidRDefault="00534C4D" w:rsidP="00D30324">
      <w:pPr>
        <w:pStyle w:val="Paragraphfirst"/>
      </w:pPr>
      <w:r w:rsidRPr="009C0B42">
        <w:t xml:space="preserve">Typically, we see improvements in deliberative reason during both phases, with a slightly greater overall improvement during the formal deliberation phase compared to the information phase. </w:t>
      </w:r>
      <w:r>
        <w:t xml:space="preserve">There is considerable variation in </w:t>
      </w:r>
      <w:r w:rsidR="00194FEB">
        <w:t>these terms</w:t>
      </w:r>
      <w:r>
        <w:t xml:space="preserve"> among the cases reported in </w:t>
      </w:r>
      <w:r>
        <w:fldChar w:fldCharType="begin"/>
      </w:r>
      <w:r>
        <w:instrText>REF _Ref122351084</w:instrText>
      </w:r>
      <w:r>
        <w:fldChar w:fldCharType="separate"/>
      </w:r>
      <w:r w:rsidR="005F623F">
        <w:t xml:space="preserve">Table </w:t>
      </w:r>
      <w:r w:rsidR="005F623F">
        <w:rPr>
          <w:noProof/>
        </w:rPr>
        <w:t>D.1</w:t>
      </w:r>
      <w:r w:rsidR="005F623F">
        <w:t>.</w:t>
      </w:r>
      <w:r w:rsidR="005F623F">
        <w:rPr>
          <w:noProof/>
        </w:rPr>
        <w:t>1</w:t>
      </w:r>
      <w:r>
        <w:fldChar w:fldCharType="end"/>
      </w:r>
      <w:r w:rsidRPr="002D1A9A">
        <w:rPr>
          <w:rFonts w:eastAsia="Tahoma"/>
        </w:rPr>
        <w:t xml:space="preserve">. </w:t>
      </w:r>
      <w:r w:rsidR="00FF0506">
        <w:rPr>
          <w:rFonts w:eastAsia="Tahoma"/>
        </w:rPr>
        <w:t xml:space="preserve">The </w:t>
      </w:r>
      <w:r w:rsidRPr="002D1A9A">
        <w:rPr>
          <w:rFonts w:eastAsia="Tahoma"/>
        </w:rPr>
        <w:t>ForestERA Citizens case study and WA Biobank Stakeholders stand out</w:t>
      </w:r>
      <w:r w:rsidR="002A3B90" w:rsidRPr="002D1A9A">
        <w:rPr>
          <w:rFonts w:eastAsia="Tahoma"/>
        </w:rPr>
        <w:t>.</w:t>
      </w:r>
      <w:r w:rsidRPr="002D1A9A">
        <w:rPr>
          <w:rFonts w:eastAsia="Tahoma"/>
        </w:rPr>
        <w:t xml:space="preserve"> </w:t>
      </w:r>
      <w:r w:rsidR="002A3B90" w:rsidRPr="002D1A9A">
        <w:rPr>
          <w:rFonts w:eastAsia="Tahoma"/>
        </w:rPr>
        <w:t>I</w:t>
      </w:r>
      <w:r w:rsidR="00BE093C" w:rsidRPr="002D1A9A">
        <w:rPr>
          <w:rFonts w:eastAsia="Tahoma"/>
        </w:rPr>
        <w:t>n both</w:t>
      </w:r>
      <w:r w:rsidR="006E1933" w:rsidRPr="002D1A9A">
        <w:rPr>
          <w:rFonts w:eastAsia="Tahoma"/>
        </w:rPr>
        <w:t>,</w:t>
      </w:r>
      <w:r w:rsidRPr="002D1A9A">
        <w:rPr>
          <w:rFonts w:eastAsia="Tahoma"/>
        </w:rPr>
        <w:t xml:space="preserve"> DRI initially decreases, with a dramatic improvement during </w:t>
      </w:r>
      <w:r w:rsidR="002A3B90" w:rsidRPr="002D1A9A">
        <w:rPr>
          <w:rFonts w:eastAsia="Tahoma"/>
        </w:rPr>
        <w:t xml:space="preserve">formal </w:t>
      </w:r>
      <w:r w:rsidRPr="002D1A9A">
        <w:rPr>
          <w:rFonts w:eastAsia="Tahoma"/>
        </w:rPr>
        <w:t xml:space="preserve">deliberation in the former case. </w:t>
      </w:r>
    </w:p>
    <w:p w14:paraId="325DB35C" w14:textId="7B0305E5" w:rsidR="00083CAB" w:rsidRDefault="00534C4D" w:rsidP="00551FAF">
      <w:pPr>
        <w:pStyle w:val="paragraph"/>
      </w:pPr>
      <w:r>
        <w:t xml:space="preserve">It is conceivable that this variation in </w:t>
      </w:r>
      <w:r w:rsidR="00B345BE">
        <w:t xml:space="preserve">information versus formal deliberation </w:t>
      </w:r>
      <w:r>
        <w:t>effects</w:t>
      </w:r>
      <w:r w:rsidR="004833D8" w:rsidRPr="009C0B42">
        <w:t xml:space="preserve"> explains the absence of a clear overall </w:t>
      </w:r>
      <w:r w:rsidR="00283C1B">
        <w:t>“</w:t>
      </w:r>
      <w:r w:rsidR="004833D8" w:rsidRPr="009C0B42">
        <w:t>duration</w:t>
      </w:r>
      <w:r w:rsidR="00283C1B">
        <w:t>”</w:t>
      </w:r>
      <w:r w:rsidR="004833D8" w:rsidRPr="009C0B42">
        <w:t xml:space="preserve"> effect in our analysis. Deliberation </w:t>
      </w:r>
      <w:r>
        <w:t>may still</w:t>
      </w:r>
      <w:r w:rsidRPr="009C0B42">
        <w:t xml:space="preserve"> </w:t>
      </w:r>
      <w:r w:rsidR="0000623A">
        <w:t xml:space="preserve">take </w:t>
      </w:r>
      <w:r w:rsidR="004833D8" w:rsidRPr="009C0B42">
        <w:t xml:space="preserve">time </w:t>
      </w:r>
      <w:r w:rsidR="004833D8" w:rsidRPr="009C0B42">
        <w:rPr>
          <w:noProof/>
        </w:rPr>
        <w:t>(Curato et al. 2017)</w:t>
      </w:r>
      <w:r w:rsidR="004833D8" w:rsidRPr="009C0B42">
        <w:t xml:space="preserve">, but the impact of duration depends on deliberative design and the division of time between information and </w:t>
      </w:r>
      <w:r w:rsidR="004F4B88">
        <w:t xml:space="preserve">formal </w:t>
      </w:r>
      <w:r w:rsidR="004833D8" w:rsidRPr="009C0B42">
        <w:t>deliberation.</w:t>
      </w:r>
      <w:r w:rsidR="004F4B88">
        <w:t xml:space="preserve"> </w:t>
      </w:r>
      <w:bookmarkStart w:id="156" w:name="_Toc97231588"/>
      <w:bookmarkStart w:id="157" w:name="_Toc97622112"/>
    </w:p>
    <w:p w14:paraId="03792372" w14:textId="199FCD36" w:rsidR="00083CAB" w:rsidRDefault="00083CAB" w:rsidP="00EE709F">
      <w:pPr>
        <w:pStyle w:val="Heading2"/>
      </w:pPr>
      <w:r>
        <w:lastRenderedPageBreak/>
        <w:t>Group Composition</w:t>
      </w:r>
    </w:p>
    <w:p w14:paraId="7D54F920" w14:textId="10F779A0" w:rsidR="003D33CB" w:rsidRDefault="00081DDF" w:rsidP="002A63D3">
      <w:pPr>
        <w:pStyle w:val="Paragraphfirst"/>
      </w:pPr>
      <w:bookmarkStart w:id="158" w:name="_Toc97231589"/>
      <w:bookmarkStart w:id="159" w:name="_Toc97231590"/>
      <w:bookmarkEnd w:id="156"/>
      <w:bookmarkEnd w:id="157"/>
      <w:bookmarkEnd w:id="158"/>
      <w:r w:rsidRPr="009C0B42">
        <w:t xml:space="preserve">In the main </w:t>
      </w:r>
      <w:r w:rsidR="003C7ED1" w:rsidRPr="009C0B42">
        <w:t xml:space="preserve">paper we said that </w:t>
      </w:r>
      <w:r w:rsidR="004A24BC" w:rsidRPr="009C0B42">
        <w:t xml:space="preserve">any tendency to conformity in a forum would </w:t>
      </w:r>
      <w:r w:rsidR="00DE7D20" w:rsidRPr="009C0B42">
        <w:t>suppress</w:t>
      </w:r>
      <w:r w:rsidR="00086658" w:rsidRPr="009C0B42">
        <w:t xml:space="preserve"> Group DRI. </w:t>
      </w:r>
      <w:r w:rsidR="004F0918">
        <w:t xml:space="preserve">This effect </w:t>
      </w:r>
      <w:r w:rsidR="009A1878">
        <w:t xml:space="preserve">appears in one of our cases. </w:t>
      </w:r>
      <w:r w:rsidR="00407D33" w:rsidRPr="009C0B42">
        <w:t>The</w:t>
      </w:r>
      <w:r w:rsidR="00DD374B" w:rsidRPr="009C0B42">
        <w:t xml:space="preserve"> three</w:t>
      </w:r>
      <w:r w:rsidR="00407D33" w:rsidRPr="009C0B42">
        <w:t xml:space="preserve"> Energy Futures </w:t>
      </w:r>
      <w:r w:rsidR="00DD374B" w:rsidRPr="009C0B42">
        <w:t xml:space="preserve">cases </w:t>
      </w:r>
      <w:r w:rsidR="00ED0292" w:rsidRPr="009C0B42">
        <w:t xml:space="preserve">share the same </w:t>
      </w:r>
      <w:r w:rsidR="00752A90" w:rsidRPr="009C0B42">
        <w:t>forum design and topic</w:t>
      </w:r>
      <w:r w:rsidR="00762DC1" w:rsidRPr="009C0B42">
        <w:t xml:space="preserve">, except </w:t>
      </w:r>
      <w:r w:rsidR="00CA1C33" w:rsidRPr="009C0B42">
        <w:t xml:space="preserve">for </w:t>
      </w:r>
      <w:r w:rsidR="00762DC1" w:rsidRPr="009C0B42">
        <w:t>the NSW case (cases 15)</w:t>
      </w:r>
      <w:r w:rsidR="00421DEA" w:rsidRPr="009C0B42">
        <w:t>,</w:t>
      </w:r>
      <w:r w:rsidR="00DD374B" w:rsidRPr="009C0B42">
        <w:t xml:space="preserve"> which allocated participants to breakout discussion groups based on similarity of position</w:t>
      </w:r>
      <w:r w:rsidR="00200F3B" w:rsidRPr="009C0B42">
        <w:t xml:space="preserve"> (i</w:t>
      </w:r>
      <w:r w:rsidR="00053A7B" w:rsidRPr="009C0B42">
        <w:t>.</w:t>
      </w:r>
      <w:r w:rsidR="00200F3B" w:rsidRPr="009C0B42">
        <w:t>e</w:t>
      </w:r>
      <w:r w:rsidR="00053A7B" w:rsidRPr="009C0B42">
        <w:t>.,</w:t>
      </w:r>
      <w:r w:rsidR="00200F3B" w:rsidRPr="009C0B42">
        <w:t xml:space="preserve"> likely conformity)</w:t>
      </w:r>
      <w:r w:rsidR="00DD374B" w:rsidRPr="009C0B42">
        <w:t xml:space="preserve">. </w:t>
      </w:r>
      <w:r w:rsidR="0034556F" w:rsidRPr="009C0B42">
        <w:t xml:space="preserve">This case </w:t>
      </w:r>
      <w:r w:rsidR="001F32ED" w:rsidRPr="009C0B42">
        <w:t>yielded</w:t>
      </w:r>
      <w:r w:rsidR="00421DEA" w:rsidRPr="009C0B42">
        <w:t xml:space="preserve"> </w:t>
      </w:r>
      <w:r w:rsidR="0002677A" w:rsidRPr="009C0B42">
        <w:t xml:space="preserve">roughly half the level of DRI </w:t>
      </w:r>
      <w:r w:rsidR="004D33F1" w:rsidRPr="009C0B42">
        <w:t>improvement</w:t>
      </w:r>
      <w:r w:rsidR="0002677A" w:rsidRPr="009C0B42">
        <w:t xml:space="preserve"> </w:t>
      </w:r>
      <w:r w:rsidR="00637464" w:rsidRPr="009C0B42">
        <w:t xml:space="preserve">during the </w:t>
      </w:r>
      <w:r w:rsidR="008F1C2E" w:rsidRPr="009C0B42">
        <w:t xml:space="preserve">formal </w:t>
      </w:r>
      <w:r w:rsidR="00637464" w:rsidRPr="009C0B42">
        <w:t>deliberati</w:t>
      </w:r>
      <w:r w:rsidR="008F1C2E" w:rsidRPr="009C0B42">
        <w:t>on</w:t>
      </w:r>
      <w:r w:rsidR="00637464" w:rsidRPr="009C0B42">
        <w:t xml:space="preserve"> phase compared to its counterparts.</w:t>
      </w:r>
      <w:r w:rsidR="008E5A19">
        <w:t xml:space="preserve"> </w:t>
      </w:r>
      <w:bookmarkStart w:id="160" w:name="_Toc97622113"/>
    </w:p>
    <w:p w14:paraId="6D03A9DE" w14:textId="558BDB96" w:rsidR="003D33CB" w:rsidRDefault="003D33CB" w:rsidP="00EE709F">
      <w:pPr>
        <w:pStyle w:val="Heading2"/>
      </w:pPr>
      <w:r>
        <w:t>The Role of Expert Presentation</w:t>
      </w:r>
    </w:p>
    <w:bookmarkEnd w:id="159"/>
    <w:bookmarkEnd w:id="160"/>
    <w:p w14:paraId="74379CD1" w14:textId="5B33099C" w:rsidR="00587034" w:rsidRDefault="005A2E92" w:rsidP="002A63D3">
      <w:pPr>
        <w:pStyle w:val="Paragraphfirst"/>
      </w:pPr>
      <w:r w:rsidRPr="009C0B42">
        <w:t xml:space="preserve">Our observations </w:t>
      </w:r>
      <w:r w:rsidR="00F44BCA" w:rsidRPr="009C0B42">
        <w:t>suggest we do not have to worry about</w:t>
      </w:r>
      <w:r w:rsidR="002C23B3" w:rsidRPr="009C0B42">
        <w:t xml:space="preserve"> domination by expert </w:t>
      </w:r>
      <w:r w:rsidR="001D484B" w:rsidRPr="009C0B42">
        <w:t>framings</w:t>
      </w:r>
      <w:r w:rsidR="00A21B7D" w:rsidRPr="009C0B42">
        <w:t xml:space="preserve">. Were that to be the case we would expect DRI to change much more strongly </w:t>
      </w:r>
      <w:r w:rsidR="007D7585" w:rsidRPr="009C0B42">
        <w:t xml:space="preserve">during the information phase than </w:t>
      </w:r>
      <w:r w:rsidR="00077B30" w:rsidRPr="009C0B42">
        <w:t>is observed</w:t>
      </w:r>
      <w:r w:rsidR="008F1C2E" w:rsidRPr="009C0B42">
        <w:t>, in comparison to change during subsequent formal deliberation</w:t>
      </w:r>
      <w:r w:rsidR="00E15888" w:rsidRPr="009C0B42">
        <w:t>.</w:t>
      </w:r>
      <w:r w:rsidR="00FE6FBD" w:rsidRPr="009C0B42">
        <w:t xml:space="preserve"> </w:t>
      </w:r>
    </w:p>
    <w:p w14:paraId="5180CBDC" w14:textId="6F7F35A8" w:rsidR="00DF33AB" w:rsidRDefault="00DF33AB" w:rsidP="00EE709F">
      <w:pPr>
        <w:pStyle w:val="Heading2"/>
      </w:pPr>
      <w:r>
        <w:t>Other Design Features</w:t>
      </w:r>
    </w:p>
    <w:p w14:paraId="75408A00" w14:textId="7B3888FA" w:rsidR="00F66A03" w:rsidRDefault="0E345509" w:rsidP="003C5365">
      <w:pPr>
        <w:pStyle w:val="paragraph"/>
        <w:ind w:firstLine="0"/>
      </w:pPr>
      <w:r>
        <w:t xml:space="preserve">Other design features that could influence level of deliberative reason include diversity of initial opinions, in-person versus online, decision rule (which in most of our cases could be determined by the participants themselves, or left implicit, rather than forced on the forum), and composition (for example, random selection from the public versus stakeholders). Further research could focus on, for example, differences between stakeholders and lay citizens when it comes to the effects of decision rule </w:t>
      </w:r>
      <w:r w:rsidR="003C5365">
        <w:fldChar w:fldCharType="begin"/>
      </w:r>
      <w:r w:rsidR="003C5365">
        <w:instrText xml:space="preserve"> ADDIN EN.CITE &lt;EndNote&gt;&lt;Cite&gt;&lt;Author&gt;Grönlund&lt;/Author&gt;&lt;Year&gt;2010&lt;/Year&gt;&lt;RecNum&gt;4633&lt;/RecNum&gt;&lt;Prefix&gt;e.g. &lt;/Prefix&gt;&lt;DisplayText&gt;(e.g. Grönlund et al. 2010)&lt;/DisplayText&gt;&lt;record&gt;&lt;rec-number&gt;4633&lt;/rec-number&gt;&lt;foreign-keys&gt;&lt;key app="EN" db-id="fpddwetz5vszwnear29xr9tidterx9tfxsrr" timestamp="1605663571" guid="15e46ad8-998c-4010-816b-f2eb34df2388"&gt;4633&lt;/key&gt;&lt;/foreign-keys&gt;&lt;ref-type name="Journal Article"&gt;17&lt;/ref-type&gt;&lt;contributors&gt;&lt;authors&gt;&lt;author&gt;Grönlund, Kimmo&lt;/author&gt;&lt;author&gt;Setälä, Maija&lt;/author&gt;&lt;author&gt;Herne, Kaisa&lt;/author&gt;&lt;/authors&gt;&lt;/contributors&gt;&lt;titles&gt;&lt;title&gt;Deliberation and civic virtue: lessons from a citizen deliberation experiment&lt;/title&gt;&lt;secondary-title&gt;European Political Science Review&lt;/secondary-title&gt;&lt;/titles&gt;&lt;periodical&gt;&lt;full-title&gt;European Political Science Review&lt;/full-title&gt;&lt;/periodical&gt;&lt;pages&gt;95–117&lt;/pages&gt;&lt;volume&gt;2&lt;/volume&gt;&lt;number&gt;1&lt;/number&gt;&lt;keywords&gt;&lt;keyword&gt;deliberation (and knowledge)&lt;/keyword&gt;&lt;/keywords&gt;&lt;dates&gt;&lt;year&gt;2010&lt;/year&gt;&lt;/dates&gt;&lt;urls&gt;&lt;/urls&gt;&lt;custom2&gt;used for ACP group effects paper&lt;/custom2&gt;&lt;/record&gt;&lt;/Cite&gt;&lt;/EndNote&gt;</w:instrText>
      </w:r>
      <w:r w:rsidR="003C5365">
        <w:fldChar w:fldCharType="separate"/>
      </w:r>
      <w:r w:rsidRPr="0E345509">
        <w:rPr>
          <w:noProof/>
        </w:rPr>
        <w:t>(e.g. Grönlund et al. 2010)</w:t>
      </w:r>
      <w:r w:rsidR="003C5365">
        <w:fldChar w:fldCharType="end"/>
      </w:r>
      <w:r>
        <w:t xml:space="preserve">. </w:t>
      </w:r>
    </w:p>
    <w:p w14:paraId="049EC1C8" w14:textId="40E12829" w:rsidR="00F66A03" w:rsidRDefault="00F66A03" w:rsidP="00EE709F">
      <w:pPr>
        <w:pStyle w:val="Heading3"/>
      </w:pPr>
      <w:r>
        <w:t>Number of Participants</w:t>
      </w:r>
    </w:p>
    <w:p w14:paraId="219BA906" w14:textId="273BD8D8" w:rsidR="003C5365" w:rsidRDefault="0E345509" w:rsidP="003C5365">
      <w:pPr>
        <w:pStyle w:val="paragraph"/>
        <w:ind w:firstLine="0"/>
      </w:pPr>
      <w:r>
        <w:t xml:space="preserve">We do not expect overall number of participants in a forum to have an effect on DRI, given that much group reasoning occurs in smaller breakout discussion groups. This was tested, and the results provided in the tables below rather than in the main text, due to limited space. For the analysis we defined Size such that number of participants n&lt;15 is coded as Size=1; 15&lt;n&lt;30, Size =2; and n&gt;30, Size=3. The results are reported in </w:t>
      </w:r>
      <w:r>
        <w:fldChar w:fldCharType="begin"/>
      </w:r>
      <w:r>
        <w:instrText>REF _Ref122351515</w:instrText>
      </w:r>
      <w:r>
        <w:fldChar w:fldCharType="separate"/>
      </w:r>
      <w:r>
        <w:t xml:space="preserve">Table </w:t>
      </w:r>
      <w:r w:rsidRPr="0E345509">
        <w:rPr>
          <w:noProof/>
        </w:rPr>
        <w:t>D.5</w:t>
      </w:r>
      <w:r>
        <w:t>.</w:t>
      </w:r>
      <w:r w:rsidRPr="0E345509">
        <w:rPr>
          <w:noProof/>
        </w:rPr>
        <w:t>1</w:t>
      </w:r>
      <w:r>
        <w:fldChar w:fldCharType="end"/>
      </w:r>
      <w:r w:rsidRPr="0E345509">
        <w:rPr>
          <w:noProof/>
        </w:rPr>
        <w:t>.1</w:t>
      </w:r>
      <w:r>
        <w:t xml:space="preserve"> below. Model 10 shows the results when Size is added to the MLM (the first nine models reported in Table 4 in the main text). As expected, there is no effect. Models 13 and 14 show the effect of adding Size to interaction model, resulting in similar effects to those reported in Table 5 in the main text.</w:t>
      </w:r>
    </w:p>
    <w:p w14:paraId="1B11B4AE" w14:textId="2F292652" w:rsidR="00707BE9" w:rsidRDefault="0E345509" w:rsidP="005F623F">
      <w:pPr>
        <w:pStyle w:val="Caption"/>
      </w:pPr>
      <w:bookmarkStart w:id="161" w:name="_Ref122351515"/>
      <w:r>
        <w:lastRenderedPageBreak/>
        <w:t xml:space="preserve">Table </w:t>
      </w:r>
      <w:r>
        <w:fldChar w:fldCharType="begin"/>
      </w:r>
      <w:r>
        <w:instrText>STYLEREF 2 \s</w:instrText>
      </w:r>
      <w:r>
        <w:fldChar w:fldCharType="separate"/>
      </w:r>
      <w:r w:rsidRPr="0E345509">
        <w:rPr>
          <w:noProof/>
        </w:rPr>
        <w:t>D.5</w:t>
      </w:r>
      <w:r>
        <w:fldChar w:fldCharType="end"/>
      </w:r>
      <w:r>
        <w:t>.</w:t>
      </w:r>
      <w:r>
        <w:fldChar w:fldCharType="begin"/>
      </w:r>
      <w:r>
        <w:instrText>SEQ Table \* ARABIC \s 2</w:instrText>
      </w:r>
      <w:r>
        <w:fldChar w:fldCharType="separate"/>
      </w:r>
      <w:r w:rsidRPr="0E345509">
        <w:rPr>
          <w:noProof/>
        </w:rPr>
        <w:t>1.</w:t>
      </w:r>
      <w:r>
        <w:fldChar w:fldCharType="end"/>
      </w:r>
      <w:r w:rsidRPr="0E345509">
        <w:rPr>
          <w:noProof/>
        </w:rPr>
        <w:t>1</w:t>
      </w:r>
      <w:bookmarkEnd w:id="161"/>
      <w:r>
        <w:t>: Multilevel regression results including number of participants (Size)</w:t>
      </w:r>
    </w:p>
    <w:tbl>
      <w:tblPr>
        <w:tblW w:w="9746" w:type="dxa"/>
        <w:tblLayout w:type="fixed"/>
        <w:tblCellMar>
          <w:top w:w="28" w:type="dxa"/>
          <w:bottom w:w="28" w:type="dxa"/>
        </w:tblCellMar>
        <w:tblLook w:val="0600" w:firstRow="0" w:lastRow="0" w:firstColumn="0" w:lastColumn="0" w:noHBand="1" w:noVBand="1"/>
      </w:tblPr>
      <w:tblGrid>
        <w:gridCol w:w="2436"/>
        <w:gridCol w:w="2436"/>
        <w:gridCol w:w="2436"/>
        <w:gridCol w:w="2438"/>
      </w:tblGrid>
      <w:tr w:rsidR="0058252E" w:rsidRPr="00EE383E" w14:paraId="1C19EAE2" w14:textId="16EE0813" w:rsidTr="00D60EBC">
        <w:trPr>
          <w:trHeight w:val="327"/>
        </w:trPr>
        <w:tc>
          <w:tcPr>
            <w:tcW w:w="9746" w:type="dxa"/>
            <w:gridSpan w:val="4"/>
            <w:tcBorders>
              <w:bottom w:val="single" w:sz="4" w:space="0" w:color="auto"/>
            </w:tcBorders>
          </w:tcPr>
          <w:p w14:paraId="44B87B6C" w14:textId="5D12E81E" w:rsidR="00340FC5" w:rsidRPr="00EE383E" w:rsidRDefault="007F6215" w:rsidP="00EE383E">
            <w:pPr>
              <w:pStyle w:val="TableHeader1"/>
            </w:pPr>
            <w:r w:rsidRPr="00EE383E">
              <w:t>Dependent variable: DRIInd Change</w:t>
            </w:r>
          </w:p>
        </w:tc>
      </w:tr>
      <w:tr w:rsidR="003F2208" w:rsidRPr="008E16B0" w14:paraId="07E8A4F3" w14:textId="76ABBCA0" w:rsidTr="00D60EBC">
        <w:trPr>
          <w:trHeight w:val="327"/>
        </w:trPr>
        <w:tc>
          <w:tcPr>
            <w:tcW w:w="2436" w:type="dxa"/>
            <w:tcBorders>
              <w:top w:val="single" w:sz="4" w:space="0" w:color="auto"/>
              <w:bottom w:val="single" w:sz="4" w:space="0" w:color="auto"/>
            </w:tcBorders>
            <w:hideMark/>
          </w:tcPr>
          <w:p w14:paraId="21164D4A" w14:textId="77777777" w:rsidR="00340FC5" w:rsidRPr="008E16B0" w:rsidRDefault="00340FC5" w:rsidP="009D7FF0">
            <w:pPr>
              <w:pStyle w:val="TableHeader2"/>
              <w:spacing w:before="0" w:line="240" w:lineRule="auto"/>
              <w:rPr>
                <w:lang w:eastAsia="en-AU"/>
              </w:rPr>
            </w:pPr>
          </w:p>
        </w:tc>
        <w:tc>
          <w:tcPr>
            <w:tcW w:w="2436" w:type="dxa"/>
            <w:tcBorders>
              <w:top w:val="single" w:sz="4" w:space="0" w:color="auto"/>
              <w:left w:val="nil"/>
              <w:bottom w:val="single" w:sz="4" w:space="0" w:color="auto"/>
            </w:tcBorders>
          </w:tcPr>
          <w:p w14:paraId="7238CBA0" w14:textId="1D7BA64E" w:rsidR="00340FC5" w:rsidRPr="00627DEE" w:rsidRDefault="00340FC5" w:rsidP="009D7FF0">
            <w:pPr>
              <w:pStyle w:val="TableHeader2"/>
              <w:spacing w:before="0" w:line="240" w:lineRule="auto"/>
              <w:ind w:left="180"/>
              <w:jc w:val="left"/>
            </w:pPr>
            <w:r w:rsidRPr="00627DEE">
              <w:t>(10)</w:t>
            </w:r>
          </w:p>
        </w:tc>
        <w:tc>
          <w:tcPr>
            <w:tcW w:w="2436" w:type="dxa"/>
            <w:tcBorders>
              <w:top w:val="single" w:sz="4" w:space="0" w:color="auto"/>
            </w:tcBorders>
          </w:tcPr>
          <w:p w14:paraId="31672917" w14:textId="71555022" w:rsidR="00340FC5" w:rsidRPr="00552F04" w:rsidRDefault="00B65580" w:rsidP="009D7FF0">
            <w:pPr>
              <w:pStyle w:val="TableHeader2"/>
              <w:spacing w:before="0" w:line="240" w:lineRule="auto"/>
              <w:ind w:left="105"/>
              <w:jc w:val="left"/>
            </w:pPr>
            <w:r>
              <w:t>(</w:t>
            </w:r>
            <w:r w:rsidR="004C56EB">
              <w:t>I</w:t>
            </w:r>
            <w:r w:rsidR="0089249F">
              <w:t>3</w:t>
            </w:r>
            <w:r>
              <w:t>)</w:t>
            </w:r>
          </w:p>
        </w:tc>
        <w:tc>
          <w:tcPr>
            <w:tcW w:w="2436" w:type="dxa"/>
            <w:tcBorders>
              <w:top w:val="single" w:sz="4" w:space="0" w:color="auto"/>
              <w:bottom w:val="single" w:sz="4" w:space="0" w:color="auto"/>
            </w:tcBorders>
          </w:tcPr>
          <w:p w14:paraId="35704D72" w14:textId="47F4A579" w:rsidR="00340FC5" w:rsidRPr="00552F04" w:rsidRDefault="00B65580" w:rsidP="009D7FF0">
            <w:pPr>
              <w:pStyle w:val="TableHeader2"/>
              <w:spacing w:before="0" w:line="240" w:lineRule="auto"/>
              <w:ind w:left="105"/>
              <w:jc w:val="left"/>
            </w:pPr>
            <w:r>
              <w:t>(</w:t>
            </w:r>
            <w:r w:rsidR="004C56EB">
              <w:t>I</w:t>
            </w:r>
            <w:r w:rsidR="0089249F">
              <w:t>4</w:t>
            </w:r>
            <w:r>
              <w:t>)</w:t>
            </w:r>
          </w:p>
        </w:tc>
      </w:tr>
      <w:tr w:rsidR="003F2208" w:rsidRPr="008E16B0" w14:paraId="136FAC0F" w14:textId="156AD24A" w:rsidTr="00D60EBC">
        <w:trPr>
          <w:trHeight w:val="497"/>
        </w:trPr>
        <w:tc>
          <w:tcPr>
            <w:tcW w:w="2436" w:type="dxa"/>
            <w:tcBorders>
              <w:top w:val="single" w:sz="4" w:space="0" w:color="auto"/>
              <w:bottom w:val="single" w:sz="4" w:space="0" w:color="auto"/>
            </w:tcBorders>
            <w:hideMark/>
          </w:tcPr>
          <w:p w14:paraId="030CC071" w14:textId="77777777" w:rsidR="00340FC5" w:rsidRPr="00D16894" w:rsidRDefault="00340FC5" w:rsidP="009D7FF0">
            <w:pPr>
              <w:pStyle w:val="TableHeadingsColumn"/>
            </w:pPr>
            <w:r w:rsidRPr="009D7FF0">
              <w:t>Deliberation</w:t>
            </w:r>
            <w:r w:rsidRPr="00D16894">
              <w:t xml:space="preserve"> Per Se</w:t>
            </w:r>
          </w:p>
        </w:tc>
        <w:tc>
          <w:tcPr>
            <w:tcW w:w="2436" w:type="dxa"/>
            <w:tcBorders>
              <w:top w:val="single" w:sz="4" w:space="0" w:color="auto"/>
              <w:bottom w:val="single" w:sz="4" w:space="0" w:color="auto"/>
            </w:tcBorders>
          </w:tcPr>
          <w:p w14:paraId="33E576F7" w14:textId="399FBC43" w:rsidR="00340FC5" w:rsidRPr="00552F04" w:rsidRDefault="00340FC5" w:rsidP="009D7FF0">
            <w:pPr>
              <w:pStyle w:val="Tabledata"/>
            </w:pPr>
            <w:r w:rsidRPr="00552F04">
              <w:t>0.</w:t>
            </w:r>
            <w:r w:rsidRPr="009D7FF0">
              <w:t>116</w:t>
            </w:r>
            <w:r w:rsidR="00BF7896">
              <w:t>***</w:t>
            </w:r>
          </w:p>
          <w:p w14:paraId="0511B594" w14:textId="03433654" w:rsidR="00340FC5" w:rsidRPr="00552F04" w:rsidRDefault="0000058F" w:rsidP="009D7FF0">
            <w:pPr>
              <w:pStyle w:val="Tabledatanospace"/>
            </w:pPr>
            <w:r>
              <w:t>(</w:t>
            </w:r>
            <w:r w:rsidR="00340FC5" w:rsidRPr="00552F04">
              <w:t>0.014)</w:t>
            </w:r>
          </w:p>
        </w:tc>
        <w:tc>
          <w:tcPr>
            <w:tcW w:w="2436" w:type="dxa"/>
            <w:tcBorders>
              <w:top w:val="single" w:sz="4" w:space="0" w:color="auto"/>
              <w:bottom w:val="single" w:sz="4" w:space="0" w:color="auto"/>
            </w:tcBorders>
          </w:tcPr>
          <w:p w14:paraId="7BED25C4" w14:textId="77777777" w:rsidR="00340FC5" w:rsidRPr="006C42DC" w:rsidRDefault="00340FC5" w:rsidP="009D7FF0">
            <w:pPr>
              <w:pStyle w:val="Tabledata"/>
            </w:pPr>
            <w:r w:rsidRPr="006C42DC">
              <w:t>0.116***</w:t>
            </w:r>
          </w:p>
          <w:p w14:paraId="78552E1C" w14:textId="72AF0786" w:rsidR="00340FC5" w:rsidRPr="00552F04" w:rsidRDefault="0000058F" w:rsidP="009D7FF0">
            <w:pPr>
              <w:pStyle w:val="Tabledatanospace"/>
            </w:pPr>
            <w:r>
              <w:t>(</w:t>
            </w:r>
            <w:r w:rsidR="00340FC5" w:rsidRPr="00627DEE">
              <w:t>0.014)</w:t>
            </w:r>
          </w:p>
        </w:tc>
        <w:tc>
          <w:tcPr>
            <w:tcW w:w="2436" w:type="dxa"/>
            <w:tcBorders>
              <w:top w:val="single" w:sz="4" w:space="0" w:color="auto"/>
              <w:bottom w:val="single" w:sz="4" w:space="0" w:color="auto"/>
            </w:tcBorders>
          </w:tcPr>
          <w:p w14:paraId="4176E802" w14:textId="77777777" w:rsidR="00340FC5" w:rsidRPr="006C42DC" w:rsidRDefault="00340FC5" w:rsidP="009D7FF0">
            <w:pPr>
              <w:pStyle w:val="Tabledata"/>
            </w:pPr>
            <w:r w:rsidRPr="006C42DC">
              <w:t>0.116***</w:t>
            </w:r>
          </w:p>
          <w:p w14:paraId="3E1211BD" w14:textId="3FC087C1" w:rsidR="00340FC5" w:rsidRPr="00552F04" w:rsidRDefault="0000058F" w:rsidP="009D7FF0">
            <w:pPr>
              <w:pStyle w:val="Tabledatanospace"/>
            </w:pPr>
            <w:r>
              <w:t>(</w:t>
            </w:r>
            <w:r w:rsidR="00340FC5" w:rsidRPr="00627DEE">
              <w:t>0.014)</w:t>
            </w:r>
          </w:p>
        </w:tc>
      </w:tr>
      <w:tr w:rsidR="0058252E" w:rsidRPr="008E16B0" w14:paraId="2E88A6F1" w14:textId="50D48A4D" w:rsidTr="00D60EBC">
        <w:tc>
          <w:tcPr>
            <w:tcW w:w="9746" w:type="dxa"/>
            <w:gridSpan w:val="4"/>
            <w:tcBorders>
              <w:top w:val="single" w:sz="4" w:space="0" w:color="auto"/>
              <w:bottom w:val="single" w:sz="4" w:space="0" w:color="auto"/>
            </w:tcBorders>
          </w:tcPr>
          <w:p w14:paraId="04CA7FE5" w14:textId="3C5E1F79" w:rsidR="00340FC5" w:rsidRPr="002A63D3" w:rsidRDefault="00F4068C" w:rsidP="00EE383E">
            <w:pPr>
              <w:pStyle w:val="TableHeader1"/>
            </w:pPr>
            <w:r w:rsidRPr="002A63D3">
              <w:t>Individual Level Variables</w:t>
            </w:r>
          </w:p>
        </w:tc>
      </w:tr>
      <w:tr w:rsidR="003F2208" w:rsidRPr="008E16B0" w14:paraId="4F66E0B5" w14:textId="2C8F98A5" w:rsidTr="00D60EBC">
        <w:tc>
          <w:tcPr>
            <w:tcW w:w="2436" w:type="dxa"/>
            <w:tcBorders>
              <w:top w:val="single" w:sz="4" w:space="0" w:color="auto"/>
            </w:tcBorders>
            <w:hideMark/>
          </w:tcPr>
          <w:p w14:paraId="6752ED25" w14:textId="77777777" w:rsidR="00340FC5" w:rsidRPr="00D16894" w:rsidRDefault="00340FC5" w:rsidP="009D7FF0">
            <w:pPr>
              <w:pStyle w:val="TableHeadingsColumn"/>
            </w:pPr>
            <w:r w:rsidRPr="00D16894">
              <w:t>Age</w:t>
            </w:r>
          </w:p>
        </w:tc>
        <w:tc>
          <w:tcPr>
            <w:tcW w:w="2436" w:type="dxa"/>
            <w:tcBorders>
              <w:top w:val="single" w:sz="4" w:space="0" w:color="auto"/>
              <w:left w:val="nil"/>
            </w:tcBorders>
          </w:tcPr>
          <w:p w14:paraId="125A6B85" w14:textId="42EBE0D2" w:rsidR="00340FC5" w:rsidRPr="00F16A93" w:rsidRDefault="00340FC5" w:rsidP="009D7FF0">
            <w:pPr>
              <w:pStyle w:val="Tabledata"/>
            </w:pPr>
            <w:r w:rsidRPr="00F16A93">
              <w:t>-0.00</w:t>
            </w:r>
            <w:r w:rsidR="00C7165F">
              <w:t>4</w:t>
            </w:r>
          </w:p>
          <w:p w14:paraId="31DB916D" w14:textId="5824DC7D" w:rsidR="00340FC5" w:rsidRPr="0058252E" w:rsidRDefault="0000058F" w:rsidP="009D7FF0">
            <w:pPr>
              <w:pStyle w:val="Tabledatanospace"/>
            </w:pPr>
            <w:r w:rsidRPr="0058252E">
              <w:t>(</w:t>
            </w:r>
            <w:r w:rsidR="00340FC5" w:rsidRPr="0058252E">
              <w:t>0.004)</w:t>
            </w:r>
          </w:p>
        </w:tc>
        <w:tc>
          <w:tcPr>
            <w:tcW w:w="2436" w:type="dxa"/>
            <w:tcBorders>
              <w:top w:val="single" w:sz="4" w:space="0" w:color="auto"/>
            </w:tcBorders>
          </w:tcPr>
          <w:p w14:paraId="72612C52" w14:textId="77777777" w:rsidR="00340FC5" w:rsidRPr="006C42DC" w:rsidRDefault="00340FC5" w:rsidP="009D7FF0">
            <w:pPr>
              <w:pStyle w:val="Tabledata"/>
            </w:pPr>
            <w:r w:rsidRPr="006C42DC">
              <w:t>-0.004</w:t>
            </w:r>
          </w:p>
          <w:p w14:paraId="795E0A2D" w14:textId="192B9E66" w:rsidR="00340FC5" w:rsidRPr="00F16A93" w:rsidRDefault="00C530F8" w:rsidP="009D7FF0">
            <w:pPr>
              <w:pStyle w:val="Tabledatanospace"/>
            </w:pPr>
            <w:r>
              <w:t>(</w:t>
            </w:r>
            <w:r w:rsidR="00340FC5" w:rsidRPr="006C42DC">
              <w:t>0.004)</w:t>
            </w:r>
          </w:p>
        </w:tc>
        <w:tc>
          <w:tcPr>
            <w:tcW w:w="2436" w:type="dxa"/>
            <w:tcBorders>
              <w:top w:val="single" w:sz="4" w:space="0" w:color="auto"/>
            </w:tcBorders>
          </w:tcPr>
          <w:p w14:paraId="126D8521" w14:textId="7BB4A3C6" w:rsidR="00340FC5" w:rsidRPr="006C42DC" w:rsidRDefault="00340FC5" w:rsidP="009D7FF0">
            <w:pPr>
              <w:pStyle w:val="Tabledata"/>
            </w:pPr>
            <w:r>
              <w:t>-0.00</w:t>
            </w:r>
            <w:r w:rsidR="54222323">
              <w:t>4</w:t>
            </w:r>
          </w:p>
          <w:p w14:paraId="1BDFC770" w14:textId="3968739D" w:rsidR="00340FC5" w:rsidRPr="00F16A93" w:rsidRDefault="0000058F" w:rsidP="009D7FF0">
            <w:pPr>
              <w:pStyle w:val="Tabledatanospace"/>
            </w:pPr>
            <w:r>
              <w:t>(</w:t>
            </w:r>
            <w:r w:rsidR="00340FC5" w:rsidRPr="006C42DC">
              <w:t>0.004)</w:t>
            </w:r>
          </w:p>
        </w:tc>
      </w:tr>
      <w:tr w:rsidR="0058252E" w:rsidRPr="008E16B0" w14:paraId="398E04EC" w14:textId="4F4E4AD2" w:rsidTr="00D60EBC">
        <w:tc>
          <w:tcPr>
            <w:tcW w:w="2436" w:type="dxa"/>
            <w:hideMark/>
          </w:tcPr>
          <w:p w14:paraId="38C75EFD" w14:textId="77777777" w:rsidR="00340FC5" w:rsidRPr="00D16894" w:rsidRDefault="00340FC5" w:rsidP="009D7FF0">
            <w:pPr>
              <w:pStyle w:val="TableHeadingsColumn"/>
            </w:pPr>
            <w:r w:rsidRPr="00D16894">
              <w:t>Gender</w:t>
            </w:r>
          </w:p>
        </w:tc>
        <w:tc>
          <w:tcPr>
            <w:tcW w:w="2436" w:type="dxa"/>
          </w:tcPr>
          <w:p w14:paraId="03C5CE20" w14:textId="3F9C1CBC" w:rsidR="00340FC5" w:rsidRPr="00F16A93" w:rsidRDefault="00340FC5" w:rsidP="009D7FF0">
            <w:pPr>
              <w:pStyle w:val="Tabledata"/>
            </w:pPr>
            <w:r w:rsidRPr="00F16A93">
              <w:t>0.012</w:t>
            </w:r>
          </w:p>
          <w:p w14:paraId="56814DAF" w14:textId="77282F97" w:rsidR="00340FC5" w:rsidRPr="00F16A93" w:rsidRDefault="0000058F" w:rsidP="009D7FF0">
            <w:pPr>
              <w:pStyle w:val="Tabledatanospace"/>
            </w:pPr>
            <w:r>
              <w:t>(</w:t>
            </w:r>
            <w:r w:rsidR="00340FC5" w:rsidRPr="00F16A93">
              <w:t>0.014)</w:t>
            </w:r>
          </w:p>
        </w:tc>
        <w:tc>
          <w:tcPr>
            <w:tcW w:w="2436" w:type="dxa"/>
          </w:tcPr>
          <w:p w14:paraId="1E679711" w14:textId="77777777" w:rsidR="00340FC5" w:rsidRPr="006C42DC" w:rsidRDefault="00340FC5" w:rsidP="009D7FF0">
            <w:pPr>
              <w:pStyle w:val="Tabledata"/>
            </w:pPr>
            <w:r w:rsidRPr="006C42DC">
              <w:t>0.012</w:t>
            </w:r>
          </w:p>
          <w:p w14:paraId="378BE27F" w14:textId="5BB6A0BA" w:rsidR="00340FC5" w:rsidRPr="00F16A93" w:rsidRDefault="0000058F" w:rsidP="009D7FF0">
            <w:pPr>
              <w:pStyle w:val="Tabledatanospace"/>
            </w:pPr>
            <w:r>
              <w:t>(</w:t>
            </w:r>
            <w:r w:rsidR="00340FC5" w:rsidRPr="006C42DC">
              <w:t>0.014)</w:t>
            </w:r>
          </w:p>
        </w:tc>
        <w:tc>
          <w:tcPr>
            <w:tcW w:w="2436" w:type="dxa"/>
          </w:tcPr>
          <w:p w14:paraId="38B1899F" w14:textId="77777777" w:rsidR="00340FC5" w:rsidRPr="006C42DC" w:rsidRDefault="00340FC5" w:rsidP="009D7FF0">
            <w:pPr>
              <w:pStyle w:val="Tabledata"/>
            </w:pPr>
            <w:r w:rsidRPr="006C42DC">
              <w:t>0.012</w:t>
            </w:r>
          </w:p>
          <w:p w14:paraId="09993974" w14:textId="0840D691" w:rsidR="00340FC5" w:rsidRPr="00F16A93" w:rsidRDefault="0000058F" w:rsidP="009D7FF0">
            <w:pPr>
              <w:pStyle w:val="Tabledatanospace"/>
            </w:pPr>
            <w:r>
              <w:t>(</w:t>
            </w:r>
            <w:r w:rsidR="00340FC5" w:rsidRPr="006C42DC">
              <w:t>0.014)</w:t>
            </w:r>
          </w:p>
        </w:tc>
      </w:tr>
      <w:tr w:rsidR="003F2208" w:rsidRPr="008E16B0" w14:paraId="66685CBF" w14:textId="244246A5" w:rsidTr="00D60EBC">
        <w:tc>
          <w:tcPr>
            <w:tcW w:w="2436" w:type="dxa"/>
            <w:tcBorders>
              <w:bottom w:val="single" w:sz="4" w:space="0" w:color="auto"/>
            </w:tcBorders>
            <w:hideMark/>
          </w:tcPr>
          <w:p w14:paraId="185F9D1D" w14:textId="77777777" w:rsidR="00340FC5" w:rsidRPr="00D16894" w:rsidRDefault="00340FC5" w:rsidP="009D7FF0">
            <w:pPr>
              <w:pStyle w:val="TableHeadingsColumn"/>
            </w:pPr>
            <w:r w:rsidRPr="00D16894">
              <w:t>Education</w:t>
            </w:r>
          </w:p>
        </w:tc>
        <w:tc>
          <w:tcPr>
            <w:tcW w:w="2436" w:type="dxa"/>
            <w:tcBorders>
              <w:left w:val="nil"/>
              <w:bottom w:val="single" w:sz="4" w:space="0" w:color="auto"/>
            </w:tcBorders>
          </w:tcPr>
          <w:p w14:paraId="62319F8E" w14:textId="0D4EDB4C" w:rsidR="00340FC5" w:rsidRPr="00F16A93" w:rsidRDefault="00340FC5" w:rsidP="009D7FF0">
            <w:pPr>
              <w:pStyle w:val="Tabledata"/>
            </w:pPr>
            <w:r w:rsidRPr="00F16A93">
              <w:t>-0.004</w:t>
            </w:r>
          </w:p>
          <w:p w14:paraId="24C2F61C" w14:textId="3A7427BB" w:rsidR="00340FC5" w:rsidRPr="0058252E" w:rsidRDefault="0000058F" w:rsidP="009D7FF0">
            <w:pPr>
              <w:pStyle w:val="Tabledatanospace"/>
            </w:pPr>
            <w:r w:rsidRPr="0058252E">
              <w:t>(</w:t>
            </w:r>
            <w:r w:rsidR="00340FC5" w:rsidRPr="0058252E">
              <w:t>0.009)</w:t>
            </w:r>
          </w:p>
        </w:tc>
        <w:tc>
          <w:tcPr>
            <w:tcW w:w="2436" w:type="dxa"/>
            <w:tcBorders>
              <w:bottom w:val="single" w:sz="4" w:space="0" w:color="auto"/>
            </w:tcBorders>
          </w:tcPr>
          <w:p w14:paraId="34977C2A" w14:textId="77777777" w:rsidR="00340FC5" w:rsidRPr="006C42DC" w:rsidRDefault="00340FC5" w:rsidP="009D7FF0">
            <w:pPr>
              <w:pStyle w:val="Tabledata"/>
            </w:pPr>
            <w:r w:rsidRPr="006C42DC">
              <w:t>-0.005</w:t>
            </w:r>
          </w:p>
          <w:p w14:paraId="0E54776A" w14:textId="15250D79" w:rsidR="00340FC5" w:rsidRPr="00F16A93" w:rsidRDefault="0000058F" w:rsidP="009D7FF0">
            <w:pPr>
              <w:pStyle w:val="Tabledatanospace"/>
            </w:pPr>
            <w:r>
              <w:t>(</w:t>
            </w:r>
            <w:r w:rsidR="00340FC5" w:rsidRPr="006C42DC">
              <w:t>0.009)</w:t>
            </w:r>
          </w:p>
        </w:tc>
        <w:tc>
          <w:tcPr>
            <w:tcW w:w="2436" w:type="dxa"/>
            <w:tcBorders>
              <w:bottom w:val="single" w:sz="4" w:space="0" w:color="auto"/>
            </w:tcBorders>
          </w:tcPr>
          <w:p w14:paraId="6A9864F0" w14:textId="37BB5770" w:rsidR="00340FC5" w:rsidRPr="006C42DC" w:rsidRDefault="00340FC5" w:rsidP="009D7FF0">
            <w:pPr>
              <w:pStyle w:val="Tabledata"/>
            </w:pPr>
            <w:r>
              <w:t>-0.00</w:t>
            </w:r>
            <w:r w:rsidR="5C3DBB3E">
              <w:t>5</w:t>
            </w:r>
          </w:p>
          <w:p w14:paraId="1D9CDFD7" w14:textId="49829AF2" w:rsidR="00340FC5" w:rsidRPr="00F16A93" w:rsidRDefault="0000058F" w:rsidP="009D7FF0">
            <w:pPr>
              <w:pStyle w:val="Tabledatanospace"/>
            </w:pPr>
            <w:r>
              <w:t>(</w:t>
            </w:r>
            <w:r w:rsidR="00340FC5" w:rsidRPr="006C42DC">
              <w:t>0.009)</w:t>
            </w:r>
          </w:p>
        </w:tc>
      </w:tr>
      <w:tr w:rsidR="0058252E" w:rsidRPr="008E16B0" w14:paraId="5F68A88D" w14:textId="157098A8" w:rsidTr="00D60EBC">
        <w:tc>
          <w:tcPr>
            <w:tcW w:w="9746" w:type="dxa"/>
            <w:gridSpan w:val="4"/>
            <w:tcBorders>
              <w:top w:val="single" w:sz="4" w:space="0" w:color="auto"/>
              <w:bottom w:val="single" w:sz="4" w:space="0" w:color="auto"/>
            </w:tcBorders>
          </w:tcPr>
          <w:p w14:paraId="1B9D20D4" w14:textId="28A185AC" w:rsidR="00340FC5" w:rsidRPr="00EE383E" w:rsidRDefault="00F4068C" w:rsidP="00EE383E">
            <w:pPr>
              <w:pStyle w:val="TableHeader2"/>
            </w:pPr>
            <w:r w:rsidRPr="00EE383E">
              <w:t>Case Level Variables</w:t>
            </w:r>
          </w:p>
        </w:tc>
      </w:tr>
      <w:tr w:rsidR="0058252E" w:rsidRPr="008E16B0" w14:paraId="35BCC556" w14:textId="54A10CA5" w:rsidTr="00D60EBC">
        <w:tc>
          <w:tcPr>
            <w:tcW w:w="2436" w:type="dxa"/>
            <w:tcBorders>
              <w:top w:val="single" w:sz="4" w:space="0" w:color="auto"/>
            </w:tcBorders>
            <w:hideMark/>
          </w:tcPr>
          <w:p w14:paraId="1C360B58" w14:textId="77777777" w:rsidR="00340FC5" w:rsidRPr="005516CB" w:rsidRDefault="00340FC5" w:rsidP="009D7FF0">
            <w:pPr>
              <w:pStyle w:val="TableHeadingsColumn"/>
            </w:pPr>
            <w:bookmarkStart w:id="162" w:name="_Hlk116010380"/>
            <w:r w:rsidRPr="005516CB">
              <w:t>Group building</w:t>
            </w:r>
          </w:p>
        </w:tc>
        <w:tc>
          <w:tcPr>
            <w:tcW w:w="2436" w:type="dxa"/>
            <w:tcBorders>
              <w:top w:val="single" w:sz="4" w:space="0" w:color="auto"/>
            </w:tcBorders>
          </w:tcPr>
          <w:p w14:paraId="1A5A367D" w14:textId="5FCA749B" w:rsidR="00340FC5" w:rsidRPr="00552F04" w:rsidRDefault="00340FC5" w:rsidP="009D7FF0">
            <w:pPr>
              <w:pStyle w:val="Tabledata"/>
            </w:pPr>
            <w:r>
              <w:t>0.07</w:t>
            </w:r>
            <w:r w:rsidR="756F5FED">
              <w:t>8</w:t>
            </w:r>
            <w:r>
              <w:t>**</w:t>
            </w:r>
          </w:p>
          <w:p w14:paraId="11E9144F" w14:textId="403B14F1" w:rsidR="00340FC5" w:rsidRPr="00552F04" w:rsidRDefault="0000058F" w:rsidP="009D7FF0">
            <w:pPr>
              <w:pStyle w:val="Tabledatanospace"/>
            </w:pPr>
            <w:r>
              <w:t>(</w:t>
            </w:r>
            <w:r w:rsidR="00340FC5" w:rsidRPr="00552F04">
              <w:t>0.033)</w:t>
            </w:r>
          </w:p>
        </w:tc>
        <w:tc>
          <w:tcPr>
            <w:tcW w:w="2436" w:type="dxa"/>
            <w:tcBorders>
              <w:top w:val="single" w:sz="4" w:space="0" w:color="auto"/>
            </w:tcBorders>
          </w:tcPr>
          <w:p w14:paraId="56C1666C" w14:textId="6E1CB7D2" w:rsidR="00340FC5" w:rsidRPr="00340FC5" w:rsidRDefault="00340FC5" w:rsidP="009D7FF0">
            <w:pPr>
              <w:pStyle w:val="Tabledata"/>
            </w:pPr>
            <w:r w:rsidRPr="00340FC5">
              <w:t>0.0</w:t>
            </w:r>
            <w:r w:rsidR="00DB3D38">
              <w:t>58</w:t>
            </w:r>
            <w:r w:rsidR="000A2716">
              <w:t>**</w:t>
            </w:r>
          </w:p>
          <w:p w14:paraId="72D3CC39" w14:textId="095F679B" w:rsidR="00340FC5" w:rsidRPr="00340FC5" w:rsidRDefault="0000058F" w:rsidP="009D7FF0">
            <w:pPr>
              <w:pStyle w:val="Tabledatanospace"/>
            </w:pPr>
            <w:r>
              <w:t>(</w:t>
            </w:r>
            <w:r w:rsidR="00340FC5" w:rsidRPr="00627DEE">
              <w:t>0.</w:t>
            </w:r>
            <w:r w:rsidR="001B5E76" w:rsidRPr="00627DEE">
              <w:t>0</w:t>
            </w:r>
            <w:r w:rsidR="001B5E76">
              <w:t>24</w:t>
            </w:r>
            <w:r w:rsidR="00340FC5" w:rsidRPr="00627DEE">
              <w:t>)</w:t>
            </w:r>
          </w:p>
        </w:tc>
        <w:tc>
          <w:tcPr>
            <w:tcW w:w="2436" w:type="dxa"/>
            <w:tcBorders>
              <w:top w:val="single" w:sz="4" w:space="0" w:color="auto"/>
            </w:tcBorders>
          </w:tcPr>
          <w:p w14:paraId="4532B8E6" w14:textId="2C16575D" w:rsidR="00340FC5" w:rsidRPr="00340FC5" w:rsidRDefault="00492CD5" w:rsidP="009D7FF0">
            <w:pPr>
              <w:pStyle w:val="Tabledata"/>
            </w:pPr>
            <w:r>
              <w:t>-</w:t>
            </w:r>
            <w:r w:rsidR="00340FC5" w:rsidRPr="00340FC5">
              <w:t>0.</w:t>
            </w:r>
            <w:r w:rsidRPr="00340FC5">
              <w:t>0</w:t>
            </w:r>
            <w:r>
              <w:t>74</w:t>
            </w:r>
          </w:p>
          <w:p w14:paraId="416F00CA" w14:textId="70224B25" w:rsidR="00340FC5" w:rsidRPr="00340FC5" w:rsidRDefault="0000058F" w:rsidP="009D7FF0">
            <w:pPr>
              <w:pStyle w:val="Tabledatanospace"/>
            </w:pPr>
            <w:r>
              <w:t>(</w:t>
            </w:r>
            <w:r w:rsidR="00340FC5" w:rsidRPr="00627DEE">
              <w:t>0.0</w:t>
            </w:r>
            <w:r w:rsidR="000A2716">
              <w:t>66</w:t>
            </w:r>
            <w:r w:rsidR="00340FC5" w:rsidRPr="00627DEE">
              <w:t>)</w:t>
            </w:r>
          </w:p>
        </w:tc>
      </w:tr>
      <w:tr w:rsidR="0058252E" w:rsidRPr="008E16B0" w14:paraId="5D9AC225" w14:textId="372F4889" w:rsidTr="00D60EBC">
        <w:tc>
          <w:tcPr>
            <w:tcW w:w="2436" w:type="dxa"/>
            <w:hideMark/>
          </w:tcPr>
          <w:p w14:paraId="25EB3548" w14:textId="77777777" w:rsidR="00340FC5" w:rsidRPr="005516CB" w:rsidRDefault="00340FC5" w:rsidP="009D7FF0">
            <w:pPr>
              <w:pStyle w:val="TableHeadingsColumn"/>
            </w:pPr>
            <w:r w:rsidRPr="005516CB">
              <w:t>Complexity</w:t>
            </w:r>
          </w:p>
        </w:tc>
        <w:tc>
          <w:tcPr>
            <w:tcW w:w="2436" w:type="dxa"/>
          </w:tcPr>
          <w:p w14:paraId="14BCE4A5" w14:textId="4F21F9E2" w:rsidR="00340FC5" w:rsidRPr="00552F04" w:rsidRDefault="00340FC5" w:rsidP="009D7FF0">
            <w:pPr>
              <w:pStyle w:val="Tabledata"/>
            </w:pPr>
            <w:r w:rsidRPr="00552F04">
              <w:t>0.006</w:t>
            </w:r>
          </w:p>
          <w:p w14:paraId="2D9C3B46" w14:textId="3105EDA4" w:rsidR="00340FC5" w:rsidRPr="00552F04" w:rsidRDefault="0000058F" w:rsidP="009D7FF0">
            <w:pPr>
              <w:pStyle w:val="Tabledatanospace"/>
            </w:pPr>
            <w:r>
              <w:t>(</w:t>
            </w:r>
            <w:r w:rsidR="00340FC5" w:rsidRPr="00552F04">
              <w:t>0.054)</w:t>
            </w:r>
          </w:p>
        </w:tc>
        <w:tc>
          <w:tcPr>
            <w:tcW w:w="2436" w:type="dxa"/>
          </w:tcPr>
          <w:p w14:paraId="12A33AD8" w14:textId="74016D99" w:rsidR="00340FC5" w:rsidRPr="00340FC5" w:rsidRDefault="00340FC5" w:rsidP="009D7FF0">
            <w:pPr>
              <w:pStyle w:val="Tabledata"/>
            </w:pPr>
            <w:r w:rsidRPr="00340FC5">
              <w:t>0.</w:t>
            </w:r>
            <w:r w:rsidR="00DB3D38">
              <w:t>43</w:t>
            </w:r>
            <w:r w:rsidR="001B5E76">
              <w:t>1</w:t>
            </w:r>
            <w:r w:rsidRPr="00340FC5">
              <w:t>*</w:t>
            </w:r>
            <w:r w:rsidR="001B5E76">
              <w:t>*</w:t>
            </w:r>
            <w:r w:rsidR="000A2716">
              <w:t>*</w:t>
            </w:r>
          </w:p>
          <w:p w14:paraId="3532F349" w14:textId="75D67F84" w:rsidR="00340FC5" w:rsidRPr="00340FC5" w:rsidRDefault="0000058F" w:rsidP="009D7FF0">
            <w:pPr>
              <w:pStyle w:val="Tabledatanospace"/>
            </w:pPr>
            <w:r>
              <w:t>(</w:t>
            </w:r>
            <w:r w:rsidR="00340FC5" w:rsidRPr="00627DEE">
              <w:t>0.</w:t>
            </w:r>
            <w:r w:rsidR="001B5E76">
              <w:t>130</w:t>
            </w:r>
            <w:r w:rsidR="00340FC5" w:rsidRPr="00627DEE">
              <w:t>)</w:t>
            </w:r>
          </w:p>
        </w:tc>
        <w:tc>
          <w:tcPr>
            <w:tcW w:w="2436" w:type="dxa"/>
          </w:tcPr>
          <w:p w14:paraId="18B9E26E" w14:textId="36555D73" w:rsidR="00340FC5" w:rsidRPr="00340FC5" w:rsidRDefault="00340FC5" w:rsidP="009D7FF0">
            <w:pPr>
              <w:pStyle w:val="Tabledata"/>
            </w:pPr>
            <w:r>
              <w:t>0.</w:t>
            </w:r>
            <w:r w:rsidR="00492CD5">
              <w:t>266</w:t>
            </w:r>
            <w:r w:rsidR="000A2716">
              <w:t>*</w:t>
            </w:r>
          </w:p>
          <w:p w14:paraId="2BFE81BE" w14:textId="2D25C80E" w:rsidR="00340FC5" w:rsidRPr="00340FC5" w:rsidRDefault="0000058F" w:rsidP="009D7FF0">
            <w:pPr>
              <w:pStyle w:val="Tabledatanospace"/>
            </w:pPr>
            <w:r>
              <w:t>(</w:t>
            </w:r>
            <w:r w:rsidR="00340FC5" w:rsidRPr="00627DEE">
              <w:t>0.</w:t>
            </w:r>
            <w:r w:rsidR="000A2716">
              <w:t>134</w:t>
            </w:r>
            <w:r w:rsidR="00340FC5" w:rsidRPr="00627DEE">
              <w:t>)</w:t>
            </w:r>
          </w:p>
        </w:tc>
      </w:tr>
      <w:tr w:rsidR="0058252E" w:rsidRPr="008E16B0" w14:paraId="024E1158" w14:textId="6EEEE65B" w:rsidTr="00D60EBC">
        <w:tc>
          <w:tcPr>
            <w:tcW w:w="2436" w:type="dxa"/>
          </w:tcPr>
          <w:p w14:paraId="1516FDDB" w14:textId="77777777" w:rsidR="00340FC5" w:rsidRPr="005516CB" w:rsidDel="00134082" w:rsidRDefault="00340FC5" w:rsidP="009D7FF0">
            <w:pPr>
              <w:pStyle w:val="TableHeadingsColumn"/>
            </w:pPr>
            <w:r w:rsidRPr="005516CB">
              <w:t>Duration</w:t>
            </w:r>
          </w:p>
        </w:tc>
        <w:tc>
          <w:tcPr>
            <w:tcW w:w="2436" w:type="dxa"/>
          </w:tcPr>
          <w:p w14:paraId="2E05D9AA" w14:textId="4A571CC8" w:rsidR="00340FC5" w:rsidRPr="00552F04" w:rsidRDefault="00340FC5" w:rsidP="009D7FF0">
            <w:pPr>
              <w:pStyle w:val="Tabledata"/>
            </w:pPr>
            <w:r w:rsidRPr="00552F04">
              <w:t>-0.072</w:t>
            </w:r>
          </w:p>
          <w:p w14:paraId="317C22C1" w14:textId="779300D5" w:rsidR="00340FC5" w:rsidRPr="00552F04" w:rsidRDefault="0000058F" w:rsidP="009D7FF0">
            <w:pPr>
              <w:pStyle w:val="Tabledatanospace"/>
            </w:pPr>
            <w:r>
              <w:t>(</w:t>
            </w:r>
            <w:r w:rsidR="00340FC5" w:rsidRPr="00552F04">
              <w:t>0.074)</w:t>
            </w:r>
          </w:p>
        </w:tc>
        <w:tc>
          <w:tcPr>
            <w:tcW w:w="2436" w:type="dxa"/>
          </w:tcPr>
          <w:p w14:paraId="0D50216F" w14:textId="33A06D04" w:rsidR="00340FC5" w:rsidRPr="00340FC5" w:rsidRDefault="001B5E76" w:rsidP="009D7FF0">
            <w:pPr>
              <w:pStyle w:val="Tabledata"/>
            </w:pPr>
            <w:r>
              <w:t>-</w:t>
            </w:r>
            <w:r w:rsidR="00340FC5" w:rsidRPr="00340FC5">
              <w:t>0.</w:t>
            </w:r>
            <w:r>
              <w:t>045</w:t>
            </w:r>
          </w:p>
          <w:p w14:paraId="04C1A4A6" w14:textId="5121123C" w:rsidR="00340FC5" w:rsidRPr="00340FC5" w:rsidRDefault="0000058F" w:rsidP="009D7FF0">
            <w:pPr>
              <w:pStyle w:val="Tabledatanospace"/>
            </w:pPr>
            <w:r>
              <w:t>(</w:t>
            </w:r>
            <w:r w:rsidR="00340FC5">
              <w:t>0.</w:t>
            </w:r>
            <w:r w:rsidR="001B5E76">
              <w:t>05</w:t>
            </w:r>
            <w:r w:rsidR="23FF6C71">
              <w:t>2</w:t>
            </w:r>
            <w:r w:rsidR="00340FC5">
              <w:t>)</w:t>
            </w:r>
          </w:p>
        </w:tc>
        <w:tc>
          <w:tcPr>
            <w:tcW w:w="2436" w:type="dxa"/>
          </w:tcPr>
          <w:p w14:paraId="0909278C" w14:textId="4D4DDAEA" w:rsidR="00340FC5" w:rsidRPr="00340FC5" w:rsidRDefault="00340FC5" w:rsidP="009D7FF0">
            <w:pPr>
              <w:pStyle w:val="Tabledata"/>
            </w:pPr>
            <w:r w:rsidRPr="00340FC5">
              <w:t>0.</w:t>
            </w:r>
            <w:r w:rsidR="00492CD5">
              <w:t>001</w:t>
            </w:r>
          </w:p>
          <w:p w14:paraId="5E081550" w14:textId="3ED4295C" w:rsidR="00340FC5" w:rsidRPr="00340FC5" w:rsidRDefault="0000058F" w:rsidP="009D7FF0">
            <w:pPr>
              <w:pStyle w:val="Tabledatanospace"/>
            </w:pPr>
            <w:r>
              <w:t>(</w:t>
            </w:r>
            <w:r w:rsidR="00340FC5" w:rsidRPr="00340FC5">
              <w:t>0.</w:t>
            </w:r>
            <w:r w:rsidR="000A2716">
              <w:t>048</w:t>
            </w:r>
            <w:r w:rsidR="00340FC5" w:rsidRPr="00340FC5">
              <w:t>)</w:t>
            </w:r>
          </w:p>
        </w:tc>
      </w:tr>
      <w:tr w:rsidR="0058252E" w:rsidRPr="008E16B0" w14:paraId="7EFC32D3" w14:textId="5F678235" w:rsidTr="00D60EBC">
        <w:tc>
          <w:tcPr>
            <w:tcW w:w="2436" w:type="dxa"/>
            <w:hideMark/>
          </w:tcPr>
          <w:p w14:paraId="07FC1E89" w14:textId="77777777" w:rsidR="00340FC5" w:rsidRPr="005516CB" w:rsidRDefault="00340FC5" w:rsidP="009D7FF0">
            <w:pPr>
              <w:pStyle w:val="TableHeadingsColumn"/>
            </w:pPr>
            <w:r w:rsidRPr="005516CB">
              <w:t>Decision Impact</w:t>
            </w:r>
          </w:p>
        </w:tc>
        <w:tc>
          <w:tcPr>
            <w:tcW w:w="2436" w:type="dxa"/>
          </w:tcPr>
          <w:p w14:paraId="18AD7635" w14:textId="3BDC8A2A" w:rsidR="00340FC5" w:rsidRPr="00552F04" w:rsidRDefault="00340FC5" w:rsidP="009D7FF0">
            <w:pPr>
              <w:pStyle w:val="Tabledata"/>
            </w:pPr>
            <w:r w:rsidRPr="00552F04">
              <w:t>-0.001</w:t>
            </w:r>
          </w:p>
          <w:p w14:paraId="519C9490" w14:textId="75D60D0C" w:rsidR="00340FC5" w:rsidRPr="00552F04" w:rsidRDefault="0000058F" w:rsidP="009D7FF0">
            <w:pPr>
              <w:pStyle w:val="Tabledatanospace"/>
            </w:pPr>
            <w:r>
              <w:t>(</w:t>
            </w:r>
            <w:r w:rsidR="00340FC5" w:rsidRPr="00552F04">
              <w:t>0.032)</w:t>
            </w:r>
          </w:p>
        </w:tc>
        <w:tc>
          <w:tcPr>
            <w:tcW w:w="2436" w:type="dxa"/>
          </w:tcPr>
          <w:p w14:paraId="69BA0330" w14:textId="77777777" w:rsidR="00340FC5" w:rsidRPr="00340FC5" w:rsidRDefault="00340FC5" w:rsidP="009D7FF0">
            <w:pPr>
              <w:pStyle w:val="Tabledata"/>
            </w:pPr>
            <w:r w:rsidRPr="00340FC5">
              <w:t>0.363***</w:t>
            </w:r>
          </w:p>
          <w:p w14:paraId="24EBC909" w14:textId="4722C549" w:rsidR="00340FC5" w:rsidRPr="00340FC5" w:rsidRDefault="0000058F" w:rsidP="009D7FF0">
            <w:pPr>
              <w:pStyle w:val="Tabledatanospace"/>
            </w:pPr>
            <w:r>
              <w:t>(</w:t>
            </w:r>
            <w:r w:rsidR="00340FC5" w:rsidRPr="002A63D3">
              <w:t>0.108)</w:t>
            </w:r>
          </w:p>
        </w:tc>
        <w:tc>
          <w:tcPr>
            <w:tcW w:w="2436" w:type="dxa"/>
          </w:tcPr>
          <w:p w14:paraId="0194F4D4" w14:textId="77777777" w:rsidR="00340FC5" w:rsidRPr="00340FC5" w:rsidRDefault="00340FC5" w:rsidP="009D7FF0">
            <w:pPr>
              <w:pStyle w:val="Tabledata"/>
            </w:pPr>
            <w:r w:rsidRPr="00340FC5">
              <w:t>0.402***</w:t>
            </w:r>
          </w:p>
          <w:p w14:paraId="20FB0EE9" w14:textId="1BF74F13" w:rsidR="00340FC5" w:rsidRPr="00340FC5" w:rsidRDefault="0000058F" w:rsidP="009D7FF0">
            <w:pPr>
              <w:pStyle w:val="Tabledatanospace"/>
            </w:pPr>
            <w:r>
              <w:t>(</w:t>
            </w:r>
            <w:r w:rsidR="00340FC5" w:rsidRPr="002A63D3">
              <w:t>0.093)</w:t>
            </w:r>
          </w:p>
        </w:tc>
      </w:tr>
      <w:tr w:rsidR="0058252E" w:rsidRPr="008E16B0" w14:paraId="28B7E20B" w14:textId="19E41FA2" w:rsidTr="00D60EBC">
        <w:tc>
          <w:tcPr>
            <w:tcW w:w="2436" w:type="dxa"/>
          </w:tcPr>
          <w:p w14:paraId="2F797F67" w14:textId="71355B6D" w:rsidR="00F953A0" w:rsidRPr="005516CB" w:rsidRDefault="00F953A0" w:rsidP="009D7FF0">
            <w:pPr>
              <w:pStyle w:val="TableHeadingsColumn"/>
            </w:pPr>
            <w:r w:rsidRPr="005516CB">
              <w:t>Size</w:t>
            </w:r>
          </w:p>
        </w:tc>
        <w:tc>
          <w:tcPr>
            <w:tcW w:w="2436" w:type="dxa"/>
          </w:tcPr>
          <w:p w14:paraId="7A0147E3" w14:textId="6C438CE7" w:rsidR="00F953A0" w:rsidRPr="00552F04" w:rsidRDefault="00F953A0" w:rsidP="009D7FF0">
            <w:pPr>
              <w:pStyle w:val="Tabledata"/>
            </w:pPr>
            <w:r w:rsidRPr="00552F04">
              <w:t>-0.0</w:t>
            </w:r>
            <w:r w:rsidR="00DB3D38">
              <w:t>10</w:t>
            </w:r>
          </w:p>
          <w:p w14:paraId="1E2FBED0" w14:textId="79A13F4D" w:rsidR="00F953A0" w:rsidRPr="00552F04" w:rsidRDefault="0000058F" w:rsidP="009D7FF0">
            <w:pPr>
              <w:pStyle w:val="Tabledatanospace"/>
            </w:pPr>
            <w:r>
              <w:t>(</w:t>
            </w:r>
            <w:r w:rsidR="00F953A0" w:rsidRPr="00552F04">
              <w:t>0.053)</w:t>
            </w:r>
          </w:p>
        </w:tc>
        <w:tc>
          <w:tcPr>
            <w:tcW w:w="2436" w:type="dxa"/>
          </w:tcPr>
          <w:p w14:paraId="73F6C360" w14:textId="76817BFE" w:rsidR="00F953A0" w:rsidRPr="00F953A0" w:rsidRDefault="00F953A0" w:rsidP="009D7FF0">
            <w:pPr>
              <w:pStyle w:val="Tabledata"/>
            </w:pPr>
            <w:r w:rsidRPr="00F953A0">
              <w:t>-0.04</w:t>
            </w:r>
            <w:r w:rsidR="001B5E76">
              <w:t>6</w:t>
            </w:r>
            <w:r w:rsidRPr="00F953A0">
              <w:t xml:space="preserve"> </w:t>
            </w:r>
          </w:p>
          <w:p w14:paraId="3903209C" w14:textId="607EA5B3" w:rsidR="00F953A0" w:rsidRPr="00F953A0" w:rsidRDefault="0000058F" w:rsidP="009D7FF0">
            <w:pPr>
              <w:pStyle w:val="Tabledatanospace"/>
            </w:pPr>
            <w:r>
              <w:t>(</w:t>
            </w:r>
            <w:r w:rsidR="00F953A0" w:rsidRPr="002A63D3">
              <w:t>0.0</w:t>
            </w:r>
            <w:r w:rsidR="001B5E76">
              <w:t>39</w:t>
            </w:r>
            <w:r w:rsidR="00F953A0" w:rsidRPr="002A63D3">
              <w:t>)</w:t>
            </w:r>
          </w:p>
        </w:tc>
        <w:tc>
          <w:tcPr>
            <w:tcW w:w="2436" w:type="dxa"/>
          </w:tcPr>
          <w:p w14:paraId="6059ED11" w14:textId="66F093F6" w:rsidR="00F953A0" w:rsidRPr="00F953A0" w:rsidRDefault="00F953A0" w:rsidP="009D7FF0">
            <w:pPr>
              <w:pStyle w:val="Tabledata"/>
            </w:pPr>
            <w:r w:rsidRPr="00F953A0">
              <w:t>-0.</w:t>
            </w:r>
            <w:r w:rsidR="00492CD5">
              <w:t>0</w:t>
            </w:r>
            <w:r w:rsidRPr="00F953A0">
              <w:t>33</w:t>
            </w:r>
          </w:p>
          <w:p w14:paraId="5F9E54A1" w14:textId="21528338" w:rsidR="00F953A0" w:rsidRPr="00F953A0" w:rsidRDefault="0000058F" w:rsidP="009D7FF0">
            <w:pPr>
              <w:pStyle w:val="Tabledatanospace"/>
            </w:pPr>
            <w:r>
              <w:t>(</w:t>
            </w:r>
            <w:r w:rsidR="00F953A0" w:rsidRPr="002A63D3">
              <w:t>0.033)</w:t>
            </w:r>
          </w:p>
        </w:tc>
      </w:tr>
      <w:tr w:rsidR="003F2208" w:rsidRPr="008E16B0" w14:paraId="5ABBA59D" w14:textId="521F7D4D" w:rsidTr="00D60EBC">
        <w:tc>
          <w:tcPr>
            <w:tcW w:w="2436" w:type="dxa"/>
            <w:tcBorders>
              <w:bottom w:val="single" w:sz="4" w:space="0" w:color="auto"/>
            </w:tcBorders>
            <w:hideMark/>
          </w:tcPr>
          <w:p w14:paraId="3167877B" w14:textId="77777777" w:rsidR="00340FC5" w:rsidRPr="005516CB" w:rsidRDefault="00340FC5" w:rsidP="009D7FF0">
            <w:pPr>
              <w:pStyle w:val="TableHeadingsColumn"/>
            </w:pPr>
            <w:r w:rsidRPr="005516CB">
              <w:t>Intercept</w:t>
            </w:r>
          </w:p>
        </w:tc>
        <w:tc>
          <w:tcPr>
            <w:tcW w:w="2436" w:type="dxa"/>
            <w:tcBorders>
              <w:left w:val="nil"/>
              <w:bottom w:val="single" w:sz="4" w:space="0" w:color="auto"/>
            </w:tcBorders>
          </w:tcPr>
          <w:p w14:paraId="7DD78E74" w14:textId="52D76D3F" w:rsidR="00340FC5" w:rsidRPr="00552F04" w:rsidRDefault="00340FC5" w:rsidP="009D7FF0">
            <w:pPr>
              <w:pStyle w:val="Tabledata"/>
            </w:pPr>
            <w:r w:rsidRPr="00552F04">
              <w:t>0.316</w:t>
            </w:r>
          </w:p>
          <w:p w14:paraId="5180F173" w14:textId="647EC96A" w:rsidR="00340FC5" w:rsidRPr="00552F04" w:rsidRDefault="0000058F" w:rsidP="009D7FF0">
            <w:pPr>
              <w:pStyle w:val="Tabledatanospace"/>
            </w:pPr>
            <w:r>
              <w:t>(</w:t>
            </w:r>
            <w:r w:rsidR="00340FC5" w:rsidRPr="00552F04">
              <w:t>0.266)</w:t>
            </w:r>
          </w:p>
        </w:tc>
        <w:tc>
          <w:tcPr>
            <w:tcW w:w="2436" w:type="dxa"/>
            <w:tcBorders>
              <w:bottom w:val="single" w:sz="4" w:space="0" w:color="auto"/>
            </w:tcBorders>
          </w:tcPr>
          <w:p w14:paraId="601FA01F" w14:textId="5EC4E3D4" w:rsidR="00B177AF" w:rsidRDefault="00B177AF" w:rsidP="009D7FF0">
            <w:pPr>
              <w:pStyle w:val="Tabledata"/>
            </w:pPr>
            <w:r>
              <w:t>-0.87</w:t>
            </w:r>
            <w:r w:rsidR="0093743A">
              <w:t>5</w:t>
            </w:r>
            <w:r>
              <w:t>*</w:t>
            </w:r>
          </w:p>
          <w:p w14:paraId="3B871F62" w14:textId="2FC0EDD7" w:rsidR="00340FC5" w:rsidRPr="00552F04" w:rsidRDefault="0000058F" w:rsidP="009D7FF0">
            <w:pPr>
              <w:pStyle w:val="Tabledatanospace"/>
            </w:pPr>
            <w:r>
              <w:t>(</w:t>
            </w:r>
            <w:r w:rsidR="00B177AF">
              <w:t>0.389</w:t>
            </w:r>
            <w:r w:rsidR="001B5E76">
              <w:t>)</w:t>
            </w:r>
          </w:p>
        </w:tc>
        <w:tc>
          <w:tcPr>
            <w:tcW w:w="2436" w:type="dxa"/>
            <w:tcBorders>
              <w:bottom w:val="single" w:sz="4" w:space="0" w:color="auto"/>
            </w:tcBorders>
          </w:tcPr>
          <w:p w14:paraId="6499757A" w14:textId="29CA1D67" w:rsidR="00B177AF" w:rsidRDefault="00B177AF" w:rsidP="009D7FF0">
            <w:pPr>
              <w:pStyle w:val="Tabledata"/>
            </w:pPr>
            <w:r>
              <w:t>-0.72</w:t>
            </w:r>
            <w:r w:rsidR="38061518">
              <w:t>0</w:t>
            </w:r>
            <w:r>
              <w:t>*</w:t>
            </w:r>
          </w:p>
          <w:p w14:paraId="1D16D009" w14:textId="103E5D8A" w:rsidR="00340FC5" w:rsidRPr="00552F04" w:rsidRDefault="0000058F" w:rsidP="009D7FF0">
            <w:pPr>
              <w:pStyle w:val="Tabledatanospace"/>
            </w:pPr>
            <w:r>
              <w:t>(</w:t>
            </w:r>
            <w:r w:rsidR="00B177AF">
              <w:t>0.33</w:t>
            </w:r>
            <w:r w:rsidR="0CE175CC">
              <w:t>5</w:t>
            </w:r>
            <w:r w:rsidR="00B177AF">
              <w:t>)</w:t>
            </w:r>
          </w:p>
        </w:tc>
      </w:tr>
      <w:bookmarkEnd w:id="162"/>
      <w:tr w:rsidR="000C7711" w:rsidRPr="008E16B0" w14:paraId="1BC094A1" w14:textId="54E33461" w:rsidTr="00D60EBC">
        <w:tc>
          <w:tcPr>
            <w:tcW w:w="9746" w:type="dxa"/>
            <w:gridSpan w:val="4"/>
            <w:tcBorders>
              <w:top w:val="single" w:sz="4" w:space="0" w:color="auto"/>
              <w:bottom w:val="single" w:sz="6" w:space="0" w:color="auto"/>
            </w:tcBorders>
          </w:tcPr>
          <w:p w14:paraId="2B5D6161" w14:textId="7849D4D5" w:rsidR="000C7711" w:rsidRPr="00EE383E" w:rsidRDefault="000C7711" w:rsidP="00EE383E">
            <w:pPr>
              <w:pStyle w:val="TableHeader2"/>
            </w:pPr>
            <w:r w:rsidRPr="00EE383E">
              <w:t>Interactions</w:t>
            </w:r>
          </w:p>
        </w:tc>
      </w:tr>
      <w:tr w:rsidR="003F2208" w:rsidRPr="008E16B0" w14:paraId="40D03420" w14:textId="19A5362A" w:rsidTr="00D60EBC">
        <w:tc>
          <w:tcPr>
            <w:tcW w:w="2436" w:type="dxa"/>
            <w:tcBorders>
              <w:top w:val="single" w:sz="6" w:space="0" w:color="auto"/>
            </w:tcBorders>
          </w:tcPr>
          <w:p w14:paraId="4612A0A8" w14:textId="1A01CD6B" w:rsidR="00F953A0" w:rsidRPr="005516CB" w:rsidRDefault="00F953A0" w:rsidP="009D7FF0">
            <w:pPr>
              <w:pStyle w:val="TableHeadingsColumn"/>
            </w:pPr>
            <w:r w:rsidRPr="005516CB">
              <w:t>Decision Impact × Complexity</w:t>
            </w:r>
          </w:p>
        </w:tc>
        <w:tc>
          <w:tcPr>
            <w:tcW w:w="2436" w:type="dxa"/>
            <w:tcBorders>
              <w:top w:val="single" w:sz="6" w:space="0" w:color="auto"/>
              <w:left w:val="nil"/>
            </w:tcBorders>
          </w:tcPr>
          <w:p w14:paraId="53AA2166" w14:textId="77777777" w:rsidR="00F953A0" w:rsidRPr="00552F04" w:rsidRDefault="00F953A0" w:rsidP="009D7FF0">
            <w:pPr>
              <w:pStyle w:val="Tabledatapositioned"/>
            </w:pPr>
          </w:p>
        </w:tc>
        <w:tc>
          <w:tcPr>
            <w:tcW w:w="2436" w:type="dxa"/>
          </w:tcPr>
          <w:p w14:paraId="282DB27A" w14:textId="0000944A" w:rsidR="00F953A0" w:rsidRPr="00F953A0" w:rsidRDefault="00F953A0" w:rsidP="009D7FF0">
            <w:pPr>
              <w:pStyle w:val="Tabledata"/>
            </w:pPr>
            <w:r w:rsidRPr="00F953A0">
              <w:t>-0.127</w:t>
            </w:r>
            <w:r w:rsidR="000A2716">
              <w:t>***</w:t>
            </w:r>
          </w:p>
          <w:p w14:paraId="0F3978C0" w14:textId="5504FFCD" w:rsidR="00F953A0" w:rsidRPr="00F953A0" w:rsidRDefault="0000058F" w:rsidP="009D7FF0">
            <w:pPr>
              <w:pStyle w:val="Tabledatanospace"/>
            </w:pPr>
            <w:r>
              <w:t>(</w:t>
            </w:r>
            <w:r w:rsidR="00F953A0" w:rsidRPr="002A63D3">
              <w:t>0.037)</w:t>
            </w:r>
          </w:p>
        </w:tc>
        <w:tc>
          <w:tcPr>
            <w:tcW w:w="2436" w:type="dxa"/>
          </w:tcPr>
          <w:p w14:paraId="25BFABDC" w14:textId="77777777" w:rsidR="00F953A0" w:rsidRPr="00F953A0" w:rsidRDefault="00F953A0" w:rsidP="009D7FF0">
            <w:pPr>
              <w:pStyle w:val="Tabledata"/>
            </w:pPr>
            <w:r w:rsidRPr="00F953A0">
              <w:t>-0.136***</w:t>
            </w:r>
          </w:p>
          <w:p w14:paraId="721BAC8A" w14:textId="3BD64F3D" w:rsidR="00F953A0" w:rsidRPr="00F953A0" w:rsidRDefault="0000058F" w:rsidP="009D7FF0">
            <w:pPr>
              <w:pStyle w:val="Tabledatanospace"/>
            </w:pPr>
            <w:r>
              <w:t>(</w:t>
            </w:r>
            <w:r w:rsidR="00F953A0" w:rsidRPr="002A63D3">
              <w:t>0.031)</w:t>
            </w:r>
          </w:p>
        </w:tc>
      </w:tr>
      <w:tr w:rsidR="003F2208" w:rsidRPr="008E16B0" w14:paraId="336459D2" w14:textId="5A0725ED" w:rsidTr="00D60EBC">
        <w:tc>
          <w:tcPr>
            <w:tcW w:w="2436" w:type="dxa"/>
            <w:tcBorders>
              <w:bottom w:val="single" w:sz="4" w:space="0" w:color="auto"/>
            </w:tcBorders>
          </w:tcPr>
          <w:p w14:paraId="0E6C82F3" w14:textId="523245AE" w:rsidR="00F953A0" w:rsidRPr="005516CB" w:rsidRDefault="00F953A0" w:rsidP="009D7FF0">
            <w:pPr>
              <w:pStyle w:val="TableHeadingsColumn"/>
            </w:pPr>
            <w:r w:rsidRPr="005516CB">
              <w:t>Group Building × Complexity</w:t>
            </w:r>
          </w:p>
        </w:tc>
        <w:tc>
          <w:tcPr>
            <w:tcW w:w="2436" w:type="dxa"/>
            <w:tcBorders>
              <w:left w:val="nil"/>
              <w:bottom w:val="single" w:sz="4" w:space="0" w:color="auto"/>
            </w:tcBorders>
          </w:tcPr>
          <w:p w14:paraId="73E85727" w14:textId="77777777" w:rsidR="00F953A0" w:rsidRPr="00552F04" w:rsidRDefault="00F953A0" w:rsidP="009D7FF0">
            <w:pPr>
              <w:pStyle w:val="Tabledatapositioned"/>
            </w:pPr>
          </w:p>
        </w:tc>
        <w:tc>
          <w:tcPr>
            <w:tcW w:w="2436" w:type="dxa"/>
            <w:tcBorders>
              <w:bottom w:val="single" w:sz="4" w:space="0" w:color="auto"/>
            </w:tcBorders>
          </w:tcPr>
          <w:p w14:paraId="74B2E1BB" w14:textId="77777777" w:rsidR="00F953A0" w:rsidRPr="00F953A0" w:rsidRDefault="00F953A0" w:rsidP="009D7FF0">
            <w:pPr>
              <w:pStyle w:val="Tabledata"/>
            </w:pPr>
          </w:p>
        </w:tc>
        <w:tc>
          <w:tcPr>
            <w:tcW w:w="2436" w:type="dxa"/>
            <w:tcBorders>
              <w:bottom w:val="single" w:sz="4" w:space="0" w:color="auto"/>
            </w:tcBorders>
          </w:tcPr>
          <w:p w14:paraId="7F245671" w14:textId="7C71E1E2" w:rsidR="00F953A0" w:rsidRPr="00F953A0" w:rsidRDefault="00F953A0" w:rsidP="009D7FF0">
            <w:pPr>
              <w:pStyle w:val="Tabledata"/>
            </w:pPr>
            <w:r>
              <w:t>0.056*</w:t>
            </w:r>
          </w:p>
          <w:p w14:paraId="5F46D4EE" w14:textId="07CD31B1" w:rsidR="00F953A0" w:rsidRPr="00F953A0" w:rsidRDefault="0000058F" w:rsidP="009D7FF0">
            <w:pPr>
              <w:pStyle w:val="Tabledatanospace"/>
            </w:pPr>
            <w:r>
              <w:t>(</w:t>
            </w:r>
            <w:r w:rsidR="00F953A0">
              <w:t>0.02</w:t>
            </w:r>
            <w:r w:rsidR="2E133555">
              <w:t>7</w:t>
            </w:r>
            <w:r w:rsidR="00F953A0">
              <w:t>)</w:t>
            </w:r>
          </w:p>
        </w:tc>
      </w:tr>
      <w:tr w:rsidR="0058252E" w:rsidRPr="008E16B0" w14:paraId="321B11D4" w14:textId="5BE3D682" w:rsidTr="00D60EBC">
        <w:tc>
          <w:tcPr>
            <w:tcW w:w="2436" w:type="dxa"/>
            <w:tcBorders>
              <w:top w:val="single" w:sz="4" w:space="0" w:color="auto"/>
            </w:tcBorders>
            <w:hideMark/>
          </w:tcPr>
          <w:p w14:paraId="6BCD53E5" w14:textId="77777777" w:rsidR="00340FC5" w:rsidRPr="002A63D3" w:rsidRDefault="00340FC5" w:rsidP="009D7FF0">
            <w:pPr>
              <w:pStyle w:val="TableHeadingsColumn"/>
            </w:pPr>
            <w:r w:rsidRPr="00B36235">
              <w:t>Observations</w:t>
            </w:r>
          </w:p>
        </w:tc>
        <w:tc>
          <w:tcPr>
            <w:tcW w:w="2436" w:type="dxa"/>
            <w:tcBorders>
              <w:top w:val="single" w:sz="4" w:space="0" w:color="auto"/>
            </w:tcBorders>
          </w:tcPr>
          <w:p w14:paraId="191768C5" w14:textId="77777777" w:rsidR="00340FC5" w:rsidRPr="0074186F" w:rsidRDefault="00340FC5" w:rsidP="009D7FF0">
            <w:pPr>
              <w:pStyle w:val="Tabledata"/>
            </w:pPr>
            <w:r w:rsidRPr="0074186F">
              <w:t>630</w:t>
            </w:r>
          </w:p>
        </w:tc>
        <w:tc>
          <w:tcPr>
            <w:tcW w:w="2436" w:type="dxa"/>
            <w:tcBorders>
              <w:top w:val="single" w:sz="4" w:space="0" w:color="auto"/>
            </w:tcBorders>
          </w:tcPr>
          <w:p w14:paraId="7E6AE70D" w14:textId="20285F6B" w:rsidR="00340FC5" w:rsidRPr="0074186F" w:rsidRDefault="00E4710D" w:rsidP="009D7FF0">
            <w:pPr>
              <w:pStyle w:val="Tabledata"/>
            </w:pPr>
            <w:r w:rsidRPr="0074186F">
              <w:t>630</w:t>
            </w:r>
          </w:p>
        </w:tc>
        <w:tc>
          <w:tcPr>
            <w:tcW w:w="2436" w:type="dxa"/>
            <w:tcBorders>
              <w:top w:val="single" w:sz="4" w:space="0" w:color="auto"/>
            </w:tcBorders>
          </w:tcPr>
          <w:p w14:paraId="4EA91E28" w14:textId="47E161F7" w:rsidR="00340FC5" w:rsidRPr="0074186F" w:rsidRDefault="00E4710D" w:rsidP="009D7FF0">
            <w:pPr>
              <w:pStyle w:val="Tabledata"/>
            </w:pPr>
            <w:r w:rsidRPr="0074186F">
              <w:t>630</w:t>
            </w:r>
          </w:p>
        </w:tc>
      </w:tr>
      <w:tr w:rsidR="0058252E" w:rsidRPr="008E16B0" w14:paraId="3D62A4D1" w14:textId="618140F1" w:rsidTr="00D60EBC">
        <w:tc>
          <w:tcPr>
            <w:tcW w:w="2436" w:type="dxa"/>
          </w:tcPr>
          <w:p w14:paraId="5387B7B3" w14:textId="77777777" w:rsidR="00340FC5" w:rsidRPr="006C6DB3" w:rsidRDefault="00340FC5" w:rsidP="009D7FF0">
            <w:pPr>
              <w:pStyle w:val="TableHeadingsColumn"/>
            </w:pPr>
            <w:r w:rsidRPr="00B36235">
              <w:t>Individuals</w:t>
            </w:r>
          </w:p>
        </w:tc>
        <w:tc>
          <w:tcPr>
            <w:tcW w:w="2436" w:type="dxa"/>
          </w:tcPr>
          <w:p w14:paraId="51DD99D0" w14:textId="77777777" w:rsidR="00340FC5" w:rsidRPr="0074186F" w:rsidRDefault="00340FC5" w:rsidP="009D7FF0">
            <w:pPr>
              <w:pStyle w:val="Tabledata"/>
            </w:pPr>
            <w:r w:rsidRPr="0074186F">
              <w:t>315</w:t>
            </w:r>
          </w:p>
        </w:tc>
        <w:tc>
          <w:tcPr>
            <w:tcW w:w="2436" w:type="dxa"/>
          </w:tcPr>
          <w:p w14:paraId="509BBEE3" w14:textId="3EFE8E03" w:rsidR="00340FC5" w:rsidRPr="0074186F" w:rsidRDefault="00E4710D" w:rsidP="009D7FF0">
            <w:pPr>
              <w:pStyle w:val="Tabledata"/>
            </w:pPr>
            <w:r w:rsidRPr="0074186F">
              <w:t>315</w:t>
            </w:r>
          </w:p>
        </w:tc>
        <w:tc>
          <w:tcPr>
            <w:tcW w:w="2436" w:type="dxa"/>
          </w:tcPr>
          <w:p w14:paraId="36A53930" w14:textId="469AD777" w:rsidR="00340FC5" w:rsidRPr="0074186F" w:rsidRDefault="00E4710D" w:rsidP="009D7FF0">
            <w:pPr>
              <w:pStyle w:val="Tabledata"/>
            </w:pPr>
            <w:r w:rsidRPr="0074186F">
              <w:t>315</w:t>
            </w:r>
          </w:p>
        </w:tc>
      </w:tr>
      <w:tr w:rsidR="0058252E" w:rsidRPr="008E16B0" w14:paraId="7AE1AE05" w14:textId="2140F57F" w:rsidTr="00D60EBC">
        <w:tc>
          <w:tcPr>
            <w:tcW w:w="2436" w:type="dxa"/>
            <w:hideMark/>
          </w:tcPr>
          <w:p w14:paraId="0C59C11E" w14:textId="77777777" w:rsidR="00340FC5" w:rsidRPr="006C6DB3" w:rsidRDefault="00340FC5" w:rsidP="009D7FF0">
            <w:pPr>
              <w:pStyle w:val="TableHeadingsColumn"/>
            </w:pPr>
            <w:r w:rsidRPr="00B36235">
              <w:t>Cases</w:t>
            </w:r>
          </w:p>
        </w:tc>
        <w:tc>
          <w:tcPr>
            <w:tcW w:w="2436" w:type="dxa"/>
          </w:tcPr>
          <w:p w14:paraId="61AE683C" w14:textId="77777777" w:rsidR="00340FC5" w:rsidRPr="0074186F" w:rsidRDefault="00340FC5" w:rsidP="009D7FF0">
            <w:pPr>
              <w:pStyle w:val="Tabledata"/>
            </w:pPr>
            <w:r w:rsidRPr="0074186F">
              <w:t>16</w:t>
            </w:r>
          </w:p>
        </w:tc>
        <w:tc>
          <w:tcPr>
            <w:tcW w:w="2436" w:type="dxa"/>
          </w:tcPr>
          <w:p w14:paraId="29A528D9" w14:textId="3982E345" w:rsidR="00340FC5" w:rsidRPr="0074186F" w:rsidRDefault="00E905EB" w:rsidP="009D7FF0">
            <w:pPr>
              <w:pStyle w:val="Tabledata"/>
            </w:pPr>
            <w:r w:rsidRPr="0074186F">
              <w:t>16</w:t>
            </w:r>
          </w:p>
        </w:tc>
        <w:tc>
          <w:tcPr>
            <w:tcW w:w="2436" w:type="dxa"/>
          </w:tcPr>
          <w:p w14:paraId="5416D410" w14:textId="6D5591B9" w:rsidR="00340FC5" w:rsidRPr="0074186F" w:rsidRDefault="00E905EB" w:rsidP="009D7FF0">
            <w:pPr>
              <w:pStyle w:val="Tabledata"/>
            </w:pPr>
            <w:r w:rsidRPr="0074186F">
              <w:t>16</w:t>
            </w:r>
          </w:p>
        </w:tc>
      </w:tr>
      <w:tr w:rsidR="003F2208" w:rsidRPr="008E16B0" w14:paraId="401B1377" w14:textId="17AEA223" w:rsidTr="00D60EBC">
        <w:trPr>
          <w:trHeight w:val="80"/>
        </w:trPr>
        <w:tc>
          <w:tcPr>
            <w:tcW w:w="2436" w:type="dxa"/>
            <w:hideMark/>
          </w:tcPr>
          <w:p w14:paraId="3EDDE90E" w14:textId="77777777" w:rsidR="00340FC5" w:rsidRPr="006C6DB3" w:rsidRDefault="00340FC5" w:rsidP="009D7FF0">
            <w:pPr>
              <w:pStyle w:val="TableHeadingsColumn"/>
            </w:pPr>
            <w:r w:rsidRPr="00B36235">
              <w:t>Pseudo-R</w:t>
            </w:r>
            <w:r w:rsidRPr="002A63D3">
              <w:t>2</w:t>
            </w:r>
            <w:r w:rsidRPr="00B36235">
              <w:t xml:space="preserve"> (Fixed Effect)</w:t>
            </w:r>
          </w:p>
        </w:tc>
        <w:tc>
          <w:tcPr>
            <w:tcW w:w="2436" w:type="dxa"/>
            <w:tcBorders>
              <w:left w:val="nil"/>
            </w:tcBorders>
          </w:tcPr>
          <w:p w14:paraId="4996FAA9" w14:textId="38C4314E" w:rsidR="00340FC5" w:rsidRPr="0074186F" w:rsidRDefault="00340FC5" w:rsidP="009D7FF0">
            <w:pPr>
              <w:pStyle w:val="Tabledata"/>
            </w:pPr>
            <w:r w:rsidRPr="0074186F">
              <w:t>0.235</w:t>
            </w:r>
          </w:p>
        </w:tc>
        <w:tc>
          <w:tcPr>
            <w:tcW w:w="2436" w:type="dxa"/>
          </w:tcPr>
          <w:p w14:paraId="0703D814" w14:textId="1DB55D74" w:rsidR="00340FC5" w:rsidRPr="0074186F" w:rsidRDefault="00602D01" w:rsidP="009D7FF0">
            <w:pPr>
              <w:pStyle w:val="Tabledata"/>
            </w:pPr>
            <w:r w:rsidRPr="0074186F">
              <w:t>0.363</w:t>
            </w:r>
          </w:p>
        </w:tc>
        <w:tc>
          <w:tcPr>
            <w:tcW w:w="2436" w:type="dxa"/>
          </w:tcPr>
          <w:p w14:paraId="218EC85F" w14:textId="5B9B7551" w:rsidR="00340FC5" w:rsidRPr="0074186F" w:rsidRDefault="00602D01" w:rsidP="009D7FF0">
            <w:pPr>
              <w:pStyle w:val="Tabledata"/>
            </w:pPr>
            <w:r w:rsidRPr="0074186F">
              <w:t>0.433</w:t>
            </w:r>
          </w:p>
        </w:tc>
      </w:tr>
      <w:tr w:rsidR="0058252E" w:rsidRPr="008E16B0" w14:paraId="2C8082AE" w14:textId="27DF0255" w:rsidTr="00D60EBC">
        <w:tc>
          <w:tcPr>
            <w:tcW w:w="2436" w:type="dxa"/>
          </w:tcPr>
          <w:p w14:paraId="53A27D4C" w14:textId="037BA4FC" w:rsidR="00340FC5" w:rsidRPr="006C6DB3" w:rsidRDefault="00340FC5" w:rsidP="009D7FF0">
            <w:pPr>
              <w:pStyle w:val="TableHeadingsColumn"/>
            </w:pPr>
            <w:r w:rsidRPr="002A63D3">
              <w:t>Group RE</w:t>
            </w:r>
            <w:r w:rsidRPr="006C6DB3">
              <w:t xml:space="preserve"> </w:t>
            </w:r>
            <w:r w:rsidRPr="002A63D3">
              <w:t>σ</w:t>
            </w:r>
          </w:p>
        </w:tc>
        <w:tc>
          <w:tcPr>
            <w:tcW w:w="2436" w:type="dxa"/>
          </w:tcPr>
          <w:p w14:paraId="6F7311D8" w14:textId="103D9613" w:rsidR="00340FC5" w:rsidRPr="0074186F" w:rsidRDefault="00340FC5" w:rsidP="009D7FF0">
            <w:pPr>
              <w:pStyle w:val="Tabledata"/>
            </w:pPr>
            <w:r w:rsidRPr="0074186F">
              <w:t>0.12</w:t>
            </w:r>
          </w:p>
        </w:tc>
        <w:tc>
          <w:tcPr>
            <w:tcW w:w="2436" w:type="dxa"/>
          </w:tcPr>
          <w:p w14:paraId="28CEB6AF" w14:textId="4C944727" w:rsidR="00340FC5" w:rsidRPr="0074186F" w:rsidRDefault="00602D01" w:rsidP="009D7FF0">
            <w:pPr>
              <w:pStyle w:val="Tabledata"/>
            </w:pPr>
            <w:r w:rsidRPr="0074186F">
              <w:t>0.08</w:t>
            </w:r>
          </w:p>
        </w:tc>
        <w:tc>
          <w:tcPr>
            <w:tcW w:w="2436" w:type="dxa"/>
          </w:tcPr>
          <w:p w14:paraId="31692CAE" w14:textId="6F7A72E4" w:rsidR="00340FC5" w:rsidRPr="0074186F" w:rsidRDefault="00602D01" w:rsidP="009D7FF0">
            <w:pPr>
              <w:pStyle w:val="Tabledata"/>
            </w:pPr>
            <w:r w:rsidRPr="0074186F">
              <w:t>0.06</w:t>
            </w:r>
          </w:p>
        </w:tc>
      </w:tr>
      <w:tr w:rsidR="0058252E" w:rsidRPr="008E16B0" w14:paraId="12EFEB0A" w14:textId="0990DDAB" w:rsidTr="00D60EBC">
        <w:tc>
          <w:tcPr>
            <w:tcW w:w="2436" w:type="dxa"/>
            <w:tcBorders>
              <w:bottom w:val="single" w:sz="4" w:space="0" w:color="auto"/>
            </w:tcBorders>
          </w:tcPr>
          <w:p w14:paraId="592226C0" w14:textId="5BAD45E9" w:rsidR="00340FC5" w:rsidRPr="006C6DB3" w:rsidRDefault="00340FC5" w:rsidP="009D7FF0">
            <w:pPr>
              <w:pStyle w:val="TableHeadingsColumn"/>
            </w:pPr>
            <w:r w:rsidRPr="002A63D3">
              <w:t>Residual RE σ</w:t>
            </w:r>
          </w:p>
        </w:tc>
        <w:tc>
          <w:tcPr>
            <w:tcW w:w="2436" w:type="dxa"/>
            <w:tcBorders>
              <w:bottom w:val="single" w:sz="4" w:space="0" w:color="auto"/>
            </w:tcBorders>
          </w:tcPr>
          <w:p w14:paraId="511E5000" w14:textId="4AE92718" w:rsidR="00340FC5" w:rsidRPr="0074186F" w:rsidRDefault="00340FC5" w:rsidP="009D7FF0">
            <w:pPr>
              <w:pStyle w:val="Tabledata"/>
            </w:pPr>
            <w:r w:rsidRPr="0074186F">
              <w:t>0.17</w:t>
            </w:r>
          </w:p>
        </w:tc>
        <w:tc>
          <w:tcPr>
            <w:tcW w:w="2436" w:type="dxa"/>
            <w:tcBorders>
              <w:bottom w:val="single" w:sz="4" w:space="0" w:color="auto"/>
            </w:tcBorders>
          </w:tcPr>
          <w:p w14:paraId="2B8A74D4" w14:textId="479678DB" w:rsidR="00340FC5" w:rsidRPr="0074186F" w:rsidRDefault="00602D01" w:rsidP="009D7FF0">
            <w:pPr>
              <w:pStyle w:val="Tabledata"/>
            </w:pPr>
            <w:r w:rsidRPr="0074186F">
              <w:t>0.17</w:t>
            </w:r>
          </w:p>
        </w:tc>
        <w:tc>
          <w:tcPr>
            <w:tcW w:w="2436" w:type="dxa"/>
            <w:tcBorders>
              <w:bottom w:val="single" w:sz="4" w:space="0" w:color="auto"/>
            </w:tcBorders>
          </w:tcPr>
          <w:p w14:paraId="1594946F" w14:textId="72A75647" w:rsidR="00340FC5" w:rsidRPr="0074186F" w:rsidRDefault="00602D01" w:rsidP="009D7FF0">
            <w:pPr>
              <w:pStyle w:val="Tabledata"/>
            </w:pPr>
            <w:r w:rsidRPr="0074186F">
              <w:t>0.17</w:t>
            </w:r>
          </w:p>
        </w:tc>
      </w:tr>
      <w:tr w:rsidR="008A2AC5" w:rsidRPr="008E16B0" w14:paraId="252F7BF4" w14:textId="77777777" w:rsidTr="00D60EBC">
        <w:tc>
          <w:tcPr>
            <w:tcW w:w="2436" w:type="dxa"/>
            <w:tcBorders>
              <w:bottom w:val="single" w:sz="4" w:space="0" w:color="auto"/>
            </w:tcBorders>
          </w:tcPr>
          <w:p w14:paraId="70E82370" w14:textId="79878651" w:rsidR="008A2AC5" w:rsidRPr="002A63D3" w:rsidRDefault="008A2AC5" w:rsidP="009D7FF0">
            <w:pPr>
              <w:pStyle w:val="TableHeadingsColumn"/>
            </w:pPr>
            <w:r>
              <w:t>ICC</w:t>
            </w:r>
          </w:p>
        </w:tc>
        <w:tc>
          <w:tcPr>
            <w:tcW w:w="2436" w:type="dxa"/>
            <w:tcBorders>
              <w:bottom w:val="single" w:sz="4" w:space="0" w:color="auto"/>
            </w:tcBorders>
          </w:tcPr>
          <w:p w14:paraId="14A464EB" w14:textId="59079F7C" w:rsidR="008A2AC5" w:rsidRPr="0074186F" w:rsidRDefault="008A2AC5" w:rsidP="009D7FF0">
            <w:pPr>
              <w:pStyle w:val="Tabledata"/>
            </w:pPr>
            <w:r>
              <w:t>0.</w:t>
            </w:r>
            <w:r w:rsidR="00336543">
              <w:t>302</w:t>
            </w:r>
          </w:p>
        </w:tc>
        <w:tc>
          <w:tcPr>
            <w:tcW w:w="2436" w:type="dxa"/>
            <w:tcBorders>
              <w:bottom w:val="single" w:sz="4" w:space="0" w:color="auto"/>
            </w:tcBorders>
          </w:tcPr>
          <w:p w14:paraId="01C04E23" w14:textId="2313086D" w:rsidR="008A2AC5" w:rsidRPr="0074186F" w:rsidRDefault="008A2AC5" w:rsidP="009D7FF0">
            <w:pPr>
              <w:pStyle w:val="Tabledata"/>
            </w:pPr>
            <w:r>
              <w:t>0.18</w:t>
            </w:r>
          </w:p>
        </w:tc>
        <w:tc>
          <w:tcPr>
            <w:tcW w:w="2436" w:type="dxa"/>
            <w:tcBorders>
              <w:bottom w:val="single" w:sz="4" w:space="0" w:color="auto"/>
            </w:tcBorders>
          </w:tcPr>
          <w:p w14:paraId="4982421F" w14:textId="7C46A5C7" w:rsidR="008A2AC5" w:rsidRPr="0074186F" w:rsidRDefault="008A2AC5" w:rsidP="009D7FF0">
            <w:pPr>
              <w:pStyle w:val="Tabledata"/>
            </w:pPr>
            <w:r>
              <w:t>0.12</w:t>
            </w:r>
          </w:p>
        </w:tc>
      </w:tr>
    </w:tbl>
    <w:p w14:paraId="45219954" w14:textId="74122D47" w:rsidR="00E20029" w:rsidRPr="007153CD" w:rsidRDefault="00E20029" w:rsidP="009D7FF0">
      <w:pPr>
        <w:pStyle w:val="TableFooter"/>
      </w:pPr>
      <w:r w:rsidRPr="007153CD">
        <w:t>Notes: *p&lt;0.1; **p&lt;0.05; ***p&lt;0.01</w:t>
      </w:r>
      <w:r>
        <w:t>.</w:t>
      </w:r>
    </w:p>
    <w:p w14:paraId="363DE21D" w14:textId="349B0AD1" w:rsidR="001E3A44" w:rsidRDefault="001E3A44" w:rsidP="00EE709F">
      <w:pPr>
        <w:pStyle w:val="Heading3"/>
      </w:pPr>
      <w:r>
        <w:lastRenderedPageBreak/>
        <w:t>Stakeholder vs Citizen</w:t>
      </w:r>
      <w:r w:rsidR="00F31AA6">
        <w:t xml:space="preserve"> Deliberation</w:t>
      </w:r>
    </w:p>
    <w:p w14:paraId="62E7A5E8" w14:textId="7563DCF3" w:rsidR="00331447" w:rsidRDefault="0E345509" w:rsidP="000D4BF0">
      <w:pPr>
        <w:pStyle w:val="Paragraphfirst"/>
        <w:keepNext/>
        <w:keepLines/>
      </w:pPr>
      <w:r>
        <w:t xml:space="preserve">Our analysis includes two cases (7 and 11, see </w:t>
      </w:r>
      <w:r>
        <w:fldChar w:fldCharType="begin"/>
      </w:r>
      <w:r>
        <w:instrText>REF _Ref122351598</w:instrText>
      </w:r>
      <w:r>
        <w:fldChar w:fldCharType="separate"/>
      </w:r>
      <w:r>
        <w:t xml:space="preserve">Table </w:t>
      </w:r>
      <w:r w:rsidRPr="0E345509">
        <w:rPr>
          <w:noProof/>
        </w:rPr>
        <w:t>D.5</w:t>
      </w:r>
      <w:r>
        <w:t>.</w:t>
      </w:r>
      <w:r w:rsidRPr="0E345509">
        <w:rPr>
          <w:noProof/>
        </w:rPr>
        <w:t>2</w:t>
      </w:r>
      <w:r>
        <w:fldChar w:fldCharType="end"/>
      </w:r>
      <w:r w:rsidRPr="0E345509">
        <w:rPr>
          <w:noProof/>
        </w:rPr>
        <w:t>.1</w:t>
      </w:r>
      <w:r>
        <w:t xml:space="preserve"> below) that involve deliberation among specifically recruited stakeholders, rather than randomly selected citizens. Table 3 in the main text shows that these cases produce a lower level of DRI improvement than their randomly selected citizen counterparts (cases 6 and 10). The WA Biobank Stakeholder case (11) resulted in a decline in DRI (of 0.07), compared to a strong improvement (0.28) for its lay citizen counterpart. </w:t>
      </w:r>
    </w:p>
    <w:p w14:paraId="10161484" w14:textId="710232FC" w:rsidR="004D7608" w:rsidRDefault="00A55403" w:rsidP="00861D12">
      <w:pPr>
        <w:pStyle w:val="Paragraphfirst"/>
      </w:pPr>
      <w:r>
        <w:t>This suggest</w:t>
      </w:r>
      <w:r w:rsidR="00B50EC1">
        <w:t>s</w:t>
      </w:r>
      <w:r>
        <w:t xml:space="preserve"> that, as a whole, citizen deliberation tends to produce greater DRI improvement</w:t>
      </w:r>
      <w:r w:rsidR="00A0400A">
        <w:t xml:space="preserve"> (compared to stakeholders)</w:t>
      </w:r>
      <w:r>
        <w:t xml:space="preserve">, </w:t>
      </w:r>
      <w:r w:rsidR="004C6916">
        <w:t>which also appears to</w:t>
      </w:r>
      <w:r w:rsidR="00C9192E">
        <w:t xml:space="preserve"> result from </w:t>
      </w:r>
      <w:r w:rsidR="00FF0506">
        <w:t xml:space="preserve">more than </w:t>
      </w:r>
      <w:r w:rsidR="00C9192E">
        <w:t xml:space="preserve">catching up from a lower starting point. </w:t>
      </w:r>
      <w:r w:rsidR="00331447" w:rsidRPr="00361017">
        <w:t>Our</w:t>
      </w:r>
      <w:r w:rsidR="00331447" w:rsidRPr="002174A7" w:rsidDel="00222375">
        <w:t xml:space="preserve"> </w:t>
      </w:r>
      <w:r w:rsidR="00331447" w:rsidRPr="002174A7">
        <w:t>tentative explanation is that lay citizens are more likely to activate their deliberative capabilities and engage in greater integration than their more vested counterparts, even if they begin with less knowledge.</w:t>
      </w:r>
      <w:r w:rsidR="00B908EC">
        <w:t xml:space="preserve"> </w:t>
      </w:r>
      <w:r w:rsidR="00967875">
        <w:t xml:space="preserve">However, </w:t>
      </w:r>
      <w:r w:rsidR="00B908EC">
        <w:t>m</w:t>
      </w:r>
      <w:r w:rsidR="00DA3403">
        <w:t xml:space="preserve">ore data is required properly </w:t>
      </w:r>
      <w:r w:rsidR="00B87566">
        <w:t xml:space="preserve">to </w:t>
      </w:r>
      <w:r w:rsidR="00DA3403">
        <w:t>explore the effect</w:t>
      </w:r>
      <w:r w:rsidR="006E40BE">
        <w:t xml:space="preserve"> here</w:t>
      </w:r>
      <w:r w:rsidR="00DA3403">
        <w:t xml:space="preserve">. </w:t>
      </w:r>
      <w:r w:rsidR="0046085E">
        <w:t>We have only two</w:t>
      </w:r>
      <w:r w:rsidR="006E40BE">
        <w:t xml:space="preserve"> stakeholder processes</w:t>
      </w:r>
      <w:r w:rsidR="00967875">
        <w:t>, not nearly enough to include in the analysis</w:t>
      </w:r>
      <w:r w:rsidR="00FA0B85">
        <w:t xml:space="preserve">. </w:t>
      </w:r>
    </w:p>
    <w:p w14:paraId="5C318DDC" w14:textId="591F96D9" w:rsidR="00967875" w:rsidRDefault="0E345509" w:rsidP="00861D12">
      <w:pPr>
        <w:pStyle w:val="Paragraphfirst"/>
      </w:pPr>
      <w:r>
        <w:t xml:space="preserve">We have, however, noted in the main text that the inclusion of the stakeholder processes does not affect our overall results. </w:t>
      </w:r>
      <w:r>
        <w:fldChar w:fldCharType="begin"/>
      </w:r>
      <w:r>
        <w:instrText>REF _Ref122351598</w:instrText>
      </w:r>
      <w:r>
        <w:fldChar w:fldCharType="separate"/>
      </w:r>
      <w:r>
        <w:t xml:space="preserve">Table </w:t>
      </w:r>
      <w:r w:rsidRPr="0E345509">
        <w:rPr>
          <w:noProof/>
        </w:rPr>
        <w:t>D.5</w:t>
      </w:r>
      <w:r>
        <w:t>.</w:t>
      </w:r>
      <w:r w:rsidRPr="0E345509">
        <w:rPr>
          <w:noProof/>
        </w:rPr>
        <w:t>2</w:t>
      </w:r>
      <w:r>
        <w:fldChar w:fldCharType="end"/>
      </w:r>
      <w:r w:rsidRPr="0E345509">
        <w:rPr>
          <w:noProof/>
        </w:rPr>
        <w:t xml:space="preserve">.1 </w:t>
      </w:r>
      <w:r>
        <w:t>and Table D.5.2.2</w:t>
      </w:r>
      <w:r>
        <w:fldChar w:fldCharType="begin"/>
      </w:r>
      <w:r>
        <w:instrText>REF _Ref122351633</w:instrText>
      </w:r>
      <w:r>
        <w:fldChar w:fldCharType="separate"/>
      </w:r>
      <w:r>
        <w:fldChar w:fldCharType="end"/>
      </w:r>
      <w:r>
        <w:t xml:space="preserve"> below reproduce the results reported in Table 4 and Table 5 in the main text, but without including the two stakeholder cases. A comparison between the tables and their counterparts in the main text reveals only a small impact on the results, without any implications for the conclusions that we draw from the analysis. </w:t>
      </w:r>
    </w:p>
    <w:p w14:paraId="7F1C3018" w14:textId="7BFD4860" w:rsidR="00784BF5" w:rsidRDefault="0E345509" w:rsidP="005F623F">
      <w:pPr>
        <w:pStyle w:val="Caption"/>
      </w:pPr>
      <w:bookmarkStart w:id="163" w:name="_Ref122351598"/>
      <w:r>
        <w:lastRenderedPageBreak/>
        <w:t xml:space="preserve">Table </w:t>
      </w:r>
      <w:r>
        <w:fldChar w:fldCharType="begin"/>
      </w:r>
      <w:r>
        <w:instrText>STYLEREF 2 \s</w:instrText>
      </w:r>
      <w:r>
        <w:fldChar w:fldCharType="separate"/>
      </w:r>
      <w:r w:rsidRPr="0E345509">
        <w:rPr>
          <w:noProof/>
        </w:rPr>
        <w:t>D.5</w:t>
      </w:r>
      <w:r>
        <w:fldChar w:fldCharType="end"/>
      </w:r>
      <w:r>
        <w:t>.</w:t>
      </w:r>
      <w:r>
        <w:fldChar w:fldCharType="begin"/>
      </w:r>
      <w:r>
        <w:instrText>SEQ Table \* ARABIC \s 2</w:instrText>
      </w:r>
      <w:r>
        <w:fldChar w:fldCharType="separate"/>
      </w:r>
      <w:r w:rsidRPr="0E345509">
        <w:rPr>
          <w:noProof/>
        </w:rPr>
        <w:t>2.</w:t>
      </w:r>
      <w:r>
        <w:fldChar w:fldCharType="end"/>
      </w:r>
      <w:r w:rsidRPr="0E345509">
        <w:rPr>
          <w:noProof/>
        </w:rPr>
        <w:t>1</w:t>
      </w:r>
      <w:bookmarkEnd w:id="163"/>
      <w:r>
        <w:t>: Multilevel regression results, without Stakeholder cases</w:t>
      </w:r>
    </w:p>
    <w:tbl>
      <w:tblPr>
        <w:tblW w:w="9639" w:type="dxa"/>
        <w:tblLayout w:type="fixed"/>
        <w:tblCellMar>
          <w:top w:w="28" w:type="dxa"/>
          <w:left w:w="28" w:type="dxa"/>
          <w:bottom w:w="28" w:type="dxa"/>
          <w:right w:w="28" w:type="dxa"/>
        </w:tblCellMar>
        <w:tblLook w:val="0600" w:firstRow="0" w:lastRow="0" w:firstColumn="0" w:lastColumn="0" w:noHBand="1" w:noVBand="1"/>
      </w:tblPr>
      <w:tblGrid>
        <w:gridCol w:w="1144"/>
        <w:gridCol w:w="844"/>
        <w:gridCol w:w="964"/>
        <w:gridCol w:w="964"/>
        <w:gridCol w:w="960"/>
        <w:gridCol w:w="960"/>
        <w:gridCol w:w="960"/>
        <w:gridCol w:w="960"/>
        <w:gridCol w:w="960"/>
        <w:gridCol w:w="923"/>
      </w:tblGrid>
      <w:tr w:rsidR="00F508DE" w:rsidRPr="008E16B0" w14:paraId="6981CD48" w14:textId="77777777" w:rsidTr="005F623F">
        <w:tc>
          <w:tcPr>
            <w:tcW w:w="593" w:type="pct"/>
            <w:tcBorders>
              <w:bottom w:val="single" w:sz="4" w:space="0" w:color="auto"/>
            </w:tcBorders>
            <w:hideMark/>
          </w:tcPr>
          <w:p w14:paraId="0F273E15" w14:textId="77777777" w:rsidR="002D2E5D" w:rsidRPr="008E16B0" w:rsidRDefault="002D2E5D" w:rsidP="00636D41">
            <w:pPr>
              <w:pStyle w:val="TableHeader1"/>
            </w:pPr>
          </w:p>
        </w:tc>
        <w:tc>
          <w:tcPr>
            <w:tcW w:w="4407" w:type="pct"/>
            <w:gridSpan w:val="9"/>
            <w:tcBorders>
              <w:bottom w:val="single" w:sz="4" w:space="0" w:color="auto"/>
            </w:tcBorders>
            <w:hideMark/>
          </w:tcPr>
          <w:p w14:paraId="6F8557AF" w14:textId="45D5D7B4" w:rsidR="002D2E5D" w:rsidRPr="002A63D3" w:rsidRDefault="002D2E5D" w:rsidP="00636D41">
            <w:pPr>
              <w:pStyle w:val="TableHeader1"/>
            </w:pPr>
            <w:r w:rsidRPr="002A63D3">
              <w:t xml:space="preserve">Dependent variable: </w:t>
            </w:r>
            <w:r w:rsidRPr="008E4AA1">
              <w:rPr>
                <w:i/>
                <w:iCs w:val="0"/>
              </w:rPr>
              <w:t>DRI</w:t>
            </w:r>
            <w:r w:rsidRPr="008E4AA1">
              <w:rPr>
                <w:i/>
                <w:iCs w:val="0"/>
                <w:vertAlign w:val="superscript"/>
              </w:rPr>
              <w:t>Ind</w:t>
            </w:r>
            <w:r w:rsidRPr="002A63D3">
              <w:t xml:space="preserve"> </w:t>
            </w:r>
            <w:r w:rsidR="00760916" w:rsidRPr="007170EF">
              <w:t>Change</w:t>
            </w:r>
          </w:p>
        </w:tc>
      </w:tr>
      <w:tr w:rsidR="00F508DE" w:rsidRPr="008E16B0" w14:paraId="61C17E64" w14:textId="77777777" w:rsidTr="005F623F">
        <w:trPr>
          <w:trHeight w:val="327"/>
        </w:trPr>
        <w:tc>
          <w:tcPr>
            <w:tcW w:w="593" w:type="pct"/>
            <w:tcBorders>
              <w:top w:val="single" w:sz="4" w:space="0" w:color="auto"/>
              <w:bottom w:val="single" w:sz="4" w:space="0" w:color="auto"/>
            </w:tcBorders>
            <w:hideMark/>
          </w:tcPr>
          <w:p w14:paraId="33AD34F9" w14:textId="77777777" w:rsidR="002D2E5D" w:rsidRPr="008E16B0" w:rsidRDefault="002D2E5D" w:rsidP="001D3237">
            <w:pPr>
              <w:pStyle w:val="Tabletext0"/>
              <w:rPr>
                <w:sz w:val="16"/>
                <w:szCs w:val="16"/>
                <w:lang w:eastAsia="en-AU"/>
              </w:rPr>
            </w:pPr>
          </w:p>
        </w:tc>
        <w:tc>
          <w:tcPr>
            <w:tcW w:w="438" w:type="pct"/>
            <w:tcBorders>
              <w:top w:val="single" w:sz="4" w:space="0" w:color="auto"/>
              <w:bottom w:val="single" w:sz="4" w:space="0" w:color="auto"/>
            </w:tcBorders>
            <w:hideMark/>
          </w:tcPr>
          <w:p w14:paraId="16D60AED" w14:textId="77777777" w:rsidR="002D2E5D" w:rsidRPr="002A63D3" w:rsidRDefault="002D2E5D" w:rsidP="00125F08">
            <w:pPr>
              <w:pStyle w:val="TableHeader2"/>
              <w:spacing w:line="240" w:lineRule="auto"/>
            </w:pPr>
            <w:r w:rsidRPr="002A63D3">
              <w:t>(1)</w:t>
            </w:r>
          </w:p>
        </w:tc>
        <w:tc>
          <w:tcPr>
            <w:tcW w:w="500" w:type="pct"/>
            <w:tcBorders>
              <w:top w:val="single" w:sz="4" w:space="0" w:color="auto"/>
              <w:bottom w:val="single" w:sz="4" w:space="0" w:color="auto"/>
            </w:tcBorders>
            <w:hideMark/>
          </w:tcPr>
          <w:p w14:paraId="2C6DF11A" w14:textId="77777777" w:rsidR="002D2E5D" w:rsidRPr="002A63D3" w:rsidRDefault="002D2E5D" w:rsidP="00125F08">
            <w:pPr>
              <w:pStyle w:val="TableHeader2"/>
              <w:spacing w:line="240" w:lineRule="auto"/>
            </w:pPr>
            <w:r w:rsidRPr="002A63D3">
              <w:t>(2)</w:t>
            </w:r>
          </w:p>
        </w:tc>
        <w:tc>
          <w:tcPr>
            <w:tcW w:w="500" w:type="pct"/>
            <w:tcBorders>
              <w:top w:val="single" w:sz="4" w:space="0" w:color="auto"/>
              <w:bottom w:val="single" w:sz="4" w:space="0" w:color="auto"/>
            </w:tcBorders>
            <w:hideMark/>
          </w:tcPr>
          <w:p w14:paraId="10C74578" w14:textId="77777777" w:rsidR="002D2E5D" w:rsidRPr="002A63D3" w:rsidRDefault="002D2E5D" w:rsidP="00125F08">
            <w:pPr>
              <w:pStyle w:val="TableHeader2"/>
              <w:spacing w:line="240" w:lineRule="auto"/>
            </w:pPr>
            <w:r w:rsidRPr="002A63D3">
              <w:t>(3)</w:t>
            </w:r>
          </w:p>
        </w:tc>
        <w:tc>
          <w:tcPr>
            <w:tcW w:w="498" w:type="pct"/>
            <w:tcBorders>
              <w:top w:val="single" w:sz="4" w:space="0" w:color="auto"/>
              <w:bottom w:val="single" w:sz="4" w:space="0" w:color="auto"/>
            </w:tcBorders>
            <w:hideMark/>
          </w:tcPr>
          <w:p w14:paraId="47C0C9F6" w14:textId="77777777" w:rsidR="002D2E5D" w:rsidRPr="002A63D3" w:rsidRDefault="002D2E5D" w:rsidP="00125F08">
            <w:pPr>
              <w:pStyle w:val="TableHeader2"/>
              <w:spacing w:line="240" w:lineRule="auto"/>
            </w:pPr>
            <w:r w:rsidRPr="002A63D3">
              <w:t>(4)</w:t>
            </w:r>
          </w:p>
        </w:tc>
        <w:tc>
          <w:tcPr>
            <w:tcW w:w="498" w:type="pct"/>
            <w:tcBorders>
              <w:top w:val="single" w:sz="4" w:space="0" w:color="auto"/>
              <w:bottom w:val="single" w:sz="4" w:space="0" w:color="auto"/>
            </w:tcBorders>
            <w:hideMark/>
          </w:tcPr>
          <w:p w14:paraId="4A10B324" w14:textId="77777777" w:rsidR="002D2E5D" w:rsidRPr="002A63D3" w:rsidRDefault="002D2E5D" w:rsidP="00125F08">
            <w:pPr>
              <w:pStyle w:val="TableHeader2"/>
              <w:spacing w:line="240" w:lineRule="auto"/>
            </w:pPr>
            <w:r w:rsidRPr="002A63D3">
              <w:t>(5)</w:t>
            </w:r>
          </w:p>
        </w:tc>
        <w:tc>
          <w:tcPr>
            <w:tcW w:w="498" w:type="pct"/>
            <w:tcBorders>
              <w:top w:val="single" w:sz="4" w:space="0" w:color="auto"/>
              <w:bottom w:val="single" w:sz="4" w:space="0" w:color="auto"/>
            </w:tcBorders>
            <w:hideMark/>
          </w:tcPr>
          <w:p w14:paraId="7DB53E92" w14:textId="77777777" w:rsidR="002D2E5D" w:rsidRPr="002A63D3" w:rsidRDefault="002D2E5D" w:rsidP="00125F08">
            <w:pPr>
              <w:pStyle w:val="TableHeader2"/>
              <w:spacing w:line="240" w:lineRule="auto"/>
            </w:pPr>
            <w:r w:rsidRPr="002A63D3">
              <w:t>(6)</w:t>
            </w:r>
          </w:p>
        </w:tc>
        <w:tc>
          <w:tcPr>
            <w:tcW w:w="498" w:type="pct"/>
            <w:tcBorders>
              <w:top w:val="single" w:sz="4" w:space="0" w:color="auto"/>
              <w:bottom w:val="single" w:sz="4" w:space="0" w:color="auto"/>
            </w:tcBorders>
            <w:hideMark/>
          </w:tcPr>
          <w:p w14:paraId="2D2E66B8" w14:textId="77777777" w:rsidR="002D2E5D" w:rsidRPr="002A63D3" w:rsidRDefault="002D2E5D" w:rsidP="00125F08">
            <w:pPr>
              <w:pStyle w:val="TableHeader2"/>
              <w:spacing w:line="240" w:lineRule="auto"/>
            </w:pPr>
            <w:r w:rsidRPr="002A63D3">
              <w:t>(7)</w:t>
            </w:r>
          </w:p>
        </w:tc>
        <w:tc>
          <w:tcPr>
            <w:tcW w:w="498" w:type="pct"/>
            <w:tcBorders>
              <w:top w:val="single" w:sz="4" w:space="0" w:color="auto"/>
              <w:bottom w:val="single" w:sz="4" w:space="0" w:color="auto"/>
            </w:tcBorders>
            <w:hideMark/>
          </w:tcPr>
          <w:p w14:paraId="68276819" w14:textId="77777777" w:rsidR="002D2E5D" w:rsidRPr="002A63D3" w:rsidRDefault="002D2E5D" w:rsidP="00125F08">
            <w:pPr>
              <w:pStyle w:val="TableHeader2"/>
              <w:spacing w:line="240" w:lineRule="auto"/>
            </w:pPr>
            <w:r w:rsidRPr="002A63D3">
              <w:t>(8)</w:t>
            </w:r>
          </w:p>
        </w:tc>
        <w:tc>
          <w:tcPr>
            <w:tcW w:w="477" w:type="pct"/>
            <w:tcBorders>
              <w:top w:val="single" w:sz="4" w:space="0" w:color="auto"/>
              <w:bottom w:val="single" w:sz="4" w:space="0" w:color="auto"/>
            </w:tcBorders>
            <w:hideMark/>
          </w:tcPr>
          <w:p w14:paraId="4AD17D52" w14:textId="77777777" w:rsidR="002D2E5D" w:rsidRPr="002A63D3" w:rsidRDefault="002D2E5D" w:rsidP="00125F08">
            <w:pPr>
              <w:pStyle w:val="TableHeader2"/>
              <w:spacing w:line="240" w:lineRule="auto"/>
            </w:pPr>
            <w:r w:rsidRPr="002A63D3">
              <w:t>(9)</w:t>
            </w:r>
          </w:p>
        </w:tc>
      </w:tr>
      <w:tr w:rsidR="00F508DE" w:rsidRPr="008E16B0" w14:paraId="1430AFB6" w14:textId="77777777" w:rsidTr="005F623F">
        <w:tc>
          <w:tcPr>
            <w:tcW w:w="593" w:type="pct"/>
            <w:tcBorders>
              <w:top w:val="single" w:sz="4" w:space="0" w:color="auto"/>
              <w:bottom w:val="single" w:sz="4" w:space="0" w:color="auto"/>
            </w:tcBorders>
            <w:hideMark/>
          </w:tcPr>
          <w:p w14:paraId="571AA6BB" w14:textId="77777777" w:rsidR="002D2E5D" w:rsidRPr="004870D6" w:rsidRDefault="002D2E5D" w:rsidP="009D7FF0">
            <w:pPr>
              <w:pStyle w:val="TableHeadingsColumn"/>
            </w:pPr>
            <w:r w:rsidRPr="004870D6">
              <w:t>Deliberation Per Se</w:t>
            </w:r>
          </w:p>
        </w:tc>
        <w:tc>
          <w:tcPr>
            <w:tcW w:w="438" w:type="pct"/>
            <w:tcBorders>
              <w:top w:val="single" w:sz="4" w:space="0" w:color="auto"/>
              <w:bottom w:val="single" w:sz="4" w:space="0" w:color="auto"/>
            </w:tcBorders>
            <w:hideMark/>
          </w:tcPr>
          <w:p w14:paraId="347B3D0F" w14:textId="77777777" w:rsidR="002D2E5D" w:rsidRPr="008E16B0" w:rsidRDefault="002D2E5D" w:rsidP="009D7FF0">
            <w:pPr>
              <w:pStyle w:val="Tabledata"/>
            </w:pPr>
          </w:p>
        </w:tc>
        <w:tc>
          <w:tcPr>
            <w:tcW w:w="500" w:type="pct"/>
            <w:tcBorders>
              <w:top w:val="single" w:sz="4" w:space="0" w:color="auto"/>
              <w:bottom w:val="single" w:sz="4" w:space="0" w:color="auto"/>
            </w:tcBorders>
            <w:hideMark/>
          </w:tcPr>
          <w:p w14:paraId="76E23C37" w14:textId="77777777" w:rsidR="002D2E5D" w:rsidRPr="00D82A41" w:rsidRDefault="002D2E5D" w:rsidP="009D7FF0">
            <w:pPr>
              <w:pStyle w:val="Tabledata"/>
            </w:pPr>
            <w:r w:rsidRPr="00D82A41">
              <w:t>0.122</w:t>
            </w:r>
            <w:r w:rsidRPr="009745DA">
              <w:t>***</w:t>
            </w:r>
          </w:p>
          <w:p w14:paraId="602D0D07" w14:textId="6D5F82FB" w:rsidR="002D2E5D" w:rsidRPr="00D82A41" w:rsidRDefault="00A211A1" w:rsidP="009D7FF0">
            <w:pPr>
              <w:pStyle w:val="Tabledatanospace"/>
            </w:pPr>
            <w:r w:rsidRPr="00D82A41">
              <w:t>(</w:t>
            </w:r>
            <w:r w:rsidR="002D2E5D" w:rsidRPr="00D82A41">
              <w:t>0.013)</w:t>
            </w:r>
          </w:p>
        </w:tc>
        <w:tc>
          <w:tcPr>
            <w:tcW w:w="500" w:type="pct"/>
            <w:tcBorders>
              <w:top w:val="single" w:sz="4" w:space="0" w:color="auto"/>
              <w:bottom w:val="single" w:sz="4" w:space="0" w:color="auto"/>
            </w:tcBorders>
            <w:hideMark/>
          </w:tcPr>
          <w:p w14:paraId="3B59B9E8" w14:textId="77777777" w:rsidR="002D2E5D" w:rsidRPr="00D82A41" w:rsidRDefault="002D2E5D" w:rsidP="009D7FF0">
            <w:pPr>
              <w:pStyle w:val="Tabledata"/>
            </w:pPr>
            <w:r w:rsidRPr="00D82A41">
              <w:t>0.117</w:t>
            </w:r>
            <w:r w:rsidRPr="009745DA">
              <w:t>***</w:t>
            </w:r>
          </w:p>
          <w:p w14:paraId="7C3DD67D" w14:textId="77DD1AF4" w:rsidR="002D2E5D" w:rsidRPr="00D82A41" w:rsidRDefault="00A211A1" w:rsidP="009D7FF0">
            <w:pPr>
              <w:pStyle w:val="Tabledatanospace"/>
            </w:pPr>
            <w:r w:rsidRPr="00D82A41">
              <w:t>(</w:t>
            </w:r>
            <w:r w:rsidR="002D2E5D" w:rsidRPr="00D82A41">
              <w:t>0.013)</w:t>
            </w:r>
          </w:p>
        </w:tc>
        <w:tc>
          <w:tcPr>
            <w:tcW w:w="498" w:type="pct"/>
            <w:tcBorders>
              <w:top w:val="single" w:sz="4" w:space="0" w:color="auto"/>
              <w:bottom w:val="single" w:sz="4" w:space="0" w:color="auto"/>
            </w:tcBorders>
            <w:hideMark/>
          </w:tcPr>
          <w:p w14:paraId="6B5A781D" w14:textId="77777777" w:rsidR="002D2E5D" w:rsidRPr="00D82A41" w:rsidRDefault="002D2E5D" w:rsidP="009D7FF0">
            <w:pPr>
              <w:pStyle w:val="Tabledata"/>
            </w:pPr>
            <w:r w:rsidRPr="00D82A41">
              <w:t>0.117</w:t>
            </w:r>
            <w:r w:rsidRPr="009745DA">
              <w:t>***</w:t>
            </w:r>
          </w:p>
          <w:p w14:paraId="08BED05F" w14:textId="13533D09" w:rsidR="002D2E5D" w:rsidRPr="00D82A41" w:rsidRDefault="00A211A1" w:rsidP="009D7FF0">
            <w:pPr>
              <w:pStyle w:val="Tabledatanospace"/>
            </w:pPr>
            <w:r w:rsidRPr="00D82A41">
              <w:t>(</w:t>
            </w:r>
            <w:r w:rsidR="002D2E5D" w:rsidRPr="00D82A41">
              <w:t>0.013)</w:t>
            </w:r>
          </w:p>
        </w:tc>
        <w:tc>
          <w:tcPr>
            <w:tcW w:w="498" w:type="pct"/>
            <w:tcBorders>
              <w:top w:val="single" w:sz="4" w:space="0" w:color="auto"/>
              <w:bottom w:val="single" w:sz="4" w:space="0" w:color="auto"/>
            </w:tcBorders>
            <w:hideMark/>
          </w:tcPr>
          <w:p w14:paraId="1B4C8C47" w14:textId="00C150B4" w:rsidR="002D2E5D" w:rsidRPr="00D82A41" w:rsidRDefault="002D2E5D" w:rsidP="009D7FF0">
            <w:pPr>
              <w:pStyle w:val="Tabledata"/>
            </w:pPr>
            <w:r>
              <w:t>0.11</w:t>
            </w:r>
            <w:r w:rsidR="37903ACF">
              <w:t>7</w:t>
            </w:r>
            <w:r>
              <w:t>***</w:t>
            </w:r>
          </w:p>
          <w:p w14:paraId="62AE495F" w14:textId="289DAFFE" w:rsidR="002D2E5D" w:rsidRPr="00D82A41" w:rsidRDefault="36518837" w:rsidP="009D7FF0">
            <w:pPr>
              <w:pStyle w:val="Tabledatanospace"/>
            </w:pPr>
            <w:r>
              <w:t>(</w:t>
            </w:r>
            <w:r w:rsidR="002D2E5D">
              <w:t>0.014)</w:t>
            </w:r>
          </w:p>
        </w:tc>
        <w:tc>
          <w:tcPr>
            <w:tcW w:w="498" w:type="pct"/>
            <w:tcBorders>
              <w:top w:val="single" w:sz="4" w:space="0" w:color="auto"/>
              <w:bottom w:val="single" w:sz="4" w:space="0" w:color="auto"/>
            </w:tcBorders>
            <w:hideMark/>
          </w:tcPr>
          <w:p w14:paraId="5341A996" w14:textId="2D265212" w:rsidR="002D2E5D" w:rsidRPr="00D82A41" w:rsidRDefault="002D2E5D" w:rsidP="009D7FF0">
            <w:pPr>
              <w:pStyle w:val="Tabledata"/>
            </w:pPr>
            <w:r>
              <w:t>0.11</w:t>
            </w:r>
            <w:r w:rsidR="232BA80E">
              <w:t>7</w:t>
            </w:r>
            <w:r>
              <w:t>***</w:t>
            </w:r>
          </w:p>
          <w:p w14:paraId="1913C4CC" w14:textId="66204350" w:rsidR="002D2E5D" w:rsidRPr="00D82A41" w:rsidRDefault="36518837" w:rsidP="009D7FF0">
            <w:pPr>
              <w:pStyle w:val="Tabledatanospace"/>
            </w:pPr>
            <w:r>
              <w:t>(</w:t>
            </w:r>
            <w:r w:rsidR="002D2E5D">
              <w:t>0.014)</w:t>
            </w:r>
          </w:p>
        </w:tc>
        <w:tc>
          <w:tcPr>
            <w:tcW w:w="498" w:type="pct"/>
            <w:tcBorders>
              <w:top w:val="single" w:sz="4" w:space="0" w:color="auto"/>
              <w:bottom w:val="single" w:sz="4" w:space="0" w:color="auto"/>
            </w:tcBorders>
            <w:hideMark/>
          </w:tcPr>
          <w:p w14:paraId="26718FC4" w14:textId="37B88D78" w:rsidR="002D2E5D" w:rsidRPr="00D82A41" w:rsidRDefault="002D2E5D" w:rsidP="009D7FF0">
            <w:pPr>
              <w:pStyle w:val="Tabledata"/>
            </w:pPr>
            <w:r>
              <w:t>0.11</w:t>
            </w:r>
            <w:r w:rsidR="15A3FAD0">
              <w:t>7</w:t>
            </w:r>
            <w:r>
              <w:t>***</w:t>
            </w:r>
          </w:p>
          <w:p w14:paraId="6DA51AE2" w14:textId="2639C9BD" w:rsidR="002D2E5D" w:rsidRPr="00D82A41" w:rsidRDefault="36518837" w:rsidP="009D7FF0">
            <w:pPr>
              <w:pStyle w:val="Tabledatanospace"/>
            </w:pPr>
            <w:r>
              <w:t>(</w:t>
            </w:r>
            <w:r w:rsidR="002D2E5D">
              <w:t>0.014)</w:t>
            </w:r>
          </w:p>
        </w:tc>
        <w:tc>
          <w:tcPr>
            <w:tcW w:w="498" w:type="pct"/>
            <w:tcBorders>
              <w:top w:val="single" w:sz="4" w:space="0" w:color="auto"/>
              <w:bottom w:val="single" w:sz="4" w:space="0" w:color="auto"/>
            </w:tcBorders>
            <w:hideMark/>
          </w:tcPr>
          <w:p w14:paraId="72053148" w14:textId="0047E6D7" w:rsidR="002D2E5D" w:rsidRPr="00D82A41" w:rsidRDefault="002D2E5D" w:rsidP="009D7FF0">
            <w:pPr>
              <w:pStyle w:val="Tabledata"/>
            </w:pPr>
            <w:r>
              <w:t>0.11</w:t>
            </w:r>
            <w:r w:rsidR="6B556F45">
              <w:t>7</w:t>
            </w:r>
            <w:r>
              <w:t>***</w:t>
            </w:r>
          </w:p>
          <w:p w14:paraId="4C4087A0" w14:textId="381EDBA8" w:rsidR="002D2E5D" w:rsidRPr="00D82A41" w:rsidRDefault="36518837" w:rsidP="009D7FF0">
            <w:pPr>
              <w:pStyle w:val="Tabledatanospace"/>
            </w:pPr>
            <w:r>
              <w:t>(</w:t>
            </w:r>
            <w:r w:rsidR="002D2E5D">
              <w:t>0.014)</w:t>
            </w:r>
          </w:p>
        </w:tc>
        <w:tc>
          <w:tcPr>
            <w:tcW w:w="477" w:type="pct"/>
            <w:tcBorders>
              <w:top w:val="single" w:sz="4" w:space="0" w:color="auto"/>
              <w:bottom w:val="single" w:sz="4" w:space="0" w:color="auto"/>
            </w:tcBorders>
            <w:hideMark/>
          </w:tcPr>
          <w:p w14:paraId="629FD153" w14:textId="0AF9BA0D" w:rsidR="002D2E5D" w:rsidRPr="00D82A41" w:rsidRDefault="002D2E5D" w:rsidP="009D7FF0">
            <w:pPr>
              <w:pStyle w:val="Tabledata"/>
            </w:pPr>
            <w:r>
              <w:t>0.11</w:t>
            </w:r>
            <w:r w:rsidR="3B20274B">
              <w:t>7</w:t>
            </w:r>
            <w:r>
              <w:t>***</w:t>
            </w:r>
          </w:p>
          <w:p w14:paraId="282E52F1" w14:textId="59E81C64" w:rsidR="002D2E5D" w:rsidRPr="00D82A41" w:rsidRDefault="36518837" w:rsidP="009D7FF0">
            <w:pPr>
              <w:pStyle w:val="Tabledatanospace"/>
            </w:pPr>
            <w:r>
              <w:t>(</w:t>
            </w:r>
            <w:r w:rsidR="002D2E5D">
              <w:t>0.014)</w:t>
            </w:r>
          </w:p>
        </w:tc>
      </w:tr>
      <w:tr w:rsidR="00F508DE" w:rsidRPr="008E16B0" w14:paraId="43959A31" w14:textId="77777777" w:rsidTr="005F623F">
        <w:tc>
          <w:tcPr>
            <w:tcW w:w="5000" w:type="pct"/>
            <w:gridSpan w:val="10"/>
            <w:tcBorders>
              <w:top w:val="single" w:sz="4" w:space="0" w:color="auto"/>
              <w:bottom w:val="single" w:sz="4" w:space="0" w:color="auto"/>
            </w:tcBorders>
          </w:tcPr>
          <w:p w14:paraId="2AD18986" w14:textId="77777777" w:rsidR="002D2E5D" w:rsidRPr="004870D6" w:rsidRDefault="002D2E5D" w:rsidP="00BC768D">
            <w:pPr>
              <w:pStyle w:val="TableHeader2"/>
              <w:spacing w:line="240" w:lineRule="auto"/>
            </w:pPr>
            <w:r w:rsidRPr="004870D6">
              <w:t>Individual Level Variables</w:t>
            </w:r>
          </w:p>
        </w:tc>
      </w:tr>
      <w:tr w:rsidR="00F508DE" w:rsidRPr="008E16B0" w14:paraId="69163C8C" w14:textId="77777777" w:rsidTr="005F623F">
        <w:tc>
          <w:tcPr>
            <w:tcW w:w="593" w:type="pct"/>
            <w:tcBorders>
              <w:top w:val="single" w:sz="4" w:space="0" w:color="auto"/>
            </w:tcBorders>
            <w:hideMark/>
          </w:tcPr>
          <w:p w14:paraId="5D4932B3" w14:textId="77777777" w:rsidR="002D2E5D" w:rsidRPr="004870D6" w:rsidRDefault="002D2E5D" w:rsidP="009D7FF0">
            <w:pPr>
              <w:pStyle w:val="TableHeadingsColumn"/>
            </w:pPr>
            <w:r w:rsidRPr="004870D6">
              <w:t>Age</w:t>
            </w:r>
          </w:p>
        </w:tc>
        <w:tc>
          <w:tcPr>
            <w:tcW w:w="438" w:type="pct"/>
            <w:tcBorders>
              <w:top w:val="single" w:sz="4" w:space="0" w:color="auto"/>
            </w:tcBorders>
            <w:hideMark/>
          </w:tcPr>
          <w:p w14:paraId="5C2AE241" w14:textId="77777777" w:rsidR="002D2E5D" w:rsidRPr="008E16B0" w:rsidRDefault="002D2E5D" w:rsidP="009D7FF0">
            <w:pPr>
              <w:pStyle w:val="TableDataCentred"/>
            </w:pPr>
          </w:p>
        </w:tc>
        <w:tc>
          <w:tcPr>
            <w:tcW w:w="500" w:type="pct"/>
            <w:tcBorders>
              <w:top w:val="single" w:sz="4" w:space="0" w:color="auto"/>
            </w:tcBorders>
            <w:hideMark/>
          </w:tcPr>
          <w:p w14:paraId="7436C0A9" w14:textId="77777777" w:rsidR="002D2E5D" w:rsidRPr="008E16B0" w:rsidRDefault="002D2E5D" w:rsidP="009D7FF0">
            <w:pPr>
              <w:pStyle w:val="Tabledata"/>
            </w:pPr>
          </w:p>
        </w:tc>
        <w:tc>
          <w:tcPr>
            <w:tcW w:w="500" w:type="pct"/>
            <w:tcBorders>
              <w:top w:val="single" w:sz="4" w:space="0" w:color="auto"/>
            </w:tcBorders>
            <w:hideMark/>
          </w:tcPr>
          <w:p w14:paraId="738A068E" w14:textId="77777777" w:rsidR="002D2E5D" w:rsidRPr="00A211A1" w:rsidRDefault="002D2E5D" w:rsidP="009D7FF0">
            <w:pPr>
              <w:pStyle w:val="Tabledata"/>
            </w:pPr>
            <w:r w:rsidRPr="00A211A1">
              <w:t>-0.005</w:t>
            </w:r>
          </w:p>
          <w:p w14:paraId="112A7CD6" w14:textId="5F201597" w:rsidR="002D2E5D" w:rsidRPr="00A211A1" w:rsidRDefault="00A211A1" w:rsidP="009D7FF0">
            <w:pPr>
              <w:pStyle w:val="Tabledatanospace"/>
            </w:pPr>
            <w:r>
              <w:t>(</w:t>
            </w:r>
            <w:r w:rsidR="002D2E5D" w:rsidRPr="00A211A1">
              <w:t>0.004)</w:t>
            </w:r>
          </w:p>
        </w:tc>
        <w:tc>
          <w:tcPr>
            <w:tcW w:w="498" w:type="pct"/>
            <w:tcBorders>
              <w:top w:val="single" w:sz="4" w:space="0" w:color="auto"/>
            </w:tcBorders>
            <w:hideMark/>
          </w:tcPr>
          <w:p w14:paraId="2603CBFA" w14:textId="77777777" w:rsidR="002D2E5D" w:rsidRPr="00A211A1" w:rsidRDefault="002D2E5D" w:rsidP="009D7FF0">
            <w:pPr>
              <w:pStyle w:val="Tabledata"/>
            </w:pPr>
            <w:r w:rsidRPr="00A211A1">
              <w:t>-0.005</w:t>
            </w:r>
          </w:p>
          <w:p w14:paraId="7AB4EC11" w14:textId="4AC074D2" w:rsidR="002D2E5D" w:rsidRPr="00A211A1" w:rsidRDefault="00A211A1" w:rsidP="009D7FF0">
            <w:pPr>
              <w:pStyle w:val="Tabledatanospace"/>
            </w:pPr>
            <w:r>
              <w:t>(</w:t>
            </w:r>
            <w:r w:rsidR="002D2E5D" w:rsidRPr="00A211A1">
              <w:t>0.004)</w:t>
            </w:r>
          </w:p>
        </w:tc>
        <w:tc>
          <w:tcPr>
            <w:tcW w:w="498" w:type="pct"/>
            <w:tcBorders>
              <w:top w:val="single" w:sz="4" w:space="0" w:color="auto"/>
            </w:tcBorders>
            <w:hideMark/>
          </w:tcPr>
          <w:p w14:paraId="09D13580" w14:textId="77777777" w:rsidR="002D2E5D" w:rsidRPr="00A211A1" w:rsidRDefault="002D2E5D" w:rsidP="009D7FF0">
            <w:pPr>
              <w:pStyle w:val="Tabledata"/>
            </w:pPr>
            <w:r w:rsidRPr="00A211A1">
              <w:t>-0.005</w:t>
            </w:r>
          </w:p>
          <w:p w14:paraId="39FE2393" w14:textId="615B9E8E" w:rsidR="002D2E5D" w:rsidRPr="00A211A1" w:rsidRDefault="00A211A1" w:rsidP="009D7FF0">
            <w:pPr>
              <w:pStyle w:val="Tabledatanospace"/>
            </w:pPr>
            <w:r>
              <w:t>(</w:t>
            </w:r>
            <w:r w:rsidR="002D2E5D" w:rsidRPr="00A211A1">
              <w:t>0.004)</w:t>
            </w:r>
          </w:p>
        </w:tc>
        <w:tc>
          <w:tcPr>
            <w:tcW w:w="498" w:type="pct"/>
            <w:tcBorders>
              <w:top w:val="single" w:sz="4" w:space="0" w:color="auto"/>
            </w:tcBorders>
            <w:hideMark/>
          </w:tcPr>
          <w:p w14:paraId="65A7A175" w14:textId="2BEAF7F2" w:rsidR="002D2E5D" w:rsidRPr="00A211A1" w:rsidRDefault="002D2E5D" w:rsidP="009D7FF0">
            <w:pPr>
              <w:pStyle w:val="Tabledata"/>
            </w:pPr>
            <w:r w:rsidRPr="00A211A1">
              <w:t>-0.00</w:t>
            </w:r>
            <w:r w:rsidR="000B312D">
              <w:t>5</w:t>
            </w:r>
          </w:p>
          <w:p w14:paraId="6AE9E449" w14:textId="0059D71E" w:rsidR="002D2E5D" w:rsidRPr="00A211A1" w:rsidRDefault="00A211A1" w:rsidP="009D7FF0">
            <w:pPr>
              <w:pStyle w:val="Tabledatanospace"/>
            </w:pPr>
            <w:r>
              <w:t>(</w:t>
            </w:r>
            <w:r w:rsidR="002D2E5D" w:rsidRPr="00A211A1">
              <w:t>0.004)</w:t>
            </w:r>
          </w:p>
        </w:tc>
        <w:tc>
          <w:tcPr>
            <w:tcW w:w="498" w:type="pct"/>
            <w:tcBorders>
              <w:top w:val="single" w:sz="4" w:space="0" w:color="auto"/>
            </w:tcBorders>
            <w:hideMark/>
          </w:tcPr>
          <w:p w14:paraId="29E7BC1B" w14:textId="77777777" w:rsidR="002D2E5D" w:rsidRPr="00A211A1" w:rsidRDefault="002D2E5D" w:rsidP="009D7FF0">
            <w:pPr>
              <w:pStyle w:val="Tabledata"/>
            </w:pPr>
            <w:r w:rsidRPr="00A211A1">
              <w:t>-0.005</w:t>
            </w:r>
          </w:p>
          <w:p w14:paraId="3A282DC1" w14:textId="7DC3D34F" w:rsidR="002D2E5D" w:rsidRPr="00A211A1" w:rsidRDefault="00A211A1" w:rsidP="009D7FF0">
            <w:pPr>
              <w:pStyle w:val="Tabledatanospace"/>
            </w:pPr>
            <w:r>
              <w:t>(</w:t>
            </w:r>
            <w:r w:rsidR="002D2E5D" w:rsidRPr="00A211A1">
              <w:t>0.004)</w:t>
            </w:r>
          </w:p>
        </w:tc>
        <w:tc>
          <w:tcPr>
            <w:tcW w:w="498" w:type="pct"/>
            <w:tcBorders>
              <w:top w:val="single" w:sz="4" w:space="0" w:color="auto"/>
            </w:tcBorders>
            <w:hideMark/>
          </w:tcPr>
          <w:p w14:paraId="327005B4" w14:textId="77777777" w:rsidR="002D2E5D" w:rsidRPr="00A211A1" w:rsidRDefault="002D2E5D" w:rsidP="009D7FF0">
            <w:pPr>
              <w:pStyle w:val="Tabledata"/>
            </w:pPr>
            <w:r w:rsidRPr="00A211A1">
              <w:t>-0.005</w:t>
            </w:r>
          </w:p>
          <w:p w14:paraId="0E9793E6" w14:textId="5FF3727C" w:rsidR="002D2E5D" w:rsidRPr="00A211A1" w:rsidRDefault="00A211A1" w:rsidP="009D7FF0">
            <w:pPr>
              <w:pStyle w:val="Tabledatanospace"/>
            </w:pPr>
            <w:r>
              <w:t>(</w:t>
            </w:r>
            <w:r w:rsidR="002D2E5D" w:rsidRPr="00A211A1">
              <w:t>0.004)</w:t>
            </w:r>
          </w:p>
        </w:tc>
        <w:tc>
          <w:tcPr>
            <w:tcW w:w="477" w:type="pct"/>
            <w:tcBorders>
              <w:top w:val="single" w:sz="4" w:space="0" w:color="auto"/>
            </w:tcBorders>
            <w:hideMark/>
          </w:tcPr>
          <w:p w14:paraId="6811994C" w14:textId="77777777" w:rsidR="002D2E5D" w:rsidRPr="00A211A1" w:rsidRDefault="002D2E5D" w:rsidP="009D7FF0">
            <w:pPr>
              <w:pStyle w:val="Tabledata"/>
            </w:pPr>
            <w:r w:rsidRPr="00A211A1">
              <w:t>-0.005</w:t>
            </w:r>
          </w:p>
          <w:p w14:paraId="0632E20A" w14:textId="4452738D" w:rsidR="002D2E5D" w:rsidRPr="00A211A1" w:rsidRDefault="00A211A1" w:rsidP="009D7FF0">
            <w:pPr>
              <w:pStyle w:val="Tabledatanospace"/>
            </w:pPr>
            <w:r>
              <w:t>(</w:t>
            </w:r>
            <w:r w:rsidR="002D2E5D" w:rsidRPr="00A211A1">
              <w:t>0.004)</w:t>
            </w:r>
          </w:p>
        </w:tc>
      </w:tr>
      <w:tr w:rsidR="00F508DE" w:rsidRPr="008E16B0" w14:paraId="618A0263" w14:textId="77777777" w:rsidTr="005F623F">
        <w:tc>
          <w:tcPr>
            <w:tcW w:w="593" w:type="pct"/>
            <w:hideMark/>
          </w:tcPr>
          <w:p w14:paraId="151DB96D" w14:textId="77777777" w:rsidR="002D2E5D" w:rsidRPr="004870D6" w:rsidRDefault="002D2E5D" w:rsidP="009D7FF0">
            <w:pPr>
              <w:pStyle w:val="TableHeadingsColumn"/>
            </w:pPr>
            <w:r w:rsidRPr="004870D6">
              <w:t>Gender</w:t>
            </w:r>
          </w:p>
        </w:tc>
        <w:tc>
          <w:tcPr>
            <w:tcW w:w="438" w:type="pct"/>
            <w:hideMark/>
          </w:tcPr>
          <w:p w14:paraId="305F5A06" w14:textId="77777777" w:rsidR="002D2E5D" w:rsidRPr="008E16B0" w:rsidRDefault="002D2E5D" w:rsidP="009D7FF0">
            <w:pPr>
              <w:pStyle w:val="TableDataCentred"/>
            </w:pPr>
          </w:p>
        </w:tc>
        <w:tc>
          <w:tcPr>
            <w:tcW w:w="500" w:type="pct"/>
            <w:hideMark/>
          </w:tcPr>
          <w:p w14:paraId="550D6056" w14:textId="77777777" w:rsidR="002D2E5D" w:rsidRPr="008E16B0" w:rsidRDefault="002D2E5D" w:rsidP="009D7FF0">
            <w:pPr>
              <w:pStyle w:val="Tabledata"/>
            </w:pPr>
          </w:p>
        </w:tc>
        <w:tc>
          <w:tcPr>
            <w:tcW w:w="500" w:type="pct"/>
            <w:hideMark/>
          </w:tcPr>
          <w:p w14:paraId="7D359A01" w14:textId="77777777" w:rsidR="002D2E5D" w:rsidRPr="00A211A1" w:rsidRDefault="002D2E5D" w:rsidP="009D7FF0">
            <w:pPr>
              <w:pStyle w:val="Tabledata"/>
            </w:pPr>
          </w:p>
        </w:tc>
        <w:tc>
          <w:tcPr>
            <w:tcW w:w="498" w:type="pct"/>
            <w:hideMark/>
          </w:tcPr>
          <w:p w14:paraId="0C62259B" w14:textId="77777777" w:rsidR="002D2E5D" w:rsidRPr="00A211A1" w:rsidRDefault="002D2E5D" w:rsidP="009D7FF0">
            <w:pPr>
              <w:pStyle w:val="Tabledata"/>
            </w:pPr>
            <w:r w:rsidRPr="00A211A1">
              <w:t>0.020</w:t>
            </w:r>
          </w:p>
          <w:p w14:paraId="2C496DEC" w14:textId="542CBBE3" w:rsidR="002D2E5D" w:rsidRPr="00A211A1" w:rsidRDefault="00A211A1" w:rsidP="009D7FF0">
            <w:pPr>
              <w:pStyle w:val="Tabledatanospace"/>
            </w:pPr>
            <w:r>
              <w:t>(</w:t>
            </w:r>
            <w:r w:rsidR="002D2E5D" w:rsidRPr="00A211A1">
              <w:t>0.013)</w:t>
            </w:r>
          </w:p>
        </w:tc>
        <w:tc>
          <w:tcPr>
            <w:tcW w:w="498" w:type="pct"/>
            <w:hideMark/>
          </w:tcPr>
          <w:p w14:paraId="180ABC92" w14:textId="77777777" w:rsidR="002D2E5D" w:rsidRPr="00A211A1" w:rsidRDefault="002D2E5D" w:rsidP="009D7FF0">
            <w:pPr>
              <w:pStyle w:val="Tabledata"/>
            </w:pPr>
            <w:r w:rsidRPr="00A211A1">
              <w:t>0.018</w:t>
            </w:r>
          </w:p>
          <w:p w14:paraId="6EF0EB9A" w14:textId="1288D7C7" w:rsidR="002D2E5D" w:rsidRPr="00A211A1" w:rsidRDefault="00A211A1" w:rsidP="009D7FF0">
            <w:pPr>
              <w:pStyle w:val="Tabledatanospace"/>
            </w:pPr>
            <w:r>
              <w:t>(</w:t>
            </w:r>
            <w:r w:rsidR="002D2E5D" w:rsidRPr="00A211A1">
              <w:t>0.014)</w:t>
            </w:r>
          </w:p>
        </w:tc>
        <w:tc>
          <w:tcPr>
            <w:tcW w:w="498" w:type="pct"/>
            <w:hideMark/>
          </w:tcPr>
          <w:p w14:paraId="2B8B667C" w14:textId="77777777" w:rsidR="002D2E5D" w:rsidRPr="00A211A1" w:rsidRDefault="002D2E5D" w:rsidP="009D7FF0">
            <w:pPr>
              <w:pStyle w:val="Tabledata"/>
            </w:pPr>
            <w:r w:rsidRPr="00A211A1">
              <w:t>0.019</w:t>
            </w:r>
          </w:p>
          <w:p w14:paraId="1DE7807C" w14:textId="48440331" w:rsidR="002D2E5D" w:rsidRPr="00A211A1" w:rsidRDefault="00A211A1" w:rsidP="009D7FF0">
            <w:pPr>
              <w:pStyle w:val="Tabledatanospace"/>
            </w:pPr>
            <w:r>
              <w:t>(</w:t>
            </w:r>
            <w:r w:rsidR="002D2E5D" w:rsidRPr="00A211A1">
              <w:t>0.014)</w:t>
            </w:r>
          </w:p>
        </w:tc>
        <w:tc>
          <w:tcPr>
            <w:tcW w:w="498" w:type="pct"/>
            <w:hideMark/>
          </w:tcPr>
          <w:p w14:paraId="5538DBEE" w14:textId="77777777" w:rsidR="002D2E5D" w:rsidRPr="00A211A1" w:rsidRDefault="002D2E5D" w:rsidP="009D7FF0">
            <w:pPr>
              <w:pStyle w:val="Tabledata"/>
            </w:pPr>
            <w:r w:rsidRPr="00A211A1">
              <w:t>0.019</w:t>
            </w:r>
          </w:p>
          <w:p w14:paraId="015A0CDC" w14:textId="234FD6E1" w:rsidR="002D2E5D" w:rsidRPr="00A211A1" w:rsidRDefault="00A211A1" w:rsidP="009D7FF0">
            <w:pPr>
              <w:pStyle w:val="Tabledatanospace"/>
            </w:pPr>
            <w:r>
              <w:t>(</w:t>
            </w:r>
            <w:r w:rsidR="002D2E5D" w:rsidRPr="00A211A1">
              <w:t>0.014)</w:t>
            </w:r>
          </w:p>
        </w:tc>
        <w:tc>
          <w:tcPr>
            <w:tcW w:w="498" w:type="pct"/>
            <w:hideMark/>
          </w:tcPr>
          <w:p w14:paraId="76AC0DC3" w14:textId="77777777" w:rsidR="002D2E5D" w:rsidRPr="00A211A1" w:rsidRDefault="002D2E5D" w:rsidP="009D7FF0">
            <w:pPr>
              <w:pStyle w:val="Tabledata"/>
            </w:pPr>
            <w:r w:rsidRPr="00A211A1">
              <w:t>0.019</w:t>
            </w:r>
          </w:p>
          <w:p w14:paraId="4198FABC" w14:textId="35D6D9C1" w:rsidR="002D2E5D" w:rsidRPr="00A211A1" w:rsidRDefault="00A211A1" w:rsidP="009D7FF0">
            <w:pPr>
              <w:pStyle w:val="Tabledatanospace"/>
            </w:pPr>
            <w:r>
              <w:t>(</w:t>
            </w:r>
            <w:r w:rsidR="002D2E5D" w:rsidRPr="00A211A1">
              <w:t>0.014)</w:t>
            </w:r>
          </w:p>
        </w:tc>
        <w:tc>
          <w:tcPr>
            <w:tcW w:w="477" w:type="pct"/>
            <w:hideMark/>
          </w:tcPr>
          <w:p w14:paraId="24D7DE48" w14:textId="77777777" w:rsidR="002D2E5D" w:rsidRPr="00A211A1" w:rsidRDefault="002D2E5D" w:rsidP="009D7FF0">
            <w:pPr>
              <w:pStyle w:val="Tabledata"/>
            </w:pPr>
            <w:r w:rsidRPr="00A211A1">
              <w:t>0.019</w:t>
            </w:r>
          </w:p>
          <w:p w14:paraId="08773DC9" w14:textId="75762BD9" w:rsidR="002D2E5D" w:rsidRPr="00A211A1" w:rsidRDefault="00A211A1" w:rsidP="009D7FF0">
            <w:pPr>
              <w:pStyle w:val="Tabledatanospace"/>
            </w:pPr>
            <w:r>
              <w:t>(</w:t>
            </w:r>
            <w:r w:rsidR="002D2E5D" w:rsidRPr="00A211A1">
              <w:t>0.014)</w:t>
            </w:r>
          </w:p>
        </w:tc>
      </w:tr>
      <w:tr w:rsidR="00F508DE" w:rsidRPr="008E16B0" w14:paraId="29BD929B" w14:textId="77777777" w:rsidTr="005F623F">
        <w:tc>
          <w:tcPr>
            <w:tcW w:w="593" w:type="pct"/>
            <w:tcBorders>
              <w:bottom w:val="single" w:sz="4" w:space="0" w:color="auto"/>
            </w:tcBorders>
            <w:hideMark/>
          </w:tcPr>
          <w:p w14:paraId="068A7CEA" w14:textId="77777777" w:rsidR="002D2E5D" w:rsidRPr="004870D6" w:rsidRDefault="002D2E5D" w:rsidP="009D7FF0">
            <w:pPr>
              <w:pStyle w:val="TableHeadingsColumn"/>
            </w:pPr>
            <w:r w:rsidRPr="004870D6">
              <w:t>Education</w:t>
            </w:r>
          </w:p>
        </w:tc>
        <w:tc>
          <w:tcPr>
            <w:tcW w:w="438" w:type="pct"/>
            <w:tcBorders>
              <w:bottom w:val="single" w:sz="4" w:space="0" w:color="auto"/>
            </w:tcBorders>
            <w:hideMark/>
          </w:tcPr>
          <w:p w14:paraId="09E6D489" w14:textId="77777777" w:rsidR="002D2E5D" w:rsidRPr="008E16B0" w:rsidRDefault="002D2E5D" w:rsidP="009D7FF0">
            <w:pPr>
              <w:pStyle w:val="TableDataCentred"/>
            </w:pPr>
          </w:p>
        </w:tc>
        <w:tc>
          <w:tcPr>
            <w:tcW w:w="500" w:type="pct"/>
            <w:tcBorders>
              <w:bottom w:val="single" w:sz="4" w:space="0" w:color="auto"/>
            </w:tcBorders>
            <w:hideMark/>
          </w:tcPr>
          <w:p w14:paraId="77742FBB" w14:textId="77777777" w:rsidR="002D2E5D" w:rsidRPr="008E16B0" w:rsidRDefault="002D2E5D" w:rsidP="009D7FF0">
            <w:pPr>
              <w:pStyle w:val="Tabledata"/>
            </w:pPr>
          </w:p>
        </w:tc>
        <w:tc>
          <w:tcPr>
            <w:tcW w:w="500" w:type="pct"/>
            <w:tcBorders>
              <w:bottom w:val="single" w:sz="4" w:space="0" w:color="auto"/>
            </w:tcBorders>
            <w:hideMark/>
          </w:tcPr>
          <w:p w14:paraId="3F582054" w14:textId="77777777" w:rsidR="002D2E5D" w:rsidRPr="00A211A1" w:rsidRDefault="002D2E5D" w:rsidP="009D7FF0">
            <w:pPr>
              <w:pStyle w:val="Tabledata"/>
            </w:pPr>
          </w:p>
        </w:tc>
        <w:tc>
          <w:tcPr>
            <w:tcW w:w="498" w:type="pct"/>
            <w:tcBorders>
              <w:bottom w:val="single" w:sz="4" w:space="0" w:color="auto"/>
            </w:tcBorders>
            <w:hideMark/>
          </w:tcPr>
          <w:p w14:paraId="32DD190C" w14:textId="77777777" w:rsidR="002D2E5D" w:rsidRPr="00A211A1" w:rsidRDefault="002D2E5D" w:rsidP="009D7FF0">
            <w:pPr>
              <w:pStyle w:val="Tabledata"/>
            </w:pPr>
          </w:p>
        </w:tc>
        <w:tc>
          <w:tcPr>
            <w:tcW w:w="498" w:type="pct"/>
            <w:tcBorders>
              <w:bottom w:val="single" w:sz="4" w:space="0" w:color="auto"/>
            </w:tcBorders>
            <w:hideMark/>
          </w:tcPr>
          <w:p w14:paraId="6716B5BA" w14:textId="77777777" w:rsidR="002D2E5D" w:rsidRPr="00A211A1" w:rsidRDefault="002D2E5D" w:rsidP="009D7FF0">
            <w:pPr>
              <w:pStyle w:val="Tabledata"/>
            </w:pPr>
            <w:r w:rsidRPr="00A211A1">
              <w:t>-0.005</w:t>
            </w:r>
          </w:p>
          <w:p w14:paraId="6D468EA3" w14:textId="4635DD8A" w:rsidR="002D2E5D" w:rsidRPr="00A211A1" w:rsidRDefault="00A211A1" w:rsidP="009D7FF0">
            <w:pPr>
              <w:pStyle w:val="Tabledatanospace"/>
            </w:pPr>
            <w:r>
              <w:t>(</w:t>
            </w:r>
            <w:r w:rsidR="002D2E5D" w:rsidRPr="00A211A1">
              <w:t>0.009)</w:t>
            </w:r>
          </w:p>
        </w:tc>
        <w:tc>
          <w:tcPr>
            <w:tcW w:w="498" w:type="pct"/>
            <w:tcBorders>
              <w:bottom w:val="single" w:sz="4" w:space="0" w:color="auto"/>
            </w:tcBorders>
            <w:hideMark/>
          </w:tcPr>
          <w:p w14:paraId="46DAFCE6" w14:textId="77777777" w:rsidR="002D2E5D" w:rsidRPr="00A211A1" w:rsidRDefault="002D2E5D" w:rsidP="009D7FF0">
            <w:pPr>
              <w:pStyle w:val="Tabledata"/>
            </w:pPr>
            <w:r w:rsidRPr="00A211A1">
              <w:t>-0.005</w:t>
            </w:r>
          </w:p>
          <w:p w14:paraId="5A24DCCB" w14:textId="351D71D1" w:rsidR="002D2E5D" w:rsidRPr="00A211A1" w:rsidRDefault="00A211A1" w:rsidP="009D7FF0">
            <w:pPr>
              <w:pStyle w:val="Tabledatanospace"/>
            </w:pPr>
            <w:r>
              <w:t>(</w:t>
            </w:r>
            <w:r w:rsidR="002D2E5D" w:rsidRPr="00A211A1">
              <w:t>0.009)</w:t>
            </w:r>
          </w:p>
        </w:tc>
        <w:tc>
          <w:tcPr>
            <w:tcW w:w="498" w:type="pct"/>
            <w:tcBorders>
              <w:bottom w:val="single" w:sz="4" w:space="0" w:color="auto"/>
            </w:tcBorders>
            <w:hideMark/>
          </w:tcPr>
          <w:p w14:paraId="53373E66" w14:textId="77777777" w:rsidR="002D2E5D" w:rsidRPr="00A211A1" w:rsidRDefault="002D2E5D" w:rsidP="009D7FF0">
            <w:pPr>
              <w:pStyle w:val="Tabledata"/>
            </w:pPr>
            <w:r w:rsidRPr="00A211A1">
              <w:t>-0.005</w:t>
            </w:r>
          </w:p>
          <w:p w14:paraId="0961A30E" w14:textId="442616C9" w:rsidR="002D2E5D" w:rsidRPr="00A211A1" w:rsidRDefault="00A211A1" w:rsidP="009D7FF0">
            <w:pPr>
              <w:pStyle w:val="Tabledatanospace"/>
            </w:pPr>
            <w:r>
              <w:t>(</w:t>
            </w:r>
            <w:r w:rsidR="002D2E5D" w:rsidRPr="00A211A1">
              <w:t>0.009)</w:t>
            </w:r>
          </w:p>
        </w:tc>
        <w:tc>
          <w:tcPr>
            <w:tcW w:w="498" w:type="pct"/>
            <w:tcBorders>
              <w:bottom w:val="single" w:sz="4" w:space="0" w:color="auto"/>
            </w:tcBorders>
            <w:hideMark/>
          </w:tcPr>
          <w:p w14:paraId="01B8F4F4" w14:textId="77777777" w:rsidR="002D2E5D" w:rsidRPr="00A211A1" w:rsidRDefault="002D2E5D" w:rsidP="009D7FF0">
            <w:pPr>
              <w:pStyle w:val="Tabledata"/>
            </w:pPr>
            <w:r w:rsidRPr="00A211A1">
              <w:t>-0.005</w:t>
            </w:r>
          </w:p>
          <w:p w14:paraId="2F99F634" w14:textId="65743F72" w:rsidR="002D2E5D" w:rsidRPr="00A211A1" w:rsidRDefault="00A211A1" w:rsidP="009D7FF0">
            <w:pPr>
              <w:pStyle w:val="Tabledatanospace"/>
            </w:pPr>
            <w:r>
              <w:t>(</w:t>
            </w:r>
            <w:r w:rsidR="002D2E5D" w:rsidRPr="00A211A1">
              <w:t>0.009)</w:t>
            </w:r>
          </w:p>
        </w:tc>
        <w:tc>
          <w:tcPr>
            <w:tcW w:w="477" w:type="pct"/>
            <w:tcBorders>
              <w:bottom w:val="single" w:sz="4" w:space="0" w:color="auto"/>
            </w:tcBorders>
            <w:hideMark/>
          </w:tcPr>
          <w:p w14:paraId="40870042" w14:textId="77777777" w:rsidR="002D2E5D" w:rsidRPr="00A211A1" w:rsidRDefault="002D2E5D" w:rsidP="009D7FF0">
            <w:pPr>
              <w:pStyle w:val="Tabledata"/>
            </w:pPr>
            <w:r w:rsidRPr="00A211A1">
              <w:t>-0.005</w:t>
            </w:r>
          </w:p>
          <w:p w14:paraId="1621CCE1" w14:textId="637DAAAB" w:rsidR="002D2E5D" w:rsidRPr="00A211A1" w:rsidRDefault="00A211A1" w:rsidP="009D7FF0">
            <w:pPr>
              <w:pStyle w:val="Tabledatanospace"/>
            </w:pPr>
            <w:r>
              <w:t>(</w:t>
            </w:r>
            <w:r w:rsidR="002D2E5D" w:rsidRPr="00A211A1">
              <w:t>0.009)</w:t>
            </w:r>
          </w:p>
        </w:tc>
      </w:tr>
      <w:tr w:rsidR="00F508DE" w:rsidRPr="008E16B0" w14:paraId="774F316F" w14:textId="77777777" w:rsidTr="005F623F">
        <w:tc>
          <w:tcPr>
            <w:tcW w:w="5000" w:type="pct"/>
            <w:gridSpan w:val="10"/>
            <w:tcBorders>
              <w:top w:val="single" w:sz="4" w:space="0" w:color="auto"/>
              <w:bottom w:val="single" w:sz="4" w:space="0" w:color="auto"/>
            </w:tcBorders>
          </w:tcPr>
          <w:p w14:paraId="68AE06FE" w14:textId="77777777" w:rsidR="002D2E5D" w:rsidRPr="004870D6" w:rsidRDefault="002D2E5D" w:rsidP="002A63D3">
            <w:pPr>
              <w:pStyle w:val="TableHeader2"/>
              <w:spacing w:line="240" w:lineRule="auto"/>
            </w:pPr>
            <w:r w:rsidRPr="004870D6">
              <w:t>Case Level Variables</w:t>
            </w:r>
          </w:p>
        </w:tc>
      </w:tr>
      <w:tr w:rsidR="00F508DE" w:rsidRPr="008E16B0" w14:paraId="7B3BA1C9" w14:textId="77777777" w:rsidTr="005F623F">
        <w:tc>
          <w:tcPr>
            <w:tcW w:w="593" w:type="pct"/>
            <w:tcBorders>
              <w:top w:val="single" w:sz="4" w:space="0" w:color="auto"/>
            </w:tcBorders>
            <w:hideMark/>
          </w:tcPr>
          <w:p w14:paraId="3428767F" w14:textId="77777777" w:rsidR="002D2E5D" w:rsidRPr="004870D6" w:rsidRDefault="002D2E5D" w:rsidP="009D7FF0">
            <w:pPr>
              <w:pStyle w:val="TableHeadingsColumn"/>
            </w:pPr>
            <w:r w:rsidRPr="004870D6">
              <w:t>Group building</w:t>
            </w:r>
          </w:p>
        </w:tc>
        <w:tc>
          <w:tcPr>
            <w:tcW w:w="438" w:type="pct"/>
            <w:tcBorders>
              <w:top w:val="single" w:sz="4" w:space="0" w:color="auto"/>
            </w:tcBorders>
            <w:hideMark/>
          </w:tcPr>
          <w:p w14:paraId="0F56B3B1" w14:textId="77777777" w:rsidR="002D2E5D" w:rsidRPr="008E16B0" w:rsidRDefault="002D2E5D" w:rsidP="009D7FF0">
            <w:pPr>
              <w:pStyle w:val="Tabledata"/>
            </w:pPr>
          </w:p>
        </w:tc>
        <w:tc>
          <w:tcPr>
            <w:tcW w:w="500" w:type="pct"/>
            <w:tcBorders>
              <w:top w:val="single" w:sz="4" w:space="0" w:color="auto"/>
            </w:tcBorders>
            <w:hideMark/>
          </w:tcPr>
          <w:p w14:paraId="0C3840B5" w14:textId="77777777" w:rsidR="002D2E5D" w:rsidRPr="008E16B0" w:rsidRDefault="002D2E5D" w:rsidP="009D7FF0">
            <w:pPr>
              <w:pStyle w:val="Tabledata"/>
            </w:pPr>
          </w:p>
        </w:tc>
        <w:tc>
          <w:tcPr>
            <w:tcW w:w="500" w:type="pct"/>
            <w:tcBorders>
              <w:top w:val="single" w:sz="4" w:space="0" w:color="auto"/>
            </w:tcBorders>
            <w:hideMark/>
          </w:tcPr>
          <w:p w14:paraId="65170418" w14:textId="77777777" w:rsidR="002D2E5D" w:rsidRPr="008E16B0" w:rsidRDefault="002D2E5D" w:rsidP="009D7FF0">
            <w:pPr>
              <w:pStyle w:val="Tabledata"/>
            </w:pPr>
          </w:p>
        </w:tc>
        <w:tc>
          <w:tcPr>
            <w:tcW w:w="498" w:type="pct"/>
            <w:tcBorders>
              <w:top w:val="single" w:sz="4" w:space="0" w:color="auto"/>
            </w:tcBorders>
            <w:hideMark/>
          </w:tcPr>
          <w:p w14:paraId="3F04EA3B" w14:textId="77777777" w:rsidR="002D2E5D" w:rsidRPr="008E16B0" w:rsidRDefault="002D2E5D" w:rsidP="009D7FF0">
            <w:pPr>
              <w:pStyle w:val="Tabledata"/>
            </w:pPr>
          </w:p>
        </w:tc>
        <w:tc>
          <w:tcPr>
            <w:tcW w:w="498" w:type="pct"/>
            <w:tcBorders>
              <w:top w:val="single" w:sz="4" w:space="0" w:color="auto"/>
            </w:tcBorders>
            <w:hideMark/>
          </w:tcPr>
          <w:p w14:paraId="3A9AA749" w14:textId="77777777" w:rsidR="002D2E5D" w:rsidRPr="008E16B0" w:rsidRDefault="002D2E5D" w:rsidP="009D7FF0">
            <w:pPr>
              <w:pStyle w:val="Tabledata"/>
            </w:pPr>
          </w:p>
        </w:tc>
        <w:tc>
          <w:tcPr>
            <w:tcW w:w="498" w:type="pct"/>
            <w:tcBorders>
              <w:top w:val="single" w:sz="4" w:space="0" w:color="auto"/>
            </w:tcBorders>
            <w:hideMark/>
          </w:tcPr>
          <w:p w14:paraId="5A106ACB" w14:textId="40DBDDA4" w:rsidR="002D2E5D" w:rsidRPr="00D82A41" w:rsidRDefault="002D2E5D" w:rsidP="009D7FF0">
            <w:pPr>
              <w:pStyle w:val="TableDataCentred"/>
            </w:pPr>
            <w:r>
              <w:t>0.0</w:t>
            </w:r>
            <w:r w:rsidR="3F3AA5E8">
              <w:t>90</w:t>
            </w:r>
            <w:r>
              <w:t>***</w:t>
            </w:r>
          </w:p>
          <w:p w14:paraId="42DDCE54" w14:textId="4DD2B824" w:rsidR="002D2E5D" w:rsidRPr="00D82A41" w:rsidRDefault="002D2E5D" w:rsidP="009D7FF0">
            <w:pPr>
              <w:pStyle w:val="TableDataCentred"/>
            </w:pPr>
            <w:r>
              <w:t>(0.02</w:t>
            </w:r>
            <w:r w:rsidR="3F3AA5E8">
              <w:t>6</w:t>
            </w:r>
            <w:r>
              <w:t>)</w:t>
            </w:r>
          </w:p>
        </w:tc>
        <w:tc>
          <w:tcPr>
            <w:tcW w:w="498" w:type="pct"/>
            <w:tcBorders>
              <w:top w:val="single" w:sz="4" w:space="0" w:color="auto"/>
            </w:tcBorders>
            <w:hideMark/>
          </w:tcPr>
          <w:p w14:paraId="52414B86" w14:textId="27EF1592" w:rsidR="002D2E5D" w:rsidRPr="00D82A41" w:rsidRDefault="002D2E5D" w:rsidP="009D7FF0">
            <w:pPr>
              <w:pStyle w:val="TableDataCentred"/>
            </w:pPr>
            <w:r>
              <w:t>0.09</w:t>
            </w:r>
            <w:r w:rsidR="3F3AA5E8">
              <w:t>1</w:t>
            </w:r>
            <w:r>
              <w:t>***</w:t>
            </w:r>
          </w:p>
          <w:p w14:paraId="2DFB39CF" w14:textId="77777777" w:rsidR="002D2E5D" w:rsidRPr="00D82A41" w:rsidRDefault="002D2E5D" w:rsidP="009D7FF0">
            <w:pPr>
              <w:pStyle w:val="TableDataCentred"/>
            </w:pPr>
            <w:r>
              <w:t>(0.027)</w:t>
            </w:r>
          </w:p>
        </w:tc>
        <w:tc>
          <w:tcPr>
            <w:tcW w:w="498" w:type="pct"/>
            <w:tcBorders>
              <w:top w:val="single" w:sz="4" w:space="0" w:color="auto"/>
            </w:tcBorders>
            <w:hideMark/>
          </w:tcPr>
          <w:p w14:paraId="19E583C8" w14:textId="1A1B4960" w:rsidR="002D2E5D" w:rsidRPr="00D82A41" w:rsidRDefault="002D2E5D" w:rsidP="009D7FF0">
            <w:pPr>
              <w:pStyle w:val="TableDataCentred"/>
            </w:pPr>
            <w:r>
              <w:t>0.09</w:t>
            </w:r>
            <w:r w:rsidR="3F3AA5E8">
              <w:t>3</w:t>
            </w:r>
            <w:r>
              <w:t>***</w:t>
            </w:r>
          </w:p>
          <w:p w14:paraId="14FD515F" w14:textId="23DA985B" w:rsidR="002D2E5D" w:rsidRPr="00D82A41" w:rsidRDefault="002D2E5D" w:rsidP="009D7FF0">
            <w:pPr>
              <w:pStyle w:val="TableDataCentred"/>
            </w:pPr>
            <w:r>
              <w:t>(0.02</w:t>
            </w:r>
            <w:r w:rsidR="3F3AA5E8">
              <w:t>7</w:t>
            </w:r>
            <w:r>
              <w:t>)</w:t>
            </w:r>
          </w:p>
        </w:tc>
        <w:tc>
          <w:tcPr>
            <w:tcW w:w="477" w:type="pct"/>
            <w:tcBorders>
              <w:top w:val="single" w:sz="4" w:space="0" w:color="auto"/>
            </w:tcBorders>
            <w:hideMark/>
          </w:tcPr>
          <w:p w14:paraId="55276873" w14:textId="1413A28B" w:rsidR="002D2E5D" w:rsidRPr="00D82A41" w:rsidRDefault="002D2E5D" w:rsidP="009D7FF0">
            <w:pPr>
              <w:pStyle w:val="TableDataCentred"/>
            </w:pPr>
            <w:r>
              <w:t>0.091**</w:t>
            </w:r>
          </w:p>
          <w:p w14:paraId="63DEF3CB" w14:textId="77777777" w:rsidR="002D2E5D" w:rsidRPr="00D82A41" w:rsidRDefault="002D2E5D" w:rsidP="009D7FF0">
            <w:pPr>
              <w:pStyle w:val="TableDataCentred"/>
            </w:pPr>
            <w:r>
              <w:t>(0.030)</w:t>
            </w:r>
          </w:p>
        </w:tc>
      </w:tr>
      <w:tr w:rsidR="00F508DE" w:rsidRPr="008E16B0" w14:paraId="064766A6" w14:textId="77777777" w:rsidTr="005F623F">
        <w:tc>
          <w:tcPr>
            <w:tcW w:w="593" w:type="pct"/>
            <w:hideMark/>
          </w:tcPr>
          <w:p w14:paraId="39BAA391" w14:textId="77777777" w:rsidR="002D2E5D" w:rsidRPr="004870D6" w:rsidRDefault="002D2E5D" w:rsidP="009D7FF0">
            <w:pPr>
              <w:pStyle w:val="TableHeadingsColumn"/>
            </w:pPr>
            <w:r w:rsidRPr="004870D6">
              <w:t>Complexity</w:t>
            </w:r>
          </w:p>
        </w:tc>
        <w:tc>
          <w:tcPr>
            <w:tcW w:w="438" w:type="pct"/>
            <w:hideMark/>
          </w:tcPr>
          <w:p w14:paraId="4821BBC8" w14:textId="77777777" w:rsidR="002D2E5D" w:rsidRPr="008E16B0" w:rsidRDefault="002D2E5D" w:rsidP="009D7FF0">
            <w:pPr>
              <w:pStyle w:val="Tabledata"/>
            </w:pPr>
          </w:p>
        </w:tc>
        <w:tc>
          <w:tcPr>
            <w:tcW w:w="500" w:type="pct"/>
            <w:hideMark/>
          </w:tcPr>
          <w:p w14:paraId="512DB3C8" w14:textId="77777777" w:rsidR="002D2E5D" w:rsidRPr="008E16B0" w:rsidRDefault="002D2E5D" w:rsidP="009D7FF0">
            <w:pPr>
              <w:pStyle w:val="Tabledata"/>
            </w:pPr>
          </w:p>
        </w:tc>
        <w:tc>
          <w:tcPr>
            <w:tcW w:w="500" w:type="pct"/>
            <w:hideMark/>
          </w:tcPr>
          <w:p w14:paraId="6156EE79" w14:textId="77777777" w:rsidR="002D2E5D" w:rsidRPr="008E16B0" w:rsidRDefault="002D2E5D" w:rsidP="009D7FF0">
            <w:pPr>
              <w:pStyle w:val="Tabledata"/>
            </w:pPr>
          </w:p>
        </w:tc>
        <w:tc>
          <w:tcPr>
            <w:tcW w:w="498" w:type="pct"/>
            <w:hideMark/>
          </w:tcPr>
          <w:p w14:paraId="5F078A99" w14:textId="77777777" w:rsidR="002D2E5D" w:rsidRPr="008E16B0" w:rsidRDefault="002D2E5D" w:rsidP="009D7FF0">
            <w:pPr>
              <w:pStyle w:val="Tabledata"/>
            </w:pPr>
          </w:p>
        </w:tc>
        <w:tc>
          <w:tcPr>
            <w:tcW w:w="498" w:type="pct"/>
            <w:hideMark/>
          </w:tcPr>
          <w:p w14:paraId="3F5CE5FA" w14:textId="77777777" w:rsidR="002D2E5D" w:rsidRPr="008E16B0" w:rsidRDefault="002D2E5D" w:rsidP="009D7FF0">
            <w:pPr>
              <w:pStyle w:val="Tabledata"/>
            </w:pPr>
          </w:p>
        </w:tc>
        <w:tc>
          <w:tcPr>
            <w:tcW w:w="498" w:type="pct"/>
            <w:hideMark/>
          </w:tcPr>
          <w:p w14:paraId="69EF6BDA" w14:textId="77777777" w:rsidR="002D2E5D" w:rsidRPr="00D82A41" w:rsidRDefault="002D2E5D" w:rsidP="009D7FF0">
            <w:pPr>
              <w:pStyle w:val="TableDataCentred"/>
            </w:pPr>
          </w:p>
        </w:tc>
        <w:tc>
          <w:tcPr>
            <w:tcW w:w="498" w:type="pct"/>
            <w:hideMark/>
          </w:tcPr>
          <w:p w14:paraId="210987B4" w14:textId="77777777" w:rsidR="002D2E5D" w:rsidRPr="00D82A41" w:rsidRDefault="002D2E5D" w:rsidP="009D7FF0">
            <w:pPr>
              <w:pStyle w:val="TableDataCentred"/>
            </w:pPr>
            <w:r>
              <w:t>-0.010</w:t>
            </w:r>
          </w:p>
          <w:p w14:paraId="05A7C163" w14:textId="77777777" w:rsidR="002D2E5D" w:rsidRPr="00D82A41" w:rsidRDefault="002D2E5D" w:rsidP="009D7FF0">
            <w:pPr>
              <w:pStyle w:val="TableDataCentred"/>
            </w:pPr>
            <w:r>
              <w:t>(0.036)</w:t>
            </w:r>
          </w:p>
        </w:tc>
        <w:tc>
          <w:tcPr>
            <w:tcW w:w="498" w:type="pct"/>
            <w:hideMark/>
          </w:tcPr>
          <w:p w14:paraId="0FB2A0E6" w14:textId="504F6CE9" w:rsidR="002D2E5D" w:rsidRPr="00D82A41" w:rsidRDefault="002D2E5D" w:rsidP="009D7FF0">
            <w:pPr>
              <w:pStyle w:val="TableDataCentred"/>
            </w:pPr>
            <w:r>
              <w:t>0.01</w:t>
            </w:r>
            <w:r w:rsidR="3F3AA5E8">
              <w:t>2</w:t>
            </w:r>
          </w:p>
          <w:p w14:paraId="52D3584B" w14:textId="77777777" w:rsidR="002D2E5D" w:rsidRPr="00D82A41" w:rsidRDefault="002D2E5D" w:rsidP="009D7FF0">
            <w:pPr>
              <w:pStyle w:val="TableDataCentred"/>
            </w:pPr>
            <w:r>
              <w:t>(0.041)</w:t>
            </w:r>
          </w:p>
        </w:tc>
        <w:tc>
          <w:tcPr>
            <w:tcW w:w="477" w:type="pct"/>
            <w:hideMark/>
          </w:tcPr>
          <w:p w14:paraId="10EF0CB1" w14:textId="77777777" w:rsidR="002D2E5D" w:rsidRPr="00D82A41" w:rsidRDefault="002D2E5D" w:rsidP="009D7FF0">
            <w:pPr>
              <w:pStyle w:val="TableDataCentred"/>
            </w:pPr>
            <w:r>
              <w:t>0.010</w:t>
            </w:r>
          </w:p>
          <w:p w14:paraId="3DC694CE" w14:textId="12120C40" w:rsidR="002D2E5D" w:rsidRPr="00D82A41" w:rsidRDefault="002D2E5D" w:rsidP="009D7FF0">
            <w:pPr>
              <w:pStyle w:val="TableDataCentred"/>
            </w:pPr>
            <w:r>
              <w:t>(0.0</w:t>
            </w:r>
            <w:r w:rsidR="3F3AA5E8">
              <w:t>45</w:t>
            </w:r>
            <w:r>
              <w:t>)</w:t>
            </w:r>
          </w:p>
        </w:tc>
      </w:tr>
      <w:tr w:rsidR="00F508DE" w:rsidRPr="008E16B0" w14:paraId="5BD12EFC" w14:textId="77777777" w:rsidTr="005F623F">
        <w:tc>
          <w:tcPr>
            <w:tcW w:w="593" w:type="pct"/>
          </w:tcPr>
          <w:p w14:paraId="7C39B08A" w14:textId="77777777" w:rsidR="002D2E5D" w:rsidRPr="004870D6" w:rsidDel="00134082" w:rsidRDefault="002D2E5D" w:rsidP="009D7FF0">
            <w:pPr>
              <w:pStyle w:val="TableHeadingsColumn"/>
            </w:pPr>
            <w:r w:rsidRPr="004870D6">
              <w:t>Duration</w:t>
            </w:r>
          </w:p>
        </w:tc>
        <w:tc>
          <w:tcPr>
            <w:tcW w:w="438" w:type="pct"/>
          </w:tcPr>
          <w:p w14:paraId="4C368DDA" w14:textId="77777777" w:rsidR="002D2E5D" w:rsidRPr="008E16B0" w:rsidRDefault="002D2E5D" w:rsidP="009D7FF0">
            <w:pPr>
              <w:pStyle w:val="Tabledata"/>
            </w:pPr>
          </w:p>
        </w:tc>
        <w:tc>
          <w:tcPr>
            <w:tcW w:w="500" w:type="pct"/>
          </w:tcPr>
          <w:p w14:paraId="63ECB770" w14:textId="77777777" w:rsidR="002D2E5D" w:rsidRPr="008E16B0" w:rsidRDefault="002D2E5D" w:rsidP="009D7FF0">
            <w:pPr>
              <w:pStyle w:val="Tabledata"/>
            </w:pPr>
          </w:p>
        </w:tc>
        <w:tc>
          <w:tcPr>
            <w:tcW w:w="500" w:type="pct"/>
          </w:tcPr>
          <w:p w14:paraId="0B463C53" w14:textId="77777777" w:rsidR="002D2E5D" w:rsidRPr="008E16B0" w:rsidRDefault="002D2E5D" w:rsidP="009D7FF0">
            <w:pPr>
              <w:pStyle w:val="Tabledata"/>
            </w:pPr>
          </w:p>
        </w:tc>
        <w:tc>
          <w:tcPr>
            <w:tcW w:w="498" w:type="pct"/>
          </w:tcPr>
          <w:p w14:paraId="20850090" w14:textId="77777777" w:rsidR="002D2E5D" w:rsidRPr="008E16B0" w:rsidRDefault="002D2E5D" w:rsidP="009D7FF0">
            <w:pPr>
              <w:pStyle w:val="Tabledata"/>
            </w:pPr>
          </w:p>
        </w:tc>
        <w:tc>
          <w:tcPr>
            <w:tcW w:w="498" w:type="pct"/>
          </w:tcPr>
          <w:p w14:paraId="297367EF" w14:textId="77777777" w:rsidR="002D2E5D" w:rsidRPr="008E16B0" w:rsidRDefault="002D2E5D" w:rsidP="009D7FF0">
            <w:pPr>
              <w:pStyle w:val="Tabledata"/>
            </w:pPr>
          </w:p>
        </w:tc>
        <w:tc>
          <w:tcPr>
            <w:tcW w:w="498" w:type="pct"/>
          </w:tcPr>
          <w:p w14:paraId="4B670A93" w14:textId="77777777" w:rsidR="002D2E5D" w:rsidRPr="00D82A41" w:rsidRDefault="002D2E5D" w:rsidP="009D7FF0">
            <w:pPr>
              <w:pStyle w:val="TableDataCentred"/>
            </w:pPr>
          </w:p>
        </w:tc>
        <w:tc>
          <w:tcPr>
            <w:tcW w:w="498" w:type="pct"/>
          </w:tcPr>
          <w:p w14:paraId="4B0D7F92" w14:textId="77777777" w:rsidR="002D2E5D" w:rsidRPr="00D82A41" w:rsidRDefault="002D2E5D" w:rsidP="009D7FF0">
            <w:pPr>
              <w:pStyle w:val="TableDataCentred"/>
            </w:pPr>
          </w:p>
        </w:tc>
        <w:tc>
          <w:tcPr>
            <w:tcW w:w="498" w:type="pct"/>
          </w:tcPr>
          <w:p w14:paraId="5FE3D988" w14:textId="77777777" w:rsidR="002D2E5D" w:rsidRPr="00D82A41" w:rsidRDefault="002D2E5D" w:rsidP="009D7FF0">
            <w:pPr>
              <w:pStyle w:val="TableDataCentred"/>
            </w:pPr>
            <w:r>
              <w:t>-0.071</w:t>
            </w:r>
          </w:p>
          <w:p w14:paraId="431D19E9" w14:textId="77777777" w:rsidR="002D2E5D" w:rsidRPr="00D82A41" w:rsidRDefault="002D2E5D" w:rsidP="009D7FF0">
            <w:pPr>
              <w:pStyle w:val="TableDataCentred"/>
            </w:pPr>
            <w:r>
              <w:t>(0.061)</w:t>
            </w:r>
          </w:p>
        </w:tc>
        <w:tc>
          <w:tcPr>
            <w:tcW w:w="477" w:type="pct"/>
          </w:tcPr>
          <w:p w14:paraId="4E77E1E0" w14:textId="77777777" w:rsidR="002D2E5D" w:rsidRPr="00D82A41" w:rsidRDefault="002D2E5D" w:rsidP="009D7FF0">
            <w:pPr>
              <w:pStyle w:val="TableDataCentred"/>
            </w:pPr>
            <w:r>
              <w:t>-0.069</w:t>
            </w:r>
          </w:p>
          <w:p w14:paraId="68212D3B" w14:textId="596CB26A" w:rsidR="002D2E5D" w:rsidRPr="00D82A41" w:rsidRDefault="002D2E5D" w:rsidP="009D7FF0">
            <w:pPr>
              <w:pStyle w:val="TableDataCentred"/>
            </w:pPr>
            <w:r>
              <w:t>(0.06</w:t>
            </w:r>
            <w:r w:rsidR="3F3AA5E8">
              <w:t>6</w:t>
            </w:r>
            <w:r>
              <w:t>)</w:t>
            </w:r>
          </w:p>
        </w:tc>
      </w:tr>
      <w:tr w:rsidR="00F508DE" w:rsidRPr="008E16B0" w14:paraId="27820975" w14:textId="77777777" w:rsidTr="005F623F">
        <w:tc>
          <w:tcPr>
            <w:tcW w:w="593" w:type="pct"/>
            <w:tcBorders>
              <w:bottom w:val="single" w:sz="4" w:space="0" w:color="auto"/>
            </w:tcBorders>
            <w:hideMark/>
          </w:tcPr>
          <w:p w14:paraId="030471BC" w14:textId="77777777" w:rsidR="002D2E5D" w:rsidRPr="004870D6" w:rsidRDefault="002D2E5D" w:rsidP="009D7FF0">
            <w:pPr>
              <w:pStyle w:val="TableHeadingsColumn"/>
            </w:pPr>
            <w:r w:rsidRPr="004870D6">
              <w:t>Decision Impact</w:t>
            </w:r>
          </w:p>
        </w:tc>
        <w:tc>
          <w:tcPr>
            <w:tcW w:w="438" w:type="pct"/>
            <w:tcBorders>
              <w:bottom w:val="single" w:sz="4" w:space="0" w:color="auto"/>
            </w:tcBorders>
            <w:hideMark/>
          </w:tcPr>
          <w:p w14:paraId="5C8BFA42" w14:textId="77777777" w:rsidR="002D2E5D" w:rsidRPr="008E16B0" w:rsidRDefault="002D2E5D" w:rsidP="009D7FF0">
            <w:pPr>
              <w:pStyle w:val="Tabledata"/>
            </w:pPr>
          </w:p>
        </w:tc>
        <w:tc>
          <w:tcPr>
            <w:tcW w:w="500" w:type="pct"/>
            <w:tcBorders>
              <w:bottom w:val="single" w:sz="4" w:space="0" w:color="auto"/>
            </w:tcBorders>
            <w:hideMark/>
          </w:tcPr>
          <w:p w14:paraId="010CA254" w14:textId="77777777" w:rsidR="002D2E5D" w:rsidRPr="008E16B0" w:rsidRDefault="002D2E5D" w:rsidP="009D7FF0">
            <w:pPr>
              <w:pStyle w:val="Tabledata"/>
            </w:pPr>
          </w:p>
        </w:tc>
        <w:tc>
          <w:tcPr>
            <w:tcW w:w="500" w:type="pct"/>
            <w:tcBorders>
              <w:bottom w:val="single" w:sz="4" w:space="0" w:color="auto"/>
            </w:tcBorders>
            <w:hideMark/>
          </w:tcPr>
          <w:p w14:paraId="5CBC2DA8" w14:textId="77777777" w:rsidR="002D2E5D" w:rsidRPr="008E16B0" w:rsidRDefault="002D2E5D" w:rsidP="009D7FF0">
            <w:pPr>
              <w:pStyle w:val="Tabledata"/>
            </w:pPr>
          </w:p>
        </w:tc>
        <w:tc>
          <w:tcPr>
            <w:tcW w:w="498" w:type="pct"/>
            <w:tcBorders>
              <w:bottom w:val="single" w:sz="4" w:space="0" w:color="auto"/>
            </w:tcBorders>
            <w:hideMark/>
          </w:tcPr>
          <w:p w14:paraId="3A306844" w14:textId="77777777" w:rsidR="002D2E5D" w:rsidRPr="008E16B0" w:rsidRDefault="002D2E5D" w:rsidP="009D7FF0">
            <w:pPr>
              <w:pStyle w:val="Tabledata"/>
            </w:pPr>
          </w:p>
        </w:tc>
        <w:tc>
          <w:tcPr>
            <w:tcW w:w="498" w:type="pct"/>
            <w:tcBorders>
              <w:bottom w:val="single" w:sz="4" w:space="0" w:color="auto"/>
            </w:tcBorders>
            <w:hideMark/>
          </w:tcPr>
          <w:p w14:paraId="6E1CBCA9" w14:textId="77777777" w:rsidR="002D2E5D" w:rsidRPr="008E16B0" w:rsidRDefault="002D2E5D" w:rsidP="009D7FF0">
            <w:pPr>
              <w:pStyle w:val="Tabledata"/>
            </w:pPr>
          </w:p>
        </w:tc>
        <w:tc>
          <w:tcPr>
            <w:tcW w:w="498" w:type="pct"/>
            <w:tcBorders>
              <w:bottom w:val="single" w:sz="4" w:space="0" w:color="auto"/>
            </w:tcBorders>
            <w:hideMark/>
          </w:tcPr>
          <w:p w14:paraId="5F7E95EE" w14:textId="77777777" w:rsidR="002D2E5D" w:rsidRPr="00D82A41" w:rsidRDefault="002D2E5D" w:rsidP="009D7FF0">
            <w:pPr>
              <w:pStyle w:val="TableDataCentred"/>
            </w:pPr>
          </w:p>
        </w:tc>
        <w:tc>
          <w:tcPr>
            <w:tcW w:w="498" w:type="pct"/>
            <w:tcBorders>
              <w:bottom w:val="single" w:sz="4" w:space="0" w:color="auto"/>
            </w:tcBorders>
            <w:hideMark/>
          </w:tcPr>
          <w:p w14:paraId="164AB317" w14:textId="77777777" w:rsidR="002D2E5D" w:rsidRPr="00D82A41" w:rsidRDefault="002D2E5D" w:rsidP="009D7FF0">
            <w:pPr>
              <w:pStyle w:val="TableDataCentred"/>
            </w:pPr>
          </w:p>
        </w:tc>
        <w:tc>
          <w:tcPr>
            <w:tcW w:w="498" w:type="pct"/>
            <w:tcBorders>
              <w:bottom w:val="single" w:sz="4" w:space="0" w:color="auto"/>
            </w:tcBorders>
            <w:hideMark/>
          </w:tcPr>
          <w:p w14:paraId="4AC534D9" w14:textId="77777777" w:rsidR="002D2E5D" w:rsidRPr="00D82A41" w:rsidRDefault="002D2E5D" w:rsidP="009D7FF0">
            <w:pPr>
              <w:pStyle w:val="TableDataCentred"/>
            </w:pPr>
          </w:p>
        </w:tc>
        <w:tc>
          <w:tcPr>
            <w:tcW w:w="477" w:type="pct"/>
            <w:tcBorders>
              <w:bottom w:val="single" w:sz="4" w:space="0" w:color="auto"/>
            </w:tcBorders>
            <w:hideMark/>
          </w:tcPr>
          <w:p w14:paraId="0A894B37" w14:textId="77777777" w:rsidR="002D2E5D" w:rsidRPr="00D82A41" w:rsidRDefault="002D2E5D" w:rsidP="009D7FF0">
            <w:pPr>
              <w:pStyle w:val="TableDataCentred"/>
            </w:pPr>
            <w:r>
              <w:t>-0.004</w:t>
            </w:r>
          </w:p>
          <w:p w14:paraId="5017436A" w14:textId="3A056B11" w:rsidR="002D2E5D" w:rsidRPr="00D82A41" w:rsidRDefault="002D2E5D" w:rsidP="009D7FF0">
            <w:pPr>
              <w:pStyle w:val="TableDataCentred"/>
            </w:pPr>
            <w:r>
              <w:t>(0.02</w:t>
            </w:r>
            <w:r w:rsidR="3F3AA5E8">
              <w:t>9</w:t>
            </w:r>
            <w:r>
              <w:t>)</w:t>
            </w:r>
          </w:p>
        </w:tc>
      </w:tr>
      <w:tr w:rsidR="00F508DE" w:rsidRPr="008E16B0" w14:paraId="56A6BDC0" w14:textId="77777777" w:rsidTr="005F623F">
        <w:tc>
          <w:tcPr>
            <w:tcW w:w="593" w:type="pct"/>
            <w:tcBorders>
              <w:top w:val="single" w:sz="4" w:space="0" w:color="auto"/>
              <w:bottom w:val="single" w:sz="4" w:space="0" w:color="auto"/>
            </w:tcBorders>
            <w:hideMark/>
          </w:tcPr>
          <w:p w14:paraId="42B1A013" w14:textId="77777777" w:rsidR="002D2E5D" w:rsidRPr="004870D6" w:rsidRDefault="002D2E5D" w:rsidP="009D7FF0">
            <w:pPr>
              <w:pStyle w:val="TableHeadingsColumn"/>
            </w:pPr>
            <w:r w:rsidRPr="004870D6">
              <w:t>Intercept</w:t>
            </w:r>
          </w:p>
        </w:tc>
        <w:tc>
          <w:tcPr>
            <w:tcW w:w="438" w:type="pct"/>
            <w:tcBorders>
              <w:top w:val="single" w:sz="4" w:space="0" w:color="auto"/>
              <w:bottom w:val="single" w:sz="4" w:space="0" w:color="auto"/>
            </w:tcBorders>
            <w:hideMark/>
          </w:tcPr>
          <w:p w14:paraId="3356D930" w14:textId="77777777" w:rsidR="002D2E5D" w:rsidRPr="00A211A1" w:rsidRDefault="002D2E5D" w:rsidP="009D7FF0">
            <w:pPr>
              <w:pStyle w:val="Tabledata"/>
            </w:pPr>
            <w:r w:rsidRPr="00A211A1">
              <w:t>0.376***</w:t>
            </w:r>
          </w:p>
          <w:p w14:paraId="25D6C993" w14:textId="2DE588C1" w:rsidR="002D2E5D" w:rsidRPr="00A211A1" w:rsidRDefault="00E439A1" w:rsidP="009D7FF0">
            <w:pPr>
              <w:pStyle w:val="Tabledatanospace"/>
            </w:pPr>
            <w:r>
              <w:t>(</w:t>
            </w:r>
            <w:r w:rsidR="002D2E5D" w:rsidRPr="00A211A1">
              <w:t>0.032)</w:t>
            </w:r>
          </w:p>
        </w:tc>
        <w:tc>
          <w:tcPr>
            <w:tcW w:w="500" w:type="pct"/>
            <w:tcBorders>
              <w:top w:val="single" w:sz="4" w:space="0" w:color="auto"/>
              <w:bottom w:val="single" w:sz="4" w:space="0" w:color="auto"/>
            </w:tcBorders>
            <w:hideMark/>
          </w:tcPr>
          <w:p w14:paraId="3BFFDCA7" w14:textId="77777777" w:rsidR="002D2E5D" w:rsidRPr="00A211A1" w:rsidRDefault="002D2E5D" w:rsidP="009D7FF0">
            <w:pPr>
              <w:pStyle w:val="Tabledata"/>
            </w:pPr>
            <w:r w:rsidRPr="00A211A1">
              <w:t>0.315***</w:t>
            </w:r>
          </w:p>
          <w:p w14:paraId="61C0BABF" w14:textId="23F692E9" w:rsidR="002D2E5D" w:rsidRPr="00A211A1" w:rsidRDefault="00E439A1" w:rsidP="009D7FF0">
            <w:pPr>
              <w:pStyle w:val="Tabledatanospace"/>
            </w:pPr>
            <w:r>
              <w:t>(</w:t>
            </w:r>
            <w:r w:rsidR="002D2E5D" w:rsidRPr="00A211A1">
              <w:t>0.032)</w:t>
            </w:r>
          </w:p>
        </w:tc>
        <w:tc>
          <w:tcPr>
            <w:tcW w:w="500" w:type="pct"/>
            <w:tcBorders>
              <w:top w:val="single" w:sz="4" w:space="0" w:color="auto"/>
              <w:bottom w:val="single" w:sz="4" w:space="0" w:color="auto"/>
            </w:tcBorders>
            <w:hideMark/>
          </w:tcPr>
          <w:p w14:paraId="39C9278D" w14:textId="60073E73" w:rsidR="002D2E5D" w:rsidRPr="00A211A1" w:rsidRDefault="002D2E5D" w:rsidP="009D7FF0">
            <w:pPr>
              <w:pStyle w:val="Tabledata"/>
            </w:pPr>
            <w:r>
              <w:t>0.33</w:t>
            </w:r>
            <w:r w:rsidR="25E1DDAB">
              <w:t>8</w:t>
            </w:r>
            <w:r>
              <w:t>***</w:t>
            </w:r>
          </w:p>
          <w:p w14:paraId="74FF10DB" w14:textId="413D1E8C" w:rsidR="002D2E5D" w:rsidRPr="00A211A1" w:rsidRDefault="00E439A1" w:rsidP="009D7FF0">
            <w:pPr>
              <w:pStyle w:val="Tabledatanospace"/>
            </w:pPr>
            <w:r>
              <w:t>(</w:t>
            </w:r>
            <w:r w:rsidR="002D2E5D" w:rsidRPr="00A211A1">
              <w:t>0.038)</w:t>
            </w:r>
          </w:p>
        </w:tc>
        <w:tc>
          <w:tcPr>
            <w:tcW w:w="498" w:type="pct"/>
            <w:tcBorders>
              <w:top w:val="single" w:sz="4" w:space="0" w:color="auto"/>
              <w:bottom w:val="single" w:sz="4" w:space="0" w:color="auto"/>
            </w:tcBorders>
            <w:hideMark/>
          </w:tcPr>
          <w:p w14:paraId="78368A15" w14:textId="08B83606" w:rsidR="002D2E5D" w:rsidRPr="00A211A1" w:rsidRDefault="002D2E5D" w:rsidP="009D7FF0">
            <w:pPr>
              <w:pStyle w:val="Tabledata"/>
            </w:pPr>
            <w:r>
              <w:t>0.30</w:t>
            </w:r>
            <w:r w:rsidR="1C40DF88">
              <w:t>9</w:t>
            </w:r>
            <w:r>
              <w:t>***</w:t>
            </w:r>
          </w:p>
          <w:p w14:paraId="5F5C3074" w14:textId="3420ACD1" w:rsidR="002D2E5D" w:rsidRPr="00A211A1" w:rsidRDefault="00E439A1" w:rsidP="009D7FF0">
            <w:pPr>
              <w:pStyle w:val="Tabledatanospace"/>
            </w:pPr>
            <w:r>
              <w:t>(</w:t>
            </w:r>
            <w:r w:rsidR="002D2E5D" w:rsidRPr="00A211A1">
              <w:t>0.043)</w:t>
            </w:r>
          </w:p>
        </w:tc>
        <w:tc>
          <w:tcPr>
            <w:tcW w:w="498" w:type="pct"/>
            <w:tcBorders>
              <w:top w:val="single" w:sz="4" w:space="0" w:color="auto"/>
              <w:bottom w:val="single" w:sz="4" w:space="0" w:color="auto"/>
            </w:tcBorders>
            <w:hideMark/>
          </w:tcPr>
          <w:p w14:paraId="6EBBB079" w14:textId="77777777" w:rsidR="002D2E5D" w:rsidRPr="00A211A1" w:rsidRDefault="002D2E5D" w:rsidP="009D7FF0">
            <w:pPr>
              <w:pStyle w:val="Tabledata"/>
            </w:pPr>
            <w:r w:rsidRPr="00A211A1">
              <w:t>0.330***</w:t>
            </w:r>
          </w:p>
          <w:p w14:paraId="316E0619" w14:textId="6589266C" w:rsidR="002D2E5D" w:rsidRPr="00A211A1" w:rsidRDefault="00E439A1" w:rsidP="009D7FF0">
            <w:pPr>
              <w:pStyle w:val="Tabledatanospace"/>
            </w:pPr>
            <w:r>
              <w:t>(</w:t>
            </w:r>
            <w:r w:rsidR="002D2E5D" w:rsidRPr="00A211A1">
              <w:t>0.050)</w:t>
            </w:r>
          </w:p>
        </w:tc>
        <w:tc>
          <w:tcPr>
            <w:tcW w:w="498" w:type="pct"/>
            <w:tcBorders>
              <w:top w:val="single" w:sz="4" w:space="0" w:color="auto"/>
              <w:bottom w:val="single" w:sz="4" w:space="0" w:color="auto"/>
            </w:tcBorders>
            <w:hideMark/>
          </w:tcPr>
          <w:p w14:paraId="64ECB589" w14:textId="77777777" w:rsidR="002D2E5D" w:rsidRPr="00A211A1" w:rsidRDefault="002D2E5D" w:rsidP="009D7FF0">
            <w:pPr>
              <w:pStyle w:val="Tabledata"/>
            </w:pPr>
            <w:r w:rsidRPr="00A211A1">
              <w:t>0.023</w:t>
            </w:r>
          </w:p>
          <w:p w14:paraId="67FD3B68" w14:textId="19948FB9" w:rsidR="002D2E5D" w:rsidRPr="00A211A1" w:rsidRDefault="00E439A1" w:rsidP="009D7FF0">
            <w:pPr>
              <w:pStyle w:val="Tabledatanospace"/>
            </w:pPr>
            <w:r>
              <w:t>(</w:t>
            </w:r>
            <w:r w:rsidR="002D2E5D" w:rsidRPr="00A211A1">
              <w:t>0.097)</w:t>
            </w:r>
          </w:p>
        </w:tc>
        <w:tc>
          <w:tcPr>
            <w:tcW w:w="498" w:type="pct"/>
            <w:tcBorders>
              <w:top w:val="single" w:sz="4" w:space="0" w:color="auto"/>
              <w:bottom w:val="single" w:sz="4" w:space="0" w:color="auto"/>
            </w:tcBorders>
            <w:hideMark/>
          </w:tcPr>
          <w:p w14:paraId="78DD0189" w14:textId="77777777" w:rsidR="002D2E5D" w:rsidRPr="00A211A1" w:rsidRDefault="002D2E5D" w:rsidP="009D7FF0">
            <w:pPr>
              <w:pStyle w:val="Tabledata"/>
            </w:pPr>
            <w:r w:rsidRPr="00A211A1">
              <w:t>0.048</w:t>
            </w:r>
          </w:p>
          <w:p w14:paraId="5190CF2B" w14:textId="4D239ADF" w:rsidR="002D2E5D" w:rsidRPr="00A211A1" w:rsidRDefault="0DB5F032" w:rsidP="009D7FF0">
            <w:pPr>
              <w:pStyle w:val="Tabledatanospace"/>
            </w:pPr>
            <w:r>
              <w:t>(</w:t>
            </w:r>
            <w:r w:rsidR="002D2E5D">
              <w:t>0.1</w:t>
            </w:r>
            <w:r w:rsidR="3F3AA5E8">
              <w:t>3</w:t>
            </w:r>
            <w:r w:rsidR="65B09540">
              <w:t>2</w:t>
            </w:r>
            <w:r w:rsidR="002D2E5D">
              <w:t>)</w:t>
            </w:r>
          </w:p>
        </w:tc>
        <w:tc>
          <w:tcPr>
            <w:tcW w:w="498" w:type="pct"/>
            <w:tcBorders>
              <w:top w:val="single" w:sz="4" w:space="0" w:color="auto"/>
              <w:bottom w:val="single" w:sz="4" w:space="0" w:color="auto"/>
            </w:tcBorders>
            <w:hideMark/>
          </w:tcPr>
          <w:p w14:paraId="3B687BC3" w14:textId="148D109B" w:rsidR="002D2E5D" w:rsidRPr="00A211A1" w:rsidRDefault="002D2E5D" w:rsidP="009D7FF0">
            <w:pPr>
              <w:pStyle w:val="Tabledata"/>
            </w:pPr>
            <w:r>
              <w:t>0.21</w:t>
            </w:r>
            <w:r w:rsidR="2EE655CF">
              <w:t>2</w:t>
            </w:r>
          </w:p>
          <w:p w14:paraId="3260CB32" w14:textId="2A9B10BB" w:rsidR="002D2E5D" w:rsidRPr="00A211A1" w:rsidRDefault="00E439A1" w:rsidP="009D7FF0">
            <w:pPr>
              <w:pStyle w:val="Tabledatanospace"/>
            </w:pPr>
            <w:r>
              <w:t>(</w:t>
            </w:r>
            <w:r w:rsidR="002D2E5D" w:rsidRPr="00A211A1">
              <w:t>0.192)</w:t>
            </w:r>
          </w:p>
        </w:tc>
        <w:tc>
          <w:tcPr>
            <w:tcW w:w="477" w:type="pct"/>
            <w:tcBorders>
              <w:top w:val="single" w:sz="4" w:space="0" w:color="auto"/>
              <w:bottom w:val="single" w:sz="4" w:space="0" w:color="auto"/>
            </w:tcBorders>
            <w:hideMark/>
          </w:tcPr>
          <w:p w14:paraId="46601175" w14:textId="0B4320C8" w:rsidR="002D2E5D" w:rsidRPr="00A211A1" w:rsidRDefault="002D2E5D" w:rsidP="009D7FF0">
            <w:pPr>
              <w:pStyle w:val="Tabledata"/>
            </w:pPr>
            <w:r>
              <w:t>0.22</w:t>
            </w:r>
            <w:r w:rsidR="777341FD">
              <w:t>8</w:t>
            </w:r>
          </w:p>
          <w:p w14:paraId="6E8A9C9A" w14:textId="65DB910F" w:rsidR="002D2E5D" w:rsidRPr="00A211A1" w:rsidRDefault="00E439A1" w:rsidP="009D7FF0">
            <w:pPr>
              <w:pStyle w:val="Tabledatanospace"/>
            </w:pPr>
            <w:r>
              <w:t>(</w:t>
            </w:r>
            <w:r w:rsidR="002D2E5D" w:rsidRPr="00A211A1">
              <w:t>0.231)</w:t>
            </w:r>
          </w:p>
        </w:tc>
      </w:tr>
      <w:tr w:rsidR="00F508DE" w:rsidRPr="008E16B0" w14:paraId="43C239D9" w14:textId="77777777" w:rsidTr="005F623F">
        <w:tc>
          <w:tcPr>
            <w:tcW w:w="593" w:type="pct"/>
            <w:tcBorders>
              <w:top w:val="single" w:sz="4" w:space="0" w:color="auto"/>
              <w:bottom w:val="nil"/>
            </w:tcBorders>
            <w:hideMark/>
          </w:tcPr>
          <w:p w14:paraId="55CA47B0" w14:textId="22C1130E" w:rsidR="002D2E5D" w:rsidRPr="002A63D3" w:rsidRDefault="002D2E5D" w:rsidP="009D7FF0">
            <w:pPr>
              <w:pStyle w:val="TableHeadingsColumn"/>
            </w:pPr>
            <w:proofErr w:type="spellStart"/>
            <w:r w:rsidRPr="004870D6">
              <w:t>Obs</w:t>
            </w:r>
            <w:proofErr w:type="spellEnd"/>
          </w:p>
        </w:tc>
        <w:tc>
          <w:tcPr>
            <w:tcW w:w="438" w:type="pct"/>
            <w:tcBorders>
              <w:top w:val="single" w:sz="4" w:space="0" w:color="auto"/>
              <w:bottom w:val="nil"/>
            </w:tcBorders>
            <w:hideMark/>
          </w:tcPr>
          <w:p w14:paraId="4C2D1C14" w14:textId="77777777" w:rsidR="002D2E5D" w:rsidRPr="008E16B0" w:rsidRDefault="002D2E5D" w:rsidP="009D7FF0">
            <w:pPr>
              <w:pStyle w:val="TableDataCentred"/>
            </w:pPr>
            <w:r w:rsidRPr="008E16B0">
              <w:t>7</w:t>
            </w:r>
            <w:r>
              <w:t>18</w:t>
            </w:r>
          </w:p>
        </w:tc>
        <w:tc>
          <w:tcPr>
            <w:tcW w:w="500" w:type="pct"/>
            <w:tcBorders>
              <w:top w:val="single" w:sz="4" w:space="0" w:color="auto"/>
              <w:bottom w:val="nil"/>
            </w:tcBorders>
            <w:hideMark/>
          </w:tcPr>
          <w:p w14:paraId="799B0FBE" w14:textId="77777777" w:rsidR="002D2E5D" w:rsidRPr="008E16B0" w:rsidRDefault="002D2E5D" w:rsidP="009D7FF0">
            <w:pPr>
              <w:pStyle w:val="TableDataCentred"/>
            </w:pPr>
            <w:r w:rsidRPr="008E16B0">
              <w:t>7</w:t>
            </w:r>
            <w:r>
              <w:t>18</w:t>
            </w:r>
          </w:p>
        </w:tc>
        <w:tc>
          <w:tcPr>
            <w:tcW w:w="500" w:type="pct"/>
            <w:tcBorders>
              <w:top w:val="single" w:sz="4" w:space="0" w:color="auto"/>
              <w:bottom w:val="nil"/>
            </w:tcBorders>
            <w:hideMark/>
          </w:tcPr>
          <w:p w14:paraId="4CB7DC1E" w14:textId="77777777" w:rsidR="002D2E5D" w:rsidRPr="008E16B0" w:rsidRDefault="002D2E5D" w:rsidP="009D7FF0">
            <w:pPr>
              <w:pStyle w:val="TableDataCentred"/>
            </w:pPr>
            <w:r>
              <w:t>698</w:t>
            </w:r>
          </w:p>
        </w:tc>
        <w:tc>
          <w:tcPr>
            <w:tcW w:w="498" w:type="pct"/>
            <w:tcBorders>
              <w:top w:val="single" w:sz="4" w:space="0" w:color="auto"/>
              <w:bottom w:val="nil"/>
            </w:tcBorders>
            <w:hideMark/>
          </w:tcPr>
          <w:p w14:paraId="44843A8C" w14:textId="77777777" w:rsidR="002D2E5D" w:rsidRPr="008E16B0" w:rsidRDefault="002D2E5D" w:rsidP="009D7FF0">
            <w:pPr>
              <w:pStyle w:val="TableDataCentred"/>
            </w:pPr>
            <w:r>
              <w:t>698</w:t>
            </w:r>
          </w:p>
        </w:tc>
        <w:tc>
          <w:tcPr>
            <w:tcW w:w="498" w:type="pct"/>
            <w:tcBorders>
              <w:top w:val="single" w:sz="4" w:space="0" w:color="auto"/>
              <w:bottom w:val="nil"/>
            </w:tcBorders>
            <w:hideMark/>
          </w:tcPr>
          <w:p w14:paraId="1FC6E9EC" w14:textId="77777777" w:rsidR="002D2E5D" w:rsidRPr="008E16B0" w:rsidRDefault="002D2E5D" w:rsidP="009D7FF0">
            <w:pPr>
              <w:pStyle w:val="TableDataCentred"/>
            </w:pPr>
            <w:r w:rsidRPr="008E16B0">
              <w:t>6</w:t>
            </w:r>
            <w:r>
              <w:t>06</w:t>
            </w:r>
          </w:p>
        </w:tc>
        <w:tc>
          <w:tcPr>
            <w:tcW w:w="498" w:type="pct"/>
            <w:tcBorders>
              <w:top w:val="single" w:sz="4" w:space="0" w:color="auto"/>
              <w:bottom w:val="nil"/>
            </w:tcBorders>
            <w:hideMark/>
          </w:tcPr>
          <w:p w14:paraId="2D08CD24" w14:textId="77777777" w:rsidR="002D2E5D" w:rsidRPr="008E16B0" w:rsidRDefault="002D2E5D" w:rsidP="009D7FF0">
            <w:pPr>
              <w:pStyle w:val="TableDataCentred"/>
            </w:pPr>
            <w:r>
              <w:t>606</w:t>
            </w:r>
          </w:p>
        </w:tc>
        <w:tc>
          <w:tcPr>
            <w:tcW w:w="498" w:type="pct"/>
            <w:tcBorders>
              <w:top w:val="single" w:sz="4" w:space="0" w:color="auto"/>
              <w:bottom w:val="nil"/>
            </w:tcBorders>
            <w:hideMark/>
          </w:tcPr>
          <w:p w14:paraId="45B29FB7" w14:textId="77777777" w:rsidR="002D2E5D" w:rsidRPr="008E16B0" w:rsidRDefault="002D2E5D" w:rsidP="009D7FF0">
            <w:pPr>
              <w:pStyle w:val="TableDataCentred"/>
            </w:pPr>
            <w:r w:rsidRPr="008E16B0">
              <w:t>6</w:t>
            </w:r>
            <w:r>
              <w:t>06</w:t>
            </w:r>
          </w:p>
        </w:tc>
        <w:tc>
          <w:tcPr>
            <w:tcW w:w="498" w:type="pct"/>
            <w:tcBorders>
              <w:top w:val="single" w:sz="4" w:space="0" w:color="auto"/>
              <w:bottom w:val="nil"/>
            </w:tcBorders>
            <w:hideMark/>
          </w:tcPr>
          <w:p w14:paraId="70A60DD0" w14:textId="77777777" w:rsidR="002D2E5D" w:rsidRPr="008E16B0" w:rsidRDefault="002D2E5D" w:rsidP="009D7FF0">
            <w:pPr>
              <w:pStyle w:val="TableDataCentred"/>
            </w:pPr>
            <w:r w:rsidRPr="008E16B0">
              <w:t>6</w:t>
            </w:r>
            <w:r>
              <w:t>06</w:t>
            </w:r>
          </w:p>
        </w:tc>
        <w:tc>
          <w:tcPr>
            <w:tcW w:w="477" w:type="pct"/>
            <w:tcBorders>
              <w:top w:val="single" w:sz="4" w:space="0" w:color="auto"/>
              <w:bottom w:val="nil"/>
            </w:tcBorders>
            <w:hideMark/>
          </w:tcPr>
          <w:p w14:paraId="2D6CD8B4" w14:textId="77777777" w:rsidR="002D2E5D" w:rsidRPr="008E16B0" w:rsidRDefault="002D2E5D" w:rsidP="009D7FF0">
            <w:pPr>
              <w:pStyle w:val="TableDataCentred"/>
            </w:pPr>
            <w:r w:rsidRPr="008E16B0">
              <w:t>6</w:t>
            </w:r>
            <w:r>
              <w:t>06</w:t>
            </w:r>
          </w:p>
        </w:tc>
      </w:tr>
      <w:tr w:rsidR="00F508DE" w:rsidRPr="008E16B0" w14:paraId="39ABB259" w14:textId="77777777" w:rsidTr="005F623F">
        <w:tc>
          <w:tcPr>
            <w:tcW w:w="593" w:type="pct"/>
            <w:tcBorders>
              <w:top w:val="nil"/>
              <w:bottom w:val="single" w:sz="4" w:space="0" w:color="auto"/>
            </w:tcBorders>
            <w:hideMark/>
          </w:tcPr>
          <w:p w14:paraId="0D32061D" w14:textId="77777777" w:rsidR="002D2E5D" w:rsidRPr="004870D6" w:rsidRDefault="002D2E5D" w:rsidP="009D7FF0">
            <w:pPr>
              <w:pStyle w:val="TableHeadingsColumn"/>
            </w:pPr>
            <w:r w:rsidRPr="004870D6">
              <w:t>Cases</w:t>
            </w:r>
          </w:p>
        </w:tc>
        <w:tc>
          <w:tcPr>
            <w:tcW w:w="438" w:type="pct"/>
            <w:tcBorders>
              <w:top w:val="nil"/>
              <w:bottom w:val="single" w:sz="4" w:space="0" w:color="auto"/>
            </w:tcBorders>
            <w:hideMark/>
          </w:tcPr>
          <w:p w14:paraId="53213690" w14:textId="77777777" w:rsidR="002D2E5D" w:rsidRPr="008E16B0" w:rsidRDefault="002D2E5D" w:rsidP="009D7FF0">
            <w:pPr>
              <w:pStyle w:val="TableDataCentred"/>
            </w:pPr>
            <w:r w:rsidRPr="008E16B0">
              <w:t>1</w:t>
            </w:r>
            <w:r>
              <w:t>7</w:t>
            </w:r>
          </w:p>
        </w:tc>
        <w:tc>
          <w:tcPr>
            <w:tcW w:w="500" w:type="pct"/>
            <w:tcBorders>
              <w:top w:val="nil"/>
              <w:bottom w:val="single" w:sz="4" w:space="0" w:color="auto"/>
            </w:tcBorders>
            <w:hideMark/>
          </w:tcPr>
          <w:p w14:paraId="3C371CB6" w14:textId="77777777" w:rsidR="002D2E5D" w:rsidRPr="008E16B0" w:rsidRDefault="002D2E5D" w:rsidP="009D7FF0">
            <w:pPr>
              <w:pStyle w:val="TableDataCentred"/>
            </w:pPr>
            <w:r w:rsidRPr="008E16B0">
              <w:t>1</w:t>
            </w:r>
            <w:r>
              <w:t>7</w:t>
            </w:r>
          </w:p>
        </w:tc>
        <w:tc>
          <w:tcPr>
            <w:tcW w:w="500" w:type="pct"/>
            <w:tcBorders>
              <w:top w:val="nil"/>
              <w:bottom w:val="single" w:sz="4" w:space="0" w:color="auto"/>
            </w:tcBorders>
            <w:hideMark/>
          </w:tcPr>
          <w:p w14:paraId="29554943" w14:textId="77777777" w:rsidR="002D2E5D" w:rsidRPr="008E16B0" w:rsidRDefault="002D2E5D" w:rsidP="009D7FF0">
            <w:pPr>
              <w:pStyle w:val="TableDataCentred"/>
            </w:pPr>
            <w:r w:rsidRPr="008E16B0">
              <w:t>1</w:t>
            </w:r>
            <w:r>
              <w:t>6</w:t>
            </w:r>
          </w:p>
        </w:tc>
        <w:tc>
          <w:tcPr>
            <w:tcW w:w="498" w:type="pct"/>
            <w:tcBorders>
              <w:top w:val="nil"/>
              <w:bottom w:val="single" w:sz="4" w:space="0" w:color="auto"/>
            </w:tcBorders>
            <w:hideMark/>
          </w:tcPr>
          <w:p w14:paraId="47E84C55" w14:textId="77777777" w:rsidR="002D2E5D" w:rsidRPr="008E16B0" w:rsidRDefault="002D2E5D" w:rsidP="009D7FF0">
            <w:pPr>
              <w:pStyle w:val="TableDataCentred"/>
            </w:pPr>
            <w:r w:rsidRPr="008E16B0">
              <w:t>1</w:t>
            </w:r>
            <w:r>
              <w:t>6</w:t>
            </w:r>
          </w:p>
        </w:tc>
        <w:tc>
          <w:tcPr>
            <w:tcW w:w="498" w:type="pct"/>
            <w:tcBorders>
              <w:top w:val="nil"/>
              <w:bottom w:val="single" w:sz="4" w:space="0" w:color="auto"/>
            </w:tcBorders>
            <w:hideMark/>
          </w:tcPr>
          <w:p w14:paraId="35C52D2D" w14:textId="77777777" w:rsidR="002D2E5D" w:rsidRPr="008E16B0" w:rsidRDefault="002D2E5D" w:rsidP="009D7FF0">
            <w:pPr>
              <w:pStyle w:val="TableDataCentred"/>
            </w:pPr>
            <w:r w:rsidRPr="008E16B0">
              <w:t>1</w:t>
            </w:r>
            <w:r>
              <w:t>5</w:t>
            </w:r>
          </w:p>
        </w:tc>
        <w:tc>
          <w:tcPr>
            <w:tcW w:w="498" w:type="pct"/>
            <w:tcBorders>
              <w:top w:val="nil"/>
              <w:bottom w:val="single" w:sz="4" w:space="0" w:color="auto"/>
            </w:tcBorders>
            <w:hideMark/>
          </w:tcPr>
          <w:p w14:paraId="6862D815" w14:textId="77777777" w:rsidR="002D2E5D" w:rsidRPr="008E16B0" w:rsidRDefault="002D2E5D" w:rsidP="009D7FF0">
            <w:pPr>
              <w:pStyle w:val="TableDataCentred"/>
            </w:pPr>
            <w:r w:rsidRPr="008E16B0">
              <w:t>1</w:t>
            </w:r>
            <w:r>
              <w:t>5</w:t>
            </w:r>
          </w:p>
        </w:tc>
        <w:tc>
          <w:tcPr>
            <w:tcW w:w="498" w:type="pct"/>
            <w:tcBorders>
              <w:top w:val="nil"/>
              <w:bottom w:val="single" w:sz="4" w:space="0" w:color="auto"/>
            </w:tcBorders>
            <w:hideMark/>
          </w:tcPr>
          <w:p w14:paraId="33089B6F" w14:textId="77777777" w:rsidR="002D2E5D" w:rsidRPr="008E16B0" w:rsidRDefault="002D2E5D" w:rsidP="009D7FF0">
            <w:pPr>
              <w:pStyle w:val="TableDataCentred"/>
            </w:pPr>
            <w:r w:rsidRPr="008E16B0">
              <w:t>1</w:t>
            </w:r>
            <w:r>
              <w:t>5</w:t>
            </w:r>
          </w:p>
        </w:tc>
        <w:tc>
          <w:tcPr>
            <w:tcW w:w="498" w:type="pct"/>
            <w:tcBorders>
              <w:top w:val="nil"/>
              <w:bottom w:val="single" w:sz="4" w:space="0" w:color="auto"/>
            </w:tcBorders>
            <w:hideMark/>
          </w:tcPr>
          <w:p w14:paraId="6C3FCA30" w14:textId="77777777" w:rsidR="002D2E5D" w:rsidRPr="008E16B0" w:rsidRDefault="002D2E5D" w:rsidP="009D7FF0">
            <w:pPr>
              <w:pStyle w:val="TableDataCentred"/>
            </w:pPr>
            <w:r w:rsidRPr="008E16B0">
              <w:t>1</w:t>
            </w:r>
            <w:r>
              <w:t>5</w:t>
            </w:r>
          </w:p>
        </w:tc>
        <w:tc>
          <w:tcPr>
            <w:tcW w:w="477" w:type="pct"/>
            <w:tcBorders>
              <w:top w:val="nil"/>
              <w:bottom w:val="single" w:sz="4" w:space="0" w:color="auto"/>
            </w:tcBorders>
            <w:hideMark/>
          </w:tcPr>
          <w:p w14:paraId="663C7D9C" w14:textId="77777777" w:rsidR="002D2E5D" w:rsidRPr="008E16B0" w:rsidRDefault="002D2E5D" w:rsidP="009D7FF0">
            <w:pPr>
              <w:pStyle w:val="TableDataCentred"/>
            </w:pPr>
            <w:r w:rsidRPr="008E16B0">
              <w:t>1</w:t>
            </w:r>
            <w:r>
              <w:t>5</w:t>
            </w:r>
          </w:p>
        </w:tc>
      </w:tr>
      <w:tr w:rsidR="00F508DE" w:rsidRPr="008E16B0" w14:paraId="0EA8631B" w14:textId="77777777" w:rsidTr="005F623F">
        <w:tc>
          <w:tcPr>
            <w:tcW w:w="593" w:type="pct"/>
            <w:tcBorders>
              <w:top w:val="single" w:sz="4" w:space="0" w:color="auto"/>
            </w:tcBorders>
            <w:hideMark/>
          </w:tcPr>
          <w:p w14:paraId="0AE5D0A9" w14:textId="77777777" w:rsidR="002D2E5D" w:rsidRPr="004870D6" w:rsidRDefault="002D2E5D" w:rsidP="009D7FF0">
            <w:pPr>
              <w:pStyle w:val="TableHeadingsColumn"/>
            </w:pPr>
            <w:r w:rsidRPr="004870D6">
              <w:t>Pseudo-R</w:t>
            </w:r>
            <w:r w:rsidRPr="000E7EB2">
              <w:rPr>
                <w:vertAlign w:val="superscript"/>
              </w:rPr>
              <w:t>2</w:t>
            </w:r>
            <w:r w:rsidRPr="004870D6">
              <w:t xml:space="preserve"> (Fixed Effect)</w:t>
            </w:r>
          </w:p>
        </w:tc>
        <w:tc>
          <w:tcPr>
            <w:tcW w:w="438" w:type="pct"/>
            <w:tcBorders>
              <w:top w:val="single" w:sz="4" w:space="0" w:color="auto"/>
            </w:tcBorders>
            <w:hideMark/>
          </w:tcPr>
          <w:p w14:paraId="2D828C15" w14:textId="77777777" w:rsidR="002D2E5D" w:rsidRPr="008E16B0" w:rsidRDefault="002D2E5D" w:rsidP="009D7FF0">
            <w:pPr>
              <w:pStyle w:val="TableDataCentred"/>
            </w:pPr>
            <w:r w:rsidRPr="008E16B0">
              <w:t>0</w:t>
            </w:r>
          </w:p>
        </w:tc>
        <w:tc>
          <w:tcPr>
            <w:tcW w:w="500" w:type="pct"/>
            <w:tcBorders>
              <w:top w:val="single" w:sz="4" w:space="0" w:color="auto"/>
            </w:tcBorders>
            <w:hideMark/>
          </w:tcPr>
          <w:p w14:paraId="0444CD4F" w14:textId="77777777" w:rsidR="002D2E5D" w:rsidRPr="008E16B0" w:rsidRDefault="002D2E5D" w:rsidP="009D7FF0">
            <w:pPr>
              <w:pStyle w:val="TableDataCentred"/>
            </w:pPr>
            <w:r w:rsidRPr="008E16B0">
              <w:t>0.0</w:t>
            </w:r>
            <w:r>
              <w:t>76</w:t>
            </w:r>
          </w:p>
        </w:tc>
        <w:tc>
          <w:tcPr>
            <w:tcW w:w="500" w:type="pct"/>
            <w:tcBorders>
              <w:top w:val="single" w:sz="4" w:space="0" w:color="auto"/>
            </w:tcBorders>
            <w:hideMark/>
          </w:tcPr>
          <w:p w14:paraId="5E8514B5" w14:textId="77777777" w:rsidR="002D2E5D" w:rsidRPr="008E16B0" w:rsidRDefault="002D2E5D" w:rsidP="009D7FF0">
            <w:pPr>
              <w:pStyle w:val="TableDataCentred"/>
            </w:pPr>
            <w:r w:rsidRPr="008E16B0">
              <w:t>0.070</w:t>
            </w:r>
          </w:p>
        </w:tc>
        <w:tc>
          <w:tcPr>
            <w:tcW w:w="498" w:type="pct"/>
            <w:tcBorders>
              <w:top w:val="single" w:sz="4" w:space="0" w:color="auto"/>
            </w:tcBorders>
            <w:hideMark/>
          </w:tcPr>
          <w:p w14:paraId="327848C2" w14:textId="77777777" w:rsidR="002D2E5D" w:rsidRPr="008E16B0" w:rsidRDefault="002D2E5D" w:rsidP="009D7FF0">
            <w:pPr>
              <w:pStyle w:val="TableDataCentred"/>
            </w:pPr>
            <w:r w:rsidRPr="008E16B0">
              <w:t>0.07</w:t>
            </w:r>
            <w:r>
              <w:t>2</w:t>
            </w:r>
          </w:p>
        </w:tc>
        <w:tc>
          <w:tcPr>
            <w:tcW w:w="498" w:type="pct"/>
            <w:tcBorders>
              <w:top w:val="single" w:sz="4" w:space="0" w:color="auto"/>
            </w:tcBorders>
            <w:hideMark/>
          </w:tcPr>
          <w:p w14:paraId="4B8C0E9F" w14:textId="77777777" w:rsidR="002D2E5D" w:rsidRPr="008E16B0" w:rsidRDefault="002D2E5D" w:rsidP="009D7FF0">
            <w:pPr>
              <w:pStyle w:val="TableDataCentred"/>
            </w:pPr>
            <w:r w:rsidRPr="008E16B0">
              <w:t>0.0</w:t>
            </w:r>
            <w:r>
              <w:t>70</w:t>
            </w:r>
          </w:p>
        </w:tc>
        <w:tc>
          <w:tcPr>
            <w:tcW w:w="498" w:type="pct"/>
            <w:tcBorders>
              <w:top w:val="single" w:sz="4" w:space="0" w:color="auto"/>
            </w:tcBorders>
            <w:hideMark/>
          </w:tcPr>
          <w:p w14:paraId="5719C2ED" w14:textId="77777777" w:rsidR="002D2E5D" w:rsidRPr="008E16B0" w:rsidRDefault="002D2E5D" w:rsidP="009D7FF0">
            <w:pPr>
              <w:pStyle w:val="TableDataCentred"/>
            </w:pPr>
            <w:r w:rsidRPr="008E16B0">
              <w:t>0.2</w:t>
            </w:r>
            <w:r>
              <w:t>92</w:t>
            </w:r>
          </w:p>
        </w:tc>
        <w:tc>
          <w:tcPr>
            <w:tcW w:w="498" w:type="pct"/>
            <w:tcBorders>
              <w:top w:val="single" w:sz="4" w:space="0" w:color="auto"/>
            </w:tcBorders>
            <w:hideMark/>
          </w:tcPr>
          <w:p w14:paraId="1257DDC9" w14:textId="6F9AB11A" w:rsidR="002D2E5D" w:rsidRPr="008E16B0" w:rsidRDefault="002D2E5D" w:rsidP="009D7FF0">
            <w:pPr>
              <w:pStyle w:val="TableDataCentred"/>
            </w:pPr>
            <w:r>
              <w:t>0.29</w:t>
            </w:r>
            <w:r w:rsidR="0C02FCAD">
              <w:t>2</w:t>
            </w:r>
          </w:p>
        </w:tc>
        <w:tc>
          <w:tcPr>
            <w:tcW w:w="498" w:type="pct"/>
            <w:tcBorders>
              <w:top w:val="single" w:sz="4" w:space="0" w:color="auto"/>
            </w:tcBorders>
            <w:hideMark/>
          </w:tcPr>
          <w:p w14:paraId="4FE419C5" w14:textId="77777777" w:rsidR="002D2E5D" w:rsidRPr="008E16B0" w:rsidRDefault="002D2E5D" w:rsidP="009D7FF0">
            <w:pPr>
              <w:pStyle w:val="TableDataCentred"/>
            </w:pPr>
            <w:r w:rsidRPr="008E16B0">
              <w:t>0.2</w:t>
            </w:r>
            <w:r>
              <w:t>94</w:t>
            </w:r>
          </w:p>
        </w:tc>
        <w:tc>
          <w:tcPr>
            <w:tcW w:w="477" w:type="pct"/>
            <w:tcBorders>
              <w:top w:val="single" w:sz="4" w:space="0" w:color="auto"/>
            </w:tcBorders>
            <w:hideMark/>
          </w:tcPr>
          <w:p w14:paraId="7CBD8BC8" w14:textId="77777777" w:rsidR="002D2E5D" w:rsidRPr="008E16B0" w:rsidRDefault="002D2E5D" w:rsidP="009D7FF0">
            <w:pPr>
              <w:pStyle w:val="TableDataCentred"/>
            </w:pPr>
            <w:r w:rsidRPr="008E16B0">
              <w:t>0.2</w:t>
            </w:r>
            <w:r>
              <w:t>88</w:t>
            </w:r>
          </w:p>
        </w:tc>
      </w:tr>
      <w:tr w:rsidR="00F508DE" w:rsidRPr="008E16B0" w14:paraId="1F0A323F" w14:textId="77777777" w:rsidTr="005F623F">
        <w:tc>
          <w:tcPr>
            <w:tcW w:w="593" w:type="pct"/>
            <w:hideMark/>
          </w:tcPr>
          <w:p w14:paraId="6CEEC890" w14:textId="785FEDEE" w:rsidR="002D2E5D" w:rsidRPr="004870D6" w:rsidRDefault="002D2E5D" w:rsidP="009D7FF0">
            <w:pPr>
              <w:pStyle w:val="TableHeadingsColumn"/>
            </w:pPr>
            <w:r w:rsidRPr="004870D6">
              <w:t>ΔR</w:t>
            </w:r>
            <w:r w:rsidRPr="000E7EB2">
              <w:rPr>
                <w:vertAlign w:val="superscript"/>
              </w:rPr>
              <w:t xml:space="preserve">2 </w:t>
            </w:r>
            <w:r w:rsidRPr="004870D6">
              <w:t>(fixed)</w:t>
            </w:r>
          </w:p>
        </w:tc>
        <w:tc>
          <w:tcPr>
            <w:tcW w:w="438" w:type="pct"/>
            <w:hideMark/>
          </w:tcPr>
          <w:p w14:paraId="1F9140A3" w14:textId="77777777" w:rsidR="002D2E5D" w:rsidRPr="008E16B0" w:rsidRDefault="002D2E5D" w:rsidP="009D7FF0">
            <w:pPr>
              <w:pStyle w:val="Tabledata"/>
            </w:pPr>
          </w:p>
        </w:tc>
        <w:tc>
          <w:tcPr>
            <w:tcW w:w="500" w:type="pct"/>
            <w:hideMark/>
          </w:tcPr>
          <w:p w14:paraId="22697EAA" w14:textId="77777777" w:rsidR="002D2E5D" w:rsidRPr="008E16B0" w:rsidRDefault="002D2E5D" w:rsidP="009D7FF0">
            <w:pPr>
              <w:pStyle w:val="TableDataCentred"/>
            </w:pPr>
            <w:r w:rsidRPr="008E16B0">
              <w:t>0.0</w:t>
            </w:r>
            <w:r>
              <w:t>7</w:t>
            </w:r>
            <w:r w:rsidRPr="008E16B0">
              <w:t>6</w:t>
            </w:r>
          </w:p>
        </w:tc>
        <w:tc>
          <w:tcPr>
            <w:tcW w:w="500" w:type="pct"/>
            <w:hideMark/>
          </w:tcPr>
          <w:p w14:paraId="442D043E" w14:textId="77777777" w:rsidR="002D2E5D" w:rsidRPr="008E16B0" w:rsidRDefault="002D2E5D" w:rsidP="009D7FF0">
            <w:pPr>
              <w:pStyle w:val="TableDataCentred"/>
            </w:pPr>
            <w:r>
              <w:t>-</w:t>
            </w:r>
            <w:r w:rsidRPr="008E16B0">
              <w:t>0.00</w:t>
            </w:r>
            <w:r>
              <w:t>6</w:t>
            </w:r>
          </w:p>
        </w:tc>
        <w:tc>
          <w:tcPr>
            <w:tcW w:w="498" w:type="pct"/>
            <w:hideMark/>
          </w:tcPr>
          <w:p w14:paraId="0E08991D" w14:textId="77777777" w:rsidR="002D2E5D" w:rsidRPr="008E16B0" w:rsidRDefault="002D2E5D" w:rsidP="009D7FF0">
            <w:pPr>
              <w:pStyle w:val="TableDataCentred"/>
            </w:pPr>
            <w:r w:rsidRPr="008E16B0">
              <w:t>0.00</w:t>
            </w:r>
            <w:r>
              <w:t>2</w:t>
            </w:r>
          </w:p>
        </w:tc>
        <w:tc>
          <w:tcPr>
            <w:tcW w:w="498" w:type="pct"/>
            <w:hideMark/>
          </w:tcPr>
          <w:p w14:paraId="7AE6B829" w14:textId="77777777" w:rsidR="002D2E5D" w:rsidRPr="008E16B0" w:rsidRDefault="002D2E5D" w:rsidP="009D7FF0">
            <w:pPr>
              <w:pStyle w:val="TableDataCentred"/>
            </w:pPr>
            <w:r w:rsidRPr="008E16B0">
              <w:t>-0.00</w:t>
            </w:r>
            <w:r>
              <w:t>2</w:t>
            </w:r>
          </w:p>
        </w:tc>
        <w:tc>
          <w:tcPr>
            <w:tcW w:w="498" w:type="pct"/>
            <w:hideMark/>
          </w:tcPr>
          <w:p w14:paraId="0033F9CE" w14:textId="77777777" w:rsidR="002D2E5D" w:rsidRPr="008E16B0" w:rsidRDefault="002D2E5D" w:rsidP="009D7FF0">
            <w:pPr>
              <w:pStyle w:val="TableDataCentred"/>
            </w:pPr>
            <w:r w:rsidRPr="008E16B0">
              <w:t>0.</w:t>
            </w:r>
            <w:r>
              <w:t>222</w:t>
            </w:r>
          </w:p>
        </w:tc>
        <w:tc>
          <w:tcPr>
            <w:tcW w:w="498" w:type="pct"/>
            <w:hideMark/>
          </w:tcPr>
          <w:p w14:paraId="6502FF84" w14:textId="35453576" w:rsidR="002D2E5D" w:rsidRPr="008E16B0" w:rsidRDefault="002D2E5D" w:rsidP="009D7FF0">
            <w:pPr>
              <w:pStyle w:val="TableDataCentred"/>
            </w:pPr>
            <w:r>
              <w:t>0.00</w:t>
            </w:r>
            <w:r w:rsidR="6C6374D7">
              <w:t>0</w:t>
            </w:r>
          </w:p>
        </w:tc>
        <w:tc>
          <w:tcPr>
            <w:tcW w:w="498" w:type="pct"/>
            <w:hideMark/>
          </w:tcPr>
          <w:p w14:paraId="3F116730" w14:textId="0CB21760" w:rsidR="002D2E5D" w:rsidRPr="008E16B0" w:rsidRDefault="002D2E5D" w:rsidP="009D7FF0">
            <w:pPr>
              <w:pStyle w:val="TableDataCentred"/>
            </w:pPr>
            <w:r>
              <w:t>0.00</w:t>
            </w:r>
            <w:r w:rsidR="7C1F49A0">
              <w:t>2</w:t>
            </w:r>
          </w:p>
        </w:tc>
        <w:tc>
          <w:tcPr>
            <w:tcW w:w="477" w:type="pct"/>
            <w:hideMark/>
          </w:tcPr>
          <w:p w14:paraId="19B06472" w14:textId="77777777" w:rsidR="002D2E5D" w:rsidRPr="008E16B0" w:rsidRDefault="002D2E5D" w:rsidP="009D7FF0">
            <w:pPr>
              <w:pStyle w:val="TableDataCentred"/>
            </w:pPr>
            <w:r w:rsidRPr="008E16B0">
              <w:t>-0.00</w:t>
            </w:r>
            <w:r>
              <w:t>6</w:t>
            </w:r>
          </w:p>
        </w:tc>
      </w:tr>
      <w:tr w:rsidR="00F508DE" w:rsidRPr="008E16B0" w14:paraId="368A20A6" w14:textId="77777777" w:rsidTr="005F623F">
        <w:tc>
          <w:tcPr>
            <w:tcW w:w="593" w:type="pct"/>
            <w:tcBorders>
              <w:bottom w:val="nil"/>
            </w:tcBorders>
          </w:tcPr>
          <w:p w14:paraId="653663A4" w14:textId="5EF80FE1" w:rsidR="002D2E5D" w:rsidRPr="004870D6" w:rsidRDefault="002D2E5D" w:rsidP="009D7FF0">
            <w:pPr>
              <w:pStyle w:val="TableHeadingsColumn"/>
            </w:pPr>
            <w:r w:rsidRPr="002A63D3">
              <w:t>Group RE σ</w:t>
            </w:r>
          </w:p>
        </w:tc>
        <w:tc>
          <w:tcPr>
            <w:tcW w:w="438" w:type="pct"/>
            <w:tcBorders>
              <w:bottom w:val="nil"/>
            </w:tcBorders>
          </w:tcPr>
          <w:p w14:paraId="729972BA" w14:textId="77777777" w:rsidR="002D2E5D" w:rsidRPr="008E16B0" w:rsidRDefault="002D2E5D" w:rsidP="009D7FF0">
            <w:pPr>
              <w:pStyle w:val="TableDataCentred"/>
            </w:pPr>
            <w:r w:rsidRPr="008E16B0">
              <w:rPr>
                <w:rFonts w:eastAsia="Cambria"/>
              </w:rPr>
              <w:t>0.1</w:t>
            </w:r>
            <w:r>
              <w:rPr>
                <w:rFonts w:eastAsia="Cambria"/>
              </w:rPr>
              <w:t>3</w:t>
            </w:r>
          </w:p>
        </w:tc>
        <w:tc>
          <w:tcPr>
            <w:tcW w:w="500" w:type="pct"/>
            <w:tcBorders>
              <w:bottom w:val="nil"/>
            </w:tcBorders>
          </w:tcPr>
          <w:p w14:paraId="03D335D8" w14:textId="77777777" w:rsidR="002D2E5D" w:rsidRPr="008E16B0" w:rsidRDefault="002D2E5D" w:rsidP="009D7FF0">
            <w:pPr>
              <w:pStyle w:val="TableDataCentred"/>
            </w:pPr>
            <w:r w:rsidRPr="008E16B0">
              <w:rPr>
                <w:rFonts w:eastAsia="Cambria"/>
              </w:rPr>
              <w:t>0.1</w:t>
            </w:r>
            <w:r>
              <w:rPr>
                <w:rFonts w:eastAsia="Cambria"/>
              </w:rPr>
              <w:t>3</w:t>
            </w:r>
          </w:p>
        </w:tc>
        <w:tc>
          <w:tcPr>
            <w:tcW w:w="500" w:type="pct"/>
            <w:tcBorders>
              <w:bottom w:val="nil"/>
            </w:tcBorders>
          </w:tcPr>
          <w:p w14:paraId="58C56513" w14:textId="77777777" w:rsidR="002D2E5D" w:rsidRPr="008E16B0" w:rsidRDefault="002D2E5D" w:rsidP="009D7FF0">
            <w:pPr>
              <w:pStyle w:val="TableDataCentred"/>
            </w:pPr>
            <w:r w:rsidRPr="008E16B0">
              <w:rPr>
                <w:rFonts w:eastAsia="Cambria"/>
              </w:rPr>
              <w:t>0.13</w:t>
            </w:r>
          </w:p>
        </w:tc>
        <w:tc>
          <w:tcPr>
            <w:tcW w:w="498" w:type="pct"/>
            <w:tcBorders>
              <w:bottom w:val="nil"/>
            </w:tcBorders>
          </w:tcPr>
          <w:p w14:paraId="27C3804A" w14:textId="77777777" w:rsidR="002D2E5D" w:rsidRPr="008E16B0" w:rsidRDefault="002D2E5D" w:rsidP="009D7FF0">
            <w:pPr>
              <w:pStyle w:val="TableDataCentred"/>
            </w:pPr>
            <w:r w:rsidRPr="008E16B0">
              <w:rPr>
                <w:rFonts w:eastAsia="Cambria"/>
              </w:rPr>
              <w:t>0.13</w:t>
            </w:r>
          </w:p>
        </w:tc>
        <w:tc>
          <w:tcPr>
            <w:tcW w:w="498" w:type="pct"/>
            <w:tcBorders>
              <w:bottom w:val="nil"/>
            </w:tcBorders>
          </w:tcPr>
          <w:p w14:paraId="121D706D" w14:textId="77777777" w:rsidR="002D2E5D" w:rsidRPr="008E16B0" w:rsidRDefault="002D2E5D" w:rsidP="009D7FF0">
            <w:pPr>
              <w:pStyle w:val="TableDataCentred"/>
            </w:pPr>
            <w:r w:rsidRPr="008E16B0">
              <w:rPr>
                <w:rFonts w:eastAsia="Cambria"/>
              </w:rPr>
              <w:t>0.13</w:t>
            </w:r>
          </w:p>
        </w:tc>
        <w:tc>
          <w:tcPr>
            <w:tcW w:w="498" w:type="pct"/>
            <w:tcBorders>
              <w:bottom w:val="nil"/>
            </w:tcBorders>
          </w:tcPr>
          <w:p w14:paraId="0E6EBB66" w14:textId="77777777" w:rsidR="002D2E5D" w:rsidRPr="008E16B0" w:rsidRDefault="002D2E5D" w:rsidP="009D7FF0">
            <w:pPr>
              <w:pStyle w:val="TableDataCentred"/>
            </w:pPr>
            <w:r w:rsidRPr="008E16B0">
              <w:rPr>
                <w:rFonts w:eastAsia="Cambria"/>
              </w:rPr>
              <w:t>0.10</w:t>
            </w:r>
          </w:p>
        </w:tc>
        <w:tc>
          <w:tcPr>
            <w:tcW w:w="498" w:type="pct"/>
            <w:tcBorders>
              <w:bottom w:val="nil"/>
            </w:tcBorders>
          </w:tcPr>
          <w:p w14:paraId="4917FB91" w14:textId="77777777" w:rsidR="002D2E5D" w:rsidRPr="008E16B0" w:rsidRDefault="002D2E5D" w:rsidP="009D7FF0">
            <w:pPr>
              <w:pStyle w:val="TableDataCentred"/>
            </w:pPr>
            <w:r w:rsidRPr="008E16B0">
              <w:rPr>
                <w:rFonts w:eastAsia="Cambria"/>
              </w:rPr>
              <w:t>0.1</w:t>
            </w:r>
            <w:r>
              <w:rPr>
                <w:rFonts w:eastAsia="Cambria"/>
              </w:rPr>
              <w:t>0</w:t>
            </w:r>
          </w:p>
        </w:tc>
        <w:tc>
          <w:tcPr>
            <w:tcW w:w="498" w:type="pct"/>
            <w:tcBorders>
              <w:bottom w:val="nil"/>
            </w:tcBorders>
          </w:tcPr>
          <w:p w14:paraId="381AB667" w14:textId="1D5CACDE" w:rsidR="002D2E5D" w:rsidRPr="008E16B0" w:rsidRDefault="002D2E5D" w:rsidP="009D7FF0">
            <w:pPr>
              <w:pStyle w:val="TableDataCentred"/>
            </w:pPr>
            <w:r w:rsidRPr="008E16B0">
              <w:rPr>
                <w:rFonts w:eastAsia="Cambria"/>
              </w:rPr>
              <w:t>0.1</w:t>
            </w:r>
            <w:r w:rsidR="00C84EDE">
              <w:rPr>
                <w:rFonts w:eastAsia="Cambria"/>
              </w:rPr>
              <w:t>0</w:t>
            </w:r>
          </w:p>
        </w:tc>
        <w:tc>
          <w:tcPr>
            <w:tcW w:w="477" w:type="pct"/>
            <w:tcBorders>
              <w:bottom w:val="nil"/>
            </w:tcBorders>
          </w:tcPr>
          <w:p w14:paraId="73D46741" w14:textId="77777777" w:rsidR="002D2E5D" w:rsidRPr="008E16B0" w:rsidRDefault="002D2E5D" w:rsidP="009D7FF0">
            <w:pPr>
              <w:pStyle w:val="TableDataCentred"/>
            </w:pPr>
            <w:r w:rsidRPr="008E16B0">
              <w:rPr>
                <w:rFonts w:eastAsia="Cambria"/>
              </w:rPr>
              <w:t>0.11</w:t>
            </w:r>
          </w:p>
        </w:tc>
      </w:tr>
      <w:tr w:rsidR="00F508DE" w:rsidRPr="008E16B0" w14:paraId="1C08CA96" w14:textId="77777777" w:rsidTr="005F623F">
        <w:tc>
          <w:tcPr>
            <w:tcW w:w="593" w:type="pct"/>
            <w:tcBorders>
              <w:top w:val="nil"/>
              <w:bottom w:val="single" w:sz="4" w:space="0" w:color="auto"/>
            </w:tcBorders>
          </w:tcPr>
          <w:p w14:paraId="6C1359D7" w14:textId="46A28F08" w:rsidR="002D2E5D" w:rsidRPr="004870D6" w:rsidRDefault="002D2E5D" w:rsidP="009D7FF0">
            <w:pPr>
              <w:pStyle w:val="TableHeadingsColumn"/>
            </w:pPr>
            <w:r w:rsidRPr="002A63D3">
              <w:t>Residual RE</w:t>
            </w:r>
            <w:r w:rsidR="00D60EBC">
              <w:t> </w:t>
            </w:r>
            <w:r w:rsidRPr="002A63D3">
              <w:t>σ</w:t>
            </w:r>
          </w:p>
        </w:tc>
        <w:tc>
          <w:tcPr>
            <w:tcW w:w="438" w:type="pct"/>
            <w:tcBorders>
              <w:top w:val="nil"/>
              <w:bottom w:val="single" w:sz="4" w:space="0" w:color="auto"/>
            </w:tcBorders>
          </w:tcPr>
          <w:p w14:paraId="3D6A8FA2" w14:textId="77777777" w:rsidR="002D2E5D" w:rsidRPr="008E16B0" w:rsidRDefault="002D2E5D" w:rsidP="009D7FF0">
            <w:pPr>
              <w:pStyle w:val="TableDataCentred"/>
            </w:pPr>
            <w:r w:rsidRPr="008E16B0">
              <w:rPr>
                <w:rFonts w:eastAsia="Cambria"/>
              </w:rPr>
              <w:t>0.18</w:t>
            </w:r>
          </w:p>
        </w:tc>
        <w:tc>
          <w:tcPr>
            <w:tcW w:w="500" w:type="pct"/>
            <w:tcBorders>
              <w:top w:val="nil"/>
              <w:bottom w:val="single" w:sz="4" w:space="0" w:color="auto"/>
            </w:tcBorders>
          </w:tcPr>
          <w:p w14:paraId="3C14FD83" w14:textId="77777777" w:rsidR="002D2E5D" w:rsidRPr="008E16B0" w:rsidRDefault="002D2E5D" w:rsidP="009D7FF0">
            <w:pPr>
              <w:pStyle w:val="TableDataCentred"/>
            </w:pPr>
            <w:r w:rsidRPr="008E16B0">
              <w:rPr>
                <w:rFonts w:eastAsia="Cambria"/>
              </w:rPr>
              <w:t>0.17</w:t>
            </w:r>
          </w:p>
        </w:tc>
        <w:tc>
          <w:tcPr>
            <w:tcW w:w="500" w:type="pct"/>
            <w:tcBorders>
              <w:top w:val="nil"/>
              <w:bottom w:val="single" w:sz="4" w:space="0" w:color="auto"/>
            </w:tcBorders>
          </w:tcPr>
          <w:p w14:paraId="0C4E6542" w14:textId="77777777" w:rsidR="002D2E5D" w:rsidRPr="008E16B0" w:rsidRDefault="002D2E5D" w:rsidP="009D7FF0">
            <w:pPr>
              <w:pStyle w:val="TableDataCentred"/>
            </w:pPr>
            <w:r w:rsidRPr="008E16B0">
              <w:rPr>
                <w:rFonts w:eastAsia="Cambria"/>
              </w:rPr>
              <w:t>0.17</w:t>
            </w:r>
          </w:p>
        </w:tc>
        <w:tc>
          <w:tcPr>
            <w:tcW w:w="498" w:type="pct"/>
            <w:tcBorders>
              <w:top w:val="nil"/>
              <w:bottom w:val="single" w:sz="4" w:space="0" w:color="auto"/>
            </w:tcBorders>
          </w:tcPr>
          <w:p w14:paraId="368F4036" w14:textId="77777777" w:rsidR="002D2E5D" w:rsidRPr="008E16B0" w:rsidRDefault="002D2E5D" w:rsidP="009D7FF0">
            <w:pPr>
              <w:pStyle w:val="TableDataCentred"/>
            </w:pPr>
            <w:r w:rsidRPr="008E16B0">
              <w:rPr>
                <w:rFonts w:eastAsia="Cambria"/>
              </w:rPr>
              <w:t>0.17</w:t>
            </w:r>
          </w:p>
        </w:tc>
        <w:tc>
          <w:tcPr>
            <w:tcW w:w="498" w:type="pct"/>
            <w:tcBorders>
              <w:top w:val="nil"/>
              <w:bottom w:val="single" w:sz="4" w:space="0" w:color="auto"/>
            </w:tcBorders>
          </w:tcPr>
          <w:p w14:paraId="309F2A0A" w14:textId="77777777" w:rsidR="002D2E5D" w:rsidRPr="008E16B0" w:rsidRDefault="002D2E5D" w:rsidP="009D7FF0">
            <w:pPr>
              <w:pStyle w:val="TableDataCentred"/>
            </w:pPr>
            <w:r w:rsidRPr="008E16B0">
              <w:rPr>
                <w:rFonts w:eastAsia="Cambria"/>
              </w:rPr>
              <w:t>0.17</w:t>
            </w:r>
          </w:p>
        </w:tc>
        <w:tc>
          <w:tcPr>
            <w:tcW w:w="498" w:type="pct"/>
            <w:tcBorders>
              <w:top w:val="nil"/>
              <w:bottom w:val="single" w:sz="4" w:space="0" w:color="auto"/>
            </w:tcBorders>
          </w:tcPr>
          <w:p w14:paraId="651C93FA" w14:textId="77777777" w:rsidR="002D2E5D" w:rsidRPr="008E16B0" w:rsidRDefault="002D2E5D" w:rsidP="009D7FF0">
            <w:pPr>
              <w:pStyle w:val="TableDataCentred"/>
            </w:pPr>
            <w:r w:rsidRPr="008E16B0">
              <w:rPr>
                <w:rFonts w:eastAsia="Cambria"/>
              </w:rPr>
              <w:t>0.17</w:t>
            </w:r>
          </w:p>
        </w:tc>
        <w:tc>
          <w:tcPr>
            <w:tcW w:w="498" w:type="pct"/>
            <w:tcBorders>
              <w:top w:val="nil"/>
              <w:bottom w:val="single" w:sz="4" w:space="0" w:color="auto"/>
            </w:tcBorders>
          </w:tcPr>
          <w:p w14:paraId="1465CF90" w14:textId="77777777" w:rsidR="002D2E5D" w:rsidRPr="008E16B0" w:rsidRDefault="002D2E5D" w:rsidP="009D7FF0">
            <w:pPr>
              <w:pStyle w:val="TableDataCentred"/>
            </w:pPr>
            <w:r w:rsidRPr="008E16B0">
              <w:rPr>
                <w:rFonts w:eastAsia="Cambria"/>
              </w:rPr>
              <w:t>0.17</w:t>
            </w:r>
          </w:p>
        </w:tc>
        <w:tc>
          <w:tcPr>
            <w:tcW w:w="498" w:type="pct"/>
            <w:tcBorders>
              <w:top w:val="nil"/>
              <w:bottom w:val="single" w:sz="4" w:space="0" w:color="auto"/>
            </w:tcBorders>
          </w:tcPr>
          <w:p w14:paraId="20D896D0" w14:textId="77777777" w:rsidR="002D2E5D" w:rsidRPr="008E16B0" w:rsidRDefault="002D2E5D" w:rsidP="009D7FF0">
            <w:pPr>
              <w:pStyle w:val="TableDataCentred"/>
            </w:pPr>
            <w:r w:rsidRPr="008E16B0">
              <w:rPr>
                <w:rFonts w:eastAsia="Cambria"/>
              </w:rPr>
              <w:t>0.17</w:t>
            </w:r>
          </w:p>
        </w:tc>
        <w:tc>
          <w:tcPr>
            <w:tcW w:w="477" w:type="pct"/>
            <w:tcBorders>
              <w:top w:val="nil"/>
              <w:bottom w:val="single" w:sz="4" w:space="0" w:color="auto"/>
            </w:tcBorders>
          </w:tcPr>
          <w:p w14:paraId="301E78B0" w14:textId="77777777" w:rsidR="002D2E5D" w:rsidRPr="008E16B0" w:rsidRDefault="002D2E5D" w:rsidP="009D7FF0">
            <w:pPr>
              <w:pStyle w:val="TableDataCentred"/>
            </w:pPr>
            <w:r w:rsidRPr="008E16B0">
              <w:rPr>
                <w:rFonts w:eastAsia="Cambria"/>
              </w:rPr>
              <w:t>0.17</w:t>
            </w:r>
          </w:p>
        </w:tc>
      </w:tr>
    </w:tbl>
    <w:p w14:paraId="18509D62" w14:textId="4EBBF182" w:rsidR="002D2E5D" w:rsidRDefault="002D2E5D" w:rsidP="009D7FF0">
      <w:pPr>
        <w:pStyle w:val="TableFooter"/>
      </w:pPr>
      <w:r w:rsidRPr="002A63D3">
        <w:t>Notes: *p&lt;0.1; **p&lt;0.05; ***p&lt;0.01.</w:t>
      </w:r>
    </w:p>
    <w:p w14:paraId="1B2CE644" w14:textId="77777777" w:rsidR="00634291" w:rsidRPr="002A63D3" w:rsidRDefault="00634291" w:rsidP="002A63D3">
      <w:pPr>
        <w:pStyle w:val="Paragraphfirst"/>
      </w:pPr>
    </w:p>
    <w:p w14:paraId="39A4E927" w14:textId="7036D514" w:rsidR="00562702" w:rsidRDefault="0E345509" w:rsidP="005F623F">
      <w:pPr>
        <w:pStyle w:val="Caption"/>
      </w:pPr>
      <w:bookmarkStart w:id="164" w:name="_Ref122351633"/>
      <w:r>
        <w:lastRenderedPageBreak/>
        <w:t xml:space="preserve">Table </w:t>
      </w:r>
      <w:r>
        <w:fldChar w:fldCharType="begin"/>
      </w:r>
      <w:r>
        <w:instrText>STYLEREF 2 \s</w:instrText>
      </w:r>
      <w:r>
        <w:fldChar w:fldCharType="separate"/>
      </w:r>
      <w:r w:rsidRPr="0E345509">
        <w:rPr>
          <w:noProof/>
        </w:rPr>
        <w:t>D.5</w:t>
      </w:r>
      <w:r>
        <w:fldChar w:fldCharType="end"/>
      </w:r>
      <w:r>
        <w:t>.</w:t>
      </w:r>
      <w:r>
        <w:fldChar w:fldCharType="begin"/>
      </w:r>
      <w:r>
        <w:instrText>SEQ Table \* ARABIC \s 2</w:instrText>
      </w:r>
      <w:r>
        <w:fldChar w:fldCharType="separate"/>
      </w:r>
      <w:r w:rsidRPr="0E345509">
        <w:rPr>
          <w:noProof/>
        </w:rPr>
        <w:t>2</w:t>
      </w:r>
      <w:r>
        <w:fldChar w:fldCharType="end"/>
      </w:r>
      <w:r w:rsidRPr="0E345509">
        <w:rPr>
          <w:noProof/>
        </w:rPr>
        <w:t>.2</w:t>
      </w:r>
      <w:bookmarkEnd w:id="164"/>
      <w:r>
        <w:t>: Interaction effects, without Stakeholder cases</w:t>
      </w:r>
    </w:p>
    <w:tbl>
      <w:tblPr>
        <w:tblStyle w:val="PlainTable4"/>
        <w:tblW w:w="9639" w:type="dxa"/>
        <w:tblLayout w:type="fixed"/>
        <w:tblCellMar>
          <w:top w:w="28" w:type="dxa"/>
          <w:bottom w:w="28" w:type="dxa"/>
        </w:tblCellMar>
        <w:tblLook w:val="0600" w:firstRow="0" w:lastRow="0" w:firstColumn="0" w:lastColumn="0" w:noHBand="1" w:noVBand="1"/>
      </w:tblPr>
      <w:tblGrid>
        <w:gridCol w:w="3213"/>
        <w:gridCol w:w="3213"/>
        <w:gridCol w:w="3213"/>
      </w:tblGrid>
      <w:tr w:rsidR="00B5363F" w:rsidRPr="00696829" w14:paraId="5E3B8B2C" w14:textId="77777777" w:rsidTr="000E7EB2">
        <w:tc>
          <w:tcPr>
            <w:tcW w:w="9639" w:type="dxa"/>
            <w:gridSpan w:val="3"/>
            <w:tcBorders>
              <w:bottom w:val="single" w:sz="4" w:space="0" w:color="auto"/>
            </w:tcBorders>
          </w:tcPr>
          <w:p w14:paraId="1A2D7DB0" w14:textId="77777777" w:rsidR="00696829" w:rsidRPr="002A63D3" w:rsidRDefault="00696829" w:rsidP="00636D41">
            <w:pPr>
              <w:pStyle w:val="TableHeader1"/>
            </w:pPr>
            <w:r w:rsidRPr="002A63D3">
              <w:t xml:space="preserve">Dependent variable: </w:t>
            </w:r>
            <w:r w:rsidRPr="005F623F">
              <w:rPr>
                <w:i/>
                <w:iCs w:val="0"/>
              </w:rPr>
              <w:t>DRI</w:t>
            </w:r>
            <w:r w:rsidRPr="005F623F">
              <w:rPr>
                <w:i/>
                <w:iCs w:val="0"/>
                <w:vertAlign w:val="superscript"/>
              </w:rPr>
              <w:t>Ind</w:t>
            </w:r>
            <w:r w:rsidRPr="002A63D3">
              <w:t xml:space="preserve"> Change</w:t>
            </w:r>
          </w:p>
        </w:tc>
      </w:tr>
      <w:tr w:rsidR="00B5363F" w:rsidRPr="008E16B0" w14:paraId="49F94301" w14:textId="77777777" w:rsidTr="000E7EB2">
        <w:tc>
          <w:tcPr>
            <w:tcW w:w="3213" w:type="dxa"/>
            <w:tcBorders>
              <w:top w:val="single" w:sz="4" w:space="0" w:color="auto"/>
              <w:bottom w:val="single" w:sz="4" w:space="0" w:color="auto"/>
            </w:tcBorders>
          </w:tcPr>
          <w:p w14:paraId="2D5706B4" w14:textId="77777777" w:rsidR="00696829" w:rsidRPr="00D37CF7" w:rsidRDefault="00696829" w:rsidP="00D37CF7">
            <w:pPr>
              <w:pStyle w:val="TableHeader2"/>
            </w:pPr>
          </w:p>
        </w:tc>
        <w:tc>
          <w:tcPr>
            <w:tcW w:w="3213" w:type="dxa"/>
            <w:tcBorders>
              <w:top w:val="single" w:sz="4" w:space="0" w:color="auto"/>
              <w:bottom w:val="single" w:sz="4" w:space="0" w:color="auto"/>
            </w:tcBorders>
          </w:tcPr>
          <w:p w14:paraId="7EA8FA8F" w14:textId="77777777" w:rsidR="00696829" w:rsidRPr="00012786" w:rsidRDefault="00696829" w:rsidP="000E7EB2">
            <w:pPr>
              <w:pStyle w:val="TableHeader2"/>
            </w:pPr>
            <w:r w:rsidRPr="00012786">
              <w:t>(I1)</w:t>
            </w:r>
          </w:p>
        </w:tc>
        <w:tc>
          <w:tcPr>
            <w:tcW w:w="3213" w:type="dxa"/>
            <w:tcBorders>
              <w:top w:val="single" w:sz="4" w:space="0" w:color="auto"/>
              <w:bottom w:val="single" w:sz="4" w:space="0" w:color="auto"/>
            </w:tcBorders>
          </w:tcPr>
          <w:p w14:paraId="33A1319E" w14:textId="77777777" w:rsidR="00696829" w:rsidRPr="000E7EB2" w:rsidRDefault="00696829" w:rsidP="000E7EB2">
            <w:pPr>
              <w:pStyle w:val="TableHeader2"/>
            </w:pPr>
            <w:r w:rsidRPr="000E7EB2">
              <w:t>(I2)</w:t>
            </w:r>
          </w:p>
        </w:tc>
      </w:tr>
      <w:tr w:rsidR="00B5363F" w:rsidRPr="008E16B0" w14:paraId="363CE8C6" w14:textId="77777777" w:rsidTr="000E7EB2">
        <w:tc>
          <w:tcPr>
            <w:tcW w:w="3213" w:type="dxa"/>
            <w:tcBorders>
              <w:top w:val="single" w:sz="4" w:space="0" w:color="auto"/>
              <w:bottom w:val="single" w:sz="4" w:space="0" w:color="auto"/>
            </w:tcBorders>
            <w:hideMark/>
          </w:tcPr>
          <w:p w14:paraId="7A8C5793" w14:textId="77777777" w:rsidR="00696829" w:rsidRPr="002C1ABB" w:rsidRDefault="00696829" w:rsidP="009D7FF0">
            <w:pPr>
              <w:pStyle w:val="TableHeadingsColumn"/>
            </w:pPr>
            <w:r w:rsidRPr="002C1ABB">
              <w:t>Deliberation Per Se</w:t>
            </w:r>
          </w:p>
        </w:tc>
        <w:tc>
          <w:tcPr>
            <w:tcW w:w="3213" w:type="dxa"/>
            <w:tcBorders>
              <w:top w:val="single" w:sz="4" w:space="0" w:color="auto"/>
              <w:bottom w:val="single" w:sz="4" w:space="0" w:color="auto"/>
            </w:tcBorders>
            <w:hideMark/>
          </w:tcPr>
          <w:p w14:paraId="750896EA" w14:textId="71DCCADA" w:rsidR="00696829" w:rsidRPr="00240981" w:rsidRDefault="00696829" w:rsidP="009D7FF0">
            <w:pPr>
              <w:pStyle w:val="TableDataCentred"/>
            </w:pPr>
            <w:r>
              <w:t>0.11</w:t>
            </w:r>
            <w:r w:rsidR="6AAC1A93">
              <w:t>7</w:t>
            </w:r>
            <w:r w:rsidRPr="006F23A8">
              <w:t>***</w:t>
            </w:r>
          </w:p>
          <w:p w14:paraId="65927A3A" w14:textId="77777777" w:rsidR="00696829" w:rsidRPr="00101376" w:rsidRDefault="002C1ABB" w:rsidP="009D7FF0">
            <w:pPr>
              <w:pStyle w:val="TableDataCentred"/>
            </w:pPr>
            <w:r w:rsidRPr="00101376">
              <w:t>(</w:t>
            </w:r>
            <w:r w:rsidR="00696829" w:rsidRPr="00101376">
              <w:t>0.014)</w:t>
            </w:r>
          </w:p>
        </w:tc>
        <w:tc>
          <w:tcPr>
            <w:tcW w:w="3213" w:type="dxa"/>
            <w:tcBorders>
              <w:top w:val="single" w:sz="4" w:space="0" w:color="auto"/>
              <w:bottom w:val="single" w:sz="4" w:space="0" w:color="auto"/>
            </w:tcBorders>
          </w:tcPr>
          <w:p w14:paraId="3F680093" w14:textId="30A0EB27" w:rsidR="00696829" w:rsidRPr="006F23A8" w:rsidRDefault="00696829" w:rsidP="009D7FF0">
            <w:pPr>
              <w:pStyle w:val="TableDataCentred"/>
            </w:pPr>
            <w:r>
              <w:t>0.11</w:t>
            </w:r>
            <w:r w:rsidR="665E6567">
              <w:t>7</w:t>
            </w:r>
            <w:r>
              <w:t>***</w:t>
            </w:r>
          </w:p>
          <w:p w14:paraId="13EAEAC3" w14:textId="77777777" w:rsidR="00696829" w:rsidRPr="00101376" w:rsidRDefault="002C1ABB" w:rsidP="009D7FF0">
            <w:pPr>
              <w:pStyle w:val="TableDataCentred"/>
            </w:pPr>
            <w:r w:rsidRPr="006F23A8">
              <w:t>(</w:t>
            </w:r>
            <w:r w:rsidR="00696829" w:rsidRPr="006F23A8">
              <w:t>0.014)</w:t>
            </w:r>
          </w:p>
        </w:tc>
      </w:tr>
      <w:tr w:rsidR="00D37CF7" w:rsidRPr="008E16B0" w14:paraId="564C20D6" w14:textId="77777777" w:rsidTr="000E7EB2">
        <w:tc>
          <w:tcPr>
            <w:tcW w:w="9639" w:type="dxa"/>
            <w:gridSpan w:val="3"/>
            <w:tcBorders>
              <w:top w:val="single" w:sz="4" w:space="0" w:color="auto"/>
              <w:bottom w:val="single" w:sz="4" w:space="0" w:color="auto"/>
            </w:tcBorders>
          </w:tcPr>
          <w:p w14:paraId="77997C8D" w14:textId="2B903008" w:rsidR="00D37CF7" w:rsidRPr="008E16B0" w:rsidRDefault="00D37CF7" w:rsidP="00D37CF7">
            <w:pPr>
              <w:pStyle w:val="TableHeader2"/>
              <w:rPr>
                <w:lang w:eastAsia="en-AU"/>
              </w:rPr>
            </w:pPr>
            <w:r>
              <w:t>Individual Level Variables</w:t>
            </w:r>
          </w:p>
        </w:tc>
      </w:tr>
      <w:tr w:rsidR="00B5363F" w:rsidRPr="008E16B0" w14:paraId="417D92BA" w14:textId="77777777" w:rsidTr="000E7EB2">
        <w:tc>
          <w:tcPr>
            <w:tcW w:w="3213" w:type="dxa"/>
            <w:tcBorders>
              <w:top w:val="single" w:sz="4" w:space="0" w:color="auto"/>
            </w:tcBorders>
            <w:hideMark/>
          </w:tcPr>
          <w:p w14:paraId="59BAB4AB" w14:textId="77777777" w:rsidR="00696829" w:rsidRPr="002C1ABB" w:rsidRDefault="00696829" w:rsidP="009D7FF0">
            <w:pPr>
              <w:pStyle w:val="TableHeadingsColumn"/>
            </w:pPr>
            <w:r w:rsidRPr="002C1ABB">
              <w:t>Age</w:t>
            </w:r>
          </w:p>
        </w:tc>
        <w:tc>
          <w:tcPr>
            <w:tcW w:w="3213" w:type="dxa"/>
            <w:tcBorders>
              <w:top w:val="single" w:sz="4" w:space="0" w:color="auto"/>
            </w:tcBorders>
            <w:hideMark/>
          </w:tcPr>
          <w:p w14:paraId="6AB1DB8F" w14:textId="77777777" w:rsidR="00696829" w:rsidRPr="00240981" w:rsidRDefault="00696829" w:rsidP="009D7FF0">
            <w:pPr>
              <w:pStyle w:val="TableDataCentred"/>
            </w:pPr>
            <w:r w:rsidRPr="00240981">
              <w:t>-0.005</w:t>
            </w:r>
          </w:p>
          <w:p w14:paraId="4440FC2D" w14:textId="062D8882" w:rsidR="00696829" w:rsidRPr="00101376" w:rsidRDefault="002C1ABB" w:rsidP="009D7FF0">
            <w:pPr>
              <w:pStyle w:val="TableDataCentred"/>
            </w:pPr>
            <w:r w:rsidRPr="00101376">
              <w:t>(</w:t>
            </w:r>
            <w:r w:rsidR="00696829" w:rsidRPr="00101376">
              <w:t>0.00</w:t>
            </w:r>
            <w:r w:rsidR="00E07BBC" w:rsidRPr="00101376">
              <w:t>4</w:t>
            </w:r>
            <w:r w:rsidR="00696829" w:rsidRPr="00101376">
              <w:t>)</w:t>
            </w:r>
          </w:p>
        </w:tc>
        <w:tc>
          <w:tcPr>
            <w:tcW w:w="3213" w:type="dxa"/>
            <w:tcBorders>
              <w:top w:val="single" w:sz="4" w:space="0" w:color="auto"/>
            </w:tcBorders>
          </w:tcPr>
          <w:p w14:paraId="0C173486" w14:textId="77777777" w:rsidR="00696829" w:rsidRPr="006F23A8" w:rsidRDefault="00696829" w:rsidP="009D7FF0">
            <w:pPr>
              <w:pStyle w:val="TableDataCentred"/>
            </w:pPr>
            <w:r w:rsidRPr="006F23A8">
              <w:t>-0.005</w:t>
            </w:r>
          </w:p>
          <w:p w14:paraId="7146BAEA" w14:textId="77777777" w:rsidR="00696829" w:rsidRPr="00101376" w:rsidRDefault="002C1ABB" w:rsidP="009D7FF0">
            <w:pPr>
              <w:pStyle w:val="TableDataCentred"/>
            </w:pPr>
            <w:r w:rsidRPr="006F23A8">
              <w:t>(</w:t>
            </w:r>
            <w:r w:rsidR="00696829" w:rsidRPr="006F23A8">
              <w:t>0.004)</w:t>
            </w:r>
          </w:p>
        </w:tc>
      </w:tr>
      <w:tr w:rsidR="00B5363F" w:rsidRPr="008E16B0" w14:paraId="7B52F971" w14:textId="77777777" w:rsidTr="000E7EB2">
        <w:tc>
          <w:tcPr>
            <w:tcW w:w="3213" w:type="dxa"/>
            <w:hideMark/>
          </w:tcPr>
          <w:p w14:paraId="0972BCD2" w14:textId="77777777" w:rsidR="00696829" w:rsidRPr="002C1ABB" w:rsidRDefault="00696829" w:rsidP="009D7FF0">
            <w:pPr>
              <w:pStyle w:val="TableHeadingsColumn"/>
            </w:pPr>
            <w:r w:rsidRPr="002C1ABB">
              <w:t>Gender</w:t>
            </w:r>
          </w:p>
        </w:tc>
        <w:tc>
          <w:tcPr>
            <w:tcW w:w="3213" w:type="dxa"/>
            <w:hideMark/>
          </w:tcPr>
          <w:p w14:paraId="11C27033" w14:textId="77777777" w:rsidR="00696829" w:rsidRPr="00240981" w:rsidRDefault="00696829" w:rsidP="009D7FF0">
            <w:pPr>
              <w:pStyle w:val="TableDataCentred"/>
            </w:pPr>
            <w:r w:rsidRPr="00240981">
              <w:t>0.019</w:t>
            </w:r>
          </w:p>
          <w:p w14:paraId="6B5718EF" w14:textId="77777777" w:rsidR="00696829" w:rsidRPr="00101376" w:rsidRDefault="002C1ABB" w:rsidP="009D7FF0">
            <w:pPr>
              <w:pStyle w:val="TableDataCentred"/>
            </w:pPr>
            <w:r w:rsidRPr="00101376">
              <w:t>(</w:t>
            </w:r>
            <w:r w:rsidR="00696829" w:rsidRPr="00101376">
              <w:t>0.014)</w:t>
            </w:r>
          </w:p>
        </w:tc>
        <w:tc>
          <w:tcPr>
            <w:tcW w:w="3213" w:type="dxa"/>
          </w:tcPr>
          <w:p w14:paraId="076482D0" w14:textId="77777777" w:rsidR="00696829" w:rsidRPr="006F23A8" w:rsidRDefault="00696829" w:rsidP="009D7FF0">
            <w:pPr>
              <w:pStyle w:val="TableDataCentred"/>
            </w:pPr>
            <w:r w:rsidRPr="006F23A8">
              <w:t>0.019</w:t>
            </w:r>
          </w:p>
          <w:p w14:paraId="35FB0DF3" w14:textId="77777777" w:rsidR="00696829" w:rsidRPr="00101376" w:rsidRDefault="002C1ABB" w:rsidP="009D7FF0">
            <w:pPr>
              <w:pStyle w:val="TableDataCentred"/>
            </w:pPr>
            <w:r w:rsidRPr="006F23A8">
              <w:t>(</w:t>
            </w:r>
            <w:r w:rsidR="00696829" w:rsidRPr="006F23A8">
              <w:t>0.014)</w:t>
            </w:r>
          </w:p>
        </w:tc>
      </w:tr>
      <w:tr w:rsidR="00B5363F" w:rsidRPr="008E16B0" w14:paraId="04D70FDA" w14:textId="77777777" w:rsidTr="000E7EB2">
        <w:tc>
          <w:tcPr>
            <w:tcW w:w="3213" w:type="dxa"/>
            <w:tcBorders>
              <w:bottom w:val="single" w:sz="4" w:space="0" w:color="auto"/>
            </w:tcBorders>
            <w:hideMark/>
          </w:tcPr>
          <w:p w14:paraId="39385FE8" w14:textId="77777777" w:rsidR="00696829" w:rsidRPr="002C1ABB" w:rsidRDefault="00696829" w:rsidP="009D7FF0">
            <w:pPr>
              <w:pStyle w:val="TableHeadingsColumn"/>
            </w:pPr>
            <w:r w:rsidRPr="002C1ABB">
              <w:t>Education</w:t>
            </w:r>
          </w:p>
        </w:tc>
        <w:tc>
          <w:tcPr>
            <w:tcW w:w="3213" w:type="dxa"/>
            <w:tcBorders>
              <w:bottom w:val="single" w:sz="4" w:space="0" w:color="auto"/>
            </w:tcBorders>
            <w:hideMark/>
          </w:tcPr>
          <w:p w14:paraId="42C42ADC" w14:textId="3DAB276A" w:rsidR="00696829" w:rsidRPr="00240981" w:rsidRDefault="00696829" w:rsidP="009D7FF0">
            <w:pPr>
              <w:pStyle w:val="TableDataCentred"/>
            </w:pPr>
            <w:r>
              <w:t>-0.00</w:t>
            </w:r>
            <w:r w:rsidR="3DB59286">
              <w:t>5</w:t>
            </w:r>
          </w:p>
          <w:p w14:paraId="7AAD231E" w14:textId="77777777" w:rsidR="00696829" w:rsidRPr="00101376" w:rsidRDefault="002C1ABB" w:rsidP="009D7FF0">
            <w:pPr>
              <w:pStyle w:val="TableDataCentred"/>
            </w:pPr>
            <w:r w:rsidRPr="00101376">
              <w:t>(</w:t>
            </w:r>
            <w:r w:rsidR="00696829" w:rsidRPr="00101376">
              <w:t>0.009)</w:t>
            </w:r>
          </w:p>
        </w:tc>
        <w:tc>
          <w:tcPr>
            <w:tcW w:w="3213" w:type="dxa"/>
            <w:tcBorders>
              <w:bottom w:val="single" w:sz="4" w:space="0" w:color="auto"/>
            </w:tcBorders>
          </w:tcPr>
          <w:p w14:paraId="5F293700" w14:textId="77777777" w:rsidR="00696829" w:rsidRPr="006F23A8" w:rsidRDefault="00696829" w:rsidP="009D7FF0">
            <w:pPr>
              <w:pStyle w:val="TableDataCentred"/>
            </w:pPr>
            <w:r w:rsidRPr="006F23A8">
              <w:t>-0.006</w:t>
            </w:r>
          </w:p>
          <w:p w14:paraId="4B2FD3A4" w14:textId="77777777" w:rsidR="00696829" w:rsidRPr="00101376" w:rsidRDefault="002C1ABB" w:rsidP="009D7FF0">
            <w:pPr>
              <w:pStyle w:val="TableDataCentred"/>
            </w:pPr>
            <w:r w:rsidRPr="006F23A8">
              <w:t>(</w:t>
            </w:r>
            <w:r w:rsidR="00696829" w:rsidRPr="006F23A8">
              <w:t>0.009)</w:t>
            </w:r>
          </w:p>
        </w:tc>
      </w:tr>
      <w:tr w:rsidR="004C3D9B" w:rsidRPr="008E16B0" w14:paraId="7BC0AA1A" w14:textId="77777777" w:rsidTr="000E7EB2">
        <w:tc>
          <w:tcPr>
            <w:tcW w:w="9639" w:type="dxa"/>
            <w:gridSpan w:val="3"/>
            <w:tcBorders>
              <w:top w:val="single" w:sz="4" w:space="0" w:color="auto"/>
              <w:bottom w:val="single" w:sz="4" w:space="0" w:color="auto"/>
            </w:tcBorders>
          </w:tcPr>
          <w:p w14:paraId="3E486E6A" w14:textId="39973ECF" w:rsidR="004C3D9B" w:rsidRPr="008E16B0" w:rsidRDefault="004C3D9B" w:rsidP="0062622A">
            <w:pPr>
              <w:pStyle w:val="TableHeader2"/>
              <w:keepLines/>
              <w:ind w:left="884"/>
            </w:pPr>
            <w:r w:rsidRPr="00101D0A">
              <w:t>Case Level Variables</w:t>
            </w:r>
          </w:p>
        </w:tc>
      </w:tr>
      <w:tr w:rsidR="00761801" w:rsidRPr="008E16B0" w14:paraId="6D9C882E" w14:textId="77777777" w:rsidTr="000E7EB2">
        <w:tc>
          <w:tcPr>
            <w:tcW w:w="3213" w:type="dxa"/>
            <w:tcBorders>
              <w:top w:val="single" w:sz="4" w:space="0" w:color="auto"/>
            </w:tcBorders>
          </w:tcPr>
          <w:p w14:paraId="0B383F5C" w14:textId="4F65DEE1" w:rsidR="00761801" w:rsidRPr="004F2A49" w:rsidRDefault="00761801" w:rsidP="009D7FF0">
            <w:pPr>
              <w:pStyle w:val="TableHeadingsColumn"/>
            </w:pPr>
            <w:r w:rsidRPr="004F2A49">
              <w:t>Duration</w:t>
            </w:r>
          </w:p>
        </w:tc>
        <w:tc>
          <w:tcPr>
            <w:tcW w:w="3213" w:type="dxa"/>
            <w:tcBorders>
              <w:top w:val="single" w:sz="4" w:space="0" w:color="auto"/>
            </w:tcBorders>
          </w:tcPr>
          <w:p w14:paraId="1224442B" w14:textId="77777777" w:rsidR="00761801" w:rsidRPr="004F2A49" w:rsidRDefault="00761801" w:rsidP="009D7FF0">
            <w:pPr>
              <w:pStyle w:val="TableDataCentred"/>
            </w:pPr>
            <w:r w:rsidRPr="004F2A49">
              <w:t>-0.04</w:t>
            </w:r>
          </w:p>
          <w:p w14:paraId="07E366F2" w14:textId="1457E4B7" w:rsidR="00761801" w:rsidRPr="004F2A49" w:rsidRDefault="00761801" w:rsidP="009D7FF0">
            <w:pPr>
              <w:pStyle w:val="TableDataCentred"/>
            </w:pPr>
            <w:r w:rsidRPr="004F2A49">
              <w:t>(0.051)</w:t>
            </w:r>
          </w:p>
        </w:tc>
        <w:tc>
          <w:tcPr>
            <w:tcW w:w="3213" w:type="dxa"/>
            <w:tcBorders>
              <w:top w:val="single" w:sz="4" w:space="0" w:color="auto"/>
            </w:tcBorders>
          </w:tcPr>
          <w:p w14:paraId="0AEDF1B6" w14:textId="77777777" w:rsidR="00761801" w:rsidRPr="00240981" w:rsidRDefault="00761801" w:rsidP="009D7FF0">
            <w:pPr>
              <w:pStyle w:val="TableDataCentred"/>
            </w:pPr>
            <w:r w:rsidRPr="00240981">
              <w:t>0.004</w:t>
            </w:r>
          </w:p>
          <w:p w14:paraId="39F10012" w14:textId="655E938E" w:rsidR="00761801" w:rsidRPr="003B7701" w:rsidRDefault="00761801" w:rsidP="009D7FF0">
            <w:pPr>
              <w:pStyle w:val="TableDataCentred"/>
            </w:pPr>
            <w:r w:rsidRPr="00240981">
              <w:t>(0.048)</w:t>
            </w:r>
          </w:p>
        </w:tc>
      </w:tr>
      <w:tr w:rsidR="004F2A49" w:rsidRPr="008E16B0" w14:paraId="3BC1C7B3" w14:textId="77777777" w:rsidTr="000E7EB2">
        <w:tc>
          <w:tcPr>
            <w:tcW w:w="3213" w:type="dxa"/>
          </w:tcPr>
          <w:p w14:paraId="11C3158A" w14:textId="7DA8ADB9" w:rsidR="004F2A49" w:rsidRPr="004F2A49" w:rsidRDefault="004F2A49" w:rsidP="009D7FF0">
            <w:pPr>
              <w:pStyle w:val="TableHeadingsColumn"/>
            </w:pPr>
            <w:r w:rsidRPr="004F2A49">
              <w:t>Group building</w:t>
            </w:r>
          </w:p>
        </w:tc>
        <w:tc>
          <w:tcPr>
            <w:tcW w:w="3213" w:type="dxa"/>
          </w:tcPr>
          <w:p w14:paraId="4B1D9FE5" w14:textId="77777777" w:rsidR="004F2A49" w:rsidRPr="004F2A49" w:rsidRDefault="004F2A49" w:rsidP="009D7FF0">
            <w:pPr>
              <w:pStyle w:val="TableDataCentred"/>
            </w:pPr>
            <w:r w:rsidRPr="004F2A49">
              <w:t>0.074**</w:t>
            </w:r>
          </w:p>
          <w:p w14:paraId="041DFE44" w14:textId="4A8C009D" w:rsidR="004F2A49" w:rsidRPr="004F2A49" w:rsidRDefault="004F2A49" w:rsidP="009D7FF0">
            <w:pPr>
              <w:pStyle w:val="TableDataCentred"/>
            </w:pPr>
            <w:r w:rsidRPr="004F2A49">
              <w:t>(0.024)</w:t>
            </w:r>
          </w:p>
        </w:tc>
        <w:tc>
          <w:tcPr>
            <w:tcW w:w="3213" w:type="dxa"/>
          </w:tcPr>
          <w:p w14:paraId="78005A81" w14:textId="77777777" w:rsidR="004F2A49" w:rsidRPr="008E16B0" w:rsidRDefault="004F2A49" w:rsidP="009D7FF0">
            <w:pPr>
              <w:pStyle w:val="TableDataCentred"/>
            </w:pPr>
            <w:r w:rsidRPr="008E16B0">
              <w:t>-0.0</w:t>
            </w:r>
            <w:r>
              <w:t>60</w:t>
            </w:r>
          </w:p>
          <w:p w14:paraId="0DB033D9" w14:textId="409CEE0A" w:rsidR="004F2A49" w:rsidRPr="00240981" w:rsidRDefault="004F2A49" w:rsidP="009D7FF0">
            <w:pPr>
              <w:pStyle w:val="TableDataCentred"/>
            </w:pPr>
            <w:r>
              <w:t>(</w:t>
            </w:r>
            <w:r w:rsidRPr="008E16B0">
              <w:t>0.0</w:t>
            </w:r>
            <w:r>
              <w:t>70</w:t>
            </w:r>
            <w:r w:rsidRPr="008E16B0">
              <w:t>)</w:t>
            </w:r>
          </w:p>
        </w:tc>
      </w:tr>
      <w:tr w:rsidR="004F2A49" w:rsidRPr="008E16B0" w14:paraId="02D2630C" w14:textId="77777777" w:rsidTr="000E7EB2">
        <w:tc>
          <w:tcPr>
            <w:tcW w:w="3213" w:type="dxa"/>
          </w:tcPr>
          <w:p w14:paraId="1C53707C" w14:textId="5F64D41E" w:rsidR="004F2A49" w:rsidRPr="004F2A49" w:rsidRDefault="004F2A49" w:rsidP="009D7FF0">
            <w:pPr>
              <w:pStyle w:val="TableHeadingsColumn"/>
            </w:pPr>
            <w:r w:rsidRPr="004F2A49">
              <w:t>Complexity</w:t>
            </w:r>
          </w:p>
        </w:tc>
        <w:tc>
          <w:tcPr>
            <w:tcW w:w="3213" w:type="dxa"/>
          </w:tcPr>
          <w:p w14:paraId="3A2A5E9D" w14:textId="77777777" w:rsidR="004F2A49" w:rsidRPr="004F2A49" w:rsidRDefault="004F2A49" w:rsidP="009D7FF0">
            <w:pPr>
              <w:pStyle w:val="TableDataCentred"/>
            </w:pPr>
            <w:r w:rsidRPr="004F2A49">
              <w:t>0.343**</w:t>
            </w:r>
          </w:p>
          <w:p w14:paraId="480F0017" w14:textId="7158411D" w:rsidR="004F2A49" w:rsidRPr="004F2A49" w:rsidRDefault="7AC2F828" w:rsidP="009D7FF0">
            <w:pPr>
              <w:pStyle w:val="TableDataCentred"/>
            </w:pPr>
            <w:r>
              <w:t>(0.12</w:t>
            </w:r>
            <w:r w:rsidR="50E6A221">
              <w:t>2</w:t>
            </w:r>
            <w:r>
              <w:t>)</w:t>
            </w:r>
          </w:p>
        </w:tc>
        <w:tc>
          <w:tcPr>
            <w:tcW w:w="3213" w:type="dxa"/>
          </w:tcPr>
          <w:p w14:paraId="6E723D88" w14:textId="77777777" w:rsidR="004F2A49" w:rsidRPr="004F2A49" w:rsidRDefault="004F2A49" w:rsidP="009D7FF0">
            <w:pPr>
              <w:pStyle w:val="TableDataCentred"/>
              <w:rPr>
                <w:lang w:eastAsia="en-AU"/>
              </w:rPr>
            </w:pPr>
            <w:r w:rsidRPr="004F2A49">
              <w:rPr>
                <w:lang w:eastAsia="en-AU"/>
              </w:rPr>
              <w:t>0.209</w:t>
            </w:r>
          </w:p>
          <w:p w14:paraId="0283514B" w14:textId="2FAF885D" w:rsidR="004F2A49" w:rsidRPr="004F2A49" w:rsidRDefault="004F2A49" w:rsidP="009D7FF0">
            <w:pPr>
              <w:pStyle w:val="TableDataCentred"/>
            </w:pPr>
            <w:r w:rsidRPr="004F2A49">
              <w:rPr>
                <w:lang w:eastAsia="en-AU"/>
              </w:rPr>
              <w:t>(0.122)</w:t>
            </w:r>
          </w:p>
        </w:tc>
      </w:tr>
      <w:tr w:rsidR="004F2A49" w:rsidRPr="008E16B0" w14:paraId="383C93AA" w14:textId="77777777" w:rsidTr="000E7EB2">
        <w:tc>
          <w:tcPr>
            <w:tcW w:w="3213" w:type="dxa"/>
            <w:tcBorders>
              <w:bottom w:val="single" w:sz="4" w:space="0" w:color="auto"/>
            </w:tcBorders>
          </w:tcPr>
          <w:p w14:paraId="7F1FC1A9" w14:textId="7C0F184C" w:rsidR="004F2A49" w:rsidRPr="004F2A49" w:rsidRDefault="004F2A49" w:rsidP="009D7FF0">
            <w:pPr>
              <w:pStyle w:val="TableHeadingsColumn"/>
            </w:pPr>
            <w:r w:rsidRPr="004F2A49">
              <w:t>Decision Impact</w:t>
            </w:r>
          </w:p>
        </w:tc>
        <w:tc>
          <w:tcPr>
            <w:tcW w:w="3213" w:type="dxa"/>
            <w:tcBorders>
              <w:bottom w:val="single" w:sz="4" w:space="0" w:color="auto"/>
            </w:tcBorders>
          </w:tcPr>
          <w:p w14:paraId="6A240482" w14:textId="77777777" w:rsidR="004F2A49" w:rsidRPr="004F2A49" w:rsidRDefault="004F2A49" w:rsidP="009D7FF0">
            <w:pPr>
              <w:pStyle w:val="TableDataCentred"/>
            </w:pPr>
            <w:r w:rsidRPr="004F2A49">
              <w:t>0.292**</w:t>
            </w:r>
          </w:p>
          <w:p w14:paraId="0055686F" w14:textId="02CDD475" w:rsidR="004F2A49" w:rsidRPr="004F2A49" w:rsidRDefault="004F2A49" w:rsidP="009D7FF0">
            <w:pPr>
              <w:pStyle w:val="TableDataCentred"/>
            </w:pPr>
            <w:r w:rsidRPr="004F2A49">
              <w:t>(0.106)</w:t>
            </w:r>
          </w:p>
        </w:tc>
        <w:tc>
          <w:tcPr>
            <w:tcW w:w="3213" w:type="dxa"/>
            <w:tcBorders>
              <w:bottom w:val="single" w:sz="4" w:space="0" w:color="auto"/>
            </w:tcBorders>
          </w:tcPr>
          <w:p w14:paraId="2D5C4F31" w14:textId="77777777" w:rsidR="004F2A49" w:rsidRPr="004F2A49" w:rsidRDefault="004F2A49" w:rsidP="009D7FF0">
            <w:pPr>
              <w:pStyle w:val="TableDataCentred"/>
              <w:rPr>
                <w:lang w:eastAsia="en-AU"/>
              </w:rPr>
            </w:pPr>
            <w:r w:rsidRPr="004F2A49">
              <w:t>0.354</w:t>
            </w:r>
            <w:r w:rsidRPr="004F2A49">
              <w:rPr>
                <w:lang w:eastAsia="en-AU"/>
              </w:rPr>
              <w:t>***</w:t>
            </w:r>
          </w:p>
          <w:p w14:paraId="67941D80" w14:textId="4956D79B" w:rsidR="004F2A49" w:rsidRPr="004F2A49" w:rsidRDefault="004F2A49" w:rsidP="009D7FF0">
            <w:pPr>
              <w:pStyle w:val="TableDataCentred"/>
            </w:pPr>
            <w:r w:rsidRPr="004F2A49">
              <w:rPr>
                <w:lang w:eastAsia="en-AU"/>
              </w:rPr>
              <w:t>(0.095)</w:t>
            </w:r>
          </w:p>
        </w:tc>
      </w:tr>
      <w:tr w:rsidR="00240981" w:rsidRPr="008E16B0" w14:paraId="569192F8" w14:textId="77777777" w:rsidTr="000E7EB2">
        <w:tc>
          <w:tcPr>
            <w:tcW w:w="9639" w:type="dxa"/>
            <w:gridSpan w:val="3"/>
            <w:tcBorders>
              <w:top w:val="single" w:sz="4" w:space="0" w:color="auto"/>
              <w:bottom w:val="single" w:sz="4" w:space="0" w:color="auto"/>
            </w:tcBorders>
          </w:tcPr>
          <w:p w14:paraId="04EB6BC2" w14:textId="2057C0C9" w:rsidR="00240981" w:rsidRPr="004F2A49" w:rsidRDefault="00240981" w:rsidP="004C3D9B">
            <w:pPr>
              <w:pStyle w:val="TableHeader2"/>
              <w:rPr>
                <w:rFonts w:ascii="TeXGyreTermes" w:hAnsi="TeXGyreTermes"/>
              </w:rPr>
            </w:pPr>
            <w:r w:rsidRPr="004F2A49">
              <w:t>Interactions</w:t>
            </w:r>
          </w:p>
        </w:tc>
      </w:tr>
      <w:tr w:rsidR="00240981" w:rsidRPr="008E16B0" w14:paraId="2390FB82" w14:textId="77777777" w:rsidTr="000E7EB2">
        <w:tc>
          <w:tcPr>
            <w:tcW w:w="3213" w:type="dxa"/>
            <w:tcBorders>
              <w:top w:val="single" w:sz="4" w:space="0" w:color="auto"/>
            </w:tcBorders>
          </w:tcPr>
          <w:p w14:paraId="4C209388" w14:textId="6AD99ADA" w:rsidR="00240981" w:rsidRPr="00101376" w:rsidRDefault="00240981" w:rsidP="009D7FF0">
            <w:pPr>
              <w:pStyle w:val="TableHeadingsColumn"/>
            </w:pPr>
            <w:r w:rsidRPr="00101376">
              <w:t>Decision Impact × Complexity</w:t>
            </w:r>
          </w:p>
        </w:tc>
        <w:tc>
          <w:tcPr>
            <w:tcW w:w="3213" w:type="dxa"/>
            <w:tcBorders>
              <w:top w:val="single" w:sz="4" w:space="0" w:color="auto"/>
            </w:tcBorders>
          </w:tcPr>
          <w:p w14:paraId="3916965B" w14:textId="77777777" w:rsidR="00240981" w:rsidRPr="004F2A49" w:rsidRDefault="00240981" w:rsidP="009D7FF0">
            <w:pPr>
              <w:pStyle w:val="TableDataCentred"/>
            </w:pPr>
            <w:r w:rsidRPr="004F2A49">
              <w:t>-0.104**</w:t>
            </w:r>
          </w:p>
          <w:p w14:paraId="18C89B48" w14:textId="3292EFF6" w:rsidR="00240981" w:rsidRPr="008E16B0" w:rsidRDefault="00240981" w:rsidP="009D7FF0">
            <w:pPr>
              <w:pStyle w:val="TableDataCentred"/>
            </w:pPr>
            <w:r w:rsidRPr="004F2A49">
              <w:t>(0.036)</w:t>
            </w:r>
          </w:p>
        </w:tc>
        <w:tc>
          <w:tcPr>
            <w:tcW w:w="3213" w:type="dxa"/>
            <w:tcBorders>
              <w:top w:val="single" w:sz="4" w:space="0" w:color="auto"/>
            </w:tcBorders>
          </w:tcPr>
          <w:p w14:paraId="4A0C6E1C" w14:textId="77777777" w:rsidR="00240981" w:rsidRPr="004F2A49" w:rsidRDefault="00240981" w:rsidP="009D7FF0">
            <w:pPr>
              <w:pStyle w:val="TableDataCentred"/>
            </w:pPr>
            <w:r w:rsidRPr="004F2A49">
              <w:t>-0.120***</w:t>
            </w:r>
          </w:p>
          <w:p w14:paraId="62F9C896" w14:textId="59E8F56C" w:rsidR="00240981" w:rsidRPr="004F2A49" w:rsidRDefault="00240981" w:rsidP="009D7FF0">
            <w:pPr>
              <w:pStyle w:val="TableDataCentred"/>
            </w:pPr>
            <w:r w:rsidRPr="004F2A49">
              <w:t>(0.032)</w:t>
            </w:r>
          </w:p>
        </w:tc>
      </w:tr>
      <w:tr w:rsidR="00240981" w:rsidRPr="008E16B0" w14:paraId="6C298ABE" w14:textId="77777777" w:rsidTr="000E7EB2">
        <w:tc>
          <w:tcPr>
            <w:tcW w:w="3213" w:type="dxa"/>
            <w:tcBorders>
              <w:bottom w:val="single" w:sz="4" w:space="0" w:color="auto"/>
            </w:tcBorders>
          </w:tcPr>
          <w:p w14:paraId="5C4BD2A0" w14:textId="591C147D" w:rsidR="00240981" w:rsidRPr="00101376" w:rsidRDefault="00240981" w:rsidP="009D7FF0">
            <w:pPr>
              <w:pStyle w:val="TableHeadingsColumn"/>
            </w:pPr>
            <w:r w:rsidRPr="00101376">
              <w:t>Group Building × Complexity</w:t>
            </w:r>
          </w:p>
        </w:tc>
        <w:tc>
          <w:tcPr>
            <w:tcW w:w="3213" w:type="dxa"/>
            <w:tcBorders>
              <w:bottom w:val="single" w:sz="4" w:space="0" w:color="auto"/>
            </w:tcBorders>
          </w:tcPr>
          <w:p w14:paraId="63DC1B44" w14:textId="77777777" w:rsidR="00240981" w:rsidRPr="008E16B0" w:rsidRDefault="00240981" w:rsidP="009D7FF0">
            <w:pPr>
              <w:pStyle w:val="TableDataCentred"/>
            </w:pPr>
          </w:p>
        </w:tc>
        <w:tc>
          <w:tcPr>
            <w:tcW w:w="3213" w:type="dxa"/>
            <w:tcBorders>
              <w:bottom w:val="single" w:sz="4" w:space="0" w:color="auto"/>
            </w:tcBorders>
          </w:tcPr>
          <w:p w14:paraId="254ADA9A" w14:textId="77777777" w:rsidR="00240981" w:rsidRPr="008E16B0" w:rsidRDefault="00240981" w:rsidP="009D7FF0">
            <w:pPr>
              <w:pStyle w:val="TableDataCentred"/>
            </w:pPr>
            <w:r w:rsidRPr="00FF5C0F">
              <w:t>0.054</w:t>
            </w:r>
            <w:r w:rsidRPr="004F2A49">
              <w:t>*</w:t>
            </w:r>
          </w:p>
          <w:p w14:paraId="0E0EE310" w14:textId="43B0FB98" w:rsidR="00240981" w:rsidRPr="008E16B0" w:rsidRDefault="00240981" w:rsidP="009D7FF0">
            <w:pPr>
              <w:pStyle w:val="TableDataCentred"/>
            </w:pPr>
            <w:r>
              <w:t>(</w:t>
            </w:r>
            <w:r w:rsidRPr="008E16B0">
              <w:t>0.02</w:t>
            </w:r>
            <w:r>
              <w:t>7</w:t>
            </w:r>
            <w:r w:rsidRPr="008E16B0">
              <w:t>)</w:t>
            </w:r>
          </w:p>
        </w:tc>
      </w:tr>
      <w:tr w:rsidR="00240981" w:rsidRPr="008E16B0" w14:paraId="0956AFC0" w14:textId="77777777" w:rsidTr="000E7EB2">
        <w:tc>
          <w:tcPr>
            <w:tcW w:w="3213" w:type="dxa"/>
            <w:tcBorders>
              <w:top w:val="single" w:sz="4" w:space="0" w:color="auto"/>
              <w:bottom w:val="single" w:sz="4" w:space="0" w:color="auto"/>
            </w:tcBorders>
          </w:tcPr>
          <w:p w14:paraId="6D580A6D" w14:textId="77B0D227" w:rsidR="00240981" w:rsidRPr="00101376" w:rsidRDefault="00240981" w:rsidP="009D7FF0">
            <w:pPr>
              <w:pStyle w:val="TableHeadingsColumn"/>
            </w:pPr>
            <w:r w:rsidRPr="00101376">
              <w:t>Intercept</w:t>
            </w:r>
          </w:p>
        </w:tc>
        <w:tc>
          <w:tcPr>
            <w:tcW w:w="3213" w:type="dxa"/>
            <w:tcBorders>
              <w:top w:val="single" w:sz="4" w:space="0" w:color="auto"/>
              <w:bottom w:val="single" w:sz="4" w:space="0" w:color="auto"/>
            </w:tcBorders>
          </w:tcPr>
          <w:p w14:paraId="557B1D80" w14:textId="722D4A28" w:rsidR="00240981" w:rsidRPr="00240981" w:rsidRDefault="0C8B15A2" w:rsidP="009D7FF0">
            <w:pPr>
              <w:pStyle w:val="TableDataCentred"/>
            </w:pPr>
            <w:r>
              <w:t>-0.77</w:t>
            </w:r>
            <w:r w:rsidR="4E1BA9C1">
              <w:t>5</w:t>
            </w:r>
            <w:r>
              <w:t>*</w:t>
            </w:r>
          </w:p>
          <w:p w14:paraId="6594FA6C" w14:textId="6F2790BD" w:rsidR="00240981" w:rsidRPr="00240981" w:rsidRDefault="00240981" w:rsidP="009D7FF0">
            <w:pPr>
              <w:pStyle w:val="TableDataCentred"/>
            </w:pPr>
            <w:r w:rsidRPr="00240981">
              <w:t>(0.389)</w:t>
            </w:r>
          </w:p>
        </w:tc>
        <w:tc>
          <w:tcPr>
            <w:tcW w:w="3213" w:type="dxa"/>
            <w:tcBorders>
              <w:top w:val="single" w:sz="4" w:space="0" w:color="auto"/>
              <w:bottom w:val="single" w:sz="4" w:space="0" w:color="auto"/>
            </w:tcBorders>
          </w:tcPr>
          <w:p w14:paraId="5BE88950" w14:textId="3FBB5CCF" w:rsidR="00240981" w:rsidRPr="00240981" w:rsidRDefault="68FF1ACF" w:rsidP="009D7FF0">
            <w:pPr>
              <w:pStyle w:val="TableDataCentred"/>
            </w:pPr>
            <w:r>
              <w:t>-0.66</w:t>
            </w:r>
            <w:r w:rsidR="1BAE6DDE">
              <w:t>0</w:t>
            </w:r>
            <w:r>
              <w:t>*</w:t>
            </w:r>
          </w:p>
          <w:p w14:paraId="1F57E0C5" w14:textId="02E89636" w:rsidR="00240981" w:rsidRPr="00240981" w:rsidRDefault="00240981" w:rsidP="009D7FF0">
            <w:pPr>
              <w:pStyle w:val="TableDataCentred"/>
            </w:pPr>
            <w:r w:rsidRPr="00240981">
              <w:t>(0.335)</w:t>
            </w:r>
          </w:p>
        </w:tc>
      </w:tr>
      <w:tr w:rsidR="00240981" w:rsidRPr="008E16B0" w14:paraId="68259B3E" w14:textId="77777777" w:rsidTr="000E7EB2">
        <w:tc>
          <w:tcPr>
            <w:tcW w:w="3213" w:type="dxa"/>
            <w:tcBorders>
              <w:top w:val="single" w:sz="4" w:space="0" w:color="auto"/>
            </w:tcBorders>
          </w:tcPr>
          <w:p w14:paraId="65E7591E" w14:textId="5360E67F" w:rsidR="00240981" w:rsidRPr="00101376" w:rsidRDefault="00240981" w:rsidP="009D7FF0">
            <w:pPr>
              <w:pStyle w:val="TableHeadingsColumn"/>
            </w:pPr>
            <w:proofErr w:type="spellStart"/>
            <w:r w:rsidRPr="00101376">
              <w:t>Obs</w:t>
            </w:r>
            <w:proofErr w:type="spellEnd"/>
          </w:p>
        </w:tc>
        <w:tc>
          <w:tcPr>
            <w:tcW w:w="3213" w:type="dxa"/>
            <w:tcBorders>
              <w:top w:val="single" w:sz="4" w:space="0" w:color="auto"/>
            </w:tcBorders>
          </w:tcPr>
          <w:p w14:paraId="7752CC01" w14:textId="7102108E" w:rsidR="00240981" w:rsidRPr="00240981" w:rsidRDefault="00240981" w:rsidP="009D7FF0">
            <w:pPr>
              <w:pStyle w:val="TableDataCentred"/>
            </w:pPr>
            <w:r w:rsidRPr="00240981">
              <w:t>606</w:t>
            </w:r>
          </w:p>
        </w:tc>
        <w:tc>
          <w:tcPr>
            <w:tcW w:w="3213" w:type="dxa"/>
            <w:tcBorders>
              <w:top w:val="single" w:sz="4" w:space="0" w:color="auto"/>
            </w:tcBorders>
          </w:tcPr>
          <w:p w14:paraId="3E694916" w14:textId="774206B4" w:rsidR="00240981" w:rsidRPr="00240981" w:rsidRDefault="00240981" w:rsidP="009D7FF0">
            <w:pPr>
              <w:pStyle w:val="TableDataCentred"/>
            </w:pPr>
            <w:r w:rsidRPr="00240981">
              <w:t>606</w:t>
            </w:r>
          </w:p>
        </w:tc>
      </w:tr>
      <w:tr w:rsidR="00240981" w:rsidRPr="008E16B0" w14:paraId="36D04195" w14:textId="77777777" w:rsidTr="000E7EB2">
        <w:tc>
          <w:tcPr>
            <w:tcW w:w="3213" w:type="dxa"/>
            <w:tcBorders>
              <w:bottom w:val="single" w:sz="4" w:space="0" w:color="auto"/>
            </w:tcBorders>
          </w:tcPr>
          <w:p w14:paraId="1752436D" w14:textId="3B080F9E" w:rsidR="00240981" w:rsidRPr="00101376" w:rsidRDefault="00240981" w:rsidP="009D7FF0">
            <w:pPr>
              <w:pStyle w:val="TableHeadingsColumn"/>
            </w:pPr>
            <w:r w:rsidRPr="00101376">
              <w:t>Cases</w:t>
            </w:r>
          </w:p>
        </w:tc>
        <w:tc>
          <w:tcPr>
            <w:tcW w:w="3213" w:type="dxa"/>
            <w:tcBorders>
              <w:bottom w:val="single" w:sz="4" w:space="0" w:color="auto"/>
            </w:tcBorders>
          </w:tcPr>
          <w:p w14:paraId="49F16E9C" w14:textId="3F4BED5A" w:rsidR="00240981" w:rsidRPr="00240981" w:rsidRDefault="00240981" w:rsidP="009D7FF0">
            <w:pPr>
              <w:pStyle w:val="TableDataCentred"/>
            </w:pPr>
            <w:r w:rsidRPr="00240981">
              <w:t>15</w:t>
            </w:r>
          </w:p>
        </w:tc>
        <w:tc>
          <w:tcPr>
            <w:tcW w:w="3213" w:type="dxa"/>
            <w:tcBorders>
              <w:bottom w:val="single" w:sz="4" w:space="0" w:color="auto"/>
            </w:tcBorders>
          </w:tcPr>
          <w:p w14:paraId="4E2D317C" w14:textId="5EDD5E13" w:rsidR="00240981" w:rsidRPr="00240981" w:rsidRDefault="00240981" w:rsidP="009D7FF0">
            <w:pPr>
              <w:pStyle w:val="TableDataCentred"/>
            </w:pPr>
            <w:r w:rsidRPr="00240981">
              <w:t>15</w:t>
            </w:r>
          </w:p>
        </w:tc>
      </w:tr>
      <w:tr w:rsidR="00240981" w:rsidRPr="008E16B0" w14:paraId="6750DAFE" w14:textId="77777777" w:rsidTr="000E7EB2">
        <w:tc>
          <w:tcPr>
            <w:tcW w:w="3213" w:type="dxa"/>
            <w:tcBorders>
              <w:top w:val="single" w:sz="4" w:space="0" w:color="auto"/>
            </w:tcBorders>
          </w:tcPr>
          <w:p w14:paraId="730E4918" w14:textId="6D6EEA92" w:rsidR="00240981" w:rsidRPr="00101376" w:rsidRDefault="00240981" w:rsidP="009D7FF0">
            <w:pPr>
              <w:pStyle w:val="TableHeadingsColumn"/>
            </w:pPr>
            <w:r w:rsidRPr="00101376">
              <w:t>Pseudo-R</w:t>
            </w:r>
            <w:r w:rsidRPr="000E7EB2">
              <w:rPr>
                <w:vertAlign w:val="superscript"/>
              </w:rPr>
              <w:t>2</w:t>
            </w:r>
            <w:r w:rsidRPr="00101376">
              <w:t xml:space="preserve"> (FE)</w:t>
            </w:r>
          </w:p>
        </w:tc>
        <w:tc>
          <w:tcPr>
            <w:tcW w:w="3213" w:type="dxa"/>
            <w:tcBorders>
              <w:top w:val="single" w:sz="4" w:space="0" w:color="auto"/>
            </w:tcBorders>
          </w:tcPr>
          <w:p w14:paraId="061711B6" w14:textId="5329E3EA" w:rsidR="00240981" w:rsidRPr="00240981" w:rsidRDefault="00240981" w:rsidP="009D7FF0">
            <w:pPr>
              <w:pStyle w:val="TableDataCentred"/>
            </w:pPr>
            <w:r w:rsidRPr="00240981">
              <w:t>0.377</w:t>
            </w:r>
          </w:p>
        </w:tc>
        <w:tc>
          <w:tcPr>
            <w:tcW w:w="3213" w:type="dxa"/>
            <w:tcBorders>
              <w:top w:val="single" w:sz="4" w:space="0" w:color="auto"/>
            </w:tcBorders>
          </w:tcPr>
          <w:p w14:paraId="3E0F2D7D" w14:textId="41401CF7" w:rsidR="00240981" w:rsidRPr="00240981" w:rsidRDefault="68FF1ACF" w:rsidP="009D7FF0">
            <w:pPr>
              <w:pStyle w:val="TableDataCentred"/>
            </w:pPr>
            <w:r>
              <w:t>0.44</w:t>
            </w:r>
            <w:r w:rsidR="72DBF2C6">
              <w:t>0</w:t>
            </w:r>
          </w:p>
        </w:tc>
      </w:tr>
      <w:tr w:rsidR="00012786" w:rsidRPr="008E16B0" w14:paraId="7196CD91" w14:textId="77777777" w:rsidTr="000E7EB2">
        <w:tc>
          <w:tcPr>
            <w:tcW w:w="3213" w:type="dxa"/>
          </w:tcPr>
          <w:p w14:paraId="49CA5B1E" w14:textId="521927F2" w:rsidR="00012786" w:rsidRPr="00101376" w:rsidRDefault="00012786" w:rsidP="009D7FF0">
            <w:pPr>
              <w:pStyle w:val="TableHeadingsColumn"/>
            </w:pPr>
            <w:r w:rsidRPr="002A63D3">
              <w:t>Group RE σ</w:t>
            </w:r>
          </w:p>
        </w:tc>
        <w:tc>
          <w:tcPr>
            <w:tcW w:w="3213" w:type="dxa"/>
          </w:tcPr>
          <w:p w14:paraId="731666CC" w14:textId="014FEDA4" w:rsidR="00012786" w:rsidRPr="00240981" w:rsidRDefault="00012786" w:rsidP="009D7FF0">
            <w:pPr>
              <w:pStyle w:val="TableDataCentred"/>
            </w:pPr>
            <w:r w:rsidRPr="00240981">
              <w:rPr>
                <w:rFonts w:eastAsia="Cambria"/>
              </w:rPr>
              <w:t>0.08</w:t>
            </w:r>
          </w:p>
        </w:tc>
        <w:tc>
          <w:tcPr>
            <w:tcW w:w="3213" w:type="dxa"/>
          </w:tcPr>
          <w:p w14:paraId="3D72A0FD" w14:textId="725C58A2" w:rsidR="00012786" w:rsidRPr="00240981" w:rsidRDefault="00012786" w:rsidP="009D7FF0">
            <w:pPr>
              <w:pStyle w:val="TableDataCentred"/>
            </w:pPr>
            <w:r w:rsidRPr="00240981">
              <w:rPr>
                <w:rFonts w:eastAsia="Cambria"/>
              </w:rPr>
              <w:t>0.06</w:t>
            </w:r>
          </w:p>
        </w:tc>
      </w:tr>
      <w:tr w:rsidR="00012786" w:rsidRPr="008E16B0" w14:paraId="260BDB6F" w14:textId="77777777" w:rsidTr="000E7EB2">
        <w:tc>
          <w:tcPr>
            <w:tcW w:w="3213" w:type="dxa"/>
            <w:tcBorders>
              <w:bottom w:val="single" w:sz="4" w:space="0" w:color="auto"/>
            </w:tcBorders>
          </w:tcPr>
          <w:p w14:paraId="3B7CBFF3" w14:textId="5F692CD0" w:rsidR="00012786" w:rsidRPr="00101376" w:rsidRDefault="00012786" w:rsidP="009D7FF0">
            <w:pPr>
              <w:pStyle w:val="TableHeadingsColumn"/>
            </w:pPr>
            <w:r w:rsidRPr="002A63D3">
              <w:t>Residual RE σ</w:t>
            </w:r>
          </w:p>
        </w:tc>
        <w:tc>
          <w:tcPr>
            <w:tcW w:w="3213" w:type="dxa"/>
            <w:tcBorders>
              <w:bottom w:val="single" w:sz="4" w:space="0" w:color="auto"/>
            </w:tcBorders>
          </w:tcPr>
          <w:p w14:paraId="3BDCB0B5" w14:textId="1E7D664E" w:rsidR="00012786" w:rsidRPr="00240981" w:rsidRDefault="00012786" w:rsidP="009D7FF0">
            <w:pPr>
              <w:pStyle w:val="TableDataCentred"/>
            </w:pPr>
            <w:r w:rsidRPr="00240981">
              <w:rPr>
                <w:rFonts w:eastAsia="Cambria"/>
              </w:rPr>
              <w:t>0.17</w:t>
            </w:r>
          </w:p>
        </w:tc>
        <w:tc>
          <w:tcPr>
            <w:tcW w:w="3213" w:type="dxa"/>
            <w:tcBorders>
              <w:bottom w:val="single" w:sz="4" w:space="0" w:color="auto"/>
            </w:tcBorders>
          </w:tcPr>
          <w:p w14:paraId="1C73EB05" w14:textId="4BCA93C1" w:rsidR="00012786" w:rsidRPr="00240981" w:rsidRDefault="00012786" w:rsidP="009D7FF0">
            <w:pPr>
              <w:pStyle w:val="TableDataCentred"/>
            </w:pPr>
            <w:r w:rsidRPr="00240981">
              <w:rPr>
                <w:rFonts w:eastAsia="Cambria"/>
              </w:rPr>
              <w:t>0.17</w:t>
            </w:r>
          </w:p>
        </w:tc>
      </w:tr>
    </w:tbl>
    <w:p w14:paraId="7E4B7153" w14:textId="77777777" w:rsidR="00696829" w:rsidRPr="004347E8" w:rsidRDefault="00696829" w:rsidP="009D7FF0">
      <w:pPr>
        <w:pStyle w:val="TableFooter"/>
      </w:pPr>
      <w:r w:rsidRPr="004347E8">
        <w:t>Notes: *p&lt;0.1; **p&lt;0.05; ***p&lt;0.01.</w:t>
      </w:r>
    </w:p>
    <w:p w14:paraId="564D81CF" w14:textId="2BB2F6C3" w:rsidR="00877B6C" w:rsidRDefault="51D7F06E" w:rsidP="00EE709F">
      <w:pPr>
        <w:pStyle w:val="Heading1"/>
      </w:pPr>
      <w:bookmarkStart w:id="165" w:name="_Toc97203789"/>
      <w:bookmarkStart w:id="166" w:name="_Toc97231591"/>
      <w:bookmarkStart w:id="167" w:name="_Toc97203790"/>
      <w:bookmarkStart w:id="168" w:name="_Toc97231592"/>
      <w:bookmarkStart w:id="169" w:name="_Toc97622114"/>
      <w:bookmarkEnd w:id="165"/>
      <w:bookmarkEnd w:id="166"/>
      <w:r>
        <w:lastRenderedPageBreak/>
        <w:t>C</w:t>
      </w:r>
      <w:r w:rsidR="00572183">
        <w:t>OMPLEXITY</w:t>
      </w:r>
      <w:r w:rsidR="6180391B">
        <w:t xml:space="preserve"> Coding</w:t>
      </w:r>
      <w:bookmarkEnd w:id="167"/>
      <w:bookmarkEnd w:id="168"/>
      <w:bookmarkEnd w:id="169"/>
    </w:p>
    <w:p w14:paraId="4C950CC9" w14:textId="5618FB08" w:rsidR="00C651FE" w:rsidRPr="00C651FE" w:rsidRDefault="00F41C83" w:rsidP="00EE709F">
      <w:pPr>
        <w:pStyle w:val="Heading2"/>
      </w:pPr>
      <w:bookmarkStart w:id="170" w:name="_Toc95407085"/>
      <w:bookmarkStart w:id="171" w:name="_Toc95414709"/>
      <w:bookmarkStart w:id="172" w:name="_Toc95407086"/>
      <w:bookmarkStart w:id="173" w:name="_Toc95414710"/>
      <w:bookmarkStart w:id="174" w:name="_Toc97203791"/>
      <w:bookmarkStart w:id="175" w:name="_Toc97231593"/>
      <w:bookmarkStart w:id="176" w:name="_Toc97622116"/>
      <w:bookmarkEnd w:id="154"/>
      <w:bookmarkEnd w:id="170"/>
      <w:bookmarkEnd w:id="171"/>
      <w:bookmarkEnd w:id="172"/>
      <w:bookmarkEnd w:id="173"/>
      <w:r>
        <w:t xml:space="preserve">Coding for </w:t>
      </w:r>
      <w:r w:rsidR="00C651FE">
        <w:t>Complexity</w:t>
      </w:r>
      <w:bookmarkEnd w:id="174"/>
      <w:bookmarkEnd w:id="175"/>
      <w:bookmarkEnd w:id="176"/>
    </w:p>
    <w:p w14:paraId="4D59D280" w14:textId="07F72F41" w:rsidR="005E5BC5" w:rsidRPr="009C0B42" w:rsidRDefault="00C843DD" w:rsidP="00633D4F">
      <w:pPr>
        <w:pStyle w:val="paragraph"/>
        <w:keepNext/>
        <w:keepLines/>
        <w:ind w:firstLine="0"/>
        <w:rPr>
          <w:rFonts w:eastAsia="Calibri"/>
        </w:rPr>
      </w:pPr>
      <w:bookmarkStart w:id="177" w:name="_Toc67691094"/>
      <w:bookmarkStart w:id="178" w:name="_Ref56547886"/>
      <w:bookmarkStart w:id="179" w:name="_Ref56610696"/>
      <w:bookmarkStart w:id="180" w:name="_Ref56633957"/>
      <w:bookmarkStart w:id="181" w:name="_Toc67691097"/>
      <w:r w:rsidRPr="009C0B42">
        <w:rPr>
          <w:rFonts w:eastAsia="Calibri"/>
        </w:rPr>
        <w:t xml:space="preserve">We conceptualize complexity in terms of the </w:t>
      </w:r>
      <w:r w:rsidR="003056EE" w:rsidRPr="009C0B42">
        <w:rPr>
          <w:rFonts w:eastAsia="Calibri"/>
        </w:rPr>
        <w:t xml:space="preserve">task facing deliberators, rather than in terms of just the issue per se. </w:t>
      </w:r>
      <w:r w:rsidR="0011019F" w:rsidRPr="009C0B42">
        <w:rPr>
          <w:rFonts w:eastAsia="Calibri"/>
        </w:rPr>
        <w:t>Task c</w:t>
      </w:r>
      <w:r w:rsidR="005E5BC5" w:rsidRPr="009C0B42">
        <w:rPr>
          <w:rFonts w:eastAsia="Calibri"/>
        </w:rPr>
        <w:t>omplexity has three dimensions</w:t>
      </w:r>
      <w:r w:rsidR="0011019F" w:rsidRPr="009C0B42">
        <w:rPr>
          <w:rFonts w:eastAsia="Calibri"/>
        </w:rPr>
        <w:t>: remit breadth, informational burden, and geographical scale.</w:t>
      </w:r>
      <w:r w:rsidR="005E5BC5" w:rsidRPr="009C0B42">
        <w:rPr>
          <w:rFonts w:eastAsia="Calibri"/>
        </w:rPr>
        <w:t xml:space="preserve"> Each dimension</w:t>
      </w:r>
      <w:r w:rsidR="00EB0DB1" w:rsidRPr="009C0B42">
        <w:rPr>
          <w:rFonts w:eastAsia="Calibri"/>
        </w:rPr>
        <w:t xml:space="preserve"> </w:t>
      </w:r>
      <w:r w:rsidR="00E35F70" w:rsidRPr="009C0B42">
        <w:rPr>
          <w:rFonts w:eastAsia="Calibri"/>
        </w:rPr>
        <w:t xml:space="preserve">is coded on a </w:t>
      </w:r>
      <w:r w:rsidR="00B361ED" w:rsidRPr="009C0B42">
        <w:rPr>
          <w:rFonts w:eastAsia="Calibri"/>
        </w:rPr>
        <w:t xml:space="preserve">1-4 ordinal scale. </w:t>
      </w:r>
      <w:r w:rsidR="001D4BF6" w:rsidRPr="009C0B42">
        <w:rPr>
          <w:rFonts w:eastAsia="Calibri"/>
        </w:rPr>
        <w:t>The scores on each dimension were then aggregated</w:t>
      </w:r>
      <w:r w:rsidR="005E5BC5" w:rsidRPr="009C0B42">
        <w:rPr>
          <w:rFonts w:eastAsia="Calibri"/>
        </w:rPr>
        <w:t xml:space="preserve">. </w:t>
      </w:r>
    </w:p>
    <w:p w14:paraId="570D3045" w14:textId="4811EDC5" w:rsidR="0072117F" w:rsidRPr="005F623F" w:rsidRDefault="0072117F" w:rsidP="005F623F">
      <w:pPr>
        <w:pStyle w:val="Heading3"/>
      </w:pPr>
      <w:bookmarkStart w:id="182" w:name="_Toc97622117"/>
      <w:bookmarkEnd w:id="177"/>
      <w:bookmarkEnd w:id="178"/>
      <w:bookmarkEnd w:id="179"/>
      <w:bookmarkEnd w:id="180"/>
      <w:bookmarkEnd w:id="181"/>
      <w:r w:rsidRPr="005F623F">
        <w:t>Remit breadth</w:t>
      </w:r>
      <w:bookmarkEnd w:id="182"/>
    </w:p>
    <w:p w14:paraId="23AFF6FE" w14:textId="692D0C78" w:rsidR="0072117F" w:rsidRPr="009C0B42" w:rsidRDefault="0072117F" w:rsidP="008B3F05">
      <w:pPr>
        <w:pStyle w:val="ListParagraph"/>
        <w:keepNext/>
        <w:ind w:left="1077" w:hanging="357"/>
      </w:pPr>
      <w:r w:rsidRPr="009C0B42">
        <w:t>The task is restricted to acceptance or rejection of a single option</w:t>
      </w:r>
      <w:r w:rsidR="003B43DD">
        <w:t>.</w:t>
      </w:r>
    </w:p>
    <w:p w14:paraId="30A3280B" w14:textId="446EB530" w:rsidR="0072117F" w:rsidRPr="009C0B42" w:rsidRDefault="0072117F" w:rsidP="008B3F05">
      <w:pPr>
        <w:pStyle w:val="ListParagraph"/>
        <w:keepNext/>
        <w:ind w:left="1077" w:hanging="357"/>
      </w:pPr>
      <w:r w:rsidRPr="009C0B42">
        <w:t>The task involves choice across two or more well-defined options.</w:t>
      </w:r>
    </w:p>
    <w:p w14:paraId="132F8B71" w14:textId="25C5953F" w:rsidR="0072117F" w:rsidRPr="009C0B42" w:rsidRDefault="0072117F" w:rsidP="008B3F05">
      <w:pPr>
        <w:pStyle w:val="ListParagraph"/>
        <w:keepNext/>
        <w:ind w:left="1077" w:hanging="357"/>
      </w:pPr>
      <w:r w:rsidRPr="009C0B42">
        <w:t>The participants can devise options of their own in the context</w:t>
      </w:r>
      <w:r w:rsidR="00FA6A21" w:rsidRPr="009C0B42">
        <w:t xml:space="preserve"> </w:t>
      </w:r>
      <w:r w:rsidRPr="009C0B42">
        <w:t>of a well-defined problem.</w:t>
      </w:r>
    </w:p>
    <w:p w14:paraId="22053576" w14:textId="1654DF9F" w:rsidR="0072117F" w:rsidRPr="009C0B42" w:rsidRDefault="0072117F" w:rsidP="00EE709F">
      <w:pPr>
        <w:pStyle w:val="ListParagraph"/>
      </w:pPr>
      <w:r w:rsidRPr="009C0B42">
        <w:t>The participants can extend the agenda/range of problems to be addressed.</w:t>
      </w:r>
    </w:p>
    <w:p w14:paraId="414F7FF6" w14:textId="72DB6898" w:rsidR="004704FD" w:rsidRPr="005F623F" w:rsidRDefault="004704FD" w:rsidP="00EE709F">
      <w:pPr>
        <w:pStyle w:val="Heading3"/>
      </w:pPr>
      <w:bookmarkStart w:id="183" w:name="_Toc97622118"/>
      <w:r w:rsidRPr="00A92FDA">
        <w:t>Informational Burden</w:t>
      </w:r>
      <w:bookmarkEnd w:id="183"/>
    </w:p>
    <w:p w14:paraId="21ECC993" w14:textId="77777777" w:rsidR="004704FD" w:rsidRPr="00792EC3" w:rsidRDefault="004704FD" w:rsidP="00EE709F">
      <w:pPr>
        <w:pStyle w:val="ListParagraph"/>
        <w:numPr>
          <w:ilvl w:val="0"/>
          <w:numId w:val="12"/>
        </w:numPr>
      </w:pPr>
      <w:r w:rsidRPr="00792EC3">
        <w:t>Process uses only lay/ordinary knowledge, no technical or scientific expertise.</w:t>
      </w:r>
    </w:p>
    <w:p w14:paraId="13FDD1A4" w14:textId="77777777" w:rsidR="004704FD" w:rsidRPr="00792EC3" w:rsidRDefault="004704FD" w:rsidP="00EE709F">
      <w:pPr>
        <w:pStyle w:val="ListParagraph"/>
      </w:pPr>
      <w:r w:rsidRPr="00792EC3">
        <w:t>Process uses expert knowledge from a single discipline.</w:t>
      </w:r>
    </w:p>
    <w:p w14:paraId="0B602DC3" w14:textId="77777777" w:rsidR="004704FD" w:rsidRPr="00792EC3" w:rsidRDefault="004704FD" w:rsidP="00EE709F">
      <w:pPr>
        <w:pStyle w:val="ListParagraph"/>
      </w:pPr>
      <w:r w:rsidRPr="00792EC3">
        <w:t>Process uses expert knowledge from more than one discipline.</w:t>
      </w:r>
    </w:p>
    <w:p w14:paraId="03C859A0" w14:textId="77777777" w:rsidR="004704FD" w:rsidRPr="00792EC3" w:rsidRDefault="004704FD" w:rsidP="00EE709F">
      <w:pPr>
        <w:pStyle w:val="ListParagraph"/>
      </w:pPr>
      <w:r w:rsidRPr="00792EC3">
        <w:t>Process uses expert knowledge that is controversial and contested.</w:t>
      </w:r>
    </w:p>
    <w:p w14:paraId="117F91CA" w14:textId="21F8CEA0" w:rsidR="0072117F" w:rsidRPr="005F623F" w:rsidRDefault="0072117F" w:rsidP="00EE709F">
      <w:pPr>
        <w:pStyle w:val="Heading3"/>
      </w:pPr>
      <w:bookmarkStart w:id="184" w:name="_Toc97622119"/>
      <w:r w:rsidRPr="009C0B42">
        <w:t>Geographical scale</w:t>
      </w:r>
      <w:bookmarkEnd w:id="184"/>
    </w:p>
    <w:p w14:paraId="3D866CF2" w14:textId="0FD6D41A" w:rsidR="001F09F9" w:rsidRPr="009C0B42" w:rsidRDefault="0085065F" w:rsidP="00861D12">
      <w:pPr>
        <w:pStyle w:val="Paragraphfirst"/>
      </w:pPr>
      <w:r w:rsidRPr="009C0B42">
        <w:t xml:space="preserve">Scale here refers to the </w:t>
      </w:r>
      <w:r w:rsidR="002B3497" w:rsidRPr="009C0B42">
        <w:t xml:space="preserve">characteristics of the issue, rather than (for example) the jurisdiction in which participants were recruited, or the </w:t>
      </w:r>
      <w:r w:rsidR="00111B84" w:rsidRPr="009C0B42">
        <w:t>level of government rec</w:t>
      </w:r>
      <w:r w:rsidR="00E4515C" w:rsidRPr="009C0B42">
        <w:t>e</w:t>
      </w:r>
      <w:r w:rsidR="00111B84" w:rsidRPr="009C0B42">
        <w:t xml:space="preserve">iving </w:t>
      </w:r>
      <w:r w:rsidR="00A330F5" w:rsidRPr="009C0B42">
        <w:t>recommendation</w:t>
      </w:r>
      <w:r w:rsidR="00111B84" w:rsidRPr="009C0B42">
        <w:t>s.</w:t>
      </w:r>
    </w:p>
    <w:p w14:paraId="6608B12C" w14:textId="0C4D1D44" w:rsidR="0072117F" w:rsidRPr="003E3C48" w:rsidRDefault="0072117F" w:rsidP="00EE709F">
      <w:pPr>
        <w:pStyle w:val="ListParagraph"/>
        <w:numPr>
          <w:ilvl w:val="0"/>
          <w:numId w:val="11"/>
        </w:numPr>
      </w:pPr>
      <w:r w:rsidRPr="00177C93">
        <w:t>Local</w:t>
      </w:r>
    </w:p>
    <w:p w14:paraId="7681C710" w14:textId="066C848E" w:rsidR="0072117F" w:rsidRPr="003E3C48" w:rsidRDefault="0072117F" w:rsidP="00EE709F">
      <w:pPr>
        <w:pStyle w:val="ListParagraph"/>
      </w:pPr>
      <w:r w:rsidRPr="003E3C48">
        <w:t>Regional</w:t>
      </w:r>
    </w:p>
    <w:p w14:paraId="6BBEA819" w14:textId="0C25DEE1" w:rsidR="0072117F" w:rsidRPr="003E3C48" w:rsidRDefault="0072117F" w:rsidP="00EE709F">
      <w:pPr>
        <w:pStyle w:val="ListParagraph"/>
      </w:pPr>
      <w:r w:rsidRPr="003E3C48">
        <w:t>National</w:t>
      </w:r>
    </w:p>
    <w:p w14:paraId="448095CF" w14:textId="097D34F5" w:rsidR="00075C81" w:rsidRPr="003E3C48" w:rsidRDefault="0072117F" w:rsidP="00EE709F">
      <w:pPr>
        <w:pStyle w:val="ListParagraph"/>
      </w:pPr>
      <w:r w:rsidRPr="003E3C48">
        <w:t>International</w:t>
      </w:r>
    </w:p>
    <w:p w14:paraId="2365627D" w14:textId="77777777" w:rsidR="00CC5145" w:rsidRPr="009C3AC6" w:rsidRDefault="00CC5145" w:rsidP="00861D12">
      <w:pPr>
        <w:pStyle w:val="Paragraphfirst"/>
      </w:pPr>
    </w:p>
    <w:p w14:paraId="540DEB95" w14:textId="0455B873" w:rsidR="00C651FE" w:rsidRPr="001305A1" w:rsidRDefault="008F1FCF" w:rsidP="00EE709F">
      <w:pPr>
        <w:pStyle w:val="Heading2"/>
      </w:pPr>
      <w:bookmarkStart w:id="185" w:name="_Toc97203792"/>
      <w:bookmarkStart w:id="186" w:name="_Toc97622120"/>
      <w:bookmarkStart w:id="187" w:name="_Toc97231594"/>
      <w:r>
        <w:lastRenderedPageBreak/>
        <w:t xml:space="preserve">Complexity Coding </w:t>
      </w:r>
      <w:r w:rsidR="0028177B">
        <w:t xml:space="preserve">Results and </w:t>
      </w:r>
      <w:r w:rsidR="00C651FE" w:rsidRPr="001305A1">
        <w:t>Aggregation</w:t>
      </w:r>
      <w:bookmarkEnd w:id="185"/>
      <w:bookmarkEnd w:id="186"/>
      <w:r w:rsidR="00C651FE" w:rsidRPr="001305A1">
        <w:t xml:space="preserve"> </w:t>
      </w:r>
      <w:bookmarkEnd w:id="187"/>
    </w:p>
    <w:p w14:paraId="526890C7" w14:textId="46E381AB" w:rsidR="00BC54BC" w:rsidRPr="00C4705B" w:rsidRDefault="56F9DFD6" w:rsidP="005679EE">
      <w:pPr>
        <w:pStyle w:val="Paragraphfirst"/>
        <w:keepNext/>
        <w:keepLines/>
      </w:pPr>
      <w:r w:rsidRPr="009C0B42">
        <w:t xml:space="preserve">Four coders used information available for each of the cases at </w:t>
      </w:r>
      <w:r w:rsidR="527F6464" w:rsidRPr="009C0B42">
        <w:t xml:space="preserve">their respective Participedia sites (see </w:t>
      </w:r>
      <w:r>
        <w:fldChar w:fldCharType="begin"/>
      </w:r>
      <w:r>
        <w:instrText>REF _Ref76598617</w:instrText>
      </w:r>
      <w:r>
        <w:fldChar w:fldCharType="separate"/>
      </w:r>
      <w:r w:rsidR="00957DCD">
        <w:t xml:space="preserve">Table </w:t>
      </w:r>
      <w:r w:rsidR="00957DCD">
        <w:rPr>
          <w:noProof/>
        </w:rPr>
        <w:t>A.1</w:t>
      </w:r>
      <w:r w:rsidR="00957DCD">
        <w:t>.</w:t>
      </w:r>
      <w:r w:rsidR="00957DCD">
        <w:rPr>
          <w:noProof/>
        </w:rPr>
        <w:t>2</w:t>
      </w:r>
      <w:r>
        <w:fldChar w:fldCharType="end"/>
      </w:r>
      <w:r w:rsidR="00957DCD">
        <w:t xml:space="preserve">) </w:t>
      </w:r>
      <w:r w:rsidR="017149FC" w:rsidRPr="009C0B42">
        <w:t>producing</w:t>
      </w:r>
      <w:r w:rsidR="7555D511" w:rsidRPr="009C0B42">
        <w:t xml:space="preserve"> the scores provided in </w:t>
      </w:r>
      <w:r>
        <w:fldChar w:fldCharType="begin"/>
      </w:r>
      <w:r>
        <w:instrText>REF _Ref122351710</w:instrText>
      </w:r>
      <w:r>
        <w:fldChar w:fldCharType="separate"/>
      </w:r>
      <w:r w:rsidR="00154231">
        <w:t xml:space="preserve">Table </w:t>
      </w:r>
      <w:r w:rsidR="00154231">
        <w:rPr>
          <w:noProof/>
        </w:rPr>
        <w:t>E.2</w:t>
      </w:r>
      <w:r w:rsidR="00154231">
        <w:t>.</w:t>
      </w:r>
      <w:r w:rsidR="00154231">
        <w:rPr>
          <w:noProof/>
        </w:rPr>
        <w:t>1</w:t>
      </w:r>
      <w:r>
        <w:fldChar w:fldCharType="end"/>
      </w:r>
      <w:r w:rsidR="00B0DBAA" w:rsidRPr="009C0B42">
        <w:t xml:space="preserve">, </w:t>
      </w:r>
      <w:r w:rsidR="006D30E0" w:rsidRPr="009C0B42">
        <w:t>with an</w:t>
      </w:r>
      <w:r w:rsidR="017149FC" w:rsidRPr="009C0B42">
        <w:t xml:space="preserve"> inter</w:t>
      </w:r>
      <w:r w:rsidR="006D30E0" w:rsidRPr="009C0B42">
        <w:t>-</w:t>
      </w:r>
      <w:r w:rsidR="017149FC" w:rsidRPr="009C0B42">
        <w:t>coder reliability score (</w:t>
      </w:r>
      <w:r w:rsidR="68834A0E" w:rsidRPr="009C0B42">
        <w:t>Cronbach’s</w:t>
      </w:r>
      <w:r w:rsidR="017149FC" w:rsidRPr="009C0B42">
        <w:t xml:space="preserve"> Alpha) of </w:t>
      </w:r>
      <w:r w:rsidR="7555D511" w:rsidRPr="009C0B42">
        <w:t>0.94</w:t>
      </w:r>
      <w:r w:rsidR="00B0DBAA" w:rsidRPr="009C0B42">
        <w:t>.</w:t>
      </w:r>
      <w:r w:rsidR="00CF09E7" w:rsidRPr="009C0B42">
        <w:t xml:space="preserve"> </w:t>
      </w:r>
      <w:r w:rsidR="000B2525" w:rsidRPr="009C0B42">
        <w:t xml:space="preserve">Aggregation </w:t>
      </w:r>
      <w:r w:rsidR="00CF5F7A" w:rsidRPr="009C0B42">
        <w:t xml:space="preserve">was performed using </w:t>
      </w:r>
      <w:r w:rsidR="00A041CA" w:rsidRPr="009C0B42">
        <w:t>median</w:t>
      </w:r>
      <w:r w:rsidR="004A5E38" w:rsidRPr="009C0B42">
        <w:t xml:space="preserve"> </w:t>
      </w:r>
      <w:r w:rsidR="00463AD8" w:rsidRPr="009C0B42">
        <w:t xml:space="preserve">component </w:t>
      </w:r>
      <w:r w:rsidR="00E56713" w:rsidRPr="009C0B42">
        <w:t>score</w:t>
      </w:r>
      <w:r w:rsidR="00463AD8" w:rsidRPr="009C0B42">
        <w:t xml:space="preserve"> as per </w:t>
      </w:r>
      <w:r w:rsidR="00B30209" w:rsidRPr="009C0B42">
        <w:rPr>
          <w:rFonts w:eastAsia="Cambria"/>
          <w:noProof/>
        </w:rPr>
        <w:t xml:space="preserve">Lindstädt et al. </w:t>
      </w:r>
      <w:r w:rsidR="00B30209">
        <w:rPr>
          <w:rFonts w:eastAsia="Cambria"/>
          <w:noProof/>
        </w:rPr>
        <w:t>(2020)</w:t>
      </w:r>
      <w:r w:rsidR="00463AD8">
        <w:rPr>
          <w:rFonts w:eastAsia="Cambria"/>
        </w:rPr>
        <w:t>.</w:t>
      </w:r>
    </w:p>
    <w:p w14:paraId="05A2DB99" w14:textId="09C86E90" w:rsidR="003209A8" w:rsidRPr="00C4705B" w:rsidRDefault="005F623F" w:rsidP="008B3F05">
      <w:pPr>
        <w:pStyle w:val="Caption"/>
      </w:pPr>
      <w:bookmarkStart w:id="188" w:name="_Ref122351710"/>
      <w:r>
        <w:t xml:space="preserve">Table </w:t>
      </w:r>
      <w:r>
        <w:fldChar w:fldCharType="begin"/>
      </w:r>
      <w:r>
        <w:instrText>STYLEREF 2 \s</w:instrText>
      </w:r>
      <w:r>
        <w:fldChar w:fldCharType="separate"/>
      </w:r>
      <w:r>
        <w:rPr>
          <w:noProof/>
        </w:rPr>
        <w:t>E.2</w:t>
      </w:r>
      <w:r>
        <w:fldChar w:fldCharType="end"/>
      </w:r>
      <w:r>
        <w:t>.</w:t>
      </w:r>
      <w:r>
        <w:fldChar w:fldCharType="begin"/>
      </w:r>
      <w:r>
        <w:instrText>SEQ Table \* ARABIC \s 2</w:instrText>
      </w:r>
      <w:r>
        <w:fldChar w:fldCharType="separate"/>
      </w:r>
      <w:r>
        <w:rPr>
          <w:noProof/>
        </w:rPr>
        <w:t>1</w:t>
      </w:r>
      <w:r>
        <w:fldChar w:fldCharType="end"/>
      </w:r>
      <w:bookmarkEnd w:id="188"/>
      <w:r>
        <w:t>:</w:t>
      </w:r>
      <w:r w:rsidR="003209A8" w:rsidRPr="00C4705B">
        <w:t xml:space="preserve"> Case Study Complexity Coding</w:t>
      </w:r>
    </w:p>
    <w:tbl>
      <w:tblPr>
        <w:tblW w:w="9639" w:type="dxa"/>
        <w:jc w:val="center"/>
        <w:tblLayout w:type="fixed"/>
        <w:tblLook w:val="04A0" w:firstRow="1" w:lastRow="0" w:firstColumn="1" w:lastColumn="0" w:noHBand="0" w:noVBand="1"/>
      </w:tblPr>
      <w:tblGrid>
        <w:gridCol w:w="501"/>
        <w:gridCol w:w="3899"/>
        <w:gridCol w:w="1406"/>
        <w:gridCol w:w="1406"/>
        <w:gridCol w:w="1293"/>
        <w:gridCol w:w="1134"/>
      </w:tblGrid>
      <w:tr w:rsidR="007174D0" w:rsidRPr="00101D0A" w14:paraId="6B50D9E6" w14:textId="77777777" w:rsidTr="001C4FC5">
        <w:trPr>
          <w:jc w:val="center"/>
        </w:trPr>
        <w:tc>
          <w:tcPr>
            <w:tcW w:w="567" w:type="dxa"/>
            <w:tcBorders>
              <w:bottom w:val="single" w:sz="4" w:space="0" w:color="auto"/>
            </w:tcBorders>
          </w:tcPr>
          <w:p w14:paraId="0091486B" w14:textId="257A6641" w:rsidR="007174D0" w:rsidRPr="003513C5" w:rsidRDefault="007174D0" w:rsidP="00636D41">
            <w:pPr>
              <w:pStyle w:val="TableHeader1"/>
            </w:pPr>
          </w:p>
        </w:tc>
        <w:tc>
          <w:tcPr>
            <w:tcW w:w="4821" w:type="dxa"/>
            <w:tcBorders>
              <w:bottom w:val="single" w:sz="4" w:space="0" w:color="auto"/>
            </w:tcBorders>
            <w:shd w:val="clear" w:color="auto" w:fill="auto"/>
          </w:tcPr>
          <w:p w14:paraId="56CA1067" w14:textId="6024D877" w:rsidR="007174D0" w:rsidRPr="003513C5" w:rsidRDefault="007174D0" w:rsidP="00636D41">
            <w:pPr>
              <w:pStyle w:val="TableHeader1"/>
            </w:pPr>
            <w:r w:rsidRPr="003513C5">
              <w:t>Study</w:t>
            </w:r>
          </w:p>
        </w:tc>
        <w:tc>
          <w:tcPr>
            <w:tcW w:w="1701" w:type="dxa"/>
            <w:tcBorders>
              <w:bottom w:val="single" w:sz="4" w:space="0" w:color="auto"/>
            </w:tcBorders>
            <w:shd w:val="clear" w:color="auto" w:fill="auto"/>
          </w:tcPr>
          <w:p w14:paraId="20E4210D" w14:textId="77777777" w:rsidR="007174D0" w:rsidRPr="003513C5" w:rsidRDefault="007174D0" w:rsidP="00636D41">
            <w:pPr>
              <w:pStyle w:val="TableHeader1"/>
            </w:pPr>
            <w:r w:rsidRPr="003513C5">
              <w:t>Remit scope</w:t>
            </w:r>
          </w:p>
        </w:tc>
        <w:tc>
          <w:tcPr>
            <w:tcW w:w="1701" w:type="dxa"/>
            <w:tcBorders>
              <w:bottom w:val="single" w:sz="4" w:space="0" w:color="auto"/>
            </w:tcBorders>
            <w:shd w:val="clear" w:color="auto" w:fill="auto"/>
          </w:tcPr>
          <w:p w14:paraId="6AD4BD32" w14:textId="32BFEEA5" w:rsidR="007174D0" w:rsidRPr="003513C5" w:rsidRDefault="007174D0" w:rsidP="00636D41">
            <w:pPr>
              <w:pStyle w:val="TableHeader1"/>
            </w:pPr>
            <w:r w:rsidRPr="003513C5">
              <w:t>Informational Burden</w:t>
            </w:r>
          </w:p>
        </w:tc>
        <w:tc>
          <w:tcPr>
            <w:tcW w:w="1559" w:type="dxa"/>
            <w:tcBorders>
              <w:bottom w:val="single" w:sz="4" w:space="0" w:color="auto"/>
            </w:tcBorders>
            <w:shd w:val="clear" w:color="auto" w:fill="auto"/>
          </w:tcPr>
          <w:p w14:paraId="7E6B2052" w14:textId="1FAA27C5" w:rsidR="007174D0" w:rsidRPr="003513C5" w:rsidRDefault="007174D0" w:rsidP="00636D41">
            <w:pPr>
              <w:pStyle w:val="TableHeader1"/>
            </w:pPr>
            <w:r w:rsidRPr="003513C5">
              <w:t xml:space="preserve">Geo </w:t>
            </w:r>
            <w:r>
              <w:t>scale</w:t>
            </w:r>
          </w:p>
        </w:tc>
        <w:tc>
          <w:tcPr>
            <w:tcW w:w="1360" w:type="dxa"/>
            <w:tcBorders>
              <w:bottom w:val="single" w:sz="4" w:space="0" w:color="auto"/>
            </w:tcBorders>
            <w:shd w:val="clear" w:color="auto" w:fill="auto"/>
          </w:tcPr>
          <w:p w14:paraId="6EC3DF0D" w14:textId="77777777" w:rsidR="007174D0" w:rsidRPr="003513C5" w:rsidRDefault="007174D0" w:rsidP="00636D41">
            <w:pPr>
              <w:pStyle w:val="TableHeader1"/>
            </w:pPr>
            <w:r w:rsidRPr="003513C5">
              <w:t>Final score</w:t>
            </w:r>
          </w:p>
        </w:tc>
      </w:tr>
      <w:tr w:rsidR="007174D0" w:rsidRPr="00101D0A" w14:paraId="0D62FD0D" w14:textId="77777777" w:rsidTr="001C4FC5">
        <w:trPr>
          <w:jc w:val="center"/>
        </w:trPr>
        <w:tc>
          <w:tcPr>
            <w:tcW w:w="567" w:type="dxa"/>
            <w:tcBorders>
              <w:top w:val="single" w:sz="4" w:space="0" w:color="auto"/>
            </w:tcBorders>
          </w:tcPr>
          <w:p w14:paraId="201B9DD0" w14:textId="728AD14A" w:rsidR="007174D0" w:rsidRPr="00101D0A" w:rsidRDefault="007174D0" w:rsidP="009D7FF0">
            <w:pPr>
              <w:pStyle w:val="TableHeadingsColumn"/>
              <w:rPr>
                <w:rFonts w:eastAsia="Calibri"/>
              </w:rPr>
            </w:pPr>
            <w:r>
              <w:rPr>
                <w:rFonts w:eastAsia="Calibri"/>
              </w:rPr>
              <w:t>1</w:t>
            </w:r>
          </w:p>
        </w:tc>
        <w:tc>
          <w:tcPr>
            <w:tcW w:w="4821" w:type="dxa"/>
            <w:tcBorders>
              <w:top w:val="single" w:sz="4" w:space="0" w:color="auto"/>
            </w:tcBorders>
            <w:shd w:val="clear" w:color="auto" w:fill="auto"/>
          </w:tcPr>
          <w:p w14:paraId="17C44737" w14:textId="070684A7" w:rsidR="007174D0" w:rsidRPr="00101D0A" w:rsidRDefault="007174D0" w:rsidP="009D7FF0">
            <w:pPr>
              <w:pStyle w:val="TableHeadingsColumn"/>
            </w:pPr>
            <w:r w:rsidRPr="00101D0A">
              <w:rPr>
                <w:rFonts w:eastAsia="Calibri"/>
              </w:rPr>
              <w:t>Uppsala Speaks</w:t>
            </w:r>
          </w:p>
        </w:tc>
        <w:tc>
          <w:tcPr>
            <w:tcW w:w="1701" w:type="dxa"/>
            <w:tcBorders>
              <w:top w:val="single" w:sz="4" w:space="0" w:color="auto"/>
            </w:tcBorders>
            <w:shd w:val="clear" w:color="auto" w:fill="auto"/>
          </w:tcPr>
          <w:p w14:paraId="5FECC9CB" w14:textId="77777777" w:rsidR="007174D0" w:rsidRPr="00101D0A" w:rsidRDefault="007174D0" w:rsidP="009D7FF0">
            <w:pPr>
              <w:pStyle w:val="Tabledata"/>
              <w:rPr>
                <w:rFonts w:eastAsia="Calibri"/>
              </w:rPr>
            </w:pPr>
            <w:r w:rsidRPr="00101D0A">
              <w:rPr>
                <w:rFonts w:eastAsia="Calibri"/>
              </w:rPr>
              <w:t>2</w:t>
            </w:r>
          </w:p>
        </w:tc>
        <w:tc>
          <w:tcPr>
            <w:tcW w:w="1701" w:type="dxa"/>
            <w:tcBorders>
              <w:top w:val="single" w:sz="4" w:space="0" w:color="auto"/>
            </w:tcBorders>
            <w:shd w:val="clear" w:color="auto" w:fill="auto"/>
          </w:tcPr>
          <w:p w14:paraId="1A064F29" w14:textId="77777777" w:rsidR="007174D0" w:rsidRPr="00101D0A" w:rsidRDefault="007174D0" w:rsidP="009D7FF0">
            <w:pPr>
              <w:pStyle w:val="Tabledata"/>
              <w:rPr>
                <w:rFonts w:eastAsia="Calibri"/>
              </w:rPr>
            </w:pPr>
            <w:r>
              <w:rPr>
                <w:rFonts w:eastAsia="Calibri"/>
              </w:rPr>
              <w:t>1.5</w:t>
            </w:r>
          </w:p>
        </w:tc>
        <w:tc>
          <w:tcPr>
            <w:tcW w:w="1559" w:type="dxa"/>
            <w:tcBorders>
              <w:top w:val="single" w:sz="4" w:space="0" w:color="auto"/>
            </w:tcBorders>
            <w:shd w:val="clear" w:color="auto" w:fill="auto"/>
          </w:tcPr>
          <w:p w14:paraId="7F178646" w14:textId="77777777" w:rsidR="007174D0" w:rsidRPr="00101D0A" w:rsidRDefault="007174D0" w:rsidP="009D7FF0">
            <w:pPr>
              <w:pStyle w:val="Tabledata"/>
              <w:rPr>
                <w:rFonts w:eastAsia="Calibri"/>
              </w:rPr>
            </w:pPr>
            <w:r>
              <w:rPr>
                <w:rFonts w:eastAsia="Calibri"/>
              </w:rPr>
              <w:t>1.5</w:t>
            </w:r>
          </w:p>
        </w:tc>
        <w:tc>
          <w:tcPr>
            <w:tcW w:w="1360" w:type="dxa"/>
            <w:tcBorders>
              <w:top w:val="single" w:sz="4" w:space="0" w:color="auto"/>
            </w:tcBorders>
            <w:shd w:val="clear" w:color="auto" w:fill="auto"/>
          </w:tcPr>
          <w:p w14:paraId="448715FA" w14:textId="77777777" w:rsidR="007174D0" w:rsidRPr="00101D0A" w:rsidRDefault="007174D0" w:rsidP="009D7FF0">
            <w:pPr>
              <w:pStyle w:val="Tabledata"/>
              <w:rPr>
                <w:rFonts w:eastAsia="Calibri"/>
              </w:rPr>
            </w:pPr>
            <w:r>
              <w:rPr>
                <w:rFonts w:eastAsia="Calibri"/>
              </w:rPr>
              <w:t>1.5</w:t>
            </w:r>
          </w:p>
        </w:tc>
      </w:tr>
      <w:tr w:rsidR="007174D0" w:rsidRPr="00101D0A" w14:paraId="2BF7E919" w14:textId="77777777" w:rsidTr="001C4FC5">
        <w:trPr>
          <w:jc w:val="center"/>
        </w:trPr>
        <w:tc>
          <w:tcPr>
            <w:tcW w:w="567" w:type="dxa"/>
          </w:tcPr>
          <w:p w14:paraId="2426F777" w14:textId="2D1F86FD" w:rsidR="007174D0" w:rsidRPr="00101D0A" w:rsidRDefault="009F5ABF" w:rsidP="009D7FF0">
            <w:pPr>
              <w:pStyle w:val="TableHeadingsColumn"/>
              <w:rPr>
                <w:rFonts w:eastAsia="Calibri"/>
              </w:rPr>
            </w:pPr>
            <w:r>
              <w:rPr>
                <w:rFonts w:eastAsia="Calibri"/>
              </w:rPr>
              <w:t>2</w:t>
            </w:r>
          </w:p>
        </w:tc>
        <w:tc>
          <w:tcPr>
            <w:tcW w:w="4821" w:type="dxa"/>
            <w:shd w:val="clear" w:color="auto" w:fill="auto"/>
          </w:tcPr>
          <w:p w14:paraId="29929E69" w14:textId="0C473E20" w:rsidR="007174D0" w:rsidRPr="00101D0A" w:rsidRDefault="007174D0" w:rsidP="009D7FF0">
            <w:pPr>
              <w:pStyle w:val="TableHeadingsColumn"/>
              <w:rPr>
                <w:rFonts w:eastAsia="Calibri"/>
              </w:rPr>
            </w:pPr>
            <w:r w:rsidRPr="00101D0A">
              <w:rPr>
                <w:rFonts w:eastAsia="Calibri"/>
              </w:rPr>
              <w:t>FNQCJ</w:t>
            </w:r>
          </w:p>
        </w:tc>
        <w:tc>
          <w:tcPr>
            <w:tcW w:w="1701" w:type="dxa"/>
            <w:shd w:val="clear" w:color="auto" w:fill="auto"/>
          </w:tcPr>
          <w:p w14:paraId="78D3EEF1" w14:textId="77777777" w:rsidR="007174D0" w:rsidRPr="00101D0A" w:rsidRDefault="007174D0" w:rsidP="009D7FF0">
            <w:pPr>
              <w:pStyle w:val="Tabledata"/>
              <w:rPr>
                <w:rFonts w:eastAsia="Calibri"/>
              </w:rPr>
            </w:pPr>
            <w:r>
              <w:rPr>
                <w:rFonts w:eastAsia="Calibri"/>
              </w:rPr>
              <w:t>2</w:t>
            </w:r>
          </w:p>
        </w:tc>
        <w:tc>
          <w:tcPr>
            <w:tcW w:w="1701" w:type="dxa"/>
            <w:shd w:val="clear" w:color="auto" w:fill="auto"/>
          </w:tcPr>
          <w:p w14:paraId="75829AB8" w14:textId="77777777" w:rsidR="007174D0" w:rsidRPr="00101D0A" w:rsidRDefault="007174D0" w:rsidP="009D7FF0">
            <w:pPr>
              <w:pStyle w:val="Tabledata"/>
              <w:rPr>
                <w:rFonts w:eastAsia="Calibri"/>
              </w:rPr>
            </w:pPr>
            <w:r>
              <w:rPr>
                <w:rFonts w:eastAsia="Calibri"/>
              </w:rPr>
              <w:t>3</w:t>
            </w:r>
          </w:p>
        </w:tc>
        <w:tc>
          <w:tcPr>
            <w:tcW w:w="1559" w:type="dxa"/>
            <w:shd w:val="clear" w:color="auto" w:fill="auto"/>
          </w:tcPr>
          <w:p w14:paraId="2E7678C2" w14:textId="77777777" w:rsidR="007174D0" w:rsidRPr="00101D0A" w:rsidRDefault="007174D0" w:rsidP="009D7FF0">
            <w:pPr>
              <w:pStyle w:val="Tabledata"/>
              <w:rPr>
                <w:rFonts w:eastAsia="Calibri"/>
              </w:rPr>
            </w:pPr>
            <w:r>
              <w:rPr>
                <w:rFonts w:eastAsia="Calibri"/>
              </w:rPr>
              <w:t>1.5</w:t>
            </w:r>
          </w:p>
        </w:tc>
        <w:tc>
          <w:tcPr>
            <w:tcW w:w="1360" w:type="dxa"/>
            <w:shd w:val="clear" w:color="auto" w:fill="auto"/>
          </w:tcPr>
          <w:p w14:paraId="12038452" w14:textId="77777777" w:rsidR="007174D0" w:rsidRPr="00101D0A" w:rsidRDefault="007174D0" w:rsidP="009D7FF0">
            <w:pPr>
              <w:pStyle w:val="Tabledata"/>
              <w:rPr>
                <w:rFonts w:eastAsia="Calibri"/>
              </w:rPr>
            </w:pPr>
            <w:r w:rsidRPr="00101D0A">
              <w:rPr>
                <w:rFonts w:eastAsia="Calibri"/>
              </w:rPr>
              <w:t>2</w:t>
            </w:r>
          </w:p>
        </w:tc>
      </w:tr>
      <w:tr w:rsidR="007174D0" w:rsidRPr="00101D0A" w14:paraId="0B8F070E" w14:textId="77777777" w:rsidTr="001C4FC5">
        <w:trPr>
          <w:jc w:val="center"/>
        </w:trPr>
        <w:tc>
          <w:tcPr>
            <w:tcW w:w="567" w:type="dxa"/>
          </w:tcPr>
          <w:p w14:paraId="4123D1EB" w14:textId="2D8A7246" w:rsidR="007174D0" w:rsidRPr="00101D0A" w:rsidRDefault="009F5ABF" w:rsidP="009D7FF0">
            <w:pPr>
              <w:pStyle w:val="TableHeadingsColumn"/>
              <w:rPr>
                <w:rFonts w:eastAsia="Calibri"/>
              </w:rPr>
            </w:pPr>
            <w:r>
              <w:rPr>
                <w:rFonts w:eastAsia="Calibri"/>
              </w:rPr>
              <w:t>3</w:t>
            </w:r>
          </w:p>
        </w:tc>
        <w:tc>
          <w:tcPr>
            <w:tcW w:w="4821" w:type="dxa"/>
            <w:shd w:val="clear" w:color="auto" w:fill="auto"/>
          </w:tcPr>
          <w:p w14:paraId="60B63D78" w14:textId="1B19A035" w:rsidR="007174D0" w:rsidRPr="00101D0A" w:rsidRDefault="007174D0" w:rsidP="009D7FF0">
            <w:pPr>
              <w:pStyle w:val="TableHeadingsColumn"/>
              <w:rPr>
                <w:rFonts w:eastAsia="Calibri"/>
              </w:rPr>
            </w:pPr>
            <w:r w:rsidRPr="00101D0A">
              <w:rPr>
                <w:rFonts w:eastAsia="Calibri"/>
              </w:rPr>
              <w:t>Australian Citizens' Parliament</w:t>
            </w:r>
          </w:p>
        </w:tc>
        <w:tc>
          <w:tcPr>
            <w:tcW w:w="1701" w:type="dxa"/>
            <w:shd w:val="clear" w:color="auto" w:fill="auto"/>
          </w:tcPr>
          <w:p w14:paraId="4A61192F" w14:textId="77777777" w:rsidR="007174D0" w:rsidRPr="00101D0A" w:rsidRDefault="007174D0" w:rsidP="009D7FF0">
            <w:pPr>
              <w:pStyle w:val="Tabledata"/>
              <w:rPr>
                <w:rFonts w:eastAsia="Calibri"/>
              </w:rPr>
            </w:pPr>
            <w:r w:rsidRPr="00101D0A">
              <w:rPr>
                <w:rFonts w:eastAsia="Calibri"/>
              </w:rPr>
              <w:t>4</w:t>
            </w:r>
          </w:p>
        </w:tc>
        <w:tc>
          <w:tcPr>
            <w:tcW w:w="1701" w:type="dxa"/>
            <w:shd w:val="clear" w:color="auto" w:fill="auto"/>
          </w:tcPr>
          <w:p w14:paraId="0A0FEBD5" w14:textId="77777777" w:rsidR="007174D0" w:rsidRPr="00101D0A" w:rsidRDefault="007174D0" w:rsidP="009D7FF0">
            <w:pPr>
              <w:pStyle w:val="Tabledata"/>
              <w:rPr>
                <w:rFonts w:eastAsia="Calibri"/>
              </w:rPr>
            </w:pPr>
            <w:r>
              <w:rPr>
                <w:rFonts w:eastAsia="Calibri"/>
              </w:rPr>
              <w:t>2</w:t>
            </w:r>
          </w:p>
        </w:tc>
        <w:tc>
          <w:tcPr>
            <w:tcW w:w="1559" w:type="dxa"/>
            <w:shd w:val="clear" w:color="auto" w:fill="auto"/>
          </w:tcPr>
          <w:p w14:paraId="1FD6EFFF" w14:textId="77777777" w:rsidR="007174D0" w:rsidRPr="00101D0A" w:rsidRDefault="007174D0" w:rsidP="009D7FF0">
            <w:pPr>
              <w:pStyle w:val="Tabledata"/>
              <w:rPr>
                <w:rFonts w:eastAsia="Calibri"/>
              </w:rPr>
            </w:pPr>
            <w:r w:rsidRPr="00101D0A">
              <w:rPr>
                <w:rFonts w:eastAsia="Calibri"/>
              </w:rPr>
              <w:t>3</w:t>
            </w:r>
          </w:p>
        </w:tc>
        <w:tc>
          <w:tcPr>
            <w:tcW w:w="1360" w:type="dxa"/>
            <w:shd w:val="clear" w:color="auto" w:fill="auto"/>
          </w:tcPr>
          <w:p w14:paraId="13C1C429" w14:textId="77777777" w:rsidR="007174D0" w:rsidRPr="00101D0A" w:rsidRDefault="007174D0" w:rsidP="009D7FF0">
            <w:pPr>
              <w:pStyle w:val="Tabledata"/>
              <w:rPr>
                <w:rFonts w:eastAsia="Calibri"/>
              </w:rPr>
            </w:pPr>
            <w:r>
              <w:rPr>
                <w:rFonts w:eastAsia="Calibri"/>
              </w:rPr>
              <w:t>3</w:t>
            </w:r>
          </w:p>
        </w:tc>
      </w:tr>
      <w:tr w:rsidR="007174D0" w:rsidRPr="00101D0A" w14:paraId="057222A3" w14:textId="77777777" w:rsidTr="001C4FC5">
        <w:trPr>
          <w:jc w:val="center"/>
        </w:trPr>
        <w:tc>
          <w:tcPr>
            <w:tcW w:w="567" w:type="dxa"/>
          </w:tcPr>
          <w:p w14:paraId="3E23394F" w14:textId="334EC385" w:rsidR="007174D0" w:rsidRPr="00101D0A" w:rsidRDefault="009F5ABF" w:rsidP="009D7FF0">
            <w:pPr>
              <w:pStyle w:val="TableHeadingsColumn"/>
              <w:rPr>
                <w:rFonts w:eastAsia="Calibri"/>
              </w:rPr>
            </w:pPr>
            <w:r>
              <w:rPr>
                <w:rFonts w:eastAsia="Calibri"/>
              </w:rPr>
              <w:t>4</w:t>
            </w:r>
          </w:p>
        </w:tc>
        <w:tc>
          <w:tcPr>
            <w:tcW w:w="4821" w:type="dxa"/>
            <w:shd w:val="clear" w:color="auto" w:fill="auto"/>
          </w:tcPr>
          <w:p w14:paraId="090E535F" w14:textId="3C2A4EF1" w:rsidR="007174D0" w:rsidRPr="00101D0A" w:rsidRDefault="007174D0" w:rsidP="009D7FF0">
            <w:pPr>
              <w:pStyle w:val="TableHeadingsColumn"/>
            </w:pPr>
            <w:r w:rsidRPr="00101D0A">
              <w:rPr>
                <w:rFonts w:eastAsia="Calibri"/>
              </w:rPr>
              <w:t>Sydney CC Adaption</w:t>
            </w:r>
          </w:p>
        </w:tc>
        <w:tc>
          <w:tcPr>
            <w:tcW w:w="1701" w:type="dxa"/>
            <w:shd w:val="clear" w:color="auto" w:fill="auto"/>
          </w:tcPr>
          <w:p w14:paraId="05A1083B" w14:textId="77777777" w:rsidR="007174D0" w:rsidRPr="00101D0A" w:rsidRDefault="007174D0" w:rsidP="009D7FF0">
            <w:pPr>
              <w:pStyle w:val="Tabledata"/>
              <w:rPr>
                <w:rFonts w:eastAsia="Calibri"/>
              </w:rPr>
            </w:pPr>
            <w:r>
              <w:rPr>
                <w:rFonts w:eastAsia="Calibri"/>
              </w:rPr>
              <w:t>3.5</w:t>
            </w:r>
          </w:p>
        </w:tc>
        <w:tc>
          <w:tcPr>
            <w:tcW w:w="1701" w:type="dxa"/>
            <w:shd w:val="clear" w:color="auto" w:fill="auto"/>
          </w:tcPr>
          <w:p w14:paraId="0DC57310" w14:textId="77777777" w:rsidR="007174D0" w:rsidRPr="00101D0A" w:rsidRDefault="007174D0" w:rsidP="009D7FF0">
            <w:pPr>
              <w:pStyle w:val="Tabledata"/>
              <w:rPr>
                <w:rFonts w:eastAsia="Calibri"/>
              </w:rPr>
            </w:pPr>
            <w:r>
              <w:rPr>
                <w:rFonts w:eastAsia="Calibri"/>
              </w:rPr>
              <w:t>4</w:t>
            </w:r>
          </w:p>
        </w:tc>
        <w:tc>
          <w:tcPr>
            <w:tcW w:w="1559" w:type="dxa"/>
            <w:shd w:val="clear" w:color="auto" w:fill="auto"/>
          </w:tcPr>
          <w:p w14:paraId="6ADBE60E" w14:textId="77777777" w:rsidR="007174D0" w:rsidRPr="00101D0A" w:rsidRDefault="007174D0" w:rsidP="009D7FF0">
            <w:pPr>
              <w:pStyle w:val="Tabledata"/>
              <w:rPr>
                <w:rFonts w:eastAsia="Calibri"/>
              </w:rPr>
            </w:pPr>
            <w:r>
              <w:rPr>
                <w:rFonts w:eastAsia="Calibri"/>
              </w:rPr>
              <w:t>2</w:t>
            </w:r>
          </w:p>
        </w:tc>
        <w:tc>
          <w:tcPr>
            <w:tcW w:w="1360" w:type="dxa"/>
            <w:shd w:val="clear" w:color="auto" w:fill="auto"/>
          </w:tcPr>
          <w:p w14:paraId="11159E9A" w14:textId="77777777" w:rsidR="007174D0" w:rsidRPr="00101D0A" w:rsidRDefault="007174D0" w:rsidP="009D7FF0">
            <w:pPr>
              <w:pStyle w:val="Tabledata"/>
              <w:rPr>
                <w:rFonts w:eastAsia="Calibri"/>
              </w:rPr>
            </w:pPr>
            <w:r>
              <w:rPr>
                <w:rFonts w:eastAsia="Calibri"/>
              </w:rPr>
              <w:t>3.5</w:t>
            </w:r>
          </w:p>
        </w:tc>
      </w:tr>
      <w:tr w:rsidR="007174D0" w:rsidRPr="00101D0A" w14:paraId="6651218C" w14:textId="77777777" w:rsidTr="001C4FC5">
        <w:trPr>
          <w:jc w:val="center"/>
        </w:trPr>
        <w:tc>
          <w:tcPr>
            <w:tcW w:w="567" w:type="dxa"/>
          </w:tcPr>
          <w:p w14:paraId="5D684272" w14:textId="6FAF81DB" w:rsidR="007174D0" w:rsidRPr="00101D0A" w:rsidRDefault="009F5ABF" w:rsidP="009D7FF0">
            <w:pPr>
              <w:pStyle w:val="TableHeadingsColumn"/>
            </w:pPr>
            <w:r>
              <w:t>5</w:t>
            </w:r>
          </w:p>
        </w:tc>
        <w:tc>
          <w:tcPr>
            <w:tcW w:w="4821" w:type="dxa"/>
            <w:shd w:val="clear" w:color="auto" w:fill="auto"/>
          </w:tcPr>
          <w:p w14:paraId="06A76C88" w14:textId="26DBE837" w:rsidR="007174D0" w:rsidRPr="00101D0A" w:rsidRDefault="007174D0" w:rsidP="009D7FF0">
            <w:pPr>
              <w:pStyle w:val="TableHeadingsColumn"/>
            </w:pPr>
            <w:r w:rsidRPr="00101D0A">
              <w:t>Forest ERA</w:t>
            </w:r>
          </w:p>
        </w:tc>
        <w:tc>
          <w:tcPr>
            <w:tcW w:w="1701" w:type="dxa"/>
            <w:shd w:val="clear" w:color="auto" w:fill="auto"/>
          </w:tcPr>
          <w:p w14:paraId="5FFB626A" w14:textId="77777777" w:rsidR="007174D0" w:rsidRPr="00101D0A" w:rsidRDefault="007174D0" w:rsidP="009D7FF0">
            <w:pPr>
              <w:pStyle w:val="Tabledata"/>
              <w:rPr>
                <w:rFonts w:eastAsia="Calibri"/>
              </w:rPr>
            </w:pPr>
            <w:r w:rsidRPr="00101D0A">
              <w:rPr>
                <w:rFonts w:eastAsia="Calibri"/>
              </w:rPr>
              <w:t>2</w:t>
            </w:r>
          </w:p>
        </w:tc>
        <w:tc>
          <w:tcPr>
            <w:tcW w:w="1701" w:type="dxa"/>
            <w:shd w:val="clear" w:color="auto" w:fill="auto"/>
          </w:tcPr>
          <w:p w14:paraId="49FB6183" w14:textId="77777777" w:rsidR="007174D0" w:rsidRPr="00101D0A" w:rsidRDefault="007174D0" w:rsidP="009D7FF0">
            <w:pPr>
              <w:pStyle w:val="Tabledata"/>
              <w:rPr>
                <w:rFonts w:eastAsia="Calibri"/>
              </w:rPr>
            </w:pPr>
            <w:r>
              <w:rPr>
                <w:rFonts w:eastAsia="Calibri"/>
              </w:rPr>
              <w:t>3</w:t>
            </w:r>
          </w:p>
        </w:tc>
        <w:tc>
          <w:tcPr>
            <w:tcW w:w="1559" w:type="dxa"/>
            <w:shd w:val="clear" w:color="auto" w:fill="auto"/>
          </w:tcPr>
          <w:p w14:paraId="4BD8B2BC" w14:textId="77777777" w:rsidR="007174D0" w:rsidRPr="00101D0A" w:rsidRDefault="007174D0" w:rsidP="009D7FF0">
            <w:pPr>
              <w:pStyle w:val="Tabledata"/>
              <w:rPr>
                <w:rFonts w:eastAsia="Calibri"/>
              </w:rPr>
            </w:pPr>
            <w:r>
              <w:rPr>
                <w:rFonts w:eastAsia="Calibri"/>
              </w:rPr>
              <w:t>1</w:t>
            </w:r>
          </w:p>
        </w:tc>
        <w:tc>
          <w:tcPr>
            <w:tcW w:w="1360" w:type="dxa"/>
            <w:shd w:val="clear" w:color="auto" w:fill="auto"/>
          </w:tcPr>
          <w:p w14:paraId="534DAF76" w14:textId="77777777" w:rsidR="007174D0" w:rsidRPr="00101D0A" w:rsidRDefault="007174D0" w:rsidP="009D7FF0">
            <w:pPr>
              <w:pStyle w:val="Tabledata"/>
              <w:rPr>
                <w:rFonts w:eastAsia="Calibri"/>
              </w:rPr>
            </w:pPr>
            <w:r w:rsidRPr="00101D0A">
              <w:rPr>
                <w:rFonts w:eastAsia="Calibri"/>
              </w:rPr>
              <w:t>2</w:t>
            </w:r>
          </w:p>
        </w:tc>
      </w:tr>
      <w:tr w:rsidR="007174D0" w:rsidRPr="00101D0A" w14:paraId="319D58F8" w14:textId="77777777" w:rsidTr="001C4FC5">
        <w:trPr>
          <w:jc w:val="center"/>
        </w:trPr>
        <w:tc>
          <w:tcPr>
            <w:tcW w:w="567" w:type="dxa"/>
          </w:tcPr>
          <w:p w14:paraId="4E0E3E7F" w14:textId="3B15A5C5" w:rsidR="007174D0" w:rsidRPr="00101D0A" w:rsidRDefault="009F5ABF" w:rsidP="009D7FF0">
            <w:pPr>
              <w:pStyle w:val="TableHeadingsColumn"/>
              <w:rPr>
                <w:rFonts w:eastAsia="Calibri"/>
              </w:rPr>
            </w:pPr>
            <w:r>
              <w:rPr>
                <w:rFonts w:eastAsia="Calibri"/>
              </w:rPr>
              <w:t>6</w:t>
            </w:r>
          </w:p>
        </w:tc>
        <w:tc>
          <w:tcPr>
            <w:tcW w:w="4821" w:type="dxa"/>
            <w:shd w:val="clear" w:color="auto" w:fill="auto"/>
          </w:tcPr>
          <w:p w14:paraId="5180F656" w14:textId="794E5B37" w:rsidR="007174D0" w:rsidRPr="00101D0A" w:rsidRDefault="007174D0" w:rsidP="009D7FF0">
            <w:pPr>
              <w:pStyle w:val="TableHeadingsColumn"/>
            </w:pPr>
            <w:r w:rsidRPr="00101D0A">
              <w:rPr>
                <w:rFonts w:eastAsia="Calibri"/>
              </w:rPr>
              <w:t>Biobanks</w:t>
            </w:r>
          </w:p>
        </w:tc>
        <w:tc>
          <w:tcPr>
            <w:tcW w:w="1701" w:type="dxa"/>
            <w:shd w:val="clear" w:color="auto" w:fill="auto"/>
          </w:tcPr>
          <w:p w14:paraId="5B773275" w14:textId="77777777" w:rsidR="007174D0" w:rsidRPr="00101D0A" w:rsidRDefault="007174D0" w:rsidP="009D7FF0">
            <w:pPr>
              <w:pStyle w:val="Tabledata"/>
              <w:rPr>
                <w:rFonts w:eastAsia="Calibri"/>
              </w:rPr>
            </w:pPr>
            <w:r w:rsidRPr="00101D0A">
              <w:rPr>
                <w:rFonts w:eastAsia="Calibri"/>
              </w:rPr>
              <w:t>3</w:t>
            </w:r>
          </w:p>
        </w:tc>
        <w:tc>
          <w:tcPr>
            <w:tcW w:w="1701" w:type="dxa"/>
            <w:shd w:val="clear" w:color="auto" w:fill="auto"/>
          </w:tcPr>
          <w:p w14:paraId="06D79DF4" w14:textId="77777777" w:rsidR="007174D0" w:rsidRPr="00101D0A" w:rsidRDefault="007174D0" w:rsidP="009D7FF0">
            <w:pPr>
              <w:pStyle w:val="Tabledata"/>
              <w:rPr>
                <w:rFonts w:eastAsia="Calibri"/>
              </w:rPr>
            </w:pPr>
            <w:r>
              <w:rPr>
                <w:rFonts w:eastAsia="Calibri"/>
              </w:rPr>
              <w:t>3</w:t>
            </w:r>
          </w:p>
        </w:tc>
        <w:tc>
          <w:tcPr>
            <w:tcW w:w="1559" w:type="dxa"/>
            <w:shd w:val="clear" w:color="auto" w:fill="auto"/>
          </w:tcPr>
          <w:p w14:paraId="18D35F40" w14:textId="77777777" w:rsidR="007174D0" w:rsidRPr="00101D0A" w:rsidRDefault="007174D0" w:rsidP="009D7FF0">
            <w:pPr>
              <w:pStyle w:val="Tabledata"/>
              <w:rPr>
                <w:rFonts w:eastAsia="Calibri"/>
              </w:rPr>
            </w:pPr>
            <w:r>
              <w:rPr>
                <w:rFonts w:eastAsia="Calibri"/>
              </w:rPr>
              <w:t>2</w:t>
            </w:r>
          </w:p>
        </w:tc>
        <w:tc>
          <w:tcPr>
            <w:tcW w:w="1360" w:type="dxa"/>
            <w:shd w:val="clear" w:color="auto" w:fill="auto"/>
          </w:tcPr>
          <w:p w14:paraId="7FF9EA45" w14:textId="77777777" w:rsidR="007174D0" w:rsidRPr="00101D0A" w:rsidRDefault="007174D0" w:rsidP="009D7FF0">
            <w:pPr>
              <w:pStyle w:val="Tabledata"/>
              <w:rPr>
                <w:rFonts w:eastAsia="Calibri"/>
              </w:rPr>
            </w:pPr>
            <w:r>
              <w:rPr>
                <w:rFonts w:eastAsia="Calibri"/>
              </w:rPr>
              <w:t>3</w:t>
            </w:r>
          </w:p>
        </w:tc>
      </w:tr>
      <w:tr w:rsidR="007174D0" w:rsidRPr="00101D0A" w14:paraId="1C43726C" w14:textId="77777777" w:rsidTr="001C4FC5">
        <w:trPr>
          <w:jc w:val="center"/>
        </w:trPr>
        <w:tc>
          <w:tcPr>
            <w:tcW w:w="567" w:type="dxa"/>
          </w:tcPr>
          <w:p w14:paraId="3096A6F3" w14:textId="4885501B" w:rsidR="007174D0" w:rsidRPr="00101D0A" w:rsidRDefault="009F5ABF" w:rsidP="009D7FF0">
            <w:pPr>
              <w:pStyle w:val="TableHeadingsColumn"/>
              <w:rPr>
                <w:rFonts w:eastAsia="Calibri"/>
              </w:rPr>
            </w:pPr>
            <w:r>
              <w:rPr>
                <w:rFonts w:eastAsia="Calibri"/>
              </w:rPr>
              <w:t>7</w:t>
            </w:r>
          </w:p>
        </w:tc>
        <w:tc>
          <w:tcPr>
            <w:tcW w:w="4821" w:type="dxa"/>
            <w:shd w:val="clear" w:color="auto" w:fill="auto"/>
          </w:tcPr>
          <w:p w14:paraId="7C6AFE54" w14:textId="425777AB" w:rsidR="007174D0" w:rsidRPr="00101D0A" w:rsidRDefault="007174D0" w:rsidP="009D7FF0">
            <w:pPr>
              <w:pStyle w:val="TableHeadingsColumn"/>
              <w:rPr>
                <w:rFonts w:eastAsia="Calibri"/>
              </w:rPr>
            </w:pPr>
            <w:r w:rsidRPr="00101D0A">
              <w:rPr>
                <w:rFonts w:eastAsia="Calibri"/>
              </w:rPr>
              <w:t>Fremantle Bridge</w:t>
            </w:r>
          </w:p>
        </w:tc>
        <w:tc>
          <w:tcPr>
            <w:tcW w:w="1701" w:type="dxa"/>
            <w:shd w:val="clear" w:color="auto" w:fill="auto"/>
          </w:tcPr>
          <w:p w14:paraId="2FABCD5C" w14:textId="77777777" w:rsidR="007174D0" w:rsidRPr="00101D0A" w:rsidRDefault="007174D0" w:rsidP="009D7FF0">
            <w:pPr>
              <w:pStyle w:val="Tabledata"/>
              <w:rPr>
                <w:rFonts w:eastAsia="Calibri"/>
              </w:rPr>
            </w:pPr>
            <w:r>
              <w:rPr>
                <w:rFonts w:eastAsia="Calibri"/>
              </w:rPr>
              <w:t>2</w:t>
            </w:r>
          </w:p>
        </w:tc>
        <w:tc>
          <w:tcPr>
            <w:tcW w:w="1701" w:type="dxa"/>
            <w:shd w:val="clear" w:color="auto" w:fill="auto"/>
          </w:tcPr>
          <w:p w14:paraId="6CF20B2D" w14:textId="77777777" w:rsidR="007174D0" w:rsidRPr="00101D0A" w:rsidRDefault="007174D0" w:rsidP="009D7FF0">
            <w:pPr>
              <w:pStyle w:val="Tabledata"/>
              <w:rPr>
                <w:rFonts w:eastAsia="Calibri"/>
              </w:rPr>
            </w:pPr>
            <w:r w:rsidRPr="00101D0A">
              <w:rPr>
                <w:rFonts w:eastAsia="Calibri"/>
              </w:rPr>
              <w:t>1</w:t>
            </w:r>
          </w:p>
        </w:tc>
        <w:tc>
          <w:tcPr>
            <w:tcW w:w="1559" w:type="dxa"/>
            <w:shd w:val="clear" w:color="auto" w:fill="auto"/>
          </w:tcPr>
          <w:p w14:paraId="1CA3A580" w14:textId="77777777" w:rsidR="007174D0" w:rsidRPr="00101D0A" w:rsidRDefault="007174D0" w:rsidP="009D7FF0">
            <w:pPr>
              <w:pStyle w:val="Tabledata"/>
              <w:rPr>
                <w:rFonts w:eastAsia="Calibri"/>
              </w:rPr>
            </w:pPr>
            <w:r w:rsidRPr="00101D0A">
              <w:rPr>
                <w:rFonts w:eastAsia="Calibri"/>
              </w:rPr>
              <w:t>1</w:t>
            </w:r>
          </w:p>
        </w:tc>
        <w:tc>
          <w:tcPr>
            <w:tcW w:w="1360" w:type="dxa"/>
            <w:shd w:val="clear" w:color="auto" w:fill="auto"/>
          </w:tcPr>
          <w:p w14:paraId="4D10E58F" w14:textId="77777777" w:rsidR="007174D0" w:rsidRPr="00101D0A" w:rsidRDefault="007174D0" w:rsidP="009D7FF0">
            <w:pPr>
              <w:pStyle w:val="Tabledata"/>
              <w:rPr>
                <w:rFonts w:eastAsia="Calibri"/>
              </w:rPr>
            </w:pPr>
            <w:r w:rsidRPr="00101D0A">
              <w:rPr>
                <w:rFonts w:eastAsia="Calibri"/>
              </w:rPr>
              <w:t>1</w:t>
            </w:r>
          </w:p>
        </w:tc>
      </w:tr>
      <w:tr w:rsidR="007174D0" w:rsidRPr="00101D0A" w14:paraId="1B9C26D9" w14:textId="77777777" w:rsidTr="001C4FC5">
        <w:trPr>
          <w:jc w:val="center"/>
        </w:trPr>
        <w:tc>
          <w:tcPr>
            <w:tcW w:w="567" w:type="dxa"/>
          </w:tcPr>
          <w:p w14:paraId="406FB388" w14:textId="3D5EF7F9" w:rsidR="007174D0" w:rsidRPr="00101D0A" w:rsidRDefault="009F5ABF" w:rsidP="009D7FF0">
            <w:pPr>
              <w:pStyle w:val="TableHeadingsColumn"/>
              <w:rPr>
                <w:rFonts w:eastAsia="Calibri"/>
              </w:rPr>
            </w:pPr>
            <w:r>
              <w:rPr>
                <w:rFonts w:eastAsia="Calibri"/>
              </w:rPr>
              <w:t>8</w:t>
            </w:r>
          </w:p>
        </w:tc>
        <w:tc>
          <w:tcPr>
            <w:tcW w:w="4821" w:type="dxa"/>
            <w:shd w:val="clear" w:color="auto" w:fill="auto"/>
          </w:tcPr>
          <w:p w14:paraId="62895A0C" w14:textId="4C825E7D" w:rsidR="007174D0" w:rsidRPr="00101D0A" w:rsidRDefault="007174D0" w:rsidP="009D7FF0">
            <w:pPr>
              <w:pStyle w:val="TableHeadingsColumn"/>
            </w:pPr>
            <w:r w:rsidRPr="00101D0A">
              <w:rPr>
                <w:rFonts w:eastAsia="Calibri"/>
              </w:rPr>
              <w:t>CCPS ACT</w:t>
            </w:r>
          </w:p>
        </w:tc>
        <w:tc>
          <w:tcPr>
            <w:tcW w:w="1701" w:type="dxa"/>
            <w:shd w:val="clear" w:color="auto" w:fill="auto"/>
          </w:tcPr>
          <w:p w14:paraId="4A505CC5" w14:textId="77777777" w:rsidR="007174D0" w:rsidRPr="00101D0A" w:rsidRDefault="007174D0" w:rsidP="009D7FF0">
            <w:pPr>
              <w:pStyle w:val="Tabledata"/>
              <w:rPr>
                <w:rFonts w:eastAsia="Calibri"/>
              </w:rPr>
            </w:pPr>
            <w:r>
              <w:rPr>
                <w:rFonts w:eastAsia="Calibri"/>
              </w:rPr>
              <w:t>3.5</w:t>
            </w:r>
          </w:p>
        </w:tc>
        <w:tc>
          <w:tcPr>
            <w:tcW w:w="1701" w:type="dxa"/>
            <w:shd w:val="clear" w:color="auto" w:fill="auto"/>
          </w:tcPr>
          <w:p w14:paraId="0803C650" w14:textId="77777777" w:rsidR="007174D0" w:rsidRPr="00101D0A" w:rsidRDefault="007174D0" w:rsidP="009D7FF0">
            <w:pPr>
              <w:pStyle w:val="Tabledata"/>
              <w:rPr>
                <w:rFonts w:eastAsia="Calibri"/>
              </w:rPr>
            </w:pPr>
            <w:r>
              <w:rPr>
                <w:rFonts w:eastAsia="Calibri"/>
              </w:rPr>
              <w:t>4</w:t>
            </w:r>
          </w:p>
        </w:tc>
        <w:tc>
          <w:tcPr>
            <w:tcW w:w="1559" w:type="dxa"/>
            <w:shd w:val="clear" w:color="auto" w:fill="auto"/>
          </w:tcPr>
          <w:p w14:paraId="13DBAF40" w14:textId="77777777" w:rsidR="007174D0" w:rsidRPr="00101D0A" w:rsidRDefault="007174D0" w:rsidP="009D7FF0">
            <w:pPr>
              <w:pStyle w:val="Tabledata"/>
              <w:rPr>
                <w:rFonts w:eastAsia="Calibri"/>
              </w:rPr>
            </w:pPr>
            <w:r>
              <w:rPr>
                <w:rFonts w:eastAsia="Calibri"/>
              </w:rPr>
              <w:t>2.5</w:t>
            </w:r>
          </w:p>
        </w:tc>
        <w:tc>
          <w:tcPr>
            <w:tcW w:w="1360" w:type="dxa"/>
            <w:shd w:val="clear" w:color="auto" w:fill="auto"/>
          </w:tcPr>
          <w:p w14:paraId="6DDEE8F6" w14:textId="77777777" w:rsidR="007174D0" w:rsidRPr="00101D0A" w:rsidRDefault="007174D0" w:rsidP="009D7FF0">
            <w:pPr>
              <w:pStyle w:val="Tabledata"/>
              <w:rPr>
                <w:rFonts w:eastAsia="Calibri"/>
              </w:rPr>
            </w:pPr>
            <w:r>
              <w:rPr>
                <w:rFonts w:eastAsia="Calibri"/>
              </w:rPr>
              <w:t>3.5</w:t>
            </w:r>
          </w:p>
        </w:tc>
      </w:tr>
      <w:tr w:rsidR="007174D0" w:rsidRPr="00101D0A" w14:paraId="341A8005" w14:textId="77777777" w:rsidTr="001C4FC5">
        <w:trPr>
          <w:jc w:val="center"/>
        </w:trPr>
        <w:tc>
          <w:tcPr>
            <w:tcW w:w="567" w:type="dxa"/>
          </w:tcPr>
          <w:p w14:paraId="0D2C46F2" w14:textId="7F5BCEF7" w:rsidR="007174D0" w:rsidRPr="00101D0A" w:rsidRDefault="009F5ABF" w:rsidP="009D7FF0">
            <w:pPr>
              <w:pStyle w:val="TableHeadingsColumn"/>
              <w:rPr>
                <w:rFonts w:eastAsia="Calibri"/>
              </w:rPr>
            </w:pPr>
            <w:r>
              <w:rPr>
                <w:rFonts w:eastAsia="Calibri"/>
              </w:rPr>
              <w:t>9</w:t>
            </w:r>
          </w:p>
        </w:tc>
        <w:tc>
          <w:tcPr>
            <w:tcW w:w="4821" w:type="dxa"/>
            <w:shd w:val="clear" w:color="auto" w:fill="auto"/>
          </w:tcPr>
          <w:p w14:paraId="508B0183" w14:textId="64B19EF7" w:rsidR="007174D0" w:rsidRPr="00101D0A" w:rsidRDefault="007174D0" w:rsidP="009D7FF0">
            <w:pPr>
              <w:pStyle w:val="TableHeadingsColumn"/>
            </w:pPr>
            <w:r w:rsidRPr="00101D0A">
              <w:rPr>
                <w:rFonts w:eastAsia="Calibri"/>
              </w:rPr>
              <w:t>CSIRO Energy Futures</w:t>
            </w:r>
          </w:p>
        </w:tc>
        <w:tc>
          <w:tcPr>
            <w:tcW w:w="1701" w:type="dxa"/>
            <w:shd w:val="clear" w:color="auto" w:fill="auto"/>
          </w:tcPr>
          <w:p w14:paraId="7FC5DEA5" w14:textId="77777777" w:rsidR="007174D0" w:rsidRPr="00101D0A" w:rsidRDefault="007174D0" w:rsidP="009D7FF0">
            <w:pPr>
              <w:pStyle w:val="Tabledata"/>
              <w:rPr>
                <w:rFonts w:eastAsia="Calibri"/>
              </w:rPr>
            </w:pPr>
            <w:r>
              <w:rPr>
                <w:rFonts w:eastAsia="Calibri"/>
              </w:rPr>
              <w:t>2</w:t>
            </w:r>
          </w:p>
        </w:tc>
        <w:tc>
          <w:tcPr>
            <w:tcW w:w="1701" w:type="dxa"/>
            <w:shd w:val="clear" w:color="auto" w:fill="auto"/>
          </w:tcPr>
          <w:p w14:paraId="64FB5AE6" w14:textId="77777777" w:rsidR="007174D0" w:rsidRPr="00101D0A" w:rsidRDefault="007174D0" w:rsidP="009D7FF0">
            <w:pPr>
              <w:pStyle w:val="Tabledata"/>
              <w:rPr>
                <w:rFonts w:eastAsia="Calibri"/>
              </w:rPr>
            </w:pPr>
            <w:r w:rsidRPr="00101D0A">
              <w:rPr>
                <w:rFonts w:eastAsia="Calibri"/>
              </w:rPr>
              <w:t>4</w:t>
            </w:r>
          </w:p>
        </w:tc>
        <w:tc>
          <w:tcPr>
            <w:tcW w:w="1559" w:type="dxa"/>
            <w:shd w:val="clear" w:color="auto" w:fill="auto"/>
          </w:tcPr>
          <w:p w14:paraId="19DB063E" w14:textId="77777777" w:rsidR="007174D0" w:rsidRPr="00101D0A" w:rsidRDefault="007174D0" w:rsidP="009D7FF0">
            <w:pPr>
              <w:pStyle w:val="Tabledata"/>
              <w:rPr>
                <w:rFonts w:eastAsia="Calibri"/>
              </w:rPr>
            </w:pPr>
            <w:r>
              <w:rPr>
                <w:rFonts w:eastAsia="Calibri"/>
              </w:rPr>
              <w:t>3</w:t>
            </w:r>
          </w:p>
        </w:tc>
        <w:tc>
          <w:tcPr>
            <w:tcW w:w="1360" w:type="dxa"/>
            <w:shd w:val="clear" w:color="auto" w:fill="auto"/>
          </w:tcPr>
          <w:p w14:paraId="028B4674" w14:textId="77777777" w:rsidR="007174D0" w:rsidRPr="00101D0A" w:rsidRDefault="007174D0" w:rsidP="009D7FF0">
            <w:pPr>
              <w:pStyle w:val="Tabledata"/>
              <w:rPr>
                <w:rFonts w:eastAsia="Calibri"/>
              </w:rPr>
            </w:pPr>
            <w:r>
              <w:rPr>
                <w:rFonts w:eastAsia="Calibri"/>
              </w:rPr>
              <w:t>3</w:t>
            </w:r>
          </w:p>
        </w:tc>
      </w:tr>
      <w:tr w:rsidR="007174D0" w:rsidRPr="00101D0A" w14:paraId="63B4EB6F" w14:textId="77777777" w:rsidTr="001C4FC5">
        <w:trPr>
          <w:jc w:val="center"/>
        </w:trPr>
        <w:tc>
          <w:tcPr>
            <w:tcW w:w="567" w:type="dxa"/>
          </w:tcPr>
          <w:p w14:paraId="3ECBE164" w14:textId="5F016E20" w:rsidR="007174D0" w:rsidRPr="00101D0A" w:rsidRDefault="009F5ABF" w:rsidP="009D7FF0">
            <w:pPr>
              <w:pStyle w:val="TableHeadingsColumn"/>
              <w:rPr>
                <w:rFonts w:eastAsia="Calibri"/>
              </w:rPr>
            </w:pPr>
            <w:r>
              <w:rPr>
                <w:rFonts w:eastAsia="Calibri"/>
              </w:rPr>
              <w:t>10</w:t>
            </w:r>
          </w:p>
        </w:tc>
        <w:tc>
          <w:tcPr>
            <w:tcW w:w="4821" w:type="dxa"/>
            <w:shd w:val="clear" w:color="auto" w:fill="auto"/>
          </w:tcPr>
          <w:p w14:paraId="77AE1C47" w14:textId="32A9FFEC" w:rsidR="007174D0" w:rsidRPr="00101D0A" w:rsidRDefault="007174D0" w:rsidP="009D7FF0">
            <w:pPr>
              <w:pStyle w:val="TableHeadingsColumn"/>
              <w:rPr>
                <w:rFonts w:eastAsia="Calibri"/>
              </w:rPr>
            </w:pPr>
            <w:r w:rsidRPr="00101D0A">
              <w:rPr>
                <w:rFonts w:eastAsia="Calibri"/>
              </w:rPr>
              <w:t>Valsamoggia</w:t>
            </w:r>
          </w:p>
        </w:tc>
        <w:tc>
          <w:tcPr>
            <w:tcW w:w="1701" w:type="dxa"/>
            <w:shd w:val="clear" w:color="auto" w:fill="auto"/>
          </w:tcPr>
          <w:p w14:paraId="6D7FC62D" w14:textId="77777777" w:rsidR="007174D0" w:rsidRPr="00101D0A" w:rsidRDefault="007174D0" w:rsidP="009D7FF0">
            <w:pPr>
              <w:pStyle w:val="Tabledata"/>
              <w:rPr>
                <w:rFonts w:eastAsia="Calibri"/>
              </w:rPr>
            </w:pPr>
            <w:r>
              <w:rPr>
                <w:rFonts w:eastAsia="Calibri"/>
              </w:rPr>
              <w:t>1</w:t>
            </w:r>
          </w:p>
        </w:tc>
        <w:tc>
          <w:tcPr>
            <w:tcW w:w="1701" w:type="dxa"/>
            <w:shd w:val="clear" w:color="auto" w:fill="auto"/>
          </w:tcPr>
          <w:p w14:paraId="59E2AC40" w14:textId="77777777" w:rsidR="007174D0" w:rsidRPr="00101D0A" w:rsidRDefault="007174D0" w:rsidP="009D7FF0">
            <w:pPr>
              <w:pStyle w:val="Tabledata"/>
              <w:rPr>
                <w:rFonts w:eastAsia="Calibri"/>
              </w:rPr>
            </w:pPr>
            <w:r w:rsidRPr="00101D0A">
              <w:rPr>
                <w:rFonts w:eastAsia="Calibri"/>
              </w:rPr>
              <w:t>1</w:t>
            </w:r>
          </w:p>
        </w:tc>
        <w:tc>
          <w:tcPr>
            <w:tcW w:w="1559" w:type="dxa"/>
            <w:shd w:val="clear" w:color="auto" w:fill="auto"/>
          </w:tcPr>
          <w:p w14:paraId="67F6EF7C" w14:textId="77777777" w:rsidR="007174D0" w:rsidRPr="00101D0A" w:rsidRDefault="007174D0" w:rsidP="009D7FF0">
            <w:pPr>
              <w:pStyle w:val="Tabledata"/>
              <w:rPr>
                <w:rFonts w:eastAsia="Calibri"/>
              </w:rPr>
            </w:pPr>
            <w:r>
              <w:rPr>
                <w:rFonts w:eastAsia="Calibri"/>
              </w:rPr>
              <w:t>1</w:t>
            </w:r>
          </w:p>
        </w:tc>
        <w:tc>
          <w:tcPr>
            <w:tcW w:w="1360" w:type="dxa"/>
            <w:shd w:val="clear" w:color="auto" w:fill="auto"/>
          </w:tcPr>
          <w:p w14:paraId="074E58E5" w14:textId="77777777" w:rsidR="007174D0" w:rsidRPr="00101D0A" w:rsidRDefault="007174D0" w:rsidP="009D7FF0">
            <w:pPr>
              <w:pStyle w:val="Tabledata"/>
              <w:rPr>
                <w:rFonts w:eastAsia="Calibri"/>
              </w:rPr>
            </w:pPr>
            <w:r>
              <w:rPr>
                <w:rFonts w:eastAsia="Calibri"/>
              </w:rPr>
              <w:t>1</w:t>
            </w:r>
          </w:p>
        </w:tc>
      </w:tr>
      <w:tr w:rsidR="007174D0" w:rsidRPr="00101D0A" w14:paraId="69FFE14A" w14:textId="77777777" w:rsidTr="001C4FC5">
        <w:trPr>
          <w:jc w:val="center"/>
        </w:trPr>
        <w:tc>
          <w:tcPr>
            <w:tcW w:w="567" w:type="dxa"/>
            <w:tcBorders>
              <w:bottom w:val="nil"/>
            </w:tcBorders>
          </w:tcPr>
          <w:p w14:paraId="28BF744A" w14:textId="4BE1702B" w:rsidR="007174D0" w:rsidRPr="00101D0A" w:rsidRDefault="009F5ABF" w:rsidP="009D7FF0">
            <w:pPr>
              <w:pStyle w:val="TableHeadingsColumn"/>
              <w:rPr>
                <w:rFonts w:eastAsia="Calibri"/>
              </w:rPr>
            </w:pPr>
            <w:r>
              <w:rPr>
                <w:rFonts w:eastAsia="Calibri"/>
              </w:rPr>
              <w:t>11</w:t>
            </w:r>
          </w:p>
        </w:tc>
        <w:tc>
          <w:tcPr>
            <w:tcW w:w="4821" w:type="dxa"/>
            <w:tcBorders>
              <w:bottom w:val="nil"/>
            </w:tcBorders>
            <w:shd w:val="clear" w:color="auto" w:fill="auto"/>
          </w:tcPr>
          <w:p w14:paraId="2EB8DB8A" w14:textId="0A34DAED" w:rsidR="007174D0" w:rsidRPr="00101D0A" w:rsidRDefault="007174D0" w:rsidP="009D7FF0">
            <w:pPr>
              <w:pStyle w:val="TableHeadingsColumn"/>
            </w:pPr>
            <w:r w:rsidRPr="00101D0A">
              <w:rPr>
                <w:rFonts w:eastAsia="Calibri"/>
              </w:rPr>
              <w:t>GBR Futures</w:t>
            </w:r>
          </w:p>
        </w:tc>
        <w:tc>
          <w:tcPr>
            <w:tcW w:w="1701" w:type="dxa"/>
            <w:tcBorders>
              <w:bottom w:val="nil"/>
            </w:tcBorders>
            <w:shd w:val="clear" w:color="auto" w:fill="auto"/>
          </w:tcPr>
          <w:p w14:paraId="04CB0B49" w14:textId="77777777" w:rsidR="007174D0" w:rsidRPr="00101D0A" w:rsidRDefault="007174D0" w:rsidP="009D7FF0">
            <w:pPr>
              <w:pStyle w:val="Tabledata"/>
              <w:rPr>
                <w:rFonts w:eastAsia="Calibri"/>
              </w:rPr>
            </w:pPr>
            <w:r>
              <w:rPr>
                <w:rFonts w:eastAsia="Calibri"/>
              </w:rPr>
              <w:t>3</w:t>
            </w:r>
          </w:p>
        </w:tc>
        <w:tc>
          <w:tcPr>
            <w:tcW w:w="1701" w:type="dxa"/>
            <w:tcBorders>
              <w:bottom w:val="nil"/>
            </w:tcBorders>
            <w:shd w:val="clear" w:color="auto" w:fill="auto"/>
          </w:tcPr>
          <w:p w14:paraId="7C7CB44D" w14:textId="77777777" w:rsidR="007174D0" w:rsidRPr="00101D0A" w:rsidRDefault="007174D0" w:rsidP="009D7FF0">
            <w:pPr>
              <w:pStyle w:val="Tabledata"/>
              <w:rPr>
                <w:rFonts w:eastAsia="Calibri"/>
              </w:rPr>
            </w:pPr>
            <w:r>
              <w:rPr>
                <w:rFonts w:eastAsia="Calibri"/>
              </w:rPr>
              <w:t>4</w:t>
            </w:r>
          </w:p>
        </w:tc>
        <w:tc>
          <w:tcPr>
            <w:tcW w:w="1559" w:type="dxa"/>
            <w:tcBorders>
              <w:bottom w:val="nil"/>
            </w:tcBorders>
            <w:shd w:val="clear" w:color="auto" w:fill="auto"/>
          </w:tcPr>
          <w:p w14:paraId="571DE46F" w14:textId="77777777" w:rsidR="007174D0" w:rsidRPr="00101D0A" w:rsidRDefault="007174D0" w:rsidP="009D7FF0">
            <w:pPr>
              <w:pStyle w:val="Tabledata"/>
              <w:rPr>
                <w:rFonts w:eastAsia="Calibri"/>
              </w:rPr>
            </w:pPr>
            <w:r>
              <w:rPr>
                <w:rFonts w:eastAsia="Calibri"/>
              </w:rPr>
              <w:t>2.5</w:t>
            </w:r>
          </w:p>
        </w:tc>
        <w:tc>
          <w:tcPr>
            <w:tcW w:w="1360" w:type="dxa"/>
            <w:tcBorders>
              <w:bottom w:val="nil"/>
            </w:tcBorders>
            <w:shd w:val="clear" w:color="auto" w:fill="auto"/>
          </w:tcPr>
          <w:p w14:paraId="30D156E8" w14:textId="77777777" w:rsidR="007174D0" w:rsidRPr="00101D0A" w:rsidRDefault="007174D0" w:rsidP="009D7FF0">
            <w:pPr>
              <w:pStyle w:val="Tabledata"/>
              <w:rPr>
                <w:rFonts w:eastAsia="Calibri"/>
              </w:rPr>
            </w:pPr>
            <w:r>
              <w:rPr>
                <w:rFonts w:eastAsia="Calibri"/>
              </w:rPr>
              <w:t>3</w:t>
            </w:r>
          </w:p>
        </w:tc>
      </w:tr>
      <w:tr w:rsidR="007174D0" w:rsidRPr="00101D0A" w14:paraId="255B81EF" w14:textId="77777777" w:rsidTr="001C4FC5">
        <w:trPr>
          <w:jc w:val="center"/>
        </w:trPr>
        <w:tc>
          <w:tcPr>
            <w:tcW w:w="567" w:type="dxa"/>
            <w:tcBorders>
              <w:top w:val="nil"/>
              <w:bottom w:val="single" w:sz="8" w:space="0" w:color="auto"/>
            </w:tcBorders>
          </w:tcPr>
          <w:p w14:paraId="5FCBF279" w14:textId="18382051" w:rsidR="007174D0" w:rsidRPr="00101D0A" w:rsidRDefault="009F5ABF" w:rsidP="009D7FF0">
            <w:pPr>
              <w:pStyle w:val="TableHeadingsColumn"/>
            </w:pPr>
            <w:r>
              <w:t>12</w:t>
            </w:r>
          </w:p>
        </w:tc>
        <w:tc>
          <w:tcPr>
            <w:tcW w:w="4821" w:type="dxa"/>
            <w:tcBorders>
              <w:top w:val="nil"/>
              <w:bottom w:val="single" w:sz="8" w:space="0" w:color="auto"/>
            </w:tcBorders>
            <w:shd w:val="clear" w:color="auto" w:fill="auto"/>
          </w:tcPr>
          <w:p w14:paraId="1872BA03" w14:textId="6C2EF077" w:rsidR="007174D0" w:rsidRPr="00101D0A" w:rsidRDefault="007174D0" w:rsidP="009D7FF0">
            <w:pPr>
              <w:pStyle w:val="TableHeadingsColumn"/>
              <w:rPr>
                <w:rFonts w:eastAsia="Calibri"/>
              </w:rPr>
            </w:pPr>
            <w:r w:rsidRPr="00101D0A">
              <w:t>Human Genome Editing CJ</w:t>
            </w:r>
          </w:p>
        </w:tc>
        <w:tc>
          <w:tcPr>
            <w:tcW w:w="1701" w:type="dxa"/>
            <w:tcBorders>
              <w:top w:val="nil"/>
              <w:bottom w:val="single" w:sz="8" w:space="0" w:color="auto"/>
            </w:tcBorders>
            <w:shd w:val="clear" w:color="auto" w:fill="auto"/>
          </w:tcPr>
          <w:p w14:paraId="0456CEAC" w14:textId="77777777" w:rsidR="007174D0" w:rsidRPr="00101D0A" w:rsidRDefault="007174D0" w:rsidP="009D7FF0">
            <w:pPr>
              <w:pStyle w:val="Tabledata"/>
              <w:rPr>
                <w:rFonts w:eastAsia="Calibri"/>
              </w:rPr>
            </w:pPr>
            <w:r>
              <w:rPr>
                <w:rFonts w:eastAsia="Calibri"/>
              </w:rPr>
              <w:t>3</w:t>
            </w:r>
          </w:p>
        </w:tc>
        <w:tc>
          <w:tcPr>
            <w:tcW w:w="1701" w:type="dxa"/>
            <w:tcBorders>
              <w:top w:val="nil"/>
              <w:bottom w:val="single" w:sz="8" w:space="0" w:color="auto"/>
            </w:tcBorders>
            <w:shd w:val="clear" w:color="auto" w:fill="auto"/>
          </w:tcPr>
          <w:p w14:paraId="11435E33" w14:textId="77777777" w:rsidR="007174D0" w:rsidRPr="00101D0A" w:rsidRDefault="007174D0" w:rsidP="009D7FF0">
            <w:pPr>
              <w:pStyle w:val="Tabledata"/>
              <w:rPr>
                <w:rFonts w:eastAsia="Calibri"/>
              </w:rPr>
            </w:pPr>
            <w:r>
              <w:rPr>
                <w:rFonts w:eastAsia="Calibri"/>
              </w:rPr>
              <w:t>3</w:t>
            </w:r>
          </w:p>
        </w:tc>
        <w:tc>
          <w:tcPr>
            <w:tcW w:w="1559" w:type="dxa"/>
            <w:tcBorders>
              <w:top w:val="nil"/>
              <w:bottom w:val="single" w:sz="8" w:space="0" w:color="auto"/>
            </w:tcBorders>
            <w:shd w:val="clear" w:color="auto" w:fill="auto"/>
          </w:tcPr>
          <w:p w14:paraId="60818977" w14:textId="77777777" w:rsidR="007174D0" w:rsidRPr="00101D0A" w:rsidRDefault="007174D0" w:rsidP="009D7FF0">
            <w:pPr>
              <w:pStyle w:val="Tabledata"/>
              <w:rPr>
                <w:rFonts w:eastAsia="Calibri"/>
              </w:rPr>
            </w:pPr>
            <w:r>
              <w:rPr>
                <w:rFonts w:eastAsia="Calibri"/>
              </w:rPr>
              <w:t>3</w:t>
            </w:r>
          </w:p>
        </w:tc>
        <w:tc>
          <w:tcPr>
            <w:tcW w:w="1360" w:type="dxa"/>
            <w:tcBorders>
              <w:top w:val="nil"/>
              <w:bottom w:val="single" w:sz="8" w:space="0" w:color="auto"/>
            </w:tcBorders>
            <w:shd w:val="clear" w:color="auto" w:fill="auto"/>
          </w:tcPr>
          <w:p w14:paraId="64838A3F" w14:textId="77777777" w:rsidR="007174D0" w:rsidRPr="00101D0A" w:rsidRDefault="007174D0" w:rsidP="009D7FF0">
            <w:pPr>
              <w:pStyle w:val="Tabledata"/>
              <w:rPr>
                <w:rFonts w:eastAsia="Calibri"/>
              </w:rPr>
            </w:pPr>
            <w:r>
              <w:rPr>
                <w:rFonts w:eastAsia="Calibri"/>
              </w:rPr>
              <w:t>3</w:t>
            </w:r>
          </w:p>
        </w:tc>
      </w:tr>
    </w:tbl>
    <w:p w14:paraId="250266C8" w14:textId="591D148C" w:rsidR="00552F05" w:rsidRPr="008B3F05" w:rsidRDefault="00552F05" w:rsidP="008B3F05">
      <w:pPr>
        <w:pStyle w:val="TableFooternoborder"/>
      </w:pPr>
    </w:p>
    <w:p w14:paraId="453E5B07" w14:textId="57786635" w:rsidR="000C3E29" w:rsidRDefault="00C7322E" w:rsidP="00EE709F">
      <w:pPr>
        <w:pStyle w:val="Heading1"/>
      </w:pPr>
      <w:bookmarkStart w:id="189" w:name="_Toc97203793"/>
      <w:bookmarkStart w:id="190" w:name="_Toc97203794"/>
      <w:bookmarkStart w:id="191" w:name="_Toc97203795"/>
      <w:bookmarkStart w:id="192" w:name="_Ref95127813"/>
      <w:bookmarkStart w:id="193" w:name="_Toc97203796"/>
      <w:bookmarkStart w:id="194" w:name="_Toc97622121"/>
      <w:bookmarkEnd w:id="189"/>
      <w:bookmarkEnd w:id="190"/>
      <w:bookmarkEnd w:id="191"/>
      <w:r>
        <w:lastRenderedPageBreak/>
        <w:t xml:space="preserve">MLM </w:t>
      </w:r>
      <w:r w:rsidR="47DC2AA5">
        <w:t>Analysis Note</w:t>
      </w:r>
      <w:bookmarkEnd w:id="0"/>
      <w:r w:rsidR="76D5A3AF">
        <w:t>s</w:t>
      </w:r>
      <w:bookmarkEnd w:id="192"/>
      <w:bookmarkEnd w:id="193"/>
      <w:bookmarkEnd w:id="194"/>
    </w:p>
    <w:p w14:paraId="0B30B440" w14:textId="5778D99F" w:rsidR="00081131" w:rsidRDefault="00081131" w:rsidP="00861D12">
      <w:pPr>
        <w:pStyle w:val="Paragraphfirst"/>
      </w:pPr>
      <w:r w:rsidRPr="002174A7">
        <w:t>A</w:t>
      </w:r>
      <w:r>
        <w:t>s outlined in the main text, M</w:t>
      </w:r>
      <w:r w:rsidRPr="00443A84">
        <w:t>ulti-</w:t>
      </w:r>
      <w:r w:rsidR="0041799C">
        <w:t>L</w:t>
      </w:r>
      <w:r w:rsidRPr="00443A84">
        <w:t xml:space="preserve">evel </w:t>
      </w:r>
      <w:r w:rsidR="0041799C">
        <w:t>M</w:t>
      </w:r>
      <w:r w:rsidRPr="00443A84">
        <w:t>odelling (MLM) on DRI</w:t>
      </w:r>
      <w:r w:rsidRPr="00443A84">
        <w:rPr>
          <w:vertAlign w:val="superscript"/>
        </w:rPr>
        <w:t>Ind</w:t>
      </w:r>
      <w:r w:rsidRPr="002174A7">
        <w:t xml:space="preserve"> across our 19 cases was performed using two levels: </w:t>
      </w:r>
    </w:p>
    <w:p w14:paraId="667FA9A1" w14:textId="77777777" w:rsidR="00081131" w:rsidRDefault="00081131" w:rsidP="00EE709F">
      <w:pPr>
        <w:pStyle w:val="ListParagraph"/>
        <w:numPr>
          <w:ilvl w:val="0"/>
          <w:numId w:val="3"/>
        </w:numPr>
      </w:pPr>
      <w:r w:rsidRPr="002174A7">
        <w:t xml:space="preserve">the effect of participants’ individual-level characteristics (level 1); and </w:t>
      </w:r>
    </w:p>
    <w:p w14:paraId="4A9B7009" w14:textId="77777777" w:rsidR="00081131" w:rsidRDefault="00081131" w:rsidP="00EE709F">
      <w:pPr>
        <w:pStyle w:val="ListParagraph"/>
        <w:numPr>
          <w:ilvl w:val="0"/>
          <w:numId w:val="3"/>
        </w:numPr>
      </w:pPr>
      <w:r w:rsidRPr="002174A7">
        <w:t xml:space="preserve">the effect of the case level features discussed above (level 2). </w:t>
      </w:r>
    </w:p>
    <w:p w14:paraId="4825EE59" w14:textId="67EA6898" w:rsidR="00081131" w:rsidRDefault="00081131" w:rsidP="00861D12">
      <w:pPr>
        <w:pStyle w:val="Paragraphfirst"/>
        <w:rPr>
          <w:lang w:val="en-GB"/>
        </w:rPr>
      </w:pPr>
      <w:r>
        <w:t xml:space="preserve">The ability of </w:t>
      </w:r>
      <w:r w:rsidRPr="00361017">
        <w:t xml:space="preserve">MLM </w:t>
      </w:r>
      <w:r>
        <w:t>to</w:t>
      </w:r>
      <w:r w:rsidRPr="002174A7">
        <w:t xml:space="preserve"> deal with nested hierarchical data structures (Tasca et al. 2009) </w:t>
      </w:r>
      <w:r>
        <w:t xml:space="preserve">is particularly important for our analysis. It </w:t>
      </w:r>
      <w:r w:rsidRPr="002174A7">
        <w:t>correct</w:t>
      </w:r>
      <w:r>
        <w:t>s</w:t>
      </w:r>
      <w:r w:rsidRPr="002174A7">
        <w:t xml:space="preserve"> for violation of independence (Peugh and Heck 2017)</w:t>
      </w:r>
      <w:r>
        <w:t xml:space="preserve">, which would otherwise </w:t>
      </w:r>
      <w:r w:rsidR="00D004A2">
        <w:t>happen</w:t>
      </w:r>
      <w:r>
        <w:t xml:space="preserve"> given the intersubjective nature of the data</w:t>
      </w:r>
      <w:r w:rsidRPr="002174A7">
        <w:t>. It also accommodates clustering within our dataset, observed via high interclass correlation coefficient (ICC; 0.</w:t>
      </w:r>
      <w:r>
        <w:t>31</w:t>
      </w:r>
      <w:r w:rsidRPr="002174A7">
        <w:t xml:space="preserve">) within the null model (i.e., model with no predictors) (Kreft and De Leeuw 1998). The analysis estimates general relationships via fixed effects, and uses random effect estimates of heterogeneity to assess variation across </w:t>
      </w:r>
      <w:r w:rsidRPr="00A027C8">
        <w:rPr>
          <w:lang w:val="en-GB"/>
        </w:rPr>
        <w:t>deliberative forums.</w:t>
      </w:r>
    </w:p>
    <w:p w14:paraId="7235A771" w14:textId="77777777" w:rsidR="00081131" w:rsidRDefault="00081131" w:rsidP="00EE709F">
      <w:pPr>
        <w:pStyle w:val="Heading2"/>
      </w:pPr>
      <w:r>
        <w:t>Commensurability across Studies</w:t>
      </w:r>
    </w:p>
    <w:p w14:paraId="0F659576" w14:textId="2343DFA1" w:rsidR="00081131" w:rsidRPr="002174A7" w:rsidRDefault="00081131" w:rsidP="00861D12">
      <w:pPr>
        <w:pStyle w:val="Paragraphfirst"/>
      </w:pPr>
      <w:r w:rsidRPr="0043655C">
        <w:t xml:space="preserve">Structuring the analysis </w:t>
      </w:r>
      <w:r>
        <w:t>using MLM also</w:t>
      </w:r>
      <w:r w:rsidRPr="0043655C">
        <w:t xml:space="preserve"> </w:t>
      </w:r>
      <w:r>
        <w:t xml:space="preserve">overcomes any issues associated with commensurability of DRI scores across cases from different studies, which use different survey instruments. MLM </w:t>
      </w:r>
      <w:r w:rsidRPr="0043655C">
        <w:t>accommodates th</w:t>
      </w:r>
      <w:r>
        <w:t>e</w:t>
      </w:r>
      <w:r w:rsidRPr="0043655C">
        <w:t xml:space="preserve"> fact that DRI measurement is issue and context</w:t>
      </w:r>
      <w:r w:rsidRPr="00361017">
        <w:t xml:space="preserve"> specific</w:t>
      </w:r>
      <w:bookmarkStart w:id="195" w:name="DRI_Commensurability_MLMCorrects"/>
      <w:r>
        <w:t xml:space="preserve"> by</w:t>
      </w:r>
      <w:r w:rsidRPr="0043655C">
        <w:t xml:space="preserve"> adopting a model that considers</w:t>
      </w:r>
      <w:r w:rsidRPr="00361017" w:rsidDel="00D552C8">
        <w:t xml:space="preserve"> </w:t>
      </w:r>
      <w:r w:rsidRPr="002174A7">
        <w:t>cases as random effect and other predictors as fixed in order to hold</w:t>
      </w:r>
      <w:r w:rsidRPr="002174A7" w:rsidDel="00AC4E48">
        <w:t xml:space="preserve"> </w:t>
      </w:r>
      <w:r w:rsidRPr="002174A7">
        <w:t>transformation effects constant, thus enabling us to determine whether changes to DRI</w:t>
      </w:r>
      <w:r w:rsidRPr="002174A7">
        <w:rPr>
          <w:vertAlign w:val="superscript"/>
        </w:rPr>
        <w:t>Ind</w:t>
      </w:r>
      <w:r>
        <w:t xml:space="preserve"> </w:t>
      </w:r>
      <w:r w:rsidRPr="002174A7">
        <w:t xml:space="preserve">can be attributed to </w:t>
      </w:r>
      <w:r>
        <w:t xml:space="preserve">deliberation per se, </w:t>
      </w:r>
      <w:r w:rsidRPr="002174A7">
        <w:t>demographic (level</w:t>
      </w:r>
      <w:r>
        <w:t> </w:t>
      </w:r>
      <w:r w:rsidRPr="002174A7">
        <w:t>1) or group/case (level</w:t>
      </w:r>
      <w:r>
        <w:t> </w:t>
      </w:r>
      <w:r w:rsidRPr="002174A7">
        <w:t xml:space="preserve">2) variables. </w:t>
      </w:r>
      <w:bookmarkEnd w:id="195"/>
    </w:p>
    <w:p w14:paraId="7E968739" w14:textId="709DD3C0" w:rsidR="00737264" w:rsidRDefault="00B13679" w:rsidP="00EE709F">
      <w:pPr>
        <w:pStyle w:val="Heading2"/>
      </w:pPr>
      <w:r>
        <w:t>Robustness and Sample Size</w:t>
      </w:r>
    </w:p>
    <w:p w14:paraId="5A28AA4C" w14:textId="655227B4" w:rsidR="001F57CA" w:rsidRPr="000B7A85" w:rsidRDefault="00FB11F8" w:rsidP="00A43070">
      <w:pPr>
        <w:pStyle w:val="Paragraphfirst"/>
        <w:keepLines/>
        <w:rPr>
          <w:lang w:eastAsia="en-GB"/>
        </w:rPr>
      </w:pPr>
      <w:r w:rsidRPr="00FB11F8">
        <w:t>As discussed in the main text, a conservative approach has been adopted for the MLM analysis to ensure robustness of the results given the relatively small sample size, adopting specific measures outlined by Kenward and Roger (1997) to the calculation of degrees of freedom. We also followed Kenward and Roger (1997) in adopting a restricted maximum likelihood estimation model</w:t>
      </w:r>
      <w:r w:rsidR="00314C73" w:rsidRPr="793A3205">
        <w:rPr>
          <w:lang w:eastAsia="en-GB"/>
        </w:rPr>
        <w:t xml:space="preserve">. </w:t>
      </w:r>
    </w:p>
    <w:p w14:paraId="2AB7C6C1" w14:textId="66904B15" w:rsidR="00393F99" w:rsidRPr="00393F99" w:rsidRDefault="003B667E" w:rsidP="00EE709F">
      <w:pPr>
        <w:pStyle w:val="Heading2"/>
      </w:pPr>
      <w:r>
        <w:t>Choice of Model</w:t>
      </w:r>
    </w:p>
    <w:p w14:paraId="629DEA15" w14:textId="6F56EE7E" w:rsidR="009F1101" w:rsidRDefault="00393F99" w:rsidP="00861D12">
      <w:pPr>
        <w:pStyle w:val="Paragraphfirst"/>
        <w:rPr>
          <w:lang w:eastAsia="en-GB"/>
        </w:rPr>
      </w:pPr>
      <w:r w:rsidRPr="00393F99">
        <w:rPr>
          <w:lang w:eastAsia="en-GB"/>
        </w:rPr>
        <w:t>In deciding which model to use in our analysis we have had to balance competing considerations of </w:t>
      </w:r>
      <w:r w:rsidRPr="00393F99">
        <w:rPr>
          <w:lang w:val="en-GB" w:eastAsia="en-GB"/>
        </w:rPr>
        <w:t>theoretical </w:t>
      </w:r>
      <w:r w:rsidRPr="00393F99">
        <w:rPr>
          <w:lang w:eastAsia="en-GB"/>
        </w:rPr>
        <w:t xml:space="preserve">ideal and methodological fidelity. An ideal statistical solution would be to use a random slope for deliberation— longitudinal random intercept and slope model. However, this approach requires more than two points of measurement, beyond the pre-and and post-deliberation </w:t>
      </w:r>
      <w:r w:rsidR="008E2A47">
        <w:rPr>
          <w:lang w:eastAsia="en-GB"/>
        </w:rPr>
        <w:t>(</w:t>
      </w:r>
      <w:r w:rsidR="009724BF">
        <w:rPr>
          <w:lang w:eastAsia="en-GB"/>
        </w:rPr>
        <w:t>PRE</w:t>
      </w:r>
      <w:r w:rsidR="008E2A47">
        <w:rPr>
          <w:lang w:eastAsia="en-GB"/>
        </w:rPr>
        <w:t xml:space="preserve"> and </w:t>
      </w:r>
      <w:r w:rsidR="009724BF">
        <w:rPr>
          <w:lang w:eastAsia="en-GB"/>
        </w:rPr>
        <w:lastRenderedPageBreak/>
        <w:t>POST</w:t>
      </w:r>
      <w:r w:rsidR="008E2A47">
        <w:rPr>
          <w:lang w:eastAsia="en-GB"/>
        </w:rPr>
        <w:t xml:space="preserve">) </w:t>
      </w:r>
      <w:r w:rsidRPr="00393F99">
        <w:rPr>
          <w:lang w:eastAsia="en-GB"/>
        </w:rPr>
        <w:t>that we analyze. </w:t>
      </w:r>
      <w:r w:rsidR="00E858E7">
        <w:rPr>
          <w:lang w:eastAsia="en-GB"/>
        </w:rPr>
        <w:t>Although we</w:t>
      </w:r>
      <w:r w:rsidRPr="00393F99">
        <w:rPr>
          <w:lang w:eastAsia="en-GB"/>
        </w:rPr>
        <w:t xml:space="preserve"> do have three data points</w:t>
      </w:r>
      <w:r w:rsidRPr="00002499">
        <w:rPr>
          <w:lang w:eastAsia="en-GB"/>
        </w:rPr>
        <w:t xml:space="preserve"> for </w:t>
      </w:r>
      <w:r w:rsidR="008E33B2" w:rsidRPr="00002499">
        <w:rPr>
          <w:lang w:eastAsia="en-GB"/>
        </w:rPr>
        <w:t>ten cases</w:t>
      </w:r>
      <w:r w:rsidR="00E858E7">
        <w:rPr>
          <w:lang w:eastAsia="en-GB"/>
        </w:rPr>
        <w:t>, this would dramatically reduce our sample size</w:t>
      </w:r>
      <w:r w:rsidR="001F7C13">
        <w:rPr>
          <w:lang w:eastAsia="en-GB"/>
        </w:rPr>
        <w:t>,</w:t>
      </w:r>
      <w:r w:rsidR="00523381" w:rsidRPr="00002499">
        <w:rPr>
          <w:lang w:eastAsia="en-GB"/>
        </w:rPr>
        <w:t xml:space="preserve"> be</w:t>
      </w:r>
      <w:r w:rsidR="008F71F7" w:rsidRPr="00002499">
        <w:rPr>
          <w:lang w:eastAsia="en-GB"/>
        </w:rPr>
        <w:t>low</w:t>
      </w:r>
      <w:r w:rsidR="00523381" w:rsidRPr="00002499">
        <w:rPr>
          <w:lang w:eastAsia="en-GB"/>
        </w:rPr>
        <w:t xml:space="preserve"> what is required</w:t>
      </w:r>
      <w:r w:rsidRPr="00002499">
        <w:rPr>
          <w:lang w:eastAsia="en-GB"/>
        </w:rPr>
        <w:t xml:space="preserve"> to conduct a reliable analysis.</w:t>
      </w:r>
      <w:r w:rsidRPr="4B4B65E7">
        <w:rPr>
          <w:lang w:eastAsia="en-GB"/>
        </w:rPr>
        <w:t xml:space="preserve"> </w:t>
      </w:r>
    </w:p>
    <w:p w14:paraId="736DCDD3" w14:textId="75438274" w:rsidR="004057D1" w:rsidRDefault="00393F99" w:rsidP="00861D12">
      <w:pPr>
        <w:pStyle w:val="Paragraphfirst"/>
        <w:rPr>
          <w:lang w:eastAsia="en-GB"/>
        </w:rPr>
      </w:pPr>
      <w:r w:rsidRPr="00393F99">
        <w:rPr>
          <w:lang w:eastAsia="en-GB"/>
        </w:rPr>
        <w:t>A compromise to our theoretical ideal in the model that we report in the main text is to adopt a random intercept model</w:t>
      </w:r>
      <w:r w:rsidR="005F3777">
        <w:rPr>
          <w:lang w:eastAsia="en-GB"/>
        </w:rPr>
        <w:t>, which</w:t>
      </w:r>
      <w:r w:rsidRPr="00393F99">
        <w:rPr>
          <w:lang w:eastAsia="en-GB"/>
        </w:rPr>
        <w:t xml:space="preserve"> </w:t>
      </w:r>
      <w:r w:rsidR="005B0D0B">
        <w:rPr>
          <w:lang w:eastAsia="en-GB"/>
        </w:rPr>
        <w:t>incorporates</w:t>
      </w:r>
      <w:r w:rsidR="002E3659">
        <w:rPr>
          <w:lang w:eastAsia="en-GB"/>
        </w:rPr>
        <w:t xml:space="preserve"> </w:t>
      </w:r>
      <w:r w:rsidRPr="00393F99">
        <w:rPr>
          <w:lang w:eastAsia="en-GB"/>
        </w:rPr>
        <w:t xml:space="preserve">the random effects of each deliberative forum </w:t>
      </w:r>
      <w:r w:rsidR="001F26DE">
        <w:rPr>
          <w:lang w:eastAsia="en-GB"/>
        </w:rPr>
        <w:t xml:space="preserve">and overcomes the </w:t>
      </w:r>
      <w:r w:rsidR="009C15B5">
        <w:rPr>
          <w:lang w:eastAsia="en-GB"/>
        </w:rPr>
        <w:t>variation across pre-deliberative DRI scores</w:t>
      </w:r>
      <w:r w:rsidR="008D25E2">
        <w:rPr>
          <w:lang w:eastAsia="en-GB"/>
        </w:rPr>
        <w:t>. Using this approach,</w:t>
      </w:r>
      <w:r w:rsidRPr="00393F99">
        <w:rPr>
          <w:lang w:eastAsia="en-GB"/>
        </w:rPr>
        <w:t xml:space="preserve"> the scores on the dependent variable for each individual observation are predicted by the intercept</w:t>
      </w:r>
      <w:r w:rsidR="004B55F5">
        <w:rPr>
          <w:lang w:eastAsia="en-GB"/>
        </w:rPr>
        <w:t>, which</w:t>
      </w:r>
      <w:r w:rsidRPr="00393F99">
        <w:rPr>
          <w:lang w:eastAsia="en-GB"/>
        </w:rPr>
        <w:t xml:space="preserve"> randomly varies across each cluster</w:t>
      </w:r>
      <w:r w:rsidR="002E1A6B">
        <w:rPr>
          <w:lang w:eastAsia="en-GB"/>
        </w:rPr>
        <w:t>—</w:t>
      </w:r>
      <w:r w:rsidR="00642DB3">
        <w:rPr>
          <w:lang w:eastAsia="en-GB"/>
        </w:rPr>
        <w:t xml:space="preserve">i.e. </w:t>
      </w:r>
      <w:r w:rsidRPr="00393F99">
        <w:rPr>
          <w:lang w:eastAsia="en-GB"/>
        </w:rPr>
        <w:t xml:space="preserve">DRI levels are different across </w:t>
      </w:r>
      <w:r w:rsidR="00642DB3">
        <w:rPr>
          <w:lang w:eastAsia="en-GB"/>
        </w:rPr>
        <w:t>the forums</w:t>
      </w:r>
      <w:r w:rsidRPr="00393F99">
        <w:rPr>
          <w:lang w:eastAsia="en-GB"/>
        </w:rPr>
        <w:t xml:space="preserve">. </w:t>
      </w:r>
    </w:p>
    <w:p w14:paraId="6071C877" w14:textId="681AF902" w:rsidR="00393F99" w:rsidRDefault="00B940A9" w:rsidP="00861D12">
      <w:pPr>
        <w:pStyle w:val="Paragraphfirst"/>
        <w:rPr>
          <w:lang w:eastAsia="en-GB"/>
        </w:rPr>
      </w:pPr>
      <w:r w:rsidRPr="4167239F">
        <w:rPr>
          <w:lang w:eastAsia="en-GB"/>
        </w:rPr>
        <w:t>The effect of</w:t>
      </w:r>
      <w:r w:rsidR="00760AF9" w:rsidRPr="4167239F">
        <w:rPr>
          <w:lang w:eastAsia="en-GB"/>
        </w:rPr>
        <w:t xml:space="preserve"> the</w:t>
      </w:r>
      <w:r w:rsidR="00393F99" w:rsidRPr="4167239F">
        <w:rPr>
          <w:lang w:eastAsia="en-GB"/>
        </w:rPr>
        <w:t xml:space="preserve"> deliberative process</w:t>
      </w:r>
      <w:r w:rsidR="00760AF9" w:rsidRPr="4167239F">
        <w:rPr>
          <w:lang w:eastAsia="en-GB"/>
        </w:rPr>
        <w:t xml:space="preserve"> across our cases</w:t>
      </w:r>
      <w:r w:rsidR="00393F99" w:rsidRPr="4167239F">
        <w:rPr>
          <w:lang w:eastAsia="en-GB"/>
        </w:rPr>
        <w:t xml:space="preserve"> </w:t>
      </w:r>
      <w:r w:rsidR="007C253C" w:rsidRPr="4167239F">
        <w:rPr>
          <w:lang w:eastAsia="en-GB"/>
        </w:rPr>
        <w:t>is accounted for</w:t>
      </w:r>
      <w:r w:rsidR="00393F99" w:rsidRPr="4167239F">
        <w:rPr>
          <w:lang w:eastAsia="en-GB"/>
        </w:rPr>
        <w:t xml:space="preserve"> </w:t>
      </w:r>
      <w:r w:rsidR="00760AF9" w:rsidRPr="4167239F">
        <w:rPr>
          <w:lang w:eastAsia="en-GB"/>
        </w:rPr>
        <w:t xml:space="preserve">by </w:t>
      </w:r>
      <w:r w:rsidR="00F513E0" w:rsidRPr="4167239F">
        <w:rPr>
          <w:lang w:eastAsia="en-GB"/>
        </w:rPr>
        <w:t>having</w:t>
      </w:r>
      <w:r w:rsidR="0086146C" w:rsidRPr="4167239F">
        <w:rPr>
          <w:lang w:eastAsia="en-GB"/>
        </w:rPr>
        <w:t xml:space="preserve"> data point</w:t>
      </w:r>
      <w:r w:rsidR="00F513E0" w:rsidRPr="4167239F">
        <w:rPr>
          <w:lang w:eastAsia="en-GB"/>
        </w:rPr>
        <w:t>s</w:t>
      </w:r>
      <w:r w:rsidR="0086146C" w:rsidRPr="4167239F">
        <w:rPr>
          <w:lang w:eastAsia="en-GB"/>
        </w:rPr>
        <w:t xml:space="preserve"> </w:t>
      </w:r>
      <w:r w:rsidR="00F513E0" w:rsidRPr="4167239F">
        <w:rPr>
          <w:lang w:eastAsia="en-GB"/>
        </w:rPr>
        <w:t>both</w:t>
      </w:r>
      <w:r w:rsidR="00B81C99" w:rsidRPr="4167239F">
        <w:rPr>
          <w:lang w:eastAsia="en-GB"/>
        </w:rPr>
        <w:t xml:space="preserve"> prior to deliberation (</w:t>
      </w:r>
      <w:r w:rsidR="00393F99" w:rsidRPr="4167239F">
        <w:rPr>
          <w:lang w:eastAsia="en-GB"/>
        </w:rPr>
        <w:t>DRI pre</w:t>
      </w:r>
      <w:r w:rsidR="00B81C99" w:rsidRPr="4167239F">
        <w:rPr>
          <w:lang w:eastAsia="en-GB"/>
        </w:rPr>
        <w:t>)</w:t>
      </w:r>
      <w:r w:rsidR="00393F99" w:rsidRPr="4167239F">
        <w:rPr>
          <w:lang w:eastAsia="en-GB"/>
        </w:rPr>
        <w:t xml:space="preserve"> </w:t>
      </w:r>
      <w:r w:rsidR="00F513E0" w:rsidRPr="4167239F">
        <w:rPr>
          <w:lang w:eastAsia="en-GB"/>
        </w:rPr>
        <w:t>and</w:t>
      </w:r>
      <w:r w:rsidR="00B81C99" w:rsidRPr="4167239F">
        <w:rPr>
          <w:lang w:eastAsia="en-GB"/>
        </w:rPr>
        <w:t xml:space="preserve"> post deliberation (</w:t>
      </w:r>
      <w:r w:rsidR="00393F99" w:rsidRPr="4167239F">
        <w:rPr>
          <w:lang w:eastAsia="en-GB"/>
        </w:rPr>
        <w:t>DRI</w:t>
      </w:r>
      <w:r w:rsidR="00B81C99" w:rsidRPr="4167239F">
        <w:rPr>
          <w:lang w:eastAsia="en-GB"/>
        </w:rPr>
        <w:t> </w:t>
      </w:r>
      <w:r w:rsidR="00393F99" w:rsidRPr="4167239F">
        <w:rPr>
          <w:lang w:eastAsia="en-GB"/>
        </w:rPr>
        <w:t>post</w:t>
      </w:r>
      <w:r w:rsidR="00B81C99" w:rsidRPr="4167239F">
        <w:rPr>
          <w:lang w:eastAsia="en-GB"/>
        </w:rPr>
        <w:t>)</w:t>
      </w:r>
      <w:r w:rsidR="002E1A6B" w:rsidRPr="4167239F">
        <w:rPr>
          <w:lang w:eastAsia="en-GB"/>
        </w:rPr>
        <w:t>—</w:t>
      </w:r>
      <w:r w:rsidR="00D76CFE" w:rsidRPr="4167239F">
        <w:rPr>
          <w:lang w:eastAsia="en-GB"/>
        </w:rPr>
        <w:t>i.e.</w:t>
      </w:r>
      <w:r w:rsidR="00F513E0" w:rsidRPr="4167239F">
        <w:rPr>
          <w:lang w:eastAsia="en-GB"/>
        </w:rPr>
        <w:t>,</w:t>
      </w:r>
      <w:r w:rsidR="00D76CFE" w:rsidRPr="4167239F">
        <w:rPr>
          <w:lang w:eastAsia="en-GB"/>
        </w:rPr>
        <w:t xml:space="preserve"> </w:t>
      </w:r>
      <w:r w:rsidR="0064217A" w:rsidRPr="4167239F">
        <w:rPr>
          <w:lang w:eastAsia="en-GB"/>
        </w:rPr>
        <w:t>we are modelling DRI at two time points,</w:t>
      </w:r>
      <w:r w:rsidR="000C34C0" w:rsidRPr="4167239F">
        <w:rPr>
          <w:lang w:eastAsia="en-GB"/>
        </w:rPr>
        <w:t xml:space="preserve"> hence the number of observations used in the model </w:t>
      </w:r>
      <w:r w:rsidR="00711705" w:rsidRPr="4167239F">
        <w:rPr>
          <w:lang w:eastAsia="en-GB"/>
        </w:rPr>
        <w:t>is</w:t>
      </w:r>
      <w:r w:rsidR="000C34C0" w:rsidRPr="4167239F">
        <w:rPr>
          <w:lang w:eastAsia="en-GB"/>
        </w:rPr>
        <w:t xml:space="preserve"> twice the number of </w:t>
      </w:r>
      <w:r w:rsidR="00D76CFE" w:rsidRPr="4167239F">
        <w:rPr>
          <w:lang w:eastAsia="en-GB"/>
        </w:rPr>
        <w:t>individuals</w:t>
      </w:r>
      <w:r w:rsidR="000C34C0" w:rsidRPr="4167239F">
        <w:rPr>
          <w:lang w:eastAsia="en-GB"/>
        </w:rPr>
        <w:t xml:space="preserve">. </w:t>
      </w:r>
      <w:r w:rsidR="00E80151" w:rsidRPr="4167239F">
        <w:rPr>
          <w:lang w:eastAsia="en-GB"/>
        </w:rPr>
        <w:t xml:space="preserve">These two points were entered into the model using </w:t>
      </w:r>
      <w:r w:rsidR="00B47DEC" w:rsidRPr="4167239F">
        <w:rPr>
          <w:lang w:eastAsia="en-GB"/>
        </w:rPr>
        <w:t xml:space="preserve">a </w:t>
      </w:r>
      <w:r w:rsidR="00393F99" w:rsidRPr="4167239F">
        <w:rPr>
          <w:lang w:eastAsia="en-GB"/>
        </w:rPr>
        <w:t xml:space="preserve">dummy variable </w:t>
      </w:r>
      <w:r w:rsidR="092092B6" w:rsidRPr="4167239F">
        <w:rPr>
          <w:lang w:eastAsia="en-GB"/>
        </w:rPr>
        <w:t>for which</w:t>
      </w:r>
      <w:r w:rsidR="00B47DEC" w:rsidRPr="4167239F">
        <w:rPr>
          <w:lang w:eastAsia="en-GB"/>
        </w:rPr>
        <w:t xml:space="preserve"> 0 </w:t>
      </w:r>
      <w:r w:rsidR="245A26B2" w:rsidRPr="4167239F">
        <w:rPr>
          <w:lang w:eastAsia="en-GB"/>
        </w:rPr>
        <w:t xml:space="preserve">represents the fact that the time is </w:t>
      </w:r>
      <w:r w:rsidR="00B47DEC" w:rsidRPr="4167239F">
        <w:rPr>
          <w:lang w:eastAsia="en-GB"/>
        </w:rPr>
        <w:t>pre deliberation (</w:t>
      </w:r>
      <w:r w:rsidR="00393F99" w:rsidRPr="4167239F">
        <w:rPr>
          <w:lang w:eastAsia="en-GB"/>
        </w:rPr>
        <w:t>PRE</w:t>
      </w:r>
      <w:r w:rsidR="00B47DEC" w:rsidRPr="4167239F">
        <w:rPr>
          <w:lang w:eastAsia="en-GB"/>
        </w:rPr>
        <w:t>)</w:t>
      </w:r>
      <w:r w:rsidR="23B8335C" w:rsidRPr="4167239F">
        <w:rPr>
          <w:lang w:eastAsia="en-GB"/>
        </w:rPr>
        <w:t>,</w:t>
      </w:r>
      <w:r w:rsidR="00B47DEC" w:rsidRPr="4167239F">
        <w:rPr>
          <w:lang w:eastAsia="en-GB"/>
        </w:rPr>
        <w:t xml:space="preserve"> and 1 </w:t>
      </w:r>
      <w:r w:rsidR="0FF593F1" w:rsidRPr="4167239F">
        <w:rPr>
          <w:lang w:eastAsia="en-GB"/>
        </w:rPr>
        <w:t>represents the fact that the time is</w:t>
      </w:r>
      <w:r w:rsidR="00B47DEC" w:rsidRPr="4167239F">
        <w:rPr>
          <w:lang w:eastAsia="en-GB"/>
        </w:rPr>
        <w:t xml:space="preserve"> post deliberation (</w:t>
      </w:r>
      <w:r w:rsidR="00393F99" w:rsidRPr="4167239F">
        <w:rPr>
          <w:lang w:eastAsia="en-GB"/>
        </w:rPr>
        <w:t>POST</w:t>
      </w:r>
      <w:r w:rsidR="00B47DEC" w:rsidRPr="4167239F">
        <w:rPr>
          <w:lang w:eastAsia="en-GB"/>
        </w:rPr>
        <w:t>)</w:t>
      </w:r>
      <w:r w:rsidR="00393F99" w:rsidRPr="4167239F">
        <w:rPr>
          <w:lang w:eastAsia="en-GB"/>
        </w:rPr>
        <w:t>.</w:t>
      </w:r>
      <w:r w:rsidR="00B47DEC" w:rsidRPr="4167239F">
        <w:rPr>
          <w:lang w:eastAsia="en-GB"/>
        </w:rPr>
        <w:t xml:space="preserve"> </w:t>
      </w:r>
    </w:p>
    <w:p w14:paraId="5C75DD30" w14:textId="4341D4D6" w:rsidR="00EA453C" w:rsidRDefault="00EA453C" w:rsidP="00EE709F">
      <w:pPr>
        <w:pStyle w:val="Heading2"/>
      </w:pPr>
      <w:bookmarkStart w:id="196" w:name="_Toc97231596"/>
      <w:bookmarkStart w:id="197" w:name="_Toc97622122"/>
      <w:bookmarkStart w:id="198" w:name="_Toc97203797"/>
      <w:r>
        <w:t>Dataset</w:t>
      </w:r>
      <w:bookmarkEnd w:id="196"/>
      <w:bookmarkEnd w:id="197"/>
      <w:r>
        <w:t xml:space="preserve"> </w:t>
      </w:r>
      <w:bookmarkEnd w:id="198"/>
    </w:p>
    <w:p w14:paraId="0436E3C7" w14:textId="13E3549C" w:rsidR="000C3E29" w:rsidRPr="009C0B42" w:rsidRDefault="47DC2AA5" w:rsidP="00861D12">
      <w:pPr>
        <w:pStyle w:val="Paragraphfirst"/>
      </w:pPr>
      <w:r w:rsidRPr="009C0B42">
        <w:t>A conservative approach was adopted to accommodate variation in availability of individual-level data across cases, which meant missing data for some analyses</w:t>
      </w:r>
      <w:r w:rsidR="00D433E2" w:rsidRPr="009C0B42">
        <w:t>.</w:t>
      </w:r>
      <w:r w:rsidRPr="009C0B42">
        <w:t xml:space="preserve"> </w:t>
      </w:r>
      <w:r w:rsidR="00D23E24">
        <w:t xml:space="preserve">Missing data </w:t>
      </w:r>
      <w:r w:rsidR="009C0B42">
        <w:t>is</w:t>
      </w:r>
      <w:r w:rsidR="00D23E24">
        <w:t xml:space="preserve"> handled </w:t>
      </w:r>
      <w:r w:rsidR="009C0B42">
        <w:t>via</w:t>
      </w:r>
      <w:r w:rsidR="00D23E24">
        <w:t xml:space="preserve"> listwise deletion</w:t>
      </w:r>
      <w:r w:rsidR="002E1A6B">
        <w:t>—</w:t>
      </w:r>
      <w:r w:rsidR="009C0B42">
        <w:t xml:space="preserve">where cases are missing data used in </w:t>
      </w:r>
      <w:r w:rsidR="002C520A">
        <w:t>a particular</w:t>
      </w:r>
      <w:r w:rsidR="009C0B42">
        <w:t xml:space="preserve"> </w:t>
      </w:r>
      <w:r w:rsidR="002C520A">
        <w:t>step they are removed for the remainder of the analysis</w:t>
      </w:r>
      <w:r w:rsidR="00282152">
        <w:t>.</w:t>
      </w:r>
      <w:r w:rsidR="00571A08" w:rsidRPr="00E07F40">
        <w:rPr>
          <w:rStyle w:val="FootnoteReference"/>
        </w:rPr>
        <w:footnoteReference w:id="3"/>
      </w:r>
      <w:r w:rsidR="002C520A">
        <w:t xml:space="preserve"> </w:t>
      </w:r>
      <w:r w:rsidRPr="009C0B42">
        <w:t xml:space="preserve">The level of model fit is assessed using pseudo-R2 (Nakagawa and Schielzeth 2013). </w:t>
      </w:r>
    </w:p>
    <w:p w14:paraId="3F421542" w14:textId="734510EC" w:rsidR="005464B9" w:rsidRDefault="005464B9" w:rsidP="00EE709F">
      <w:pPr>
        <w:pStyle w:val="Heading2"/>
      </w:pPr>
      <w:bookmarkStart w:id="199" w:name="_Toc97203798"/>
      <w:bookmarkStart w:id="200" w:name="_Toc97622123"/>
      <w:r>
        <w:t>Multicollinearity</w:t>
      </w:r>
      <w:bookmarkEnd w:id="199"/>
      <w:bookmarkEnd w:id="200"/>
    </w:p>
    <w:p w14:paraId="48CD00AA" w14:textId="40FE04A4" w:rsidR="000C3E29" w:rsidRPr="009C0B42" w:rsidRDefault="000C3E29" w:rsidP="00861D12">
      <w:pPr>
        <w:pStyle w:val="Paragraphfirst"/>
      </w:pPr>
      <w:r w:rsidRPr="009C0B42">
        <w:t xml:space="preserve">Multicollinearity between variables has been checked </w:t>
      </w:r>
      <w:r w:rsidR="00CF01DA" w:rsidRPr="009C0B42">
        <w:t>by calculating</w:t>
      </w:r>
      <w:r w:rsidRPr="009C0B42">
        <w:t xml:space="preserve"> the Variance Inflation Factors (VIF) across all variables</w:t>
      </w:r>
      <w:r w:rsidR="00767923" w:rsidRPr="009C0B42">
        <w:t xml:space="preserve">, </w:t>
      </w:r>
      <w:r w:rsidR="00114D07" w:rsidRPr="009C0B42">
        <w:t>see</w:t>
      </w:r>
      <w:r w:rsidR="00154231">
        <w:t xml:space="preserve"> </w:t>
      </w:r>
      <w:r>
        <w:fldChar w:fldCharType="begin"/>
      </w:r>
      <w:r>
        <w:instrText>REF _Ref122351751</w:instrText>
      </w:r>
      <w:r>
        <w:fldChar w:fldCharType="separate"/>
      </w:r>
      <w:r w:rsidR="00154231">
        <w:t xml:space="preserve">Table </w:t>
      </w:r>
      <w:r w:rsidR="00154231">
        <w:rPr>
          <w:noProof/>
        </w:rPr>
        <w:t>F.5</w:t>
      </w:r>
      <w:r w:rsidR="00154231">
        <w:t>.</w:t>
      </w:r>
      <w:r w:rsidR="00154231">
        <w:rPr>
          <w:noProof/>
        </w:rPr>
        <w:t>1</w:t>
      </w:r>
      <w:r>
        <w:fldChar w:fldCharType="end"/>
      </w:r>
      <w:r w:rsidRPr="009C0B42">
        <w:t>.</w:t>
      </w:r>
    </w:p>
    <w:p w14:paraId="7B9F5C83" w14:textId="2ACEF4C1" w:rsidR="000C3E29" w:rsidRPr="00C30031" w:rsidRDefault="005F623F" w:rsidP="005F623F">
      <w:pPr>
        <w:pStyle w:val="Caption"/>
      </w:pPr>
      <w:bookmarkStart w:id="201" w:name="_Ref122351751"/>
      <w:r>
        <w:lastRenderedPageBreak/>
        <w:t xml:space="preserve">Table </w:t>
      </w:r>
      <w:r>
        <w:fldChar w:fldCharType="begin"/>
      </w:r>
      <w:r>
        <w:instrText>STYLEREF 2 \s</w:instrText>
      </w:r>
      <w:r>
        <w:fldChar w:fldCharType="separate"/>
      </w:r>
      <w:r>
        <w:rPr>
          <w:noProof/>
        </w:rPr>
        <w:t>F.5</w:t>
      </w:r>
      <w:r>
        <w:fldChar w:fldCharType="end"/>
      </w:r>
      <w:r>
        <w:t>.</w:t>
      </w:r>
      <w:r>
        <w:fldChar w:fldCharType="begin"/>
      </w:r>
      <w:r>
        <w:instrText>SEQ Table \* ARABIC \s 2</w:instrText>
      </w:r>
      <w:r>
        <w:fldChar w:fldCharType="separate"/>
      </w:r>
      <w:r>
        <w:rPr>
          <w:noProof/>
        </w:rPr>
        <w:t>1</w:t>
      </w:r>
      <w:r>
        <w:fldChar w:fldCharType="end"/>
      </w:r>
      <w:bookmarkEnd w:id="201"/>
      <w:r w:rsidR="000C3E29" w:rsidRPr="003B43DD">
        <w:t>: Multicollinearity</w:t>
      </w:r>
      <w:r w:rsidR="0052495D" w:rsidRPr="003B43DD">
        <w:t xml:space="preserve"> Report</w:t>
      </w:r>
    </w:p>
    <w:tbl>
      <w:tblPr>
        <w:tblW w:w="9072" w:type="dxa"/>
        <w:tblBorders>
          <w:top w:val="single" w:sz="4" w:space="0" w:color="auto"/>
          <w:bottom w:val="single" w:sz="4" w:space="0" w:color="auto"/>
        </w:tblBorders>
        <w:tblLook w:val="04A0" w:firstRow="1" w:lastRow="0" w:firstColumn="1" w:lastColumn="0" w:noHBand="0" w:noVBand="1"/>
      </w:tblPr>
      <w:tblGrid>
        <w:gridCol w:w="896"/>
        <w:gridCol w:w="1283"/>
        <w:gridCol w:w="739"/>
        <w:gridCol w:w="892"/>
        <w:gridCol w:w="1119"/>
        <w:gridCol w:w="956"/>
        <w:gridCol w:w="1217"/>
        <w:gridCol w:w="972"/>
        <w:gridCol w:w="998"/>
      </w:tblGrid>
      <w:tr w:rsidR="000C3E29" w:rsidRPr="00C30031" w14:paraId="694A6CE7" w14:textId="77777777" w:rsidTr="001C4FC5">
        <w:trPr>
          <w:trHeight w:val="327"/>
        </w:trPr>
        <w:tc>
          <w:tcPr>
            <w:tcW w:w="1243" w:type="dxa"/>
            <w:tcBorders>
              <w:top w:val="nil"/>
              <w:bottom w:val="single" w:sz="4" w:space="0" w:color="auto"/>
            </w:tcBorders>
            <w:hideMark/>
          </w:tcPr>
          <w:p w14:paraId="2BACF6DE" w14:textId="77777777" w:rsidR="000C3E29" w:rsidRPr="00C30031" w:rsidRDefault="000C3E29" w:rsidP="009E55A6">
            <w:pPr>
              <w:pStyle w:val="TableHeader2"/>
            </w:pPr>
            <w:r w:rsidRPr="00C30031">
              <w:t xml:space="preserve">Models </w:t>
            </w:r>
          </w:p>
        </w:tc>
        <w:tc>
          <w:tcPr>
            <w:tcW w:w="962" w:type="dxa"/>
            <w:tcBorders>
              <w:top w:val="nil"/>
              <w:bottom w:val="single" w:sz="4" w:space="0" w:color="auto"/>
            </w:tcBorders>
            <w:hideMark/>
          </w:tcPr>
          <w:p w14:paraId="25875E12" w14:textId="77777777" w:rsidR="000C3E29" w:rsidRPr="00C30031" w:rsidRDefault="000C3E29" w:rsidP="009E55A6">
            <w:pPr>
              <w:pStyle w:val="TableHeader2"/>
            </w:pPr>
            <w:r>
              <w:t>Deliberation</w:t>
            </w:r>
          </w:p>
          <w:p w14:paraId="55308D96" w14:textId="77777777" w:rsidR="000C3E29" w:rsidRPr="00C30031" w:rsidRDefault="000C3E29" w:rsidP="009E55A6">
            <w:pPr>
              <w:pStyle w:val="TableHeader2"/>
            </w:pPr>
            <w:r w:rsidRPr="00C30031">
              <w:t>(VIF)</w:t>
            </w:r>
          </w:p>
        </w:tc>
        <w:tc>
          <w:tcPr>
            <w:tcW w:w="970" w:type="dxa"/>
            <w:tcBorders>
              <w:top w:val="nil"/>
              <w:bottom w:val="single" w:sz="4" w:space="0" w:color="auto"/>
            </w:tcBorders>
            <w:hideMark/>
          </w:tcPr>
          <w:p w14:paraId="42B4A469" w14:textId="77777777" w:rsidR="000C3E29" w:rsidRPr="00C30031" w:rsidRDefault="000C3E29" w:rsidP="009E55A6">
            <w:pPr>
              <w:pStyle w:val="TableHeader2"/>
            </w:pPr>
            <w:r w:rsidRPr="00C30031">
              <w:t>Age</w:t>
            </w:r>
          </w:p>
          <w:p w14:paraId="27141FB8" w14:textId="77777777" w:rsidR="000C3E29" w:rsidRPr="00C30031" w:rsidRDefault="000C3E29" w:rsidP="009E55A6">
            <w:pPr>
              <w:pStyle w:val="TableHeader2"/>
            </w:pPr>
            <w:r w:rsidRPr="00C30031">
              <w:t>(VIF)</w:t>
            </w:r>
          </w:p>
        </w:tc>
        <w:tc>
          <w:tcPr>
            <w:tcW w:w="990" w:type="dxa"/>
            <w:tcBorders>
              <w:top w:val="nil"/>
              <w:bottom w:val="single" w:sz="4" w:space="0" w:color="auto"/>
            </w:tcBorders>
            <w:hideMark/>
          </w:tcPr>
          <w:p w14:paraId="4A11ABF0" w14:textId="77777777" w:rsidR="000C3E29" w:rsidRPr="00C30031" w:rsidRDefault="000C3E29" w:rsidP="009E55A6">
            <w:pPr>
              <w:pStyle w:val="TableHeader2"/>
            </w:pPr>
            <w:r w:rsidRPr="00C30031">
              <w:t>Gender</w:t>
            </w:r>
          </w:p>
          <w:p w14:paraId="22FDE4B7" w14:textId="77777777" w:rsidR="000C3E29" w:rsidRPr="00C30031" w:rsidRDefault="000C3E29" w:rsidP="009E55A6">
            <w:pPr>
              <w:pStyle w:val="TableHeader2"/>
            </w:pPr>
            <w:r w:rsidRPr="00C30031">
              <w:t>(VIF)</w:t>
            </w:r>
          </w:p>
        </w:tc>
        <w:tc>
          <w:tcPr>
            <w:tcW w:w="1258" w:type="dxa"/>
            <w:tcBorders>
              <w:top w:val="nil"/>
              <w:bottom w:val="single" w:sz="4" w:space="0" w:color="auto"/>
            </w:tcBorders>
            <w:hideMark/>
          </w:tcPr>
          <w:p w14:paraId="013C01BF" w14:textId="77777777" w:rsidR="000C3E29" w:rsidRPr="00C30031" w:rsidRDefault="000C3E29" w:rsidP="009E55A6">
            <w:pPr>
              <w:pStyle w:val="TableHeader2"/>
            </w:pPr>
            <w:r w:rsidRPr="00C30031">
              <w:t>Education</w:t>
            </w:r>
          </w:p>
          <w:p w14:paraId="761BB7E0" w14:textId="77777777" w:rsidR="000C3E29" w:rsidRPr="00C30031" w:rsidRDefault="000C3E29" w:rsidP="009E55A6">
            <w:pPr>
              <w:pStyle w:val="TableHeader2"/>
            </w:pPr>
            <w:r w:rsidRPr="00C30031">
              <w:t>(VIF)</w:t>
            </w:r>
          </w:p>
        </w:tc>
        <w:tc>
          <w:tcPr>
            <w:tcW w:w="1242" w:type="dxa"/>
            <w:tcBorders>
              <w:top w:val="nil"/>
              <w:bottom w:val="single" w:sz="4" w:space="0" w:color="auto"/>
            </w:tcBorders>
            <w:hideMark/>
          </w:tcPr>
          <w:p w14:paraId="206A151F" w14:textId="77777777" w:rsidR="000C3E29" w:rsidRPr="00C30031" w:rsidRDefault="000C3E29" w:rsidP="009E55A6">
            <w:pPr>
              <w:pStyle w:val="TableHeader2"/>
            </w:pPr>
            <w:r w:rsidRPr="00C30031">
              <w:t>Group Building</w:t>
            </w:r>
          </w:p>
          <w:p w14:paraId="20B9184F" w14:textId="77777777" w:rsidR="000C3E29" w:rsidRPr="00C30031" w:rsidRDefault="000C3E29" w:rsidP="009E55A6">
            <w:pPr>
              <w:pStyle w:val="TableHeader2"/>
            </w:pPr>
            <w:r w:rsidRPr="00C30031">
              <w:t>(VIF)</w:t>
            </w:r>
          </w:p>
        </w:tc>
        <w:tc>
          <w:tcPr>
            <w:tcW w:w="1339" w:type="dxa"/>
            <w:tcBorders>
              <w:top w:val="nil"/>
              <w:bottom w:val="single" w:sz="4" w:space="0" w:color="auto"/>
            </w:tcBorders>
            <w:hideMark/>
          </w:tcPr>
          <w:p w14:paraId="77E66490" w14:textId="1952F594" w:rsidR="000C3E29" w:rsidRPr="00C30031" w:rsidRDefault="000C3E29" w:rsidP="005A03C8">
            <w:pPr>
              <w:pStyle w:val="TableHeader2"/>
              <w:jc w:val="left"/>
            </w:pPr>
            <w:r w:rsidRPr="00C30031">
              <w:t>Complexity</w:t>
            </w:r>
          </w:p>
          <w:p w14:paraId="5CACEEA8" w14:textId="77777777" w:rsidR="000C3E29" w:rsidRPr="00C30031" w:rsidRDefault="000C3E29" w:rsidP="009E55A6">
            <w:pPr>
              <w:pStyle w:val="TableHeader2"/>
            </w:pPr>
            <w:r w:rsidRPr="00C30031">
              <w:t>(VIF)</w:t>
            </w:r>
          </w:p>
        </w:tc>
        <w:tc>
          <w:tcPr>
            <w:tcW w:w="923" w:type="dxa"/>
            <w:tcBorders>
              <w:top w:val="nil"/>
              <w:bottom w:val="single" w:sz="4" w:space="0" w:color="auto"/>
            </w:tcBorders>
            <w:hideMark/>
          </w:tcPr>
          <w:p w14:paraId="714C9718" w14:textId="2C7366C4" w:rsidR="000C3E29" w:rsidRPr="00C30031" w:rsidRDefault="00B04B1C" w:rsidP="009E55A6">
            <w:pPr>
              <w:pStyle w:val="TableHeader2"/>
            </w:pPr>
            <w:r>
              <w:t>Duration</w:t>
            </w:r>
          </w:p>
          <w:p w14:paraId="224D5B6C" w14:textId="77777777" w:rsidR="000C3E29" w:rsidRPr="00C30031" w:rsidRDefault="000C3E29" w:rsidP="009E55A6">
            <w:pPr>
              <w:pStyle w:val="TableHeader2"/>
            </w:pPr>
            <w:r w:rsidRPr="00C30031">
              <w:t>(VIF)</w:t>
            </w:r>
          </w:p>
        </w:tc>
        <w:tc>
          <w:tcPr>
            <w:tcW w:w="1153" w:type="dxa"/>
            <w:tcBorders>
              <w:top w:val="nil"/>
              <w:bottom w:val="single" w:sz="4" w:space="0" w:color="auto"/>
            </w:tcBorders>
            <w:hideMark/>
          </w:tcPr>
          <w:p w14:paraId="0CB900B3" w14:textId="77777777" w:rsidR="000C3E29" w:rsidRPr="00C30031" w:rsidRDefault="000C3E29" w:rsidP="009E55A6">
            <w:pPr>
              <w:pStyle w:val="TableHeader2"/>
            </w:pPr>
            <w:r w:rsidRPr="00C30031">
              <w:t>Decision Impact</w:t>
            </w:r>
          </w:p>
          <w:p w14:paraId="305C8AED" w14:textId="77777777" w:rsidR="000C3E29" w:rsidRPr="00C30031" w:rsidRDefault="000C3E29" w:rsidP="009E55A6">
            <w:pPr>
              <w:pStyle w:val="TableHeader2"/>
            </w:pPr>
            <w:r w:rsidRPr="00C30031">
              <w:t>(VIF)</w:t>
            </w:r>
          </w:p>
        </w:tc>
      </w:tr>
      <w:tr w:rsidR="000C3E29" w:rsidRPr="00FF2A07" w14:paraId="653044B6" w14:textId="77777777" w:rsidTr="00F400A7">
        <w:tc>
          <w:tcPr>
            <w:tcW w:w="1243" w:type="dxa"/>
            <w:tcBorders>
              <w:top w:val="single" w:sz="4" w:space="0" w:color="auto"/>
            </w:tcBorders>
            <w:hideMark/>
          </w:tcPr>
          <w:p w14:paraId="6740CCB5" w14:textId="77777777" w:rsidR="000C3E29" w:rsidRPr="004F411A" w:rsidRDefault="000C3E29" w:rsidP="009D7FF0">
            <w:pPr>
              <w:pStyle w:val="TableHeadingsColumn"/>
            </w:pPr>
            <w:r w:rsidRPr="004F411A">
              <w:t>(3)</w:t>
            </w:r>
          </w:p>
        </w:tc>
        <w:tc>
          <w:tcPr>
            <w:tcW w:w="962" w:type="dxa"/>
            <w:tcBorders>
              <w:top w:val="single" w:sz="4" w:space="0" w:color="auto"/>
            </w:tcBorders>
            <w:hideMark/>
          </w:tcPr>
          <w:p w14:paraId="3BFA2015" w14:textId="77777777" w:rsidR="000C3E29" w:rsidRPr="00FF2A07" w:rsidRDefault="000C3E29" w:rsidP="009D7FF0">
            <w:pPr>
              <w:pStyle w:val="Tabledata"/>
            </w:pPr>
            <w:r>
              <w:t>1</w:t>
            </w:r>
          </w:p>
        </w:tc>
        <w:tc>
          <w:tcPr>
            <w:tcW w:w="970" w:type="dxa"/>
            <w:tcBorders>
              <w:top w:val="single" w:sz="4" w:space="0" w:color="auto"/>
            </w:tcBorders>
            <w:hideMark/>
          </w:tcPr>
          <w:p w14:paraId="05ADA7CA" w14:textId="77777777" w:rsidR="000C3E29" w:rsidRPr="00FF2A07" w:rsidRDefault="000C3E29" w:rsidP="009D7FF0">
            <w:pPr>
              <w:pStyle w:val="Tabledata"/>
            </w:pPr>
            <w:r>
              <w:t>1</w:t>
            </w:r>
          </w:p>
        </w:tc>
        <w:tc>
          <w:tcPr>
            <w:tcW w:w="990" w:type="dxa"/>
            <w:tcBorders>
              <w:top w:val="single" w:sz="4" w:space="0" w:color="auto"/>
            </w:tcBorders>
            <w:hideMark/>
          </w:tcPr>
          <w:p w14:paraId="720AA1E8" w14:textId="77777777" w:rsidR="000C3E29" w:rsidRPr="00FF2A07" w:rsidRDefault="000C3E29" w:rsidP="009D7FF0">
            <w:pPr>
              <w:pStyle w:val="Tabledata"/>
            </w:pPr>
          </w:p>
        </w:tc>
        <w:tc>
          <w:tcPr>
            <w:tcW w:w="1258" w:type="dxa"/>
            <w:tcBorders>
              <w:top w:val="single" w:sz="4" w:space="0" w:color="auto"/>
            </w:tcBorders>
            <w:hideMark/>
          </w:tcPr>
          <w:p w14:paraId="1CF243F5" w14:textId="77777777" w:rsidR="000C3E29" w:rsidRPr="00FF2A07" w:rsidRDefault="000C3E29" w:rsidP="009D7FF0">
            <w:pPr>
              <w:pStyle w:val="Tabledata"/>
            </w:pPr>
          </w:p>
        </w:tc>
        <w:tc>
          <w:tcPr>
            <w:tcW w:w="1242" w:type="dxa"/>
            <w:tcBorders>
              <w:top w:val="single" w:sz="4" w:space="0" w:color="auto"/>
            </w:tcBorders>
            <w:hideMark/>
          </w:tcPr>
          <w:p w14:paraId="1525DF74" w14:textId="77777777" w:rsidR="000C3E29" w:rsidRPr="00FF2A07" w:rsidRDefault="000C3E29" w:rsidP="009D7FF0">
            <w:pPr>
              <w:pStyle w:val="Tabledata"/>
            </w:pPr>
          </w:p>
        </w:tc>
        <w:tc>
          <w:tcPr>
            <w:tcW w:w="1339" w:type="dxa"/>
            <w:tcBorders>
              <w:top w:val="single" w:sz="4" w:space="0" w:color="auto"/>
            </w:tcBorders>
            <w:hideMark/>
          </w:tcPr>
          <w:p w14:paraId="68FA299F" w14:textId="77777777" w:rsidR="000C3E29" w:rsidRPr="00FF2A07" w:rsidRDefault="000C3E29" w:rsidP="009D7FF0">
            <w:pPr>
              <w:pStyle w:val="Tabledata"/>
            </w:pPr>
          </w:p>
        </w:tc>
        <w:tc>
          <w:tcPr>
            <w:tcW w:w="923" w:type="dxa"/>
            <w:tcBorders>
              <w:top w:val="single" w:sz="4" w:space="0" w:color="auto"/>
            </w:tcBorders>
            <w:hideMark/>
          </w:tcPr>
          <w:p w14:paraId="601BB9B6" w14:textId="77777777" w:rsidR="000C3E29" w:rsidRPr="00FF2A07" w:rsidRDefault="000C3E29" w:rsidP="009D7FF0">
            <w:pPr>
              <w:pStyle w:val="Tabledata"/>
            </w:pPr>
          </w:p>
        </w:tc>
        <w:tc>
          <w:tcPr>
            <w:tcW w:w="1153" w:type="dxa"/>
            <w:tcBorders>
              <w:top w:val="single" w:sz="4" w:space="0" w:color="auto"/>
            </w:tcBorders>
            <w:hideMark/>
          </w:tcPr>
          <w:p w14:paraId="22B06C1C" w14:textId="77777777" w:rsidR="000C3E29" w:rsidRPr="00FF2A07" w:rsidRDefault="000C3E29" w:rsidP="009D7FF0">
            <w:pPr>
              <w:pStyle w:val="Tabledata"/>
            </w:pPr>
          </w:p>
        </w:tc>
      </w:tr>
      <w:tr w:rsidR="000C3E29" w:rsidRPr="00FF2A07" w14:paraId="126D0D99" w14:textId="77777777" w:rsidTr="00F400A7">
        <w:tc>
          <w:tcPr>
            <w:tcW w:w="1243" w:type="dxa"/>
          </w:tcPr>
          <w:p w14:paraId="07C8F275" w14:textId="77777777" w:rsidR="000C3E29" w:rsidRPr="00986402" w:rsidRDefault="000C3E29" w:rsidP="009D7FF0">
            <w:pPr>
              <w:pStyle w:val="TableHeadingsColumn"/>
            </w:pPr>
            <w:r w:rsidRPr="00986402">
              <w:t>(4)</w:t>
            </w:r>
          </w:p>
        </w:tc>
        <w:tc>
          <w:tcPr>
            <w:tcW w:w="962" w:type="dxa"/>
          </w:tcPr>
          <w:p w14:paraId="430A1B0A" w14:textId="77777777" w:rsidR="000C3E29" w:rsidRPr="00FF2A07" w:rsidRDefault="000C3E29" w:rsidP="009D7FF0">
            <w:pPr>
              <w:pStyle w:val="Tabledata"/>
            </w:pPr>
            <w:r>
              <w:t>1</w:t>
            </w:r>
          </w:p>
        </w:tc>
        <w:tc>
          <w:tcPr>
            <w:tcW w:w="970" w:type="dxa"/>
          </w:tcPr>
          <w:p w14:paraId="75BC32BC" w14:textId="74AF3B53" w:rsidR="000C3E29" w:rsidRPr="00FF2A07" w:rsidRDefault="000C3E29" w:rsidP="009D7FF0">
            <w:pPr>
              <w:pStyle w:val="Tabledata"/>
            </w:pPr>
            <w:r>
              <w:t>1</w:t>
            </w:r>
            <w:r w:rsidR="009618B8">
              <w:t>.001</w:t>
            </w:r>
          </w:p>
        </w:tc>
        <w:tc>
          <w:tcPr>
            <w:tcW w:w="990" w:type="dxa"/>
          </w:tcPr>
          <w:p w14:paraId="4FF349E9" w14:textId="2B108572" w:rsidR="000C3E29" w:rsidRPr="00FF2A07" w:rsidRDefault="000C3E29" w:rsidP="009D7FF0">
            <w:pPr>
              <w:pStyle w:val="Tabledata"/>
            </w:pPr>
            <w:r>
              <w:t>1</w:t>
            </w:r>
            <w:r w:rsidR="009618B8">
              <w:t>.001</w:t>
            </w:r>
          </w:p>
        </w:tc>
        <w:tc>
          <w:tcPr>
            <w:tcW w:w="1258" w:type="dxa"/>
          </w:tcPr>
          <w:p w14:paraId="436753F9" w14:textId="77777777" w:rsidR="000C3E29" w:rsidRPr="00FF2A07" w:rsidRDefault="000C3E29" w:rsidP="009D7FF0">
            <w:pPr>
              <w:pStyle w:val="Tabledata"/>
            </w:pPr>
          </w:p>
        </w:tc>
        <w:tc>
          <w:tcPr>
            <w:tcW w:w="1242" w:type="dxa"/>
          </w:tcPr>
          <w:p w14:paraId="6E0D599C" w14:textId="77777777" w:rsidR="000C3E29" w:rsidRPr="00FF2A07" w:rsidRDefault="000C3E29" w:rsidP="009D7FF0">
            <w:pPr>
              <w:pStyle w:val="Tabledata"/>
            </w:pPr>
          </w:p>
        </w:tc>
        <w:tc>
          <w:tcPr>
            <w:tcW w:w="1339" w:type="dxa"/>
          </w:tcPr>
          <w:p w14:paraId="1133B3EE" w14:textId="77777777" w:rsidR="000C3E29" w:rsidRPr="00FF2A07" w:rsidRDefault="000C3E29" w:rsidP="009D7FF0">
            <w:pPr>
              <w:pStyle w:val="Tabledata"/>
            </w:pPr>
          </w:p>
        </w:tc>
        <w:tc>
          <w:tcPr>
            <w:tcW w:w="923" w:type="dxa"/>
          </w:tcPr>
          <w:p w14:paraId="078A677D" w14:textId="77777777" w:rsidR="000C3E29" w:rsidRPr="00FF2A07" w:rsidRDefault="000C3E29" w:rsidP="009D7FF0">
            <w:pPr>
              <w:pStyle w:val="Tabledata"/>
            </w:pPr>
          </w:p>
        </w:tc>
        <w:tc>
          <w:tcPr>
            <w:tcW w:w="1153" w:type="dxa"/>
          </w:tcPr>
          <w:p w14:paraId="63B0D876" w14:textId="77777777" w:rsidR="000C3E29" w:rsidRPr="00FF2A07" w:rsidRDefault="000C3E29" w:rsidP="009D7FF0">
            <w:pPr>
              <w:pStyle w:val="Tabledata"/>
            </w:pPr>
          </w:p>
        </w:tc>
      </w:tr>
      <w:tr w:rsidR="000C3E29" w:rsidRPr="00FF2A07" w14:paraId="516CEE69" w14:textId="77777777" w:rsidTr="00F400A7">
        <w:tc>
          <w:tcPr>
            <w:tcW w:w="1243" w:type="dxa"/>
          </w:tcPr>
          <w:p w14:paraId="7CAF5B2E" w14:textId="77777777" w:rsidR="000C3E29" w:rsidRPr="00986402" w:rsidRDefault="000C3E29" w:rsidP="009D7FF0">
            <w:pPr>
              <w:pStyle w:val="TableHeadingsColumn"/>
            </w:pPr>
            <w:r w:rsidRPr="00986402">
              <w:t>(5)</w:t>
            </w:r>
          </w:p>
        </w:tc>
        <w:tc>
          <w:tcPr>
            <w:tcW w:w="962" w:type="dxa"/>
          </w:tcPr>
          <w:p w14:paraId="6E49E12E" w14:textId="77777777" w:rsidR="000C3E29" w:rsidRPr="00FF2A07" w:rsidRDefault="000C3E29" w:rsidP="009D7FF0">
            <w:pPr>
              <w:pStyle w:val="Tabledata"/>
            </w:pPr>
            <w:r>
              <w:t>1</w:t>
            </w:r>
          </w:p>
        </w:tc>
        <w:tc>
          <w:tcPr>
            <w:tcW w:w="970" w:type="dxa"/>
          </w:tcPr>
          <w:p w14:paraId="23508A17" w14:textId="0D1B782B" w:rsidR="000C3E29" w:rsidRPr="00FF2A07" w:rsidRDefault="000C3E29" w:rsidP="009D7FF0">
            <w:pPr>
              <w:pStyle w:val="Tabledata"/>
            </w:pPr>
            <w:r>
              <w:t>1.00</w:t>
            </w:r>
            <w:r w:rsidR="0017743B">
              <w:t>2</w:t>
            </w:r>
          </w:p>
        </w:tc>
        <w:tc>
          <w:tcPr>
            <w:tcW w:w="990" w:type="dxa"/>
          </w:tcPr>
          <w:p w14:paraId="63CE48E1" w14:textId="71DDCE7A" w:rsidR="000C3E29" w:rsidRPr="00FF2A07" w:rsidRDefault="47DC2AA5" w:rsidP="009D7FF0">
            <w:pPr>
              <w:pStyle w:val="Tabledata"/>
            </w:pPr>
            <w:r>
              <w:t>1.01</w:t>
            </w:r>
            <w:r w:rsidR="0017743B">
              <w:t>3</w:t>
            </w:r>
          </w:p>
        </w:tc>
        <w:tc>
          <w:tcPr>
            <w:tcW w:w="1258" w:type="dxa"/>
          </w:tcPr>
          <w:p w14:paraId="7BCEC63D" w14:textId="65471BC0" w:rsidR="000C3E29" w:rsidRPr="00FF2A07" w:rsidRDefault="47DC2AA5" w:rsidP="009D7FF0">
            <w:pPr>
              <w:pStyle w:val="Tabledata"/>
            </w:pPr>
            <w:r>
              <w:t>1.01</w:t>
            </w:r>
            <w:r w:rsidR="0017743B">
              <w:t>3</w:t>
            </w:r>
          </w:p>
        </w:tc>
        <w:tc>
          <w:tcPr>
            <w:tcW w:w="1242" w:type="dxa"/>
          </w:tcPr>
          <w:p w14:paraId="4697FE95" w14:textId="77777777" w:rsidR="000C3E29" w:rsidRPr="00FF2A07" w:rsidRDefault="000C3E29" w:rsidP="009D7FF0">
            <w:pPr>
              <w:pStyle w:val="Tabledata"/>
            </w:pPr>
          </w:p>
        </w:tc>
        <w:tc>
          <w:tcPr>
            <w:tcW w:w="1339" w:type="dxa"/>
          </w:tcPr>
          <w:p w14:paraId="500E6DAC" w14:textId="77777777" w:rsidR="000C3E29" w:rsidRPr="00FF2A07" w:rsidRDefault="000C3E29" w:rsidP="009D7FF0">
            <w:pPr>
              <w:pStyle w:val="Tabledata"/>
            </w:pPr>
          </w:p>
        </w:tc>
        <w:tc>
          <w:tcPr>
            <w:tcW w:w="923" w:type="dxa"/>
          </w:tcPr>
          <w:p w14:paraId="54924DA1" w14:textId="77777777" w:rsidR="000C3E29" w:rsidRPr="00FF2A07" w:rsidRDefault="000C3E29" w:rsidP="009D7FF0">
            <w:pPr>
              <w:pStyle w:val="Tabledata"/>
            </w:pPr>
          </w:p>
        </w:tc>
        <w:tc>
          <w:tcPr>
            <w:tcW w:w="1153" w:type="dxa"/>
          </w:tcPr>
          <w:p w14:paraId="0BB8F3C8" w14:textId="77777777" w:rsidR="000C3E29" w:rsidRPr="00FF2A07" w:rsidRDefault="000C3E29" w:rsidP="009D7FF0">
            <w:pPr>
              <w:pStyle w:val="Tabledata"/>
            </w:pPr>
          </w:p>
        </w:tc>
      </w:tr>
      <w:tr w:rsidR="000C3E29" w:rsidRPr="00FF2A07" w14:paraId="384A39C4" w14:textId="77777777" w:rsidTr="00F400A7">
        <w:tc>
          <w:tcPr>
            <w:tcW w:w="1243" w:type="dxa"/>
          </w:tcPr>
          <w:p w14:paraId="5B03192B" w14:textId="77777777" w:rsidR="000C3E29" w:rsidRPr="00986402" w:rsidRDefault="000C3E29" w:rsidP="009D7FF0">
            <w:pPr>
              <w:pStyle w:val="TableHeadingsColumn"/>
            </w:pPr>
            <w:r w:rsidRPr="00986402">
              <w:t>(6)</w:t>
            </w:r>
          </w:p>
        </w:tc>
        <w:tc>
          <w:tcPr>
            <w:tcW w:w="962" w:type="dxa"/>
          </w:tcPr>
          <w:p w14:paraId="20E97D76" w14:textId="77777777" w:rsidR="000C3E29" w:rsidRPr="00FF2A07" w:rsidRDefault="000C3E29" w:rsidP="009D7FF0">
            <w:pPr>
              <w:pStyle w:val="Tabledata"/>
            </w:pPr>
            <w:r>
              <w:t>1</w:t>
            </w:r>
          </w:p>
        </w:tc>
        <w:tc>
          <w:tcPr>
            <w:tcW w:w="970" w:type="dxa"/>
          </w:tcPr>
          <w:p w14:paraId="387ECE7E" w14:textId="74007149" w:rsidR="000C3E29" w:rsidRPr="00FF2A07" w:rsidRDefault="000C3E29" w:rsidP="009D7FF0">
            <w:pPr>
              <w:pStyle w:val="Tabledata"/>
            </w:pPr>
            <w:r>
              <w:t>1.00</w:t>
            </w:r>
            <w:r w:rsidR="0017743B">
              <w:t>2</w:t>
            </w:r>
          </w:p>
        </w:tc>
        <w:tc>
          <w:tcPr>
            <w:tcW w:w="990" w:type="dxa"/>
          </w:tcPr>
          <w:p w14:paraId="73C47B35" w14:textId="5006E3DF" w:rsidR="000C3E29" w:rsidRPr="00FF2A07" w:rsidRDefault="47DC2AA5" w:rsidP="009D7FF0">
            <w:pPr>
              <w:pStyle w:val="Tabledata"/>
            </w:pPr>
            <w:r>
              <w:t>1.01</w:t>
            </w:r>
            <w:r w:rsidR="0017743B">
              <w:t>2</w:t>
            </w:r>
          </w:p>
        </w:tc>
        <w:tc>
          <w:tcPr>
            <w:tcW w:w="1258" w:type="dxa"/>
          </w:tcPr>
          <w:p w14:paraId="53B78C60" w14:textId="3360C0A6" w:rsidR="000C3E29" w:rsidRPr="00FF2A07" w:rsidRDefault="47DC2AA5" w:rsidP="009D7FF0">
            <w:pPr>
              <w:pStyle w:val="Tabledata"/>
            </w:pPr>
            <w:r>
              <w:t>1.01</w:t>
            </w:r>
            <w:r w:rsidR="0017743B">
              <w:t>3</w:t>
            </w:r>
          </w:p>
        </w:tc>
        <w:tc>
          <w:tcPr>
            <w:tcW w:w="1242" w:type="dxa"/>
          </w:tcPr>
          <w:p w14:paraId="43911CE9" w14:textId="095F3B1E" w:rsidR="000C3E29" w:rsidRPr="00FF2A07" w:rsidRDefault="47DC2AA5" w:rsidP="009D7FF0">
            <w:pPr>
              <w:pStyle w:val="Tabledata"/>
            </w:pPr>
            <w:r>
              <w:t>1</w:t>
            </w:r>
          </w:p>
        </w:tc>
        <w:tc>
          <w:tcPr>
            <w:tcW w:w="1339" w:type="dxa"/>
          </w:tcPr>
          <w:p w14:paraId="310EEEE9" w14:textId="77777777" w:rsidR="000C3E29" w:rsidRPr="00FF2A07" w:rsidRDefault="000C3E29" w:rsidP="009D7FF0">
            <w:pPr>
              <w:pStyle w:val="Tabledata"/>
            </w:pPr>
          </w:p>
        </w:tc>
        <w:tc>
          <w:tcPr>
            <w:tcW w:w="923" w:type="dxa"/>
          </w:tcPr>
          <w:p w14:paraId="24F03970" w14:textId="77777777" w:rsidR="000C3E29" w:rsidRPr="00FF2A07" w:rsidRDefault="000C3E29" w:rsidP="009D7FF0">
            <w:pPr>
              <w:pStyle w:val="Tabledata"/>
            </w:pPr>
          </w:p>
        </w:tc>
        <w:tc>
          <w:tcPr>
            <w:tcW w:w="1153" w:type="dxa"/>
          </w:tcPr>
          <w:p w14:paraId="2ED83A88" w14:textId="77777777" w:rsidR="000C3E29" w:rsidRPr="00FF2A07" w:rsidRDefault="000C3E29" w:rsidP="009D7FF0">
            <w:pPr>
              <w:pStyle w:val="Tabledata"/>
            </w:pPr>
          </w:p>
        </w:tc>
      </w:tr>
      <w:tr w:rsidR="000C3E29" w:rsidRPr="00FF2A07" w14:paraId="5C640C40" w14:textId="77777777" w:rsidTr="00F400A7">
        <w:tc>
          <w:tcPr>
            <w:tcW w:w="1243" w:type="dxa"/>
          </w:tcPr>
          <w:p w14:paraId="1296DD30" w14:textId="77777777" w:rsidR="000C3E29" w:rsidRPr="00986402" w:rsidRDefault="000C3E29" w:rsidP="009D7FF0">
            <w:pPr>
              <w:pStyle w:val="TableHeadingsColumn"/>
            </w:pPr>
            <w:r w:rsidRPr="00986402">
              <w:t>(7)</w:t>
            </w:r>
          </w:p>
        </w:tc>
        <w:tc>
          <w:tcPr>
            <w:tcW w:w="962" w:type="dxa"/>
          </w:tcPr>
          <w:p w14:paraId="40B02AC4" w14:textId="77777777" w:rsidR="000C3E29" w:rsidRPr="00FF2A07" w:rsidRDefault="000C3E29" w:rsidP="009D7FF0">
            <w:pPr>
              <w:pStyle w:val="Tabledata"/>
            </w:pPr>
            <w:r>
              <w:t>1</w:t>
            </w:r>
          </w:p>
        </w:tc>
        <w:tc>
          <w:tcPr>
            <w:tcW w:w="970" w:type="dxa"/>
          </w:tcPr>
          <w:p w14:paraId="4165811D" w14:textId="256BAB31" w:rsidR="000C3E29" w:rsidRPr="00FF2A07" w:rsidRDefault="47DC2AA5" w:rsidP="009D7FF0">
            <w:pPr>
              <w:pStyle w:val="Tabledata"/>
            </w:pPr>
            <w:r>
              <w:t>1.003</w:t>
            </w:r>
          </w:p>
        </w:tc>
        <w:tc>
          <w:tcPr>
            <w:tcW w:w="990" w:type="dxa"/>
          </w:tcPr>
          <w:p w14:paraId="6E16FC31" w14:textId="21CB6398" w:rsidR="000C3E29" w:rsidRPr="00FF2A07" w:rsidRDefault="47DC2AA5" w:rsidP="009D7FF0">
            <w:pPr>
              <w:pStyle w:val="Tabledata"/>
            </w:pPr>
            <w:r>
              <w:t>1.01</w:t>
            </w:r>
            <w:r w:rsidR="0017743B">
              <w:t>2</w:t>
            </w:r>
          </w:p>
        </w:tc>
        <w:tc>
          <w:tcPr>
            <w:tcW w:w="1258" w:type="dxa"/>
          </w:tcPr>
          <w:p w14:paraId="02D5C8A9" w14:textId="31ED346E" w:rsidR="000C3E29" w:rsidRPr="00FF2A07" w:rsidRDefault="47DC2AA5" w:rsidP="009D7FF0">
            <w:pPr>
              <w:pStyle w:val="Tabledata"/>
            </w:pPr>
            <w:r>
              <w:t>1.01</w:t>
            </w:r>
            <w:r w:rsidR="0017743B">
              <w:t>3</w:t>
            </w:r>
          </w:p>
        </w:tc>
        <w:tc>
          <w:tcPr>
            <w:tcW w:w="1242" w:type="dxa"/>
          </w:tcPr>
          <w:p w14:paraId="5E7F9B63" w14:textId="0AAC38D8" w:rsidR="000C3E29" w:rsidRPr="00FF2A07" w:rsidRDefault="47DC2AA5" w:rsidP="009D7FF0">
            <w:pPr>
              <w:pStyle w:val="Tabledata"/>
            </w:pPr>
            <w:r>
              <w:t>1</w:t>
            </w:r>
            <w:r w:rsidR="000C3E29" w:rsidDel="47DC2AA5">
              <w:t>.</w:t>
            </w:r>
            <w:r w:rsidR="00007988">
              <w:t>028</w:t>
            </w:r>
          </w:p>
        </w:tc>
        <w:tc>
          <w:tcPr>
            <w:tcW w:w="1339" w:type="dxa"/>
          </w:tcPr>
          <w:p w14:paraId="6079144F" w14:textId="16DB740A" w:rsidR="000C3E29" w:rsidRPr="00FF2A07" w:rsidRDefault="47DC2AA5" w:rsidP="009D7FF0">
            <w:pPr>
              <w:pStyle w:val="Tabledata"/>
            </w:pPr>
            <w:r>
              <w:t>1</w:t>
            </w:r>
            <w:r w:rsidR="000C3E29" w:rsidDel="47DC2AA5">
              <w:t>.</w:t>
            </w:r>
            <w:r w:rsidR="00007988">
              <w:t>028</w:t>
            </w:r>
          </w:p>
        </w:tc>
        <w:tc>
          <w:tcPr>
            <w:tcW w:w="923" w:type="dxa"/>
          </w:tcPr>
          <w:p w14:paraId="200D0866" w14:textId="77777777" w:rsidR="000C3E29" w:rsidRPr="00FF2A07" w:rsidRDefault="000C3E29" w:rsidP="009D7FF0">
            <w:pPr>
              <w:pStyle w:val="Tabledata"/>
            </w:pPr>
          </w:p>
        </w:tc>
        <w:tc>
          <w:tcPr>
            <w:tcW w:w="1153" w:type="dxa"/>
          </w:tcPr>
          <w:p w14:paraId="2F07E189" w14:textId="77777777" w:rsidR="000C3E29" w:rsidRPr="00FF2A07" w:rsidRDefault="000C3E29" w:rsidP="009D7FF0">
            <w:pPr>
              <w:pStyle w:val="Tabledata"/>
            </w:pPr>
          </w:p>
        </w:tc>
      </w:tr>
      <w:tr w:rsidR="000C3E29" w:rsidRPr="00FF2A07" w14:paraId="65842834" w14:textId="77777777" w:rsidTr="00F400A7">
        <w:tc>
          <w:tcPr>
            <w:tcW w:w="1243" w:type="dxa"/>
          </w:tcPr>
          <w:p w14:paraId="0536D808" w14:textId="77777777" w:rsidR="000C3E29" w:rsidRPr="00986402" w:rsidRDefault="000C3E29" w:rsidP="009D7FF0">
            <w:pPr>
              <w:pStyle w:val="TableHeadingsColumn"/>
            </w:pPr>
            <w:r w:rsidRPr="00986402">
              <w:t>(8)</w:t>
            </w:r>
          </w:p>
        </w:tc>
        <w:tc>
          <w:tcPr>
            <w:tcW w:w="962" w:type="dxa"/>
          </w:tcPr>
          <w:p w14:paraId="240A6A26" w14:textId="281717A0" w:rsidR="000C3E29" w:rsidRPr="00FF2A07" w:rsidRDefault="47DC2AA5" w:rsidP="009D7FF0">
            <w:pPr>
              <w:pStyle w:val="Tabledata"/>
            </w:pPr>
            <w:r>
              <w:t>1</w:t>
            </w:r>
          </w:p>
        </w:tc>
        <w:tc>
          <w:tcPr>
            <w:tcW w:w="970" w:type="dxa"/>
          </w:tcPr>
          <w:p w14:paraId="3E96F2F8" w14:textId="18F21EDB" w:rsidR="000C3E29" w:rsidRPr="00FF2A07" w:rsidRDefault="47DC2AA5" w:rsidP="009D7FF0">
            <w:pPr>
              <w:pStyle w:val="Tabledata"/>
            </w:pPr>
            <w:r>
              <w:t>1.003</w:t>
            </w:r>
          </w:p>
        </w:tc>
        <w:tc>
          <w:tcPr>
            <w:tcW w:w="990" w:type="dxa"/>
          </w:tcPr>
          <w:p w14:paraId="3FF3F2A7" w14:textId="7401391F" w:rsidR="000C3E29" w:rsidRPr="00FF2A07" w:rsidRDefault="47DC2AA5" w:rsidP="009D7FF0">
            <w:pPr>
              <w:pStyle w:val="Tabledata"/>
            </w:pPr>
            <w:r>
              <w:t>1.01</w:t>
            </w:r>
            <w:r w:rsidR="006E486F">
              <w:t>2</w:t>
            </w:r>
          </w:p>
        </w:tc>
        <w:tc>
          <w:tcPr>
            <w:tcW w:w="1258" w:type="dxa"/>
          </w:tcPr>
          <w:p w14:paraId="0CB0D35A" w14:textId="6DF9604E" w:rsidR="000C3E29" w:rsidRPr="00FF2A07" w:rsidRDefault="47DC2AA5" w:rsidP="009D7FF0">
            <w:pPr>
              <w:pStyle w:val="Tabledata"/>
            </w:pPr>
            <w:r>
              <w:t>1.01</w:t>
            </w:r>
            <w:r w:rsidR="006E486F">
              <w:t>3</w:t>
            </w:r>
          </w:p>
        </w:tc>
        <w:tc>
          <w:tcPr>
            <w:tcW w:w="1242" w:type="dxa"/>
          </w:tcPr>
          <w:p w14:paraId="76A8DFA3" w14:textId="2AA94E02" w:rsidR="000C3E29" w:rsidRPr="00FF2A07" w:rsidRDefault="47DC2AA5" w:rsidP="009D7FF0">
            <w:pPr>
              <w:pStyle w:val="Tabledata"/>
            </w:pPr>
            <w:r>
              <w:t>1</w:t>
            </w:r>
            <w:r w:rsidR="000C3E29" w:rsidDel="47DC2AA5">
              <w:t>.</w:t>
            </w:r>
            <w:r w:rsidR="00007988">
              <w:t>0</w:t>
            </w:r>
            <w:r w:rsidR="00B04B1C">
              <w:t>31</w:t>
            </w:r>
          </w:p>
        </w:tc>
        <w:tc>
          <w:tcPr>
            <w:tcW w:w="1339" w:type="dxa"/>
          </w:tcPr>
          <w:p w14:paraId="4798560B" w14:textId="3C6C5871" w:rsidR="000C3E29" w:rsidRPr="00FF2A07" w:rsidRDefault="47DC2AA5" w:rsidP="009D7FF0">
            <w:pPr>
              <w:pStyle w:val="Tabledata"/>
            </w:pPr>
            <w:r>
              <w:t>1.0</w:t>
            </w:r>
            <w:r w:rsidR="00B04B1C">
              <w:t>31</w:t>
            </w:r>
          </w:p>
        </w:tc>
        <w:tc>
          <w:tcPr>
            <w:tcW w:w="923" w:type="dxa"/>
          </w:tcPr>
          <w:p w14:paraId="3A29B824" w14:textId="7E78994E" w:rsidR="000C3E29" w:rsidRPr="00FF2A07" w:rsidRDefault="47DC2AA5" w:rsidP="009D7FF0">
            <w:pPr>
              <w:pStyle w:val="Tabledata"/>
            </w:pPr>
            <w:r>
              <w:t>1.</w:t>
            </w:r>
            <w:r w:rsidR="00B04B1C">
              <w:t>30</w:t>
            </w:r>
          </w:p>
        </w:tc>
        <w:tc>
          <w:tcPr>
            <w:tcW w:w="1153" w:type="dxa"/>
          </w:tcPr>
          <w:p w14:paraId="6D8A163E" w14:textId="77777777" w:rsidR="000C3E29" w:rsidRPr="00FF2A07" w:rsidRDefault="000C3E29" w:rsidP="009D7FF0">
            <w:pPr>
              <w:pStyle w:val="Tabledata"/>
            </w:pPr>
          </w:p>
        </w:tc>
      </w:tr>
      <w:tr w:rsidR="000C3E29" w:rsidRPr="00FF2A07" w14:paraId="642C94EF" w14:textId="77777777" w:rsidTr="00F400A7">
        <w:tc>
          <w:tcPr>
            <w:tcW w:w="1243" w:type="dxa"/>
          </w:tcPr>
          <w:p w14:paraId="1A075172" w14:textId="77777777" w:rsidR="000C3E29" w:rsidRPr="00986402" w:rsidRDefault="000C3E29" w:rsidP="009D7FF0">
            <w:pPr>
              <w:pStyle w:val="TableHeadingsColumn"/>
            </w:pPr>
            <w:r w:rsidRPr="00986402">
              <w:t>(9)</w:t>
            </w:r>
          </w:p>
        </w:tc>
        <w:tc>
          <w:tcPr>
            <w:tcW w:w="962" w:type="dxa"/>
          </w:tcPr>
          <w:p w14:paraId="25CC543D" w14:textId="2BCE570D" w:rsidR="000C3E29" w:rsidRPr="00FF2A07" w:rsidRDefault="47DC2AA5" w:rsidP="009D7FF0">
            <w:pPr>
              <w:pStyle w:val="Tabledata"/>
            </w:pPr>
            <w:r>
              <w:t>1</w:t>
            </w:r>
          </w:p>
        </w:tc>
        <w:tc>
          <w:tcPr>
            <w:tcW w:w="970" w:type="dxa"/>
          </w:tcPr>
          <w:p w14:paraId="2AC86920" w14:textId="651D407E" w:rsidR="000C3E29" w:rsidRPr="00FF2A07" w:rsidRDefault="47DC2AA5" w:rsidP="009D7FF0">
            <w:pPr>
              <w:pStyle w:val="Tabledata"/>
            </w:pPr>
            <w:r>
              <w:t>1.00</w:t>
            </w:r>
            <w:r w:rsidR="00C50F36">
              <w:t>3</w:t>
            </w:r>
          </w:p>
        </w:tc>
        <w:tc>
          <w:tcPr>
            <w:tcW w:w="990" w:type="dxa"/>
          </w:tcPr>
          <w:p w14:paraId="6575B69B" w14:textId="12F08EE5" w:rsidR="000C3E29" w:rsidRPr="00FF2A07" w:rsidRDefault="47DC2AA5" w:rsidP="009D7FF0">
            <w:pPr>
              <w:pStyle w:val="Tabledata"/>
            </w:pPr>
            <w:r>
              <w:t>1.01</w:t>
            </w:r>
            <w:r w:rsidR="006E486F">
              <w:t>3</w:t>
            </w:r>
          </w:p>
        </w:tc>
        <w:tc>
          <w:tcPr>
            <w:tcW w:w="1258" w:type="dxa"/>
          </w:tcPr>
          <w:p w14:paraId="6FEB4B2C" w14:textId="31A692BA" w:rsidR="000C3E29" w:rsidRPr="00FF2A07" w:rsidRDefault="47DC2AA5" w:rsidP="009D7FF0">
            <w:pPr>
              <w:pStyle w:val="Tabledata"/>
            </w:pPr>
            <w:r>
              <w:t>1.0</w:t>
            </w:r>
            <w:r w:rsidR="00C50F36">
              <w:t>1</w:t>
            </w:r>
            <w:r w:rsidR="006E486F">
              <w:t>5</w:t>
            </w:r>
          </w:p>
        </w:tc>
        <w:tc>
          <w:tcPr>
            <w:tcW w:w="1242" w:type="dxa"/>
          </w:tcPr>
          <w:p w14:paraId="30AFC248" w14:textId="504B1A3F" w:rsidR="000C3E29" w:rsidRPr="00FF2A07" w:rsidRDefault="47DC2AA5" w:rsidP="009D7FF0">
            <w:pPr>
              <w:pStyle w:val="Tabledata"/>
            </w:pPr>
            <w:r>
              <w:t>1.</w:t>
            </w:r>
            <w:r w:rsidR="00C50F36">
              <w:t>2</w:t>
            </w:r>
            <w:r w:rsidR="00006690">
              <w:t>6</w:t>
            </w:r>
            <w:r w:rsidR="006E486F">
              <w:t>2</w:t>
            </w:r>
          </w:p>
        </w:tc>
        <w:tc>
          <w:tcPr>
            <w:tcW w:w="1339" w:type="dxa"/>
          </w:tcPr>
          <w:p w14:paraId="61BD2231" w14:textId="3C164429" w:rsidR="000C3E29" w:rsidRPr="00FF2A07" w:rsidRDefault="47DC2AA5" w:rsidP="009D7FF0">
            <w:pPr>
              <w:pStyle w:val="Tabledata"/>
            </w:pPr>
            <w:r>
              <w:t>1.</w:t>
            </w:r>
            <w:r w:rsidR="0014199A">
              <w:t>4</w:t>
            </w:r>
            <w:r w:rsidR="00006690">
              <w:t>8</w:t>
            </w:r>
            <w:r w:rsidR="006E486F">
              <w:t>6</w:t>
            </w:r>
          </w:p>
        </w:tc>
        <w:tc>
          <w:tcPr>
            <w:tcW w:w="923" w:type="dxa"/>
          </w:tcPr>
          <w:p w14:paraId="2FD58A11" w14:textId="3A9389A5" w:rsidR="000C3E29" w:rsidRPr="00FF2A07" w:rsidRDefault="47DC2AA5" w:rsidP="009D7FF0">
            <w:pPr>
              <w:pStyle w:val="Tabledata"/>
            </w:pPr>
            <w:r>
              <w:t>1.</w:t>
            </w:r>
            <w:r w:rsidR="00C50F36">
              <w:t>3</w:t>
            </w:r>
            <w:r w:rsidR="00006690">
              <w:t>8</w:t>
            </w:r>
            <w:r w:rsidR="006E486F">
              <w:t>7</w:t>
            </w:r>
          </w:p>
        </w:tc>
        <w:tc>
          <w:tcPr>
            <w:tcW w:w="1153" w:type="dxa"/>
          </w:tcPr>
          <w:p w14:paraId="2E1E86F8" w14:textId="26E98FF3" w:rsidR="000C3E29" w:rsidRPr="00FF2A07" w:rsidRDefault="47DC2AA5" w:rsidP="009D7FF0">
            <w:pPr>
              <w:pStyle w:val="Tabledata"/>
            </w:pPr>
            <w:r>
              <w:t>1.</w:t>
            </w:r>
            <w:r w:rsidR="00006690">
              <w:t>40</w:t>
            </w:r>
            <w:r w:rsidR="006E486F">
              <w:t>2</w:t>
            </w:r>
          </w:p>
        </w:tc>
      </w:tr>
    </w:tbl>
    <w:p w14:paraId="098066A4" w14:textId="77777777" w:rsidR="005154F1" w:rsidRPr="005154F1" w:rsidRDefault="005154F1" w:rsidP="005154F1">
      <w:pPr>
        <w:pStyle w:val="TableFooternoborder"/>
      </w:pPr>
    </w:p>
    <w:p w14:paraId="73B995D6" w14:textId="70626317" w:rsidR="00EE3CE1" w:rsidRPr="009C0B42" w:rsidRDefault="00FC7106" w:rsidP="00D60EBC">
      <w:pPr>
        <w:pStyle w:val="Paragraphfirst"/>
      </w:pPr>
      <w:r w:rsidRPr="009C0B42">
        <w:t>In all cases the VIF is less than 2.5</w:t>
      </w:r>
      <w:r w:rsidR="00A24281" w:rsidRPr="009C0B42">
        <w:t xml:space="preserve">, which </w:t>
      </w:r>
      <w:r w:rsidR="00C96429" w:rsidRPr="009C0B42">
        <w:t>means</w:t>
      </w:r>
      <w:r w:rsidR="00320B12" w:rsidRPr="009C0B42">
        <w:t xml:space="preserve"> </w:t>
      </w:r>
      <w:r w:rsidR="00460A50" w:rsidRPr="009C0B42">
        <w:t xml:space="preserve">the standard error for </w:t>
      </w:r>
      <w:r w:rsidR="007127CA" w:rsidRPr="009C0B42">
        <w:t xml:space="preserve">the coefficient of </w:t>
      </w:r>
      <w:r w:rsidR="00E30DF2" w:rsidRPr="009C0B42">
        <w:t>each variable</w:t>
      </w:r>
      <w:r w:rsidR="003B07E1" w:rsidRPr="009C0B42">
        <w:t xml:space="preserve"> is less than</w:t>
      </w:r>
      <w:r w:rsidR="00B9287E" w:rsidRPr="009C0B42">
        <w:t xml:space="preserve"> </w:t>
      </w:r>
      <w:r w:rsidR="0062426B" w:rsidRPr="009C0B42">
        <w:t>1.6 (</w:t>
      </w:r>
      <w:r w:rsidR="00B9287E" w:rsidRPr="009C0B42">
        <w:t>√2.</w:t>
      </w:r>
      <w:r w:rsidR="00BD53E1" w:rsidRPr="009C0B42">
        <w:t>5</w:t>
      </w:r>
      <w:r w:rsidR="0062426B" w:rsidRPr="009C0B42">
        <w:t xml:space="preserve">) </w:t>
      </w:r>
      <w:r w:rsidR="003B07E1" w:rsidRPr="009C0B42">
        <w:t xml:space="preserve">times </w:t>
      </w:r>
      <w:r w:rsidR="00B93573" w:rsidRPr="009C0B42">
        <w:t xml:space="preserve">what its value would be if </w:t>
      </w:r>
      <w:r w:rsidR="002449FD" w:rsidRPr="009C0B42">
        <w:t xml:space="preserve">it had a correlation of 0 </w:t>
      </w:r>
      <w:r w:rsidR="00E131B5" w:rsidRPr="009C0B42">
        <w:t>with the</w:t>
      </w:r>
      <w:r w:rsidR="005F7A05" w:rsidRPr="009C0B42">
        <w:t xml:space="preserve"> other variable.</w:t>
      </w:r>
    </w:p>
    <w:p w14:paraId="1348B479" w14:textId="726E5417" w:rsidR="00CA2EFA" w:rsidRDefault="002F2C77" w:rsidP="00EE709F">
      <w:pPr>
        <w:pStyle w:val="Heading2"/>
      </w:pPr>
      <w:bookmarkStart w:id="202" w:name="_Toc97622124"/>
      <w:r>
        <w:t>S</w:t>
      </w:r>
      <w:r w:rsidR="00CA2EFA">
        <w:t>ampl</w:t>
      </w:r>
      <w:r w:rsidR="00213869">
        <w:t>ing Bias Test</w:t>
      </w:r>
      <w:bookmarkEnd w:id="202"/>
    </w:p>
    <w:p w14:paraId="6740456B" w14:textId="22253BA8" w:rsidR="00CA2EFA" w:rsidRPr="009C0B42" w:rsidRDefault="002F2C77" w:rsidP="00861D12">
      <w:pPr>
        <w:pStyle w:val="Paragraphfirst"/>
        <w:rPr>
          <w:noProof/>
        </w:rPr>
      </w:pPr>
      <w:r w:rsidRPr="009C0B42">
        <w:t xml:space="preserve">We tested </w:t>
      </w:r>
      <w:r w:rsidR="00D005A4" w:rsidRPr="009C0B42">
        <w:t>for implications of our relatively small sample size using both the</w:t>
      </w:r>
      <w:r w:rsidR="00CA2EFA" w:rsidRPr="009C0B42">
        <w:t xml:space="preserve"> Begg Rank Test, and the Egger Regression Test</w:t>
      </w:r>
      <w:r w:rsidR="007E0B1B" w:rsidRPr="009C0B42">
        <w:t xml:space="preserve">, which are drawn from meta-analytical techniques to check for publication bias. </w:t>
      </w:r>
      <w:r w:rsidR="007E04D9" w:rsidRPr="009C0B42">
        <w:t xml:space="preserve">There is some debate in the literature </w:t>
      </w:r>
      <w:r w:rsidR="00FA2D6C" w:rsidRPr="009C0B42">
        <w:t>regarding which is the correct test, so</w:t>
      </w:r>
      <w:r w:rsidR="007E04D9" w:rsidRPr="009C0B42">
        <w:t xml:space="preserve"> </w:t>
      </w:r>
      <w:r w:rsidR="007E0B1B" w:rsidRPr="009C0B42">
        <w:t xml:space="preserve">we applied </w:t>
      </w:r>
      <w:r w:rsidR="00480F26" w:rsidRPr="009C0B42">
        <w:t xml:space="preserve">both </w:t>
      </w:r>
      <w:r w:rsidR="007E0B1B" w:rsidRPr="009C0B42">
        <w:t xml:space="preserve">to check </w:t>
      </w:r>
      <w:r w:rsidR="00480F26" w:rsidRPr="009C0B42">
        <w:t>whether</w:t>
      </w:r>
      <w:r w:rsidR="009D5021" w:rsidRPr="009C0B42">
        <w:t xml:space="preserve"> our observations of DRI </w:t>
      </w:r>
      <w:r w:rsidR="00AE21BB" w:rsidRPr="009C0B42">
        <w:t>are biased</w:t>
      </w:r>
      <w:r w:rsidR="002E1A6B">
        <w:t>—</w:t>
      </w:r>
      <w:r w:rsidR="00F4390F" w:rsidRPr="009C0B42">
        <w:t>under</w:t>
      </w:r>
      <w:r w:rsidR="00FA2D6C" w:rsidRPr="009C0B42">
        <w:t>estimate</w:t>
      </w:r>
      <w:r w:rsidR="00F4390F" w:rsidRPr="009C0B42">
        <w:t xml:space="preserve"> or</w:t>
      </w:r>
      <w:r w:rsidR="00E3228D" w:rsidRPr="009C0B42">
        <w:t xml:space="preserve"> overestimate </w:t>
      </w:r>
      <w:r w:rsidR="00AE21BB" w:rsidRPr="009C0B42">
        <w:t>because of sample size</w:t>
      </w:r>
      <w:r w:rsidR="002E1A6B">
        <w:t>—</w:t>
      </w:r>
      <w:r w:rsidR="00AE21BB" w:rsidRPr="009C0B42">
        <w:t xml:space="preserve">either in terms of number of cases, or </w:t>
      </w:r>
      <w:r w:rsidR="00CE2494" w:rsidRPr="009C0B42">
        <w:t>number of participants</w:t>
      </w:r>
      <w:r w:rsidR="00E3228D" w:rsidRPr="009C0B42">
        <w:t xml:space="preserve">. </w:t>
      </w:r>
      <w:r w:rsidR="007E0B1B" w:rsidRPr="009C0B42">
        <w:t>The Begg ranked test</w:t>
      </w:r>
      <w:r w:rsidR="004F56C3" w:rsidRPr="009C0B42">
        <w:t xml:space="preserve"> specifically tests for</w:t>
      </w:r>
      <w:r w:rsidR="007E0B1B" w:rsidRPr="009C0B42">
        <w:t xml:space="preserve"> independence of variance and the effect size within our sample </w:t>
      </w:r>
      <w:r w:rsidR="00631159" w:rsidRPr="009C0B42">
        <w:t>to determine whether</w:t>
      </w:r>
      <w:r w:rsidR="007E0B1B" w:rsidRPr="009C0B42">
        <w:t xml:space="preserve"> there is effect size bias considering the number of observations within each case. </w:t>
      </w:r>
      <w:r w:rsidR="00631159" w:rsidRPr="009C0B42">
        <w:t>Similarly, the</w:t>
      </w:r>
      <w:r w:rsidR="007E0B1B" w:rsidRPr="009C0B42">
        <w:t xml:space="preserve"> Egger test</w:t>
      </w:r>
      <w:r w:rsidR="00451D0F" w:rsidRPr="009C0B42">
        <w:t xml:space="preserve">s </w:t>
      </w:r>
      <w:r w:rsidR="00C46F70">
        <w:t xml:space="preserve">for inverse sample size </w:t>
      </w:r>
      <w:r w:rsidR="00451D0F" w:rsidRPr="009C0B42">
        <w:t xml:space="preserve">the </w:t>
      </w:r>
      <w:r w:rsidR="00142668" w:rsidRPr="009C0B42">
        <w:t xml:space="preserve">strength of our </w:t>
      </w:r>
      <w:r w:rsidR="007E0B1B" w:rsidRPr="009C0B42">
        <w:t>sample to test the relationship between DRI effect size</w:t>
      </w:r>
      <w:r w:rsidR="0000709D" w:rsidRPr="009C0B42">
        <w:t xml:space="preserve">, given the </w:t>
      </w:r>
      <w:r w:rsidR="003714DD" w:rsidRPr="009C0B42">
        <w:t xml:space="preserve">sample size of our </w:t>
      </w:r>
      <w:r w:rsidR="007E0B1B" w:rsidRPr="009C0B42">
        <w:t>cases</w:t>
      </w:r>
      <w:r w:rsidR="003714DD" w:rsidRPr="009C0B42">
        <w:t xml:space="preserve">. The </w:t>
      </w:r>
      <w:r w:rsidR="00D005A4" w:rsidRPr="009C0B42">
        <w:t>results</w:t>
      </w:r>
      <w:r w:rsidR="003714DD" w:rsidRPr="009C0B42">
        <w:t xml:space="preserve"> for both tests</w:t>
      </w:r>
      <w:r w:rsidR="00D005A4" w:rsidRPr="009C0B42">
        <w:t xml:space="preserve"> reported below in</w:t>
      </w:r>
      <w:r w:rsidR="00A43274">
        <w:t xml:space="preserve"> </w:t>
      </w:r>
      <w:r>
        <w:fldChar w:fldCharType="begin"/>
      </w:r>
      <w:r>
        <w:instrText>REF _Ref97544963</w:instrText>
      </w:r>
      <w:r>
        <w:fldChar w:fldCharType="separate"/>
      </w:r>
      <w:r w:rsidR="00A43274">
        <w:t xml:space="preserve">Table </w:t>
      </w:r>
      <w:r w:rsidR="00A43274">
        <w:rPr>
          <w:noProof/>
        </w:rPr>
        <w:t>F.6</w:t>
      </w:r>
      <w:r w:rsidR="00A43274">
        <w:t>.</w:t>
      </w:r>
      <w:r w:rsidR="00A43274">
        <w:rPr>
          <w:noProof/>
        </w:rPr>
        <w:t>1</w:t>
      </w:r>
      <w:r>
        <w:fldChar w:fldCharType="end"/>
      </w:r>
      <w:r w:rsidR="00D005A4" w:rsidRPr="009C0B42">
        <w:rPr>
          <w:noProof/>
        </w:rPr>
        <w:t>.</w:t>
      </w:r>
    </w:p>
    <w:p w14:paraId="27B4144E" w14:textId="606EB4B8" w:rsidR="00CA2EFA" w:rsidRPr="009C0B42" w:rsidRDefault="005F623F" w:rsidP="008B3F05">
      <w:pPr>
        <w:pStyle w:val="Caption"/>
      </w:pPr>
      <w:bookmarkStart w:id="203" w:name="_Ref97544963"/>
      <w:r>
        <w:t xml:space="preserve">Table </w:t>
      </w:r>
      <w:r>
        <w:fldChar w:fldCharType="begin"/>
      </w:r>
      <w:r>
        <w:instrText>STYLEREF 2 \s</w:instrText>
      </w:r>
      <w:r>
        <w:fldChar w:fldCharType="separate"/>
      </w:r>
      <w:r>
        <w:rPr>
          <w:noProof/>
        </w:rPr>
        <w:t>F.6</w:t>
      </w:r>
      <w:r>
        <w:fldChar w:fldCharType="end"/>
      </w:r>
      <w:r>
        <w:t>.</w:t>
      </w:r>
      <w:r>
        <w:fldChar w:fldCharType="begin"/>
      </w:r>
      <w:r>
        <w:instrText>SEQ Table \* ARABIC \s 2</w:instrText>
      </w:r>
      <w:r>
        <w:fldChar w:fldCharType="separate"/>
      </w:r>
      <w:r>
        <w:rPr>
          <w:noProof/>
        </w:rPr>
        <w:t>1</w:t>
      </w:r>
      <w:r>
        <w:fldChar w:fldCharType="end"/>
      </w:r>
      <w:bookmarkEnd w:id="203"/>
      <w:r>
        <w:t>:</w:t>
      </w:r>
      <w:r w:rsidR="0054193F" w:rsidRPr="009C0B42">
        <w:t xml:space="preserve"> </w:t>
      </w:r>
      <w:r w:rsidR="00CA2EFA" w:rsidRPr="009C0B42">
        <w:t xml:space="preserve">Begg </w:t>
      </w:r>
      <w:r w:rsidR="00966015" w:rsidRPr="009C0B42">
        <w:t xml:space="preserve">Test </w:t>
      </w:r>
      <w:r w:rsidR="00CA2EFA" w:rsidRPr="009C0B42">
        <w:t>and Egger Test Results</w:t>
      </w:r>
    </w:p>
    <w:tbl>
      <w:tblPr>
        <w:tblW w:w="9639" w:type="dxa"/>
        <w:tblLayout w:type="fixed"/>
        <w:tblLook w:val="04A0" w:firstRow="1" w:lastRow="0" w:firstColumn="1" w:lastColumn="0" w:noHBand="0" w:noVBand="1"/>
      </w:tblPr>
      <w:tblGrid>
        <w:gridCol w:w="2268"/>
        <w:gridCol w:w="1417"/>
        <w:gridCol w:w="1135"/>
        <w:gridCol w:w="1843"/>
        <w:gridCol w:w="1275"/>
        <w:gridCol w:w="1701"/>
      </w:tblGrid>
      <w:tr w:rsidR="00C46F70" w:rsidRPr="000C3A2D" w14:paraId="165A75CD" w14:textId="77777777" w:rsidTr="4ACFB18D">
        <w:trPr>
          <w:trHeight w:val="360"/>
        </w:trPr>
        <w:tc>
          <w:tcPr>
            <w:tcW w:w="2268" w:type="dxa"/>
            <w:tcBorders>
              <w:bottom w:val="single" w:sz="4" w:space="0" w:color="auto"/>
            </w:tcBorders>
            <w:hideMark/>
          </w:tcPr>
          <w:p w14:paraId="427BC688" w14:textId="4F33DA67" w:rsidR="00C46F70" w:rsidRPr="00A40FA4" w:rsidRDefault="00C46F70" w:rsidP="00636D41">
            <w:pPr>
              <w:pStyle w:val="TableHeader1"/>
              <w:rPr>
                <w:lang w:eastAsia="en-AU"/>
              </w:rPr>
            </w:pPr>
            <w:r w:rsidRPr="4ACFB18D">
              <w:rPr>
                <w:lang w:eastAsia="en-AU"/>
              </w:rPr>
              <w:t>Test</w:t>
            </w:r>
          </w:p>
        </w:tc>
        <w:tc>
          <w:tcPr>
            <w:tcW w:w="1417" w:type="dxa"/>
            <w:tcBorders>
              <w:bottom w:val="single" w:sz="4" w:space="0" w:color="auto"/>
            </w:tcBorders>
          </w:tcPr>
          <w:p w14:paraId="1C2BD5D7" w14:textId="02C1454F" w:rsidR="00C46F70" w:rsidRPr="00A40FA4" w:rsidRDefault="00C46F70" w:rsidP="00636D41">
            <w:pPr>
              <w:pStyle w:val="TableHeader1"/>
            </w:pPr>
            <w:r>
              <w:t>Intercept</w:t>
            </w:r>
          </w:p>
        </w:tc>
        <w:tc>
          <w:tcPr>
            <w:tcW w:w="1135" w:type="dxa"/>
            <w:tcBorders>
              <w:bottom w:val="single" w:sz="4" w:space="0" w:color="auto"/>
            </w:tcBorders>
          </w:tcPr>
          <w:p w14:paraId="5245D473" w14:textId="6C710A4B" w:rsidR="00C46F70" w:rsidRDefault="00C46F70" w:rsidP="00636D41">
            <w:pPr>
              <w:pStyle w:val="TableHeader1"/>
            </w:pPr>
            <w:r>
              <w:t>z</w:t>
            </w:r>
          </w:p>
        </w:tc>
        <w:tc>
          <w:tcPr>
            <w:tcW w:w="1843" w:type="dxa"/>
            <w:tcBorders>
              <w:bottom w:val="single" w:sz="4" w:space="0" w:color="auto"/>
            </w:tcBorders>
          </w:tcPr>
          <w:p w14:paraId="0FB40F61" w14:textId="10CE37F8" w:rsidR="00C46F70" w:rsidRPr="00A40FA4" w:rsidRDefault="00C46F70" w:rsidP="00636D41">
            <w:pPr>
              <w:pStyle w:val="TableHeader1"/>
            </w:pPr>
            <w:r>
              <w:t>CI</w:t>
            </w:r>
          </w:p>
        </w:tc>
        <w:tc>
          <w:tcPr>
            <w:tcW w:w="1275" w:type="dxa"/>
            <w:tcBorders>
              <w:bottom w:val="single" w:sz="4" w:space="0" w:color="auto"/>
            </w:tcBorders>
          </w:tcPr>
          <w:p w14:paraId="6519F6DC" w14:textId="3E95A779" w:rsidR="00C46F70" w:rsidRPr="00A40FA4" w:rsidRDefault="00C46F70" w:rsidP="00636D41">
            <w:pPr>
              <w:pStyle w:val="TableHeader1"/>
            </w:pPr>
            <w:r>
              <w:t>Kendall τ</w:t>
            </w:r>
          </w:p>
        </w:tc>
        <w:tc>
          <w:tcPr>
            <w:tcW w:w="1701" w:type="dxa"/>
            <w:tcBorders>
              <w:bottom w:val="single" w:sz="4" w:space="0" w:color="auto"/>
            </w:tcBorders>
            <w:hideMark/>
          </w:tcPr>
          <w:p w14:paraId="34C5765C" w14:textId="54E15F83" w:rsidR="00C46F70" w:rsidRPr="00A40FA4" w:rsidRDefault="00C46F70" w:rsidP="00636D41">
            <w:pPr>
              <w:pStyle w:val="TableHeader1"/>
            </w:pPr>
            <w:r>
              <w:t>P value</w:t>
            </w:r>
          </w:p>
        </w:tc>
      </w:tr>
      <w:tr w:rsidR="00C46F70" w:rsidRPr="00703F18" w14:paraId="65F913F0" w14:textId="77777777" w:rsidTr="4ACFB18D">
        <w:trPr>
          <w:trHeight w:val="360"/>
        </w:trPr>
        <w:tc>
          <w:tcPr>
            <w:tcW w:w="2268" w:type="dxa"/>
            <w:tcBorders>
              <w:top w:val="single" w:sz="4" w:space="0" w:color="auto"/>
            </w:tcBorders>
            <w:hideMark/>
          </w:tcPr>
          <w:p w14:paraId="2765ECCD" w14:textId="77777777" w:rsidR="00C46F70" w:rsidRPr="00A40FA4" w:rsidRDefault="00C46F70" w:rsidP="009D7FF0">
            <w:pPr>
              <w:pStyle w:val="TableHeadingsColumn"/>
            </w:pPr>
            <w:r w:rsidRPr="00A40FA4">
              <w:t>Begg rank test</w:t>
            </w:r>
          </w:p>
        </w:tc>
        <w:tc>
          <w:tcPr>
            <w:tcW w:w="1417" w:type="dxa"/>
            <w:tcBorders>
              <w:top w:val="single" w:sz="4" w:space="0" w:color="auto"/>
            </w:tcBorders>
          </w:tcPr>
          <w:p w14:paraId="0BC53903" w14:textId="77777777" w:rsidR="00C46F70" w:rsidRPr="00A40FA4" w:rsidRDefault="00C46F70" w:rsidP="009D7FF0">
            <w:pPr>
              <w:pStyle w:val="Tabledata"/>
            </w:pPr>
          </w:p>
        </w:tc>
        <w:tc>
          <w:tcPr>
            <w:tcW w:w="1135" w:type="dxa"/>
            <w:tcBorders>
              <w:top w:val="single" w:sz="4" w:space="0" w:color="auto"/>
            </w:tcBorders>
            <w:vAlign w:val="center"/>
          </w:tcPr>
          <w:p w14:paraId="3D5CA185" w14:textId="77777777" w:rsidR="00C46F70" w:rsidRPr="00A40FA4" w:rsidRDefault="00C46F70" w:rsidP="009D7FF0">
            <w:pPr>
              <w:pStyle w:val="Tabledata"/>
            </w:pPr>
          </w:p>
        </w:tc>
        <w:tc>
          <w:tcPr>
            <w:tcW w:w="1843" w:type="dxa"/>
            <w:tcBorders>
              <w:top w:val="single" w:sz="4" w:space="0" w:color="auto"/>
            </w:tcBorders>
            <w:vAlign w:val="center"/>
          </w:tcPr>
          <w:p w14:paraId="758438D6" w14:textId="5BF411D3" w:rsidR="00C46F70" w:rsidRPr="00A40FA4" w:rsidRDefault="00C46F70" w:rsidP="009D7FF0">
            <w:pPr>
              <w:pStyle w:val="Tabledata"/>
            </w:pPr>
          </w:p>
        </w:tc>
        <w:tc>
          <w:tcPr>
            <w:tcW w:w="1275" w:type="dxa"/>
            <w:tcBorders>
              <w:top w:val="single" w:sz="4" w:space="0" w:color="auto"/>
            </w:tcBorders>
            <w:vAlign w:val="center"/>
          </w:tcPr>
          <w:p w14:paraId="605EC048" w14:textId="4D8E7E60" w:rsidR="00C46F70" w:rsidRPr="00A40FA4" w:rsidRDefault="00C46F70" w:rsidP="009D7FF0">
            <w:pPr>
              <w:pStyle w:val="TableDataCentred"/>
            </w:pPr>
            <w:r w:rsidRPr="4ACFB18D">
              <w:t>0.2</w:t>
            </w:r>
            <w:r w:rsidR="487F0CCA" w:rsidRPr="4ACFB18D">
              <w:t>4</w:t>
            </w:r>
          </w:p>
        </w:tc>
        <w:tc>
          <w:tcPr>
            <w:tcW w:w="1701" w:type="dxa"/>
            <w:tcBorders>
              <w:top w:val="single" w:sz="4" w:space="0" w:color="auto"/>
            </w:tcBorders>
            <w:vAlign w:val="center"/>
            <w:hideMark/>
          </w:tcPr>
          <w:p w14:paraId="308B2AE3" w14:textId="40CCA695" w:rsidR="00C46F70" w:rsidRPr="00A40FA4" w:rsidRDefault="00C46F70" w:rsidP="009D7FF0">
            <w:pPr>
              <w:pStyle w:val="TableDataCentred"/>
            </w:pPr>
            <w:r w:rsidRPr="4ACFB18D">
              <w:t>0.</w:t>
            </w:r>
            <w:r w:rsidR="690F1DDE" w:rsidRPr="4ACFB18D">
              <w:t>16</w:t>
            </w:r>
          </w:p>
        </w:tc>
      </w:tr>
      <w:tr w:rsidR="00C46F70" w:rsidRPr="00703F18" w14:paraId="57CC407E" w14:textId="77777777" w:rsidTr="4ACFB18D">
        <w:trPr>
          <w:trHeight w:val="360"/>
        </w:trPr>
        <w:tc>
          <w:tcPr>
            <w:tcW w:w="2268" w:type="dxa"/>
            <w:tcBorders>
              <w:bottom w:val="single" w:sz="4" w:space="0" w:color="auto"/>
            </w:tcBorders>
          </w:tcPr>
          <w:p w14:paraId="1F7ED759" w14:textId="1408FFAF" w:rsidR="00C46F70" w:rsidRPr="00A40FA4" w:rsidRDefault="00C46F70" w:rsidP="009D7FF0">
            <w:pPr>
              <w:pStyle w:val="TableHeadingsColumn"/>
            </w:pPr>
            <w:r w:rsidRPr="00A40FA4">
              <w:t>Egger Regression</w:t>
            </w:r>
          </w:p>
        </w:tc>
        <w:tc>
          <w:tcPr>
            <w:tcW w:w="1417" w:type="dxa"/>
            <w:tcBorders>
              <w:bottom w:val="single" w:sz="4" w:space="0" w:color="auto"/>
            </w:tcBorders>
          </w:tcPr>
          <w:p w14:paraId="5A4E23F3" w14:textId="0230B492" w:rsidR="00C46F70" w:rsidRDefault="00C46F70" w:rsidP="009D7FF0">
            <w:pPr>
              <w:pStyle w:val="TableDataCentred"/>
            </w:pPr>
            <w:r w:rsidRPr="4ACFB18D">
              <w:t>0.3</w:t>
            </w:r>
            <w:r w:rsidR="194F50E4" w:rsidRPr="4ACFB18D">
              <w:t>83</w:t>
            </w:r>
          </w:p>
          <w:p w14:paraId="40AA704C" w14:textId="79EC9A1A" w:rsidR="00C46F70" w:rsidRPr="00D517BB" w:rsidRDefault="00C46F70" w:rsidP="009D7FF0">
            <w:pPr>
              <w:pStyle w:val="TableDataCentred"/>
            </w:pPr>
            <w:r w:rsidRPr="4ACFB18D">
              <w:t>(0.4</w:t>
            </w:r>
            <w:r w:rsidR="3F900B6C" w:rsidRPr="4ACFB18D">
              <w:t>9</w:t>
            </w:r>
            <w:r w:rsidR="668470C7" w:rsidRPr="4ACFB18D">
              <w:t>1</w:t>
            </w:r>
            <w:r w:rsidRPr="4ACFB18D">
              <w:t>)</w:t>
            </w:r>
          </w:p>
        </w:tc>
        <w:tc>
          <w:tcPr>
            <w:tcW w:w="1135" w:type="dxa"/>
            <w:tcBorders>
              <w:bottom w:val="single" w:sz="4" w:space="0" w:color="auto"/>
            </w:tcBorders>
            <w:vAlign w:val="center"/>
          </w:tcPr>
          <w:p w14:paraId="042E969A" w14:textId="6C4F4F4C" w:rsidR="00C46F70" w:rsidRDefault="00C46F70" w:rsidP="009D7FF0">
            <w:pPr>
              <w:pStyle w:val="TableDataCentred"/>
            </w:pPr>
            <w:r w:rsidRPr="4ACFB18D">
              <w:t>1.0</w:t>
            </w:r>
            <w:r w:rsidR="038776A3" w:rsidRPr="4ACFB18D">
              <w:t>3</w:t>
            </w:r>
          </w:p>
        </w:tc>
        <w:tc>
          <w:tcPr>
            <w:tcW w:w="1843" w:type="dxa"/>
            <w:tcBorders>
              <w:bottom w:val="single" w:sz="4" w:space="0" w:color="auto"/>
            </w:tcBorders>
            <w:vAlign w:val="center"/>
          </w:tcPr>
          <w:p w14:paraId="540D885E" w14:textId="52E515AE" w:rsidR="00C46F70" w:rsidRPr="00A40FA4" w:rsidRDefault="00C46F70" w:rsidP="009D7FF0">
            <w:pPr>
              <w:pStyle w:val="TableDataCentred"/>
            </w:pPr>
            <w:r w:rsidRPr="4ACFB18D">
              <w:t>-0.</w:t>
            </w:r>
            <w:r w:rsidR="136CECA2" w:rsidRPr="4ACFB18D">
              <w:t>58</w:t>
            </w:r>
            <w:r w:rsidR="43AA7784" w:rsidRPr="4ACFB18D">
              <w:t xml:space="preserve">, </w:t>
            </w:r>
            <w:r w:rsidRPr="4ACFB18D">
              <w:t>-1.</w:t>
            </w:r>
            <w:r w:rsidR="174B6AFF" w:rsidRPr="4ACFB18D">
              <w:t>3</w:t>
            </w:r>
            <w:r w:rsidR="015DE251" w:rsidRPr="4ACFB18D">
              <w:t>4</w:t>
            </w:r>
          </w:p>
        </w:tc>
        <w:tc>
          <w:tcPr>
            <w:tcW w:w="1275" w:type="dxa"/>
            <w:tcBorders>
              <w:bottom w:val="single" w:sz="4" w:space="0" w:color="auto"/>
            </w:tcBorders>
            <w:vAlign w:val="center"/>
          </w:tcPr>
          <w:p w14:paraId="5736503C" w14:textId="77777777" w:rsidR="00C46F70" w:rsidRPr="00A40FA4" w:rsidRDefault="00C46F70" w:rsidP="009D7FF0">
            <w:pPr>
              <w:pStyle w:val="TableDataCentred"/>
            </w:pPr>
          </w:p>
        </w:tc>
        <w:tc>
          <w:tcPr>
            <w:tcW w:w="1701" w:type="dxa"/>
            <w:tcBorders>
              <w:bottom w:val="single" w:sz="4" w:space="0" w:color="auto"/>
            </w:tcBorders>
            <w:vAlign w:val="center"/>
          </w:tcPr>
          <w:p w14:paraId="1D621BAB" w14:textId="2F94213F" w:rsidR="00C46F70" w:rsidRPr="00A40FA4" w:rsidRDefault="00C46F70" w:rsidP="009D7FF0">
            <w:pPr>
              <w:pStyle w:val="TableDataCentred"/>
            </w:pPr>
            <w:r w:rsidRPr="4ACFB18D">
              <w:t>0.</w:t>
            </w:r>
            <w:r w:rsidR="6EEE1F36" w:rsidRPr="4ACFB18D">
              <w:t>30</w:t>
            </w:r>
          </w:p>
        </w:tc>
      </w:tr>
    </w:tbl>
    <w:p w14:paraId="51D305A7" w14:textId="767F9672" w:rsidR="00CA2EFA" w:rsidRDefault="00CA2EFA" w:rsidP="00C8699B">
      <w:pPr>
        <w:pStyle w:val="TableFooternoborder"/>
      </w:pPr>
    </w:p>
    <w:p w14:paraId="278CB661" w14:textId="0E2214DD" w:rsidR="00CA2EFA" w:rsidRPr="009C0B42" w:rsidRDefault="00CA2EFA" w:rsidP="00D60EBC">
      <w:pPr>
        <w:pStyle w:val="Paragraphfirst"/>
        <w:rPr>
          <w:rFonts w:eastAsiaTheme="minorEastAsia"/>
        </w:rPr>
      </w:pPr>
      <w:r w:rsidRPr="009C0B42">
        <w:t xml:space="preserve">The resulting P </w:t>
      </w:r>
      <w:r w:rsidRPr="00D60EBC">
        <w:t>values</w:t>
      </w:r>
      <w:r w:rsidRPr="009C0B42">
        <w:t xml:space="preserve"> </w:t>
      </w:r>
      <w:r w:rsidR="00D137F9" w:rsidRPr="009C0B42">
        <w:t>for</w:t>
      </w:r>
      <w:r w:rsidRPr="009C0B42">
        <w:t xml:space="preserve"> both test</w:t>
      </w:r>
      <w:r w:rsidR="00D137F9" w:rsidRPr="009C0B42">
        <w:t>s</w:t>
      </w:r>
      <w:r w:rsidRPr="009C0B42">
        <w:t xml:space="preserve"> (both &gt;0.05) indicates that there</w:t>
      </w:r>
      <w:r w:rsidR="00DC7856">
        <w:t xml:space="preserve"> is</w:t>
      </w:r>
      <w:r w:rsidRPr="009C0B42">
        <w:t xml:space="preserve"> no effect size bias across the sample of cases.</w:t>
      </w:r>
    </w:p>
    <w:p w14:paraId="5C3D717E" w14:textId="42B6A37A" w:rsidR="00CA2EFA" w:rsidRPr="002F4C73" w:rsidRDefault="00B77363" w:rsidP="0038118B">
      <w:pPr>
        <w:pStyle w:val="Heading1"/>
      </w:pPr>
      <w:bookmarkStart w:id="204" w:name="_Toc97622125"/>
      <w:r>
        <w:lastRenderedPageBreak/>
        <w:t>Multi</w:t>
      </w:r>
      <w:r w:rsidR="001A755C">
        <w:t>-Level Modelling</w:t>
      </w:r>
      <w:bookmarkEnd w:id="204"/>
      <w:r w:rsidR="004075EC">
        <w:t>—Interaction Analysis</w:t>
      </w:r>
    </w:p>
    <w:p w14:paraId="11DA7AEA" w14:textId="5D908696" w:rsidR="00BA18B5" w:rsidRPr="009C0B42" w:rsidRDefault="00D315C2" w:rsidP="00861D12">
      <w:pPr>
        <w:pStyle w:val="Paragraphfirst"/>
      </w:pPr>
      <w:bookmarkStart w:id="205" w:name="_Toc97049529"/>
      <w:bookmarkStart w:id="206" w:name="_Toc97203801"/>
      <w:bookmarkStart w:id="207" w:name="_Toc97203803"/>
      <w:bookmarkEnd w:id="205"/>
      <w:bookmarkEnd w:id="206"/>
      <w:bookmarkEnd w:id="207"/>
      <w:r w:rsidRPr="009C0B42">
        <w:t xml:space="preserve">The interaction displayed by models </w:t>
      </w:r>
      <w:r w:rsidR="00B645EF">
        <w:t>1</w:t>
      </w:r>
      <w:r w:rsidRPr="009C0B42">
        <w:t xml:space="preserve">1 and </w:t>
      </w:r>
      <w:r w:rsidR="00B645EF">
        <w:t>1</w:t>
      </w:r>
      <w:r w:rsidR="00090EB2" w:rsidRPr="009C0B42">
        <w:t>2</w:t>
      </w:r>
      <w:r w:rsidRPr="009C0B42">
        <w:t xml:space="preserve"> </w:t>
      </w:r>
      <w:r w:rsidR="004E6976">
        <w:t xml:space="preserve">(see table 5, main text) </w:t>
      </w:r>
      <w:r w:rsidRPr="009C0B42">
        <w:t xml:space="preserve">can be visualized </w:t>
      </w:r>
      <w:r w:rsidR="00863995" w:rsidRPr="009C0B42">
        <w:t>in</w:t>
      </w:r>
      <w:r w:rsidRPr="009C0B42">
        <w:t xml:space="preserve"> </w:t>
      </w:r>
      <w:r w:rsidR="000663D1">
        <w:t xml:space="preserve">terms of the effect that variation </w:t>
      </w:r>
      <w:r w:rsidR="00E8008B">
        <w:t>in one variable has on the relationship between the second variable and DRI</w:t>
      </w:r>
      <w:r w:rsidRPr="009C0B42">
        <w:t>.</w:t>
      </w:r>
      <w:r w:rsidR="00BA18B5" w:rsidRPr="00BA18B5">
        <w:t xml:space="preserve"> </w:t>
      </w:r>
      <w:r w:rsidR="00AF5BDA">
        <w:t xml:space="preserve">Because of limitations with this analysis, using ordinal data, </w:t>
      </w:r>
      <w:r w:rsidR="007C32FE">
        <w:t xml:space="preserve">the location of the </w:t>
      </w:r>
      <w:r w:rsidR="00717D6D">
        <w:t xml:space="preserve">lines </w:t>
      </w:r>
      <w:r w:rsidR="00AD1CF9">
        <w:t>cannot be determined</w:t>
      </w:r>
      <w:r w:rsidR="008F0157">
        <w:t xml:space="preserve"> with any precision</w:t>
      </w:r>
      <w:r w:rsidR="00AD1CF9">
        <w:t>. T</w:t>
      </w:r>
      <w:r w:rsidR="00BA18B5">
        <w:t>he uncertainty regarding the location of these relationships is indicated by the 95% probability contours shown in the figure</w:t>
      </w:r>
      <w:r w:rsidR="007A2004">
        <w:t>s provided below</w:t>
      </w:r>
      <w:r w:rsidR="00BA18B5">
        <w:t>.</w:t>
      </w:r>
    </w:p>
    <w:p w14:paraId="7DB6A7DF" w14:textId="77777777" w:rsidR="00030F2E" w:rsidRPr="009C0B42" w:rsidRDefault="00030F2E" w:rsidP="00EE709F">
      <w:pPr>
        <w:pStyle w:val="Heading2"/>
      </w:pPr>
      <w:bookmarkStart w:id="208" w:name="_Toc97622129"/>
      <w:r w:rsidRPr="009C0B42">
        <w:t>Decision Impact and Complexity</w:t>
      </w:r>
      <w:bookmarkEnd w:id="208"/>
    </w:p>
    <w:p w14:paraId="6353073A" w14:textId="617A1CE8" w:rsidR="00030F2E" w:rsidRDefault="008C4DA2" w:rsidP="00D30324">
      <w:pPr>
        <w:pStyle w:val="Paragraphfirst"/>
      </w:pPr>
      <w:r>
        <w:t>As reported in the main text,</w:t>
      </w:r>
      <w:r w:rsidR="00030F2E" w:rsidRPr="009C0B42">
        <w:t xml:space="preserve"> </w:t>
      </w:r>
      <w:r>
        <w:t xml:space="preserve">the relationship between </w:t>
      </w:r>
      <w:r w:rsidR="00D00280">
        <w:t>c</w:t>
      </w:r>
      <w:r w:rsidR="004964F1">
        <w:t xml:space="preserve">omplexity and DRI changes as </w:t>
      </w:r>
      <w:r w:rsidR="00D00280">
        <w:t>d</w:t>
      </w:r>
      <w:r w:rsidR="00030F2E" w:rsidRPr="009C0B42">
        <w:t xml:space="preserve">ecision </w:t>
      </w:r>
      <w:r w:rsidR="00D00280">
        <w:t>i</w:t>
      </w:r>
      <w:r w:rsidR="00030F2E" w:rsidRPr="009C0B42">
        <w:t>mpact</w:t>
      </w:r>
      <w:r>
        <w:t xml:space="preserve"> </w:t>
      </w:r>
      <w:r w:rsidR="004964F1">
        <w:t xml:space="preserve">increases. </w:t>
      </w:r>
      <w:r>
        <w:fldChar w:fldCharType="begin"/>
      </w:r>
      <w:r>
        <w:instrText>REF _Ref122352421</w:instrText>
      </w:r>
      <w:r>
        <w:fldChar w:fldCharType="separate"/>
      </w:r>
      <w:r w:rsidR="007D2B73">
        <w:t xml:space="preserve">Figure </w:t>
      </w:r>
      <w:r w:rsidR="007D2B73">
        <w:rPr>
          <w:noProof/>
        </w:rPr>
        <w:t>G.1</w:t>
      </w:r>
      <w:r w:rsidR="007D2B73">
        <w:t>.</w:t>
      </w:r>
      <w:r w:rsidR="007D2B73">
        <w:rPr>
          <w:noProof/>
        </w:rPr>
        <w:t>1</w:t>
      </w:r>
      <w:r>
        <w:fldChar w:fldCharType="end"/>
      </w:r>
      <w:r w:rsidR="007D2B73">
        <w:t xml:space="preserve"> </w:t>
      </w:r>
      <w:r w:rsidR="00047A3E">
        <w:t>shows</w:t>
      </w:r>
      <w:r w:rsidR="00BE1CFF">
        <w:t xml:space="preserve"> that</w:t>
      </w:r>
      <w:r w:rsidR="00DF72AA">
        <w:t xml:space="preserve">, where </w:t>
      </w:r>
      <w:r w:rsidR="00D00280">
        <w:t>d</w:t>
      </w:r>
      <w:r w:rsidR="00DF72AA">
        <w:t xml:space="preserve">ecision </w:t>
      </w:r>
      <w:r w:rsidR="00D00280">
        <w:t>i</w:t>
      </w:r>
      <w:r w:rsidR="00DF72AA">
        <w:t>mpact is low,</w:t>
      </w:r>
      <w:r w:rsidR="00975201">
        <w:t xml:space="preserve"> DRI </w:t>
      </w:r>
      <w:r w:rsidR="00DF72AA">
        <w:t>is lower compared to hi</w:t>
      </w:r>
      <w:r w:rsidR="00D00280">
        <w:t xml:space="preserve">gh decision impact. </w:t>
      </w:r>
      <w:r w:rsidR="0052260A">
        <w:t xml:space="preserve">However, the situation reverses </w:t>
      </w:r>
      <w:r w:rsidR="0052260A" w:rsidRPr="009C0B42">
        <w:t xml:space="preserve">once complexity reaches </w:t>
      </w:r>
      <w:r w:rsidR="0052260A">
        <w:t xml:space="preserve">a </w:t>
      </w:r>
      <w:r w:rsidR="0052260A" w:rsidRPr="009C0B42">
        <w:t xml:space="preserve">level </w:t>
      </w:r>
      <w:r w:rsidR="0052260A">
        <w:t xml:space="preserve">of </w:t>
      </w:r>
      <w:r w:rsidR="0052260A" w:rsidRPr="009C0B42">
        <w:t>3</w:t>
      </w:r>
      <w:r w:rsidR="0052260A">
        <w:t xml:space="preserve">, where the effect of increasing complexity on DRI changes from positive to negative once decision impact reaches level 4. </w:t>
      </w:r>
      <w:r w:rsidR="0052260A" w:rsidDel="00BA18B5">
        <w:t>The uncertainty regarding the precise location of these relationships is indicated by the 95% probability contours shown in the figure.</w:t>
      </w:r>
    </w:p>
    <w:p w14:paraId="03492799" w14:textId="7DC379A2" w:rsidR="00030F2E" w:rsidRPr="009C0B42" w:rsidRDefault="00770A06" w:rsidP="008B3F05">
      <w:pPr>
        <w:pStyle w:val="Caption"/>
      </w:pPr>
      <w:bookmarkStart w:id="209" w:name="_Ref122352421"/>
      <w:r>
        <w:t xml:space="preserve">Figure </w:t>
      </w:r>
      <w:r>
        <w:fldChar w:fldCharType="begin"/>
      </w:r>
      <w:r>
        <w:instrText>STYLEREF 2 \s</w:instrText>
      </w:r>
      <w:r>
        <w:fldChar w:fldCharType="separate"/>
      </w:r>
      <w:r>
        <w:rPr>
          <w:noProof/>
        </w:rPr>
        <w:t>G.1</w:t>
      </w:r>
      <w:r>
        <w:fldChar w:fldCharType="end"/>
      </w:r>
      <w:r>
        <w:t>.</w:t>
      </w:r>
      <w:r>
        <w:fldChar w:fldCharType="begin"/>
      </w:r>
      <w:r>
        <w:instrText>SEQ Figure \* ARABIC \s 2</w:instrText>
      </w:r>
      <w:r>
        <w:fldChar w:fldCharType="separate"/>
      </w:r>
      <w:r>
        <w:rPr>
          <w:noProof/>
        </w:rPr>
        <w:t>1</w:t>
      </w:r>
      <w:r>
        <w:fldChar w:fldCharType="end"/>
      </w:r>
      <w:bookmarkEnd w:id="209"/>
      <w:r>
        <w:t xml:space="preserve">: </w:t>
      </w:r>
      <w:r w:rsidR="15D6F4E5">
        <w:t>Interaction Between Complexity and Decision Impact</w:t>
      </w:r>
    </w:p>
    <w:p w14:paraId="01B3F95F" w14:textId="60E90718" w:rsidR="008C0562" w:rsidRDefault="000221C2" w:rsidP="002C1D07">
      <w:pPr>
        <w:pStyle w:val="Figure"/>
      </w:pPr>
      <w:r>
        <w:rPr>
          <w:noProof/>
        </w:rPr>
        <w:drawing>
          <wp:inline distT="0" distB="0" distL="0" distR="0" wp14:anchorId="1C0D7C32" wp14:editId="73982392">
            <wp:extent cx="5372100" cy="397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4"/>
                    <a:stretch>
                      <a:fillRect/>
                    </a:stretch>
                  </pic:blipFill>
                  <pic:spPr>
                    <a:xfrm>
                      <a:off x="0" y="0"/>
                      <a:ext cx="5372100" cy="3975100"/>
                    </a:xfrm>
                    <a:prstGeom prst="rect">
                      <a:avLst/>
                    </a:prstGeom>
                  </pic:spPr>
                </pic:pic>
              </a:graphicData>
            </a:graphic>
          </wp:inline>
        </w:drawing>
      </w:r>
      <w:r w:rsidR="00540416" w:rsidRPr="00540416">
        <w:rPr>
          <w:rFonts w:eastAsia="Cambria"/>
          <w:noProof/>
        </w:rPr>
        <w:t xml:space="preserve"> </w:t>
      </w:r>
    </w:p>
    <w:p w14:paraId="4EE02E86" w14:textId="52E017CC" w:rsidR="00BE287B" w:rsidRDefault="41AC9420" w:rsidP="00D30324">
      <w:pPr>
        <w:pStyle w:val="FigureFooter"/>
      </w:pPr>
      <w:r>
        <w:t>Note:</w:t>
      </w:r>
      <w:r w:rsidR="00BE287B">
        <w:tab/>
      </w:r>
      <w:r>
        <w:t>The model from which this interaction is drawn can be found in Table 5 in the main text (model I</w:t>
      </w:r>
      <w:r w:rsidR="53B89A9F">
        <w:t>2</w:t>
      </w:r>
      <w:r>
        <w:t>)</w:t>
      </w:r>
      <w:r w:rsidR="290F2F5B">
        <w:t>.</w:t>
      </w:r>
    </w:p>
    <w:p w14:paraId="4BA5FEF8" w14:textId="7DA2551B" w:rsidR="00447E56" w:rsidRPr="00447E56" w:rsidRDefault="00A5228A" w:rsidP="0070280D">
      <w:r>
        <w:lastRenderedPageBreak/>
        <w:fldChar w:fldCharType="begin"/>
      </w:r>
      <w:r>
        <w:instrText>REF _Ref122351877</w:instrText>
      </w:r>
      <w:r>
        <w:fldChar w:fldCharType="separate"/>
      </w:r>
      <w:r>
        <w:t xml:space="preserve">Table </w:t>
      </w:r>
      <w:r>
        <w:rPr>
          <w:noProof/>
        </w:rPr>
        <w:t>G.1</w:t>
      </w:r>
      <w:r>
        <w:t>.</w:t>
      </w:r>
      <w:r>
        <w:rPr>
          <w:noProof/>
        </w:rPr>
        <w:t>1</w:t>
      </w:r>
      <w:r>
        <w:fldChar w:fldCharType="end"/>
      </w:r>
      <w:r w:rsidR="00447E56" w:rsidRPr="00447E56">
        <w:t xml:space="preserve"> reports the conditional predicted values for the interaction between Decision Impact and complexity that have </w:t>
      </w:r>
      <w:r w:rsidR="005B1DB1">
        <w:t>are incorporated into</w:t>
      </w:r>
      <w:r w:rsidR="00447E56" w:rsidRPr="00447E56">
        <w:t xml:space="preserve"> figure G.1.1.</w:t>
      </w:r>
    </w:p>
    <w:p w14:paraId="3A335805" w14:textId="54E66869" w:rsidR="00447E56" w:rsidRPr="00447E56" w:rsidRDefault="005F623F" w:rsidP="005F623F">
      <w:pPr>
        <w:pStyle w:val="Caption"/>
      </w:pPr>
      <w:bookmarkStart w:id="210" w:name="_Ref122351877"/>
      <w:r>
        <w:t xml:space="preserve">Table </w:t>
      </w:r>
      <w:r>
        <w:fldChar w:fldCharType="begin"/>
      </w:r>
      <w:r>
        <w:instrText>STYLEREF 2 \s</w:instrText>
      </w:r>
      <w:r>
        <w:fldChar w:fldCharType="separate"/>
      </w:r>
      <w:r>
        <w:rPr>
          <w:noProof/>
        </w:rPr>
        <w:t>G.1</w:t>
      </w:r>
      <w:r>
        <w:fldChar w:fldCharType="end"/>
      </w:r>
      <w:r>
        <w:t>.</w:t>
      </w:r>
      <w:r>
        <w:fldChar w:fldCharType="begin"/>
      </w:r>
      <w:r>
        <w:instrText>SEQ Table \* ARABIC \s 2</w:instrText>
      </w:r>
      <w:r>
        <w:fldChar w:fldCharType="separate"/>
      </w:r>
      <w:r>
        <w:rPr>
          <w:noProof/>
        </w:rPr>
        <w:t>1</w:t>
      </w:r>
      <w:r>
        <w:fldChar w:fldCharType="end"/>
      </w:r>
      <w:bookmarkEnd w:id="210"/>
      <w:r w:rsidR="00447E56" w:rsidRPr="00447E56">
        <w:t>: Conditional effects for interaction Decision</w:t>
      </w:r>
      <w:r w:rsidR="00447BDD">
        <w:t xml:space="preserve"> I</w:t>
      </w:r>
      <w:r w:rsidR="00447E56" w:rsidRPr="00447E56">
        <w:t>mpact*Complexity (Model I2)</w:t>
      </w:r>
    </w:p>
    <w:tbl>
      <w:tblPr>
        <w:tblStyle w:val="APSROnlineAppendix"/>
        <w:tblW w:w="0" w:type="auto"/>
        <w:tblCellMar>
          <w:top w:w="28" w:type="dxa"/>
          <w:bottom w:w="28" w:type="dxa"/>
        </w:tblCellMar>
        <w:tblLook w:val="0600" w:firstRow="0" w:lastRow="0" w:firstColumn="0" w:lastColumn="0" w:noHBand="1" w:noVBand="1"/>
      </w:tblPr>
      <w:tblGrid>
        <w:gridCol w:w="2337"/>
        <w:gridCol w:w="2337"/>
        <w:gridCol w:w="2338"/>
        <w:gridCol w:w="2338"/>
      </w:tblGrid>
      <w:tr w:rsidR="00447E56" w:rsidRPr="00447E56" w14:paraId="03AE0DAE" w14:textId="77777777" w:rsidTr="00A36B9F">
        <w:tc>
          <w:tcPr>
            <w:tcW w:w="2337" w:type="dxa"/>
            <w:tcBorders>
              <w:bottom w:val="single" w:sz="4" w:space="0" w:color="auto"/>
            </w:tcBorders>
          </w:tcPr>
          <w:p w14:paraId="5EC48F2E" w14:textId="7E8C7525" w:rsidR="00447E56" w:rsidRPr="00447E56" w:rsidRDefault="00447E56" w:rsidP="00447E56">
            <w:pPr>
              <w:pStyle w:val="TableHeader2"/>
              <w:rPr>
                <w:b/>
                <w:bCs w:val="0"/>
              </w:rPr>
            </w:pPr>
            <w:r w:rsidRPr="00447E56">
              <w:t xml:space="preserve">Decision </w:t>
            </w:r>
            <w:r w:rsidRPr="005F623F">
              <w:t>Impact</w:t>
            </w:r>
            <w:r w:rsidR="009E6891" w:rsidRPr="005F623F">
              <w:t xml:space="preserve"> </w:t>
            </w:r>
            <w:r w:rsidR="007F234C" w:rsidRPr="005F623F">
              <w:t>(</w:t>
            </w:r>
            <w:r w:rsidR="009E6891" w:rsidRPr="005F623F">
              <w:t>Level</w:t>
            </w:r>
            <w:r w:rsidR="007F234C">
              <w:t>)</w:t>
            </w:r>
          </w:p>
        </w:tc>
        <w:tc>
          <w:tcPr>
            <w:tcW w:w="2337" w:type="dxa"/>
            <w:tcBorders>
              <w:bottom w:val="single" w:sz="4" w:space="0" w:color="auto"/>
            </w:tcBorders>
          </w:tcPr>
          <w:p w14:paraId="35B5CFF9" w14:textId="541F0012" w:rsidR="00447E56" w:rsidRPr="00447E56" w:rsidRDefault="00447E56" w:rsidP="00447E56">
            <w:pPr>
              <w:pStyle w:val="TableHeader2"/>
              <w:rPr>
                <w:b/>
                <w:bCs w:val="0"/>
              </w:rPr>
            </w:pPr>
            <w:r w:rsidRPr="00447E56">
              <w:t>Complexity</w:t>
            </w:r>
            <w:r w:rsidR="007F234C">
              <w:t xml:space="preserve"> (Level)</w:t>
            </w:r>
          </w:p>
        </w:tc>
        <w:tc>
          <w:tcPr>
            <w:tcW w:w="2338" w:type="dxa"/>
            <w:tcBorders>
              <w:bottom w:val="single" w:sz="4" w:space="0" w:color="auto"/>
            </w:tcBorders>
          </w:tcPr>
          <w:p w14:paraId="1AF84B64" w14:textId="77777777" w:rsidR="00447E56" w:rsidRPr="00447E56" w:rsidRDefault="00447E56" w:rsidP="00447E56">
            <w:pPr>
              <w:pStyle w:val="TableHeader2"/>
              <w:rPr>
                <w:b/>
                <w:bCs w:val="0"/>
              </w:rPr>
            </w:pPr>
            <w:r w:rsidRPr="00447E56">
              <w:t>Predicted DRI</w:t>
            </w:r>
          </w:p>
        </w:tc>
        <w:tc>
          <w:tcPr>
            <w:tcW w:w="2338" w:type="dxa"/>
            <w:tcBorders>
              <w:bottom w:val="single" w:sz="4" w:space="0" w:color="auto"/>
            </w:tcBorders>
          </w:tcPr>
          <w:p w14:paraId="4270FD31" w14:textId="77777777" w:rsidR="00447E56" w:rsidRPr="00447E56" w:rsidRDefault="00447E56" w:rsidP="00447E56">
            <w:pPr>
              <w:pStyle w:val="TableHeader2"/>
              <w:rPr>
                <w:b/>
                <w:bCs w:val="0"/>
              </w:rPr>
            </w:pPr>
            <w:r w:rsidRPr="00447E56">
              <w:t>95% CI</w:t>
            </w:r>
          </w:p>
        </w:tc>
      </w:tr>
      <w:tr w:rsidR="00447E56" w:rsidRPr="006F7001" w14:paraId="7377D804" w14:textId="77777777" w:rsidTr="00A36B9F">
        <w:tc>
          <w:tcPr>
            <w:tcW w:w="2337" w:type="dxa"/>
            <w:vMerge w:val="restart"/>
            <w:tcBorders>
              <w:top w:val="single" w:sz="4" w:space="0" w:color="auto"/>
            </w:tcBorders>
          </w:tcPr>
          <w:p w14:paraId="474F8DA0" w14:textId="77777777" w:rsidR="00447E56" w:rsidRPr="00DC038F" w:rsidRDefault="00447E56" w:rsidP="009D7FF0">
            <w:pPr>
              <w:pStyle w:val="TableHeadingsColumn"/>
            </w:pPr>
            <w:r w:rsidRPr="00DC038F">
              <w:t>1</w:t>
            </w:r>
          </w:p>
        </w:tc>
        <w:tc>
          <w:tcPr>
            <w:tcW w:w="2337" w:type="dxa"/>
            <w:tcBorders>
              <w:top w:val="single" w:sz="4" w:space="0" w:color="auto"/>
            </w:tcBorders>
          </w:tcPr>
          <w:p w14:paraId="51F8FC8E" w14:textId="77777777" w:rsidR="00447E56" w:rsidRPr="006F7001" w:rsidRDefault="00447E56" w:rsidP="009D7FF0">
            <w:pPr>
              <w:pStyle w:val="TableDataCentred"/>
              <w:rPr>
                <w:lang w:val="en-AU"/>
              </w:rPr>
            </w:pPr>
            <w:r w:rsidRPr="006F7001">
              <w:rPr>
                <w:lang w:val="en-AU"/>
              </w:rPr>
              <w:t>1</w:t>
            </w:r>
          </w:p>
        </w:tc>
        <w:tc>
          <w:tcPr>
            <w:tcW w:w="2338" w:type="dxa"/>
            <w:tcBorders>
              <w:top w:val="single" w:sz="4" w:space="0" w:color="auto"/>
            </w:tcBorders>
          </w:tcPr>
          <w:p w14:paraId="57FDADB9" w14:textId="5E9AD2E1" w:rsidR="00447E56" w:rsidRPr="006F7001" w:rsidRDefault="00447E56" w:rsidP="009D7FF0">
            <w:pPr>
              <w:pStyle w:val="TableDataCentred"/>
              <w:rPr>
                <w:lang w:val="en-AU"/>
              </w:rPr>
            </w:pPr>
            <w:r w:rsidRPr="006F7001">
              <w:rPr>
                <w:lang w:val="en-AU"/>
              </w:rPr>
              <w:t>-0.</w:t>
            </w:r>
            <w:r w:rsidR="000B1C0E">
              <w:rPr>
                <w:lang w:val="en-AU"/>
              </w:rPr>
              <w:t>22</w:t>
            </w:r>
          </w:p>
        </w:tc>
        <w:tc>
          <w:tcPr>
            <w:tcW w:w="2338" w:type="dxa"/>
            <w:tcBorders>
              <w:top w:val="single" w:sz="4" w:space="0" w:color="auto"/>
            </w:tcBorders>
          </w:tcPr>
          <w:p w14:paraId="39FE7FC1" w14:textId="044CF401" w:rsidR="00447E56" w:rsidRPr="006F7001" w:rsidRDefault="00447E56" w:rsidP="009D7FF0">
            <w:pPr>
              <w:pStyle w:val="TableDataCentred"/>
              <w:rPr>
                <w:lang w:val="en-AU"/>
              </w:rPr>
            </w:pPr>
            <w:r w:rsidRPr="006F7001">
              <w:rPr>
                <w:lang w:val="en-AU"/>
              </w:rPr>
              <w:t>[-0.</w:t>
            </w:r>
            <w:r w:rsidR="000B1C0E">
              <w:rPr>
                <w:lang w:val="en-AU"/>
              </w:rPr>
              <w:t>53</w:t>
            </w:r>
            <w:r w:rsidRPr="006F7001">
              <w:rPr>
                <w:lang w:val="en-AU"/>
              </w:rPr>
              <w:t>, 0.1</w:t>
            </w:r>
            <w:r w:rsidR="000B1C0E">
              <w:rPr>
                <w:lang w:val="en-AU"/>
              </w:rPr>
              <w:t>0</w:t>
            </w:r>
            <w:r w:rsidRPr="006F7001">
              <w:rPr>
                <w:lang w:val="en-AU"/>
              </w:rPr>
              <w:t>]</w:t>
            </w:r>
          </w:p>
        </w:tc>
      </w:tr>
      <w:tr w:rsidR="00447E56" w:rsidRPr="006F7001" w14:paraId="3202BE0A" w14:textId="77777777" w:rsidTr="00A36B9F">
        <w:tc>
          <w:tcPr>
            <w:tcW w:w="2337" w:type="dxa"/>
            <w:vMerge/>
          </w:tcPr>
          <w:p w14:paraId="57A7078A" w14:textId="77777777" w:rsidR="00447E56" w:rsidRPr="00DC038F" w:rsidRDefault="00447E56" w:rsidP="009D7FF0">
            <w:pPr>
              <w:pStyle w:val="TableHeadingsColumn"/>
            </w:pPr>
          </w:p>
        </w:tc>
        <w:tc>
          <w:tcPr>
            <w:tcW w:w="2337" w:type="dxa"/>
          </w:tcPr>
          <w:p w14:paraId="3DD91D2A" w14:textId="77777777" w:rsidR="00447E56" w:rsidRPr="006F7001" w:rsidRDefault="00447E56" w:rsidP="009D7FF0">
            <w:pPr>
              <w:pStyle w:val="TableDataCentred"/>
              <w:rPr>
                <w:lang w:val="en-AU"/>
              </w:rPr>
            </w:pPr>
            <w:r w:rsidRPr="006F7001">
              <w:rPr>
                <w:lang w:val="en-AU"/>
              </w:rPr>
              <w:t>1.5</w:t>
            </w:r>
          </w:p>
        </w:tc>
        <w:tc>
          <w:tcPr>
            <w:tcW w:w="2338" w:type="dxa"/>
          </w:tcPr>
          <w:p w14:paraId="4D409A8A" w14:textId="5EF14B6A" w:rsidR="00447E56" w:rsidRPr="006F7001" w:rsidRDefault="00447E56" w:rsidP="009D7FF0">
            <w:pPr>
              <w:pStyle w:val="TableDataCentred"/>
              <w:rPr>
                <w:lang w:val="en-AU"/>
              </w:rPr>
            </w:pPr>
            <w:r w:rsidRPr="006F7001">
              <w:rPr>
                <w:lang w:val="en-AU"/>
              </w:rPr>
              <w:t>-0.0</w:t>
            </w:r>
            <w:r w:rsidR="000B1C0E">
              <w:rPr>
                <w:lang w:val="en-AU"/>
              </w:rPr>
              <w:t>5</w:t>
            </w:r>
          </w:p>
        </w:tc>
        <w:tc>
          <w:tcPr>
            <w:tcW w:w="2338" w:type="dxa"/>
          </w:tcPr>
          <w:p w14:paraId="42758882" w14:textId="69E6FBAF" w:rsidR="00447E56" w:rsidRPr="006F7001" w:rsidRDefault="00447E56" w:rsidP="009D7FF0">
            <w:pPr>
              <w:pStyle w:val="TableDataCentred"/>
              <w:rPr>
                <w:lang w:val="en-AU"/>
              </w:rPr>
            </w:pPr>
            <w:r w:rsidRPr="006F7001">
              <w:rPr>
                <w:lang w:val="en-AU"/>
              </w:rPr>
              <w:t>[-0.</w:t>
            </w:r>
            <w:r w:rsidR="000B1C0E">
              <w:rPr>
                <w:lang w:val="en-AU"/>
              </w:rPr>
              <w:t>30</w:t>
            </w:r>
            <w:r w:rsidRPr="006F7001">
              <w:rPr>
                <w:lang w:val="en-AU"/>
              </w:rPr>
              <w:t>, 0.19]</w:t>
            </w:r>
          </w:p>
        </w:tc>
      </w:tr>
      <w:tr w:rsidR="00447E56" w:rsidRPr="006F7001" w14:paraId="2C7CDF87" w14:textId="77777777" w:rsidTr="00A36B9F">
        <w:tc>
          <w:tcPr>
            <w:tcW w:w="2337" w:type="dxa"/>
            <w:vMerge/>
          </w:tcPr>
          <w:p w14:paraId="2E41652B" w14:textId="77777777" w:rsidR="00447E56" w:rsidRPr="00DC038F" w:rsidRDefault="00447E56" w:rsidP="009D7FF0">
            <w:pPr>
              <w:pStyle w:val="TableHeadingsColumn"/>
            </w:pPr>
          </w:p>
        </w:tc>
        <w:tc>
          <w:tcPr>
            <w:tcW w:w="2337" w:type="dxa"/>
          </w:tcPr>
          <w:p w14:paraId="1DD2ECCD" w14:textId="77777777" w:rsidR="00447E56" w:rsidRPr="006F7001" w:rsidRDefault="00447E56" w:rsidP="009D7FF0">
            <w:pPr>
              <w:pStyle w:val="TableDataCentred"/>
              <w:rPr>
                <w:lang w:val="en-AU"/>
              </w:rPr>
            </w:pPr>
            <w:r w:rsidRPr="006F7001">
              <w:rPr>
                <w:lang w:val="en-AU"/>
              </w:rPr>
              <w:t>2</w:t>
            </w:r>
          </w:p>
        </w:tc>
        <w:tc>
          <w:tcPr>
            <w:tcW w:w="2338" w:type="dxa"/>
          </w:tcPr>
          <w:p w14:paraId="3FD34792" w14:textId="38630753" w:rsidR="00447E56" w:rsidRPr="006F7001" w:rsidRDefault="00447E56" w:rsidP="009D7FF0">
            <w:pPr>
              <w:pStyle w:val="TableDataCentred"/>
              <w:rPr>
                <w:lang w:val="en-AU"/>
              </w:rPr>
            </w:pPr>
            <w:r w:rsidRPr="006F7001">
              <w:rPr>
                <w:lang w:val="en-AU"/>
              </w:rPr>
              <w:t>0.</w:t>
            </w:r>
            <w:r w:rsidR="000B1C0E">
              <w:rPr>
                <w:lang w:val="en-AU"/>
              </w:rPr>
              <w:t>11</w:t>
            </w:r>
          </w:p>
        </w:tc>
        <w:tc>
          <w:tcPr>
            <w:tcW w:w="2338" w:type="dxa"/>
          </w:tcPr>
          <w:p w14:paraId="276D7060" w14:textId="50D5F26B" w:rsidR="00447E56" w:rsidRPr="006F7001" w:rsidRDefault="00447E56" w:rsidP="009D7FF0">
            <w:pPr>
              <w:pStyle w:val="TableDataCentred"/>
              <w:rPr>
                <w:lang w:val="en-AU"/>
              </w:rPr>
            </w:pPr>
            <w:r w:rsidRPr="006F7001">
              <w:rPr>
                <w:lang w:val="en-AU"/>
              </w:rPr>
              <w:t>[-0.0</w:t>
            </w:r>
            <w:r w:rsidR="000B1C0E">
              <w:rPr>
                <w:lang w:val="en-AU"/>
              </w:rPr>
              <w:t>6</w:t>
            </w:r>
            <w:r w:rsidRPr="006F7001">
              <w:rPr>
                <w:lang w:val="en-AU"/>
              </w:rPr>
              <w:t>, 0.2</w:t>
            </w:r>
            <w:r w:rsidR="000B1C0E">
              <w:rPr>
                <w:lang w:val="en-AU"/>
              </w:rPr>
              <w:t>8</w:t>
            </w:r>
            <w:r w:rsidRPr="006F7001">
              <w:rPr>
                <w:lang w:val="en-AU"/>
              </w:rPr>
              <w:t>]</w:t>
            </w:r>
          </w:p>
        </w:tc>
      </w:tr>
      <w:tr w:rsidR="00447E56" w:rsidRPr="006F7001" w14:paraId="5FED7EE3" w14:textId="77777777" w:rsidTr="00A36B9F">
        <w:tc>
          <w:tcPr>
            <w:tcW w:w="2337" w:type="dxa"/>
            <w:vMerge/>
          </w:tcPr>
          <w:p w14:paraId="4D9810EA" w14:textId="77777777" w:rsidR="00447E56" w:rsidRPr="00DC038F" w:rsidRDefault="00447E56" w:rsidP="009D7FF0">
            <w:pPr>
              <w:pStyle w:val="TableHeadingsColumn"/>
            </w:pPr>
          </w:p>
        </w:tc>
        <w:tc>
          <w:tcPr>
            <w:tcW w:w="2337" w:type="dxa"/>
          </w:tcPr>
          <w:p w14:paraId="5DCDB6CD" w14:textId="77777777" w:rsidR="00447E56" w:rsidRPr="006F7001" w:rsidRDefault="00447E56" w:rsidP="009D7FF0">
            <w:pPr>
              <w:pStyle w:val="TableDataCentred"/>
              <w:rPr>
                <w:lang w:val="en-AU"/>
              </w:rPr>
            </w:pPr>
            <w:r w:rsidRPr="006F7001">
              <w:rPr>
                <w:lang w:val="en-AU"/>
              </w:rPr>
              <w:t>3</w:t>
            </w:r>
          </w:p>
        </w:tc>
        <w:tc>
          <w:tcPr>
            <w:tcW w:w="2338" w:type="dxa"/>
          </w:tcPr>
          <w:p w14:paraId="37EAAF7D" w14:textId="3AC1C3CB" w:rsidR="00447E56" w:rsidRPr="006F7001" w:rsidRDefault="00447E56" w:rsidP="009D7FF0">
            <w:pPr>
              <w:pStyle w:val="TableDataCentred"/>
              <w:rPr>
                <w:lang w:val="en-AU"/>
              </w:rPr>
            </w:pPr>
            <w:r w:rsidRPr="006F7001">
              <w:rPr>
                <w:lang w:val="en-AU"/>
              </w:rPr>
              <w:t>0.</w:t>
            </w:r>
            <w:r w:rsidR="000B1C0E">
              <w:rPr>
                <w:lang w:val="en-AU"/>
              </w:rPr>
              <w:t>43</w:t>
            </w:r>
          </w:p>
        </w:tc>
        <w:tc>
          <w:tcPr>
            <w:tcW w:w="2338" w:type="dxa"/>
          </w:tcPr>
          <w:p w14:paraId="415B2028" w14:textId="132F6CC9" w:rsidR="00447E56" w:rsidRPr="006F7001" w:rsidRDefault="00447E56" w:rsidP="009D7FF0">
            <w:pPr>
              <w:pStyle w:val="TableDataCentred"/>
              <w:rPr>
                <w:lang w:val="en-AU"/>
              </w:rPr>
            </w:pPr>
            <w:r w:rsidRPr="006F7001">
              <w:rPr>
                <w:lang w:val="en-AU"/>
              </w:rPr>
              <w:t>[0.</w:t>
            </w:r>
            <w:r w:rsidR="00FE0D51">
              <w:rPr>
                <w:lang w:val="en-AU"/>
              </w:rPr>
              <w:t>36</w:t>
            </w:r>
            <w:r w:rsidRPr="006F7001">
              <w:rPr>
                <w:lang w:val="en-AU"/>
              </w:rPr>
              <w:t>, 0.</w:t>
            </w:r>
            <w:r w:rsidR="00FE0D51">
              <w:rPr>
                <w:lang w:val="en-AU"/>
              </w:rPr>
              <w:t>51</w:t>
            </w:r>
            <w:r w:rsidR="00F860F7">
              <w:rPr>
                <w:lang w:val="en-AU"/>
              </w:rPr>
              <w:t>]</w:t>
            </w:r>
          </w:p>
        </w:tc>
      </w:tr>
      <w:tr w:rsidR="00447E56" w:rsidRPr="006F7001" w14:paraId="1AECE5D1" w14:textId="77777777" w:rsidTr="00A36B9F">
        <w:tc>
          <w:tcPr>
            <w:tcW w:w="2337" w:type="dxa"/>
            <w:vMerge/>
            <w:tcBorders>
              <w:bottom w:val="single" w:sz="4" w:space="0" w:color="auto"/>
            </w:tcBorders>
          </w:tcPr>
          <w:p w14:paraId="3529BAEF" w14:textId="77777777" w:rsidR="00447E56" w:rsidRPr="00DC038F" w:rsidRDefault="00447E56" w:rsidP="009D7FF0">
            <w:pPr>
              <w:pStyle w:val="TableHeadingsColumn"/>
            </w:pPr>
          </w:p>
        </w:tc>
        <w:tc>
          <w:tcPr>
            <w:tcW w:w="2337" w:type="dxa"/>
            <w:tcBorders>
              <w:bottom w:val="single" w:sz="4" w:space="0" w:color="auto"/>
            </w:tcBorders>
          </w:tcPr>
          <w:p w14:paraId="1CF52EF4" w14:textId="77777777" w:rsidR="00447E56" w:rsidRPr="006F7001" w:rsidRDefault="00447E56" w:rsidP="009D7FF0">
            <w:pPr>
              <w:pStyle w:val="TableDataCentred"/>
              <w:rPr>
                <w:lang w:val="en-AU"/>
              </w:rPr>
            </w:pPr>
            <w:r w:rsidRPr="006F7001">
              <w:rPr>
                <w:lang w:val="en-AU"/>
              </w:rPr>
              <w:t>3.5</w:t>
            </w:r>
          </w:p>
        </w:tc>
        <w:tc>
          <w:tcPr>
            <w:tcW w:w="2338" w:type="dxa"/>
            <w:tcBorders>
              <w:bottom w:val="single" w:sz="4" w:space="0" w:color="auto"/>
            </w:tcBorders>
          </w:tcPr>
          <w:p w14:paraId="05170F1A" w14:textId="685ED3AF" w:rsidR="00447E56" w:rsidRPr="006F7001" w:rsidRDefault="00447E56" w:rsidP="009D7FF0">
            <w:pPr>
              <w:pStyle w:val="TableDataCentred"/>
              <w:rPr>
                <w:lang w:val="en-AU"/>
              </w:rPr>
            </w:pPr>
            <w:r w:rsidRPr="006F7001">
              <w:rPr>
                <w:lang w:val="en-AU"/>
              </w:rPr>
              <w:t>0.</w:t>
            </w:r>
            <w:r w:rsidR="000B1C0E">
              <w:rPr>
                <w:lang w:val="en-AU"/>
              </w:rPr>
              <w:t>59</w:t>
            </w:r>
          </w:p>
        </w:tc>
        <w:tc>
          <w:tcPr>
            <w:tcW w:w="2338" w:type="dxa"/>
            <w:tcBorders>
              <w:bottom w:val="single" w:sz="4" w:space="0" w:color="auto"/>
            </w:tcBorders>
          </w:tcPr>
          <w:p w14:paraId="60AAFE5B" w14:textId="686A1EFD" w:rsidR="00447E56" w:rsidRPr="006F7001" w:rsidRDefault="00447E56" w:rsidP="009D7FF0">
            <w:pPr>
              <w:pStyle w:val="TableDataCentred"/>
              <w:rPr>
                <w:lang w:val="en-AU"/>
              </w:rPr>
            </w:pPr>
            <w:r w:rsidRPr="006F7001">
              <w:rPr>
                <w:lang w:val="en-AU"/>
              </w:rPr>
              <w:t>[0.</w:t>
            </w:r>
            <w:r w:rsidR="00FE0D51">
              <w:rPr>
                <w:lang w:val="en-AU"/>
              </w:rPr>
              <w:t>49</w:t>
            </w:r>
            <w:r w:rsidRPr="006F7001">
              <w:rPr>
                <w:lang w:val="en-AU"/>
              </w:rPr>
              <w:t>, 0.</w:t>
            </w:r>
            <w:r w:rsidR="00FE0D51">
              <w:rPr>
                <w:lang w:val="en-AU"/>
              </w:rPr>
              <w:t>70</w:t>
            </w:r>
            <w:r w:rsidRPr="006F7001">
              <w:rPr>
                <w:lang w:val="en-AU"/>
              </w:rPr>
              <w:t>]</w:t>
            </w:r>
          </w:p>
        </w:tc>
      </w:tr>
      <w:tr w:rsidR="00447E56" w:rsidRPr="006F7001" w14:paraId="52271656" w14:textId="77777777" w:rsidTr="00A36B9F">
        <w:tc>
          <w:tcPr>
            <w:tcW w:w="2337" w:type="dxa"/>
            <w:vMerge w:val="restart"/>
            <w:tcBorders>
              <w:top w:val="single" w:sz="4" w:space="0" w:color="auto"/>
            </w:tcBorders>
          </w:tcPr>
          <w:p w14:paraId="0D3946F7" w14:textId="77777777" w:rsidR="00447E56" w:rsidRPr="00DC038F" w:rsidRDefault="00447E56" w:rsidP="009D7FF0">
            <w:pPr>
              <w:pStyle w:val="TableHeadingsColumn"/>
            </w:pPr>
            <w:r w:rsidRPr="00DC038F">
              <w:t>2</w:t>
            </w:r>
          </w:p>
        </w:tc>
        <w:tc>
          <w:tcPr>
            <w:tcW w:w="2337" w:type="dxa"/>
            <w:tcBorders>
              <w:top w:val="single" w:sz="4" w:space="0" w:color="auto"/>
            </w:tcBorders>
          </w:tcPr>
          <w:p w14:paraId="69642282" w14:textId="77777777" w:rsidR="00447E56" w:rsidRPr="006F7001" w:rsidRDefault="00447E56" w:rsidP="009D7FF0">
            <w:pPr>
              <w:pStyle w:val="TableDataCentred"/>
              <w:rPr>
                <w:lang w:val="en-AU"/>
              </w:rPr>
            </w:pPr>
            <w:r w:rsidRPr="006F7001">
              <w:rPr>
                <w:lang w:val="en-AU"/>
              </w:rPr>
              <w:t>1</w:t>
            </w:r>
          </w:p>
        </w:tc>
        <w:tc>
          <w:tcPr>
            <w:tcW w:w="2338" w:type="dxa"/>
            <w:tcBorders>
              <w:top w:val="single" w:sz="4" w:space="0" w:color="auto"/>
            </w:tcBorders>
          </w:tcPr>
          <w:p w14:paraId="418CB895" w14:textId="7DD59BE1" w:rsidR="00447E56" w:rsidRPr="006F7001" w:rsidRDefault="00447E56" w:rsidP="009D7FF0">
            <w:pPr>
              <w:pStyle w:val="TableDataCentred"/>
              <w:rPr>
                <w:lang w:val="en-AU"/>
              </w:rPr>
            </w:pPr>
            <w:r w:rsidRPr="006F7001">
              <w:rPr>
                <w:lang w:val="en-AU"/>
              </w:rPr>
              <w:t>0.03</w:t>
            </w:r>
          </w:p>
        </w:tc>
        <w:tc>
          <w:tcPr>
            <w:tcW w:w="2338" w:type="dxa"/>
            <w:tcBorders>
              <w:top w:val="single" w:sz="4" w:space="0" w:color="auto"/>
            </w:tcBorders>
          </w:tcPr>
          <w:p w14:paraId="4E92006C" w14:textId="5577A3D7" w:rsidR="00447E56" w:rsidRPr="006F7001" w:rsidRDefault="00447E56" w:rsidP="009D7FF0">
            <w:pPr>
              <w:pStyle w:val="TableDataCentred"/>
              <w:rPr>
                <w:lang w:val="en-AU"/>
              </w:rPr>
            </w:pPr>
            <w:r w:rsidRPr="006F7001">
              <w:rPr>
                <w:lang w:val="en-AU"/>
              </w:rPr>
              <w:t>[-0.18, 0.24]</w:t>
            </w:r>
          </w:p>
        </w:tc>
      </w:tr>
      <w:tr w:rsidR="00447E56" w:rsidRPr="006F7001" w14:paraId="22C79209" w14:textId="77777777" w:rsidTr="00A36B9F">
        <w:tc>
          <w:tcPr>
            <w:tcW w:w="2337" w:type="dxa"/>
            <w:vMerge/>
          </w:tcPr>
          <w:p w14:paraId="4090B8AF" w14:textId="77777777" w:rsidR="00447E56" w:rsidRPr="00DC038F" w:rsidRDefault="00447E56" w:rsidP="009D7FF0">
            <w:pPr>
              <w:pStyle w:val="TableHeadingsColumn"/>
            </w:pPr>
          </w:p>
        </w:tc>
        <w:tc>
          <w:tcPr>
            <w:tcW w:w="2337" w:type="dxa"/>
          </w:tcPr>
          <w:p w14:paraId="0B09EA71" w14:textId="77777777" w:rsidR="00447E56" w:rsidRPr="006F7001" w:rsidRDefault="00447E56" w:rsidP="009D7FF0">
            <w:pPr>
              <w:pStyle w:val="TableDataCentred"/>
              <w:rPr>
                <w:lang w:val="en-AU"/>
              </w:rPr>
            </w:pPr>
            <w:r w:rsidRPr="006F7001">
              <w:rPr>
                <w:lang w:val="en-AU"/>
              </w:rPr>
              <w:t>1.5</w:t>
            </w:r>
          </w:p>
        </w:tc>
        <w:tc>
          <w:tcPr>
            <w:tcW w:w="2338" w:type="dxa"/>
          </w:tcPr>
          <w:p w14:paraId="1673B4DD" w14:textId="77777777" w:rsidR="00447E56" w:rsidRPr="006F7001" w:rsidRDefault="00447E56" w:rsidP="009D7FF0">
            <w:pPr>
              <w:pStyle w:val="TableDataCentred"/>
              <w:rPr>
                <w:lang w:val="en-AU"/>
              </w:rPr>
            </w:pPr>
            <w:r w:rsidRPr="006F7001">
              <w:rPr>
                <w:lang w:val="en-AU"/>
              </w:rPr>
              <w:t>0.13</w:t>
            </w:r>
          </w:p>
        </w:tc>
        <w:tc>
          <w:tcPr>
            <w:tcW w:w="2338" w:type="dxa"/>
          </w:tcPr>
          <w:p w14:paraId="6FEE4485" w14:textId="6CC75E11" w:rsidR="00447E56" w:rsidRPr="006F7001" w:rsidRDefault="00447E56" w:rsidP="009D7FF0">
            <w:pPr>
              <w:pStyle w:val="TableDataCentred"/>
              <w:rPr>
                <w:lang w:val="en-AU"/>
              </w:rPr>
            </w:pPr>
            <w:r w:rsidRPr="006F7001">
              <w:rPr>
                <w:lang w:val="en-AU"/>
              </w:rPr>
              <w:t>[-0.03, 0.29]</w:t>
            </w:r>
          </w:p>
        </w:tc>
      </w:tr>
      <w:tr w:rsidR="00447E56" w:rsidRPr="006F7001" w14:paraId="35AC6E16" w14:textId="77777777" w:rsidTr="00A36B9F">
        <w:tc>
          <w:tcPr>
            <w:tcW w:w="2337" w:type="dxa"/>
            <w:vMerge/>
          </w:tcPr>
          <w:p w14:paraId="5D3A3683" w14:textId="77777777" w:rsidR="00447E56" w:rsidRPr="00DC038F" w:rsidRDefault="00447E56" w:rsidP="009D7FF0">
            <w:pPr>
              <w:pStyle w:val="TableHeadingsColumn"/>
            </w:pPr>
          </w:p>
        </w:tc>
        <w:tc>
          <w:tcPr>
            <w:tcW w:w="2337" w:type="dxa"/>
          </w:tcPr>
          <w:p w14:paraId="1D4A383A" w14:textId="77777777" w:rsidR="00447E56" w:rsidRPr="006F7001" w:rsidRDefault="00447E56" w:rsidP="009D7FF0">
            <w:pPr>
              <w:pStyle w:val="TableDataCentred"/>
              <w:rPr>
                <w:lang w:val="en-AU"/>
              </w:rPr>
            </w:pPr>
            <w:r w:rsidRPr="006F7001">
              <w:rPr>
                <w:lang w:val="en-AU"/>
              </w:rPr>
              <w:t>2</w:t>
            </w:r>
          </w:p>
        </w:tc>
        <w:tc>
          <w:tcPr>
            <w:tcW w:w="2338" w:type="dxa"/>
          </w:tcPr>
          <w:p w14:paraId="435BCD7B" w14:textId="71446EB2" w:rsidR="00447E56" w:rsidRPr="006F7001" w:rsidRDefault="00447E56" w:rsidP="009D7FF0">
            <w:pPr>
              <w:pStyle w:val="TableDataCentred"/>
              <w:rPr>
                <w:lang w:val="en-AU"/>
              </w:rPr>
            </w:pPr>
            <w:r w:rsidRPr="006F7001">
              <w:rPr>
                <w:lang w:val="en-AU"/>
              </w:rPr>
              <w:t>0.23</w:t>
            </w:r>
          </w:p>
        </w:tc>
        <w:tc>
          <w:tcPr>
            <w:tcW w:w="2338" w:type="dxa"/>
          </w:tcPr>
          <w:p w14:paraId="33E6BB4E" w14:textId="13DB4421" w:rsidR="00447E56" w:rsidRPr="006F7001" w:rsidRDefault="00447E56" w:rsidP="009D7FF0">
            <w:pPr>
              <w:pStyle w:val="TableDataCentred"/>
              <w:rPr>
                <w:lang w:val="en-AU"/>
              </w:rPr>
            </w:pPr>
            <w:r w:rsidRPr="006F7001">
              <w:rPr>
                <w:lang w:val="en-AU"/>
              </w:rPr>
              <w:t>[0.12, 0.34]</w:t>
            </w:r>
          </w:p>
        </w:tc>
      </w:tr>
      <w:tr w:rsidR="00447E56" w:rsidRPr="006F7001" w14:paraId="257C8183" w14:textId="77777777" w:rsidTr="00A36B9F">
        <w:tc>
          <w:tcPr>
            <w:tcW w:w="2337" w:type="dxa"/>
            <w:vMerge/>
          </w:tcPr>
          <w:p w14:paraId="33081829" w14:textId="77777777" w:rsidR="00447E56" w:rsidRPr="00DC038F" w:rsidRDefault="00447E56" w:rsidP="009D7FF0">
            <w:pPr>
              <w:pStyle w:val="TableHeadingsColumn"/>
            </w:pPr>
          </w:p>
        </w:tc>
        <w:tc>
          <w:tcPr>
            <w:tcW w:w="2337" w:type="dxa"/>
          </w:tcPr>
          <w:p w14:paraId="5893B263" w14:textId="77777777" w:rsidR="00447E56" w:rsidRPr="006F7001" w:rsidRDefault="00447E56" w:rsidP="009D7FF0">
            <w:pPr>
              <w:pStyle w:val="TableDataCentred"/>
              <w:rPr>
                <w:lang w:val="en-AU"/>
              </w:rPr>
            </w:pPr>
            <w:r w:rsidRPr="006F7001">
              <w:rPr>
                <w:lang w:val="en-AU"/>
              </w:rPr>
              <w:t>3</w:t>
            </w:r>
          </w:p>
        </w:tc>
        <w:tc>
          <w:tcPr>
            <w:tcW w:w="2338" w:type="dxa"/>
          </w:tcPr>
          <w:p w14:paraId="352F6378" w14:textId="6E8B79BE" w:rsidR="00447E56" w:rsidRPr="006F7001" w:rsidRDefault="00447E56" w:rsidP="009D7FF0">
            <w:pPr>
              <w:pStyle w:val="TableDataCentred"/>
              <w:rPr>
                <w:lang w:val="en-AU"/>
              </w:rPr>
            </w:pPr>
            <w:r w:rsidRPr="006F7001">
              <w:rPr>
                <w:lang w:val="en-AU"/>
              </w:rPr>
              <w:t>0,43</w:t>
            </w:r>
          </w:p>
        </w:tc>
        <w:tc>
          <w:tcPr>
            <w:tcW w:w="2338" w:type="dxa"/>
          </w:tcPr>
          <w:p w14:paraId="7607D4D2" w14:textId="101C37AD" w:rsidR="00447E56" w:rsidRPr="006F7001" w:rsidRDefault="00447E56" w:rsidP="009D7FF0">
            <w:pPr>
              <w:pStyle w:val="TableDataCentred"/>
              <w:rPr>
                <w:lang w:val="en-AU"/>
              </w:rPr>
            </w:pPr>
            <w:r w:rsidRPr="006F7001">
              <w:rPr>
                <w:lang w:val="en-AU"/>
              </w:rPr>
              <w:t>[0.37, 0.48]</w:t>
            </w:r>
          </w:p>
        </w:tc>
      </w:tr>
      <w:tr w:rsidR="00447E56" w:rsidRPr="006F7001" w14:paraId="18B0EF20" w14:textId="77777777" w:rsidTr="00A36B9F">
        <w:tc>
          <w:tcPr>
            <w:tcW w:w="2337" w:type="dxa"/>
            <w:vMerge/>
            <w:tcBorders>
              <w:bottom w:val="single" w:sz="4" w:space="0" w:color="auto"/>
            </w:tcBorders>
          </w:tcPr>
          <w:p w14:paraId="348156EE" w14:textId="77777777" w:rsidR="00447E56" w:rsidRPr="00DC038F" w:rsidRDefault="00447E56" w:rsidP="009D7FF0">
            <w:pPr>
              <w:pStyle w:val="TableHeadingsColumn"/>
            </w:pPr>
          </w:p>
        </w:tc>
        <w:tc>
          <w:tcPr>
            <w:tcW w:w="2337" w:type="dxa"/>
            <w:tcBorders>
              <w:bottom w:val="single" w:sz="4" w:space="0" w:color="auto"/>
            </w:tcBorders>
          </w:tcPr>
          <w:p w14:paraId="60F0C838" w14:textId="77777777" w:rsidR="00447E56" w:rsidRPr="006F7001" w:rsidRDefault="00447E56" w:rsidP="009D7FF0">
            <w:pPr>
              <w:pStyle w:val="TableDataCentred"/>
              <w:rPr>
                <w:lang w:val="en-AU"/>
              </w:rPr>
            </w:pPr>
            <w:r w:rsidRPr="006F7001">
              <w:rPr>
                <w:lang w:val="en-AU"/>
              </w:rPr>
              <w:t>3.5</w:t>
            </w:r>
          </w:p>
        </w:tc>
        <w:tc>
          <w:tcPr>
            <w:tcW w:w="2338" w:type="dxa"/>
            <w:tcBorders>
              <w:bottom w:val="single" w:sz="4" w:space="0" w:color="auto"/>
            </w:tcBorders>
          </w:tcPr>
          <w:p w14:paraId="103DEB6E" w14:textId="6CCAA2B7" w:rsidR="00447E56" w:rsidRPr="006F7001" w:rsidRDefault="00447E56" w:rsidP="009D7FF0">
            <w:pPr>
              <w:pStyle w:val="TableDataCentred"/>
              <w:rPr>
                <w:lang w:val="en-AU"/>
              </w:rPr>
            </w:pPr>
            <w:r w:rsidRPr="006F7001">
              <w:rPr>
                <w:lang w:val="en-AU"/>
              </w:rPr>
              <w:t>0.53</w:t>
            </w:r>
          </w:p>
        </w:tc>
        <w:tc>
          <w:tcPr>
            <w:tcW w:w="2338" w:type="dxa"/>
            <w:tcBorders>
              <w:bottom w:val="single" w:sz="4" w:space="0" w:color="auto"/>
            </w:tcBorders>
          </w:tcPr>
          <w:p w14:paraId="327DA1B2" w14:textId="231C345F" w:rsidR="00447E56" w:rsidRPr="006F7001" w:rsidRDefault="00447E56" w:rsidP="009D7FF0">
            <w:pPr>
              <w:pStyle w:val="TableDataCentred"/>
              <w:rPr>
                <w:lang w:val="en-AU"/>
              </w:rPr>
            </w:pPr>
            <w:r w:rsidRPr="006F7001">
              <w:rPr>
                <w:lang w:val="en-AU"/>
              </w:rPr>
              <w:t>[0.45, 0.60]</w:t>
            </w:r>
          </w:p>
        </w:tc>
      </w:tr>
      <w:tr w:rsidR="00447E56" w:rsidRPr="006F7001" w14:paraId="6DD5D8E0" w14:textId="77777777" w:rsidTr="00A36B9F">
        <w:tc>
          <w:tcPr>
            <w:tcW w:w="2337" w:type="dxa"/>
            <w:vMerge w:val="restart"/>
            <w:tcBorders>
              <w:top w:val="single" w:sz="4" w:space="0" w:color="auto"/>
            </w:tcBorders>
          </w:tcPr>
          <w:p w14:paraId="56D260B6" w14:textId="77777777" w:rsidR="00447E56" w:rsidRPr="00DC038F" w:rsidRDefault="00447E56" w:rsidP="009D7FF0">
            <w:pPr>
              <w:pStyle w:val="TableHeadingsColumn"/>
            </w:pPr>
            <w:r w:rsidRPr="00DC038F">
              <w:t>3</w:t>
            </w:r>
          </w:p>
        </w:tc>
        <w:tc>
          <w:tcPr>
            <w:tcW w:w="2337" w:type="dxa"/>
            <w:tcBorders>
              <w:top w:val="single" w:sz="4" w:space="0" w:color="auto"/>
            </w:tcBorders>
          </w:tcPr>
          <w:p w14:paraId="5FD507E6" w14:textId="77777777" w:rsidR="00447E56" w:rsidRPr="006F7001" w:rsidRDefault="00447E56" w:rsidP="009D7FF0">
            <w:pPr>
              <w:pStyle w:val="TableDataCentred"/>
              <w:rPr>
                <w:lang w:val="en-AU"/>
              </w:rPr>
            </w:pPr>
            <w:r w:rsidRPr="006F7001">
              <w:rPr>
                <w:lang w:val="en-AU"/>
              </w:rPr>
              <w:t>1</w:t>
            </w:r>
          </w:p>
        </w:tc>
        <w:tc>
          <w:tcPr>
            <w:tcW w:w="2338" w:type="dxa"/>
            <w:tcBorders>
              <w:top w:val="single" w:sz="4" w:space="0" w:color="auto"/>
            </w:tcBorders>
          </w:tcPr>
          <w:p w14:paraId="0A9CDDF9" w14:textId="7F4D0D9C" w:rsidR="00447E56" w:rsidRPr="006F7001" w:rsidRDefault="00447E56" w:rsidP="009D7FF0">
            <w:pPr>
              <w:pStyle w:val="TableDataCentred"/>
              <w:rPr>
                <w:lang w:val="en-AU"/>
              </w:rPr>
            </w:pPr>
            <w:r w:rsidRPr="006F7001">
              <w:rPr>
                <w:lang w:val="en-AU"/>
              </w:rPr>
              <w:t>0.28</w:t>
            </w:r>
          </w:p>
        </w:tc>
        <w:tc>
          <w:tcPr>
            <w:tcW w:w="2338" w:type="dxa"/>
            <w:tcBorders>
              <w:top w:val="single" w:sz="4" w:space="0" w:color="auto"/>
            </w:tcBorders>
          </w:tcPr>
          <w:p w14:paraId="3EFC3DA6" w14:textId="69D209B2" w:rsidR="00447E56" w:rsidRPr="006F7001" w:rsidRDefault="00447E56" w:rsidP="009D7FF0">
            <w:pPr>
              <w:pStyle w:val="TableDataCentred"/>
              <w:rPr>
                <w:lang w:val="en-AU"/>
              </w:rPr>
            </w:pPr>
            <w:r w:rsidRPr="006F7001">
              <w:rPr>
                <w:lang w:val="en-AU"/>
              </w:rPr>
              <w:t>[0.16, 0.41]</w:t>
            </w:r>
          </w:p>
        </w:tc>
      </w:tr>
      <w:tr w:rsidR="00447E56" w:rsidRPr="006F7001" w14:paraId="2BE6EC48" w14:textId="77777777" w:rsidTr="00A36B9F">
        <w:tc>
          <w:tcPr>
            <w:tcW w:w="2337" w:type="dxa"/>
            <w:vMerge/>
          </w:tcPr>
          <w:p w14:paraId="3FEE05D5" w14:textId="77777777" w:rsidR="00447E56" w:rsidRPr="00DC038F" w:rsidRDefault="00447E56" w:rsidP="009D7FF0">
            <w:pPr>
              <w:pStyle w:val="TableHeadingsColumn"/>
            </w:pPr>
          </w:p>
        </w:tc>
        <w:tc>
          <w:tcPr>
            <w:tcW w:w="2337" w:type="dxa"/>
          </w:tcPr>
          <w:p w14:paraId="29628AFB" w14:textId="77777777" w:rsidR="00447E56" w:rsidRPr="006F7001" w:rsidRDefault="00447E56" w:rsidP="009D7FF0">
            <w:pPr>
              <w:pStyle w:val="TableDataCentred"/>
              <w:rPr>
                <w:lang w:val="en-AU"/>
              </w:rPr>
            </w:pPr>
            <w:r w:rsidRPr="006F7001">
              <w:rPr>
                <w:lang w:val="en-AU"/>
              </w:rPr>
              <w:t>1.5</w:t>
            </w:r>
          </w:p>
        </w:tc>
        <w:tc>
          <w:tcPr>
            <w:tcW w:w="2338" w:type="dxa"/>
          </w:tcPr>
          <w:p w14:paraId="447A876A" w14:textId="22FD9264" w:rsidR="00447E56" w:rsidRPr="006F7001" w:rsidRDefault="00447E56" w:rsidP="009D7FF0">
            <w:pPr>
              <w:pStyle w:val="TableDataCentred"/>
              <w:rPr>
                <w:lang w:val="en-AU"/>
              </w:rPr>
            </w:pPr>
            <w:r w:rsidRPr="006F7001">
              <w:rPr>
                <w:lang w:val="en-AU"/>
              </w:rPr>
              <w:t>0.32</w:t>
            </w:r>
          </w:p>
        </w:tc>
        <w:tc>
          <w:tcPr>
            <w:tcW w:w="2338" w:type="dxa"/>
          </w:tcPr>
          <w:p w14:paraId="2BA9CB3F" w14:textId="69C339F1" w:rsidR="00447E56" w:rsidRPr="006F7001" w:rsidRDefault="00447E56" w:rsidP="009D7FF0">
            <w:pPr>
              <w:pStyle w:val="TableDataCentred"/>
              <w:rPr>
                <w:lang w:val="en-AU"/>
              </w:rPr>
            </w:pPr>
            <w:r w:rsidRPr="006F7001">
              <w:rPr>
                <w:lang w:val="en-AU"/>
              </w:rPr>
              <w:t>[0.23, 0.41]</w:t>
            </w:r>
          </w:p>
        </w:tc>
      </w:tr>
      <w:tr w:rsidR="00447E56" w:rsidRPr="006F7001" w14:paraId="5ED6B7D6" w14:textId="77777777" w:rsidTr="00A36B9F">
        <w:tc>
          <w:tcPr>
            <w:tcW w:w="2337" w:type="dxa"/>
            <w:vMerge/>
          </w:tcPr>
          <w:p w14:paraId="55034911" w14:textId="77777777" w:rsidR="00447E56" w:rsidRPr="00DC038F" w:rsidRDefault="00447E56" w:rsidP="009D7FF0">
            <w:pPr>
              <w:pStyle w:val="TableHeadingsColumn"/>
            </w:pPr>
          </w:p>
        </w:tc>
        <w:tc>
          <w:tcPr>
            <w:tcW w:w="2337" w:type="dxa"/>
          </w:tcPr>
          <w:p w14:paraId="7A16F2E1" w14:textId="77777777" w:rsidR="00447E56" w:rsidRPr="006F7001" w:rsidRDefault="00447E56" w:rsidP="009D7FF0">
            <w:pPr>
              <w:pStyle w:val="TableDataCentred"/>
              <w:rPr>
                <w:lang w:val="en-AU"/>
              </w:rPr>
            </w:pPr>
            <w:r w:rsidRPr="006F7001">
              <w:rPr>
                <w:lang w:val="en-AU"/>
              </w:rPr>
              <w:t>2</w:t>
            </w:r>
          </w:p>
        </w:tc>
        <w:tc>
          <w:tcPr>
            <w:tcW w:w="2338" w:type="dxa"/>
          </w:tcPr>
          <w:p w14:paraId="5D709C8B" w14:textId="1F00FF85" w:rsidR="00447E56" w:rsidRPr="006F7001" w:rsidRDefault="00447E56" w:rsidP="009D7FF0">
            <w:pPr>
              <w:pStyle w:val="TableDataCentred"/>
              <w:rPr>
                <w:lang w:val="en-AU"/>
              </w:rPr>
            </w:pPr>
            <w:r w:rsidRPr="006F7001">
              <w:rPr>
                <w:lang w:val="en-AU"/>
              </w:rPr>
              <w:t>0.35</w:t>
            </w:r>
          </w:p>
        </w:tc>
        <w:tc>
          <w:tcPr>
            <w:tcW w:w="2338" w:type="dxa"/>
          </w:tcPr>
          <w:p w14:paraId="4432759C" w14:textId="0A56B60B" w:rsidR="00447E56" w:rsidRPr="006F7001" w:rsidRDefault="00447E56" w:rsidP="009D7FF0">
            <w:pPr>
              <w:pStyle w:val="TableDataCentred"/>
              <w:rPr>
                <w:lang w:val="en-AU"/>
              </w:rPr>
            </w:pPr>
            <w:r w:rsidRPr="006F7001">
              <w:rPr>
                <w:lang w:val="en-AU"/>
              </w:rPr>
              <w:t>[0.29, 0.42]</w:t>
            </w:r>
          </w:p>
        </w:tc>
      </w:tr>
      <w:tr w:rsidR="00447E56" w:rsidRPr="006F7001" w14:paraId="3652F2DF" w14:textId="77777777" w:rsidTr="00A36B9F">
        <w:tc>
          <w:tcPr>
            <w:tcW w:w="2337" w:type="dxa"/>
            <w:vMerge/>
          </w:tcPr>
          <w:p w14:paraId="6E578899" w14:textId="77777777" w:rsidR="00447E56" w:rsidRPr="00DC038F" w:rsidRDefault="00447E56" w:rsidP="009D7FF0">
            <w:pPr>
              <w:pStyle w:val="TableHeadingsColumn"/>
            </w:pPr>
          </w:p>
        </w:tc>
        <w:tc>
          <w:tcPr>
            <w:tcW w:w="2337" w:type="dxa"/>
          </w:tcPr>
          <w:p w14:paraId="2F203917" w14:textId="77777777" w:rsidR="00447E56" w:rsidRPr="006F7001" w:rsidRDefault="00447E56" w:rsidP="009D7FF0">
            <w:pPr>
              <w:pStyle w:val="TableDataCentred"/>
              <w:rPr>
                <w:lang w:val="en-AU"/>
              </w:rPr>
            </w:pPr>
            <w:r w:rsidRPr="006F7001">
              <w:rPr>
                <w:lang w:val="en-AU"/>
              </w:rPr>
              <w:t>3</w:t>
            </w:r>
          </w:p>
        </w:tc>
        <w:tc>
          <w:tcPr>
            <w:tcW w:w="2338" w:type="dxa"/>
          </w:tcPr>
          <w:p w14:paraId="023AE33A" w14:textId="6AD50AE9" w:rsidR="00447E56" w:rsidRPr="006F7001" w:rsidRDefault="00447E56" w:rsidP="009D7FF0">
            <w:pPr>
              <w:pStyle w:val="TableDataCentred"/>
              <w:rPr>
                <w:lang w:val="en-AU"/>
              </w:rPr>
            </w:pPr>
            <w:r w:rsidRPr="006F7001">
              <w:rPr>
                <w:lang w:val="en-AU"/>
              </w:rPr>
              <w:t>0.42</w:t>
            </w:r>
          </w:p>
        </w:tc>
        <w:tc>
          <w:tcPr>
            <w:tcW w:w="2338" w:type="dxa"/>
          </w:tcPr>
          <w:p w14:paraId="282BE091" w14:textId="09CF3F1D" w:rsidR="00447E56" w:rsidRPr="006F7001" w:rsidRDefault="00447E56" w:rsidP="009D7FF0">
            <w:pPr>
              <w:pStyle w:val="TableDataCentred"/>
              <w:rPr>
                <w:lang w:val="en-AU"/>
              </w:rPr>
            </w:pPr>
            <w:r w:rsidRPr="006F7001">
              <w:rPr>
                <w:lang w:val="en-AU"/>
              </w:rPr>
              <w:t>[0.37, 0.48]</w:t>
            </w:r>
          </w:p>
        </w:tc>
      </w:tr>
      <w:tr w:rsidR="00447E56" w:rsidRPr="006F7001" w14:paraId="0389C98D" w14:textId="77777777" w:rsidTr="00A36B9F">
        <w:tc>
          <w:tcPr>
            <w:tcW w:w="2337" w:type="dxa"/>
            <w:vMerge/>
            <w:tcBorders>
              <w:bottom w:val="single" w:sz="4" w:space="0" w:color="auto"/>
            </w:tcBorders>
          </w:tcPr>
          <w:p w14:paraId="273C177A" w14:textId="77777777" w:rsidR="00447E56" w:rsidRPr="00DC038F" w:rsidRDefault="00447E56" w:rsidP="009D7FF0">
            <w:pPr>
              <w:pStyle w:val="TableHeadingsColumn"/>
            </w:pPr>
          </w:p>
        </w:tc>
        <w:tc>
          <w:tcPr>
            <w:tcW w:w="2337" w:type="dxa"/>
            <w:tcBorders>
              <w:bottom w:val="single" w:sz="4" w:space="0" w:color="auto"/>
            </w:tcBorders>
          </w:tcPr>
          <w:p w14:paraId="475D5B37" w14:textId="77777777" w:rsidR="00447E56" w:rsidRPr="006F7001" w:rsidRDefault="00447E56" w:rsidP="009D7FF0">
            <w:pPr>
              <w:pStyle w:val="TableDataCentred"/>
              <w:rPr>
                <w:lang w:val="en-AU"/>
              </w:rPr>
            </w:pPr>
            <w:r w:rsidRPr="006F7001">
              <w:rPr>
                <w:lang w:val="en-AU"/>
              </w:rPr>
              <w:t>3.5</w:t>
            </w:r>
          </w:p>
        </w:tc>
        <w:tc>
          <w:tcPr>
            <w:tcW w:w="2338" w:type="dxa"/>
            <w:tcBorders>
              <w:bottom w:val="single" w:sz="4" w:space="0" w:color="auto"/>
            </w:tcBorders>
          </w:tcPr>
          <w:p w14:paraId="63813A26" w14:textId="523EAF06" w:rsidR="00447E56" w:rsidRPr="006F7001" w:rsidRDefault="00447E56" w:rsidP="009D7FF0">
            <w:pPr>
              <w:pStyle w:val="TableDataCentred"/>
              <w:rPr>
                <w:lang w:val="en-AU"/>
              </w:rPr>
            </w:pPr>
            <w:r w:rsidRPr="006F7001">
              <w:rPr>
                <w:lang w:val="en-AU"/>
              </w:rPr>
              <w:t>0.46</w:t>
            </w:r>
          </w:p>
        </w:tc>
        <w:tc>
          <w:tcPr>
            <w:tcW w:w="2338" w:type="dxa"/>
            <w:tcBorders>
              <w:bottom w:val="single" w:sz="4" w:space="0" w:color="auto"/>
            </w:tcBorders>
          </w:tcPr>
          <w:p w14:paraId="6FA0B698" w14:textId="28B17555" w:rsidR="00447E56" w:rsidRPr="006F7001" w:rsidRDefault="00447E56" w:rsidP="009D7FF0">
            <w:pPr>
              <w:pStyle w:val="TableDataCentred"/>
              <w:rPr>
                <w:lang w:val="en-AU"/>
              </w:rPr>
            </w:pPr>
            <w:r w:rsidRPr="006F7001">
              <w:rPr>
                <w:lang w:val="en-AU"/>
              </w:rPr>
              <w:t>[0.38, 0.53]</w:t>
            </w:r>
          </w:p>
        </w:tc>
      </w:tr>
      <w:tr w:rsidR="00447E56" w:rsidRPr="006F7001" w14:paraId="15F3281C" w14:textId="77777777" w:rsidTr="00A36B9F">
        <w:tc>
          <w:tcPr>
            <w:tcW w:w="2337" w:type="dxa"/>
            <w:vMerge w:val="restart"/>
            <w:tcBorders>
              <w:top w:val="single" w:sz="4" w:space="0" w:color="auto"/>
            </w:tcBorders>
          </w:tcPr>
          <w:p w14:paraId="5805E217" w14:textId="77777777" w:rsidR="00447E56" w:rsidRPr="00DC038F" w:rsidRDefault="00447E56" w:rsidP="009D7FF0">
            <w:pPr>
              <w:pStyle w:val="TableHeadingsColumn"/>
            </w:pPr>
            <w:r w:rsidRPr="00DC038F">
              <w:t>4</w:t>
            </w:r>
          </w:p>
        </w:tc>
        <w:tc>
          <w:tcPr>
            <w:tcW w:w="2337" w:type="dxa"/>
            <w:tcBorders>
              <w:top w:val="single" w:sz="4" w:space="0" w:color="auto"/>
            </w:tcBorders>
          </w:tcPr>
          <w:p w14:paraId="74BF6B36" w14:textId="77777777" w:rsidR="00447E56" w:rsidRPr="006F7001" w:rsidRDefault="00447E56" w:rsidP="009D7FF0">
            <w:pPr>
              <w:pStyle w:val="TableDataCentred"/>
              <w:rPr>
                <w:lang w:val="en-AU"/>
              </w:rPr>
            </w:pPr>
            <w:r w:rsidRPr="006F7001">
              <w:rPr>
                <w:lang w:val="en-AU"/>
              </w:rPr>
              <w:t>1</w:t>
            </w:r>
          </w:p>
        </w:tc>
        <w:tc>
          <w:tcPr>
            <w:tcW w:w="2338" w:type="dxa"/>
            <w:tcBorders>
              <w:top w:val="single" w:sz="4" w:space="0" w:color="auto"/>
            </w:tcBorders>
          </w:tcPr>
          <w:p w14:paraId="6E80F52B" w14:textId="7DFE502A" w:rsidR="00447E56" w:rsidRPr="006F7001" w:rsidRDefault="00447E56" w:rsidP="009D7FF0">
            <w:pPr>
              <w:pStyle w:val="TableDataCentred"/>
              <w:rPr>
                <w:lang w:val="en-AU"/>
              </w:rPr>
            </w:pPr>
            <w:r w:rsidRPr="006F7001">
              <w:rPr>
                <w:lang w:val="en-AU"/>
              </w:rPr>
              <w:t>0.53</w:t>
            </w:r>
          </w:p>
        </w:tc>
        <w:tc>
          <w:tcPr>
            <w:tcW w:w="2338" w:type="dxa"/>
            <w:tcBorders>
              <w:top w:val="single" w:sz="4" w:space="0" w:color="auto"/>
            </w:tcBorders>
          </w:tcPr>
          <w:p w14:paraId="644A6AE1" w14:textId="467C75C2" w:rsidR="00447E56" w:rsidRPr="006F7001" w:rsidRDefault="00447E56" w:rsidP="009D7FF0">
            <w:pPr>
              <w:pStyle w:val="TableDataCentred"/>
              <w:rPr>
                <w:lang w:val="en-AU"/>
              </w:rPr>
            </w:pPr>
            <w:r w:rsidRPr="006F7001">
              <w:rPr>
                <w:lang w:val="en-AU"/>
              </w:rPr>
              <w:t>[0.42, 0.65]</w:t>
            </w:r>
          </w:p>
        </w:tc>
      </w:tr>
      <w:tr w:rsidR="00447E56" w:rsidRPr="006F7001" w14:paraId="11D16163" w14:textId="77777777" w:rsidTr="00A36B9F">
        <w:tc>
          <w:tcPr>
            <w:tcW w:w="2337" w:type="dxa"/>
            <w:vMerge/>
          </w:tcPr>
          <w:p w14:paraId="2C568301" w14:textId="77777777" w:rsidR="00447E56" w:rsidRPr="006F7001" w:rsidRDefault="00447E56" w:rsidP="00F8427E">
            <w:pPr>
              <w:keepNext/>
              <w:spacing w:line="240" w:lineRule="auto"/>
              <w:rPr>
                <w:rFonts w:ascii="Times New Roman" w:hAnsi="Times New Roman"/>
                <w:sz w:val="20"/>
                <w:szCs w:val="20"/>
                <w:lang w:val="en-AU"/>
              </w:rPr>
            </w:pPr>
          </w:p>
        </w:tc>
        <w:tc>
          <w:tcPr>
            <w:tcW w:w="2337" w:type="dxa"/>
          </w:tcPr>
          <w:p w14:paraId="0DEC861F" w14:textId="77777777" w:rsidR="00447E56" w:rsidRPr="006F7001" w:rsidRDefault="00447E56" w:rsidP="009D7FF0">
            <w:pPr>
              <w:pStyle w:val="TableDataCentred"/>
              <w:rPr>
                <w:lang w:val="en-AU"/>
              </w:rPr>
            </w:pPr>
            <w:r w:rsidRPr="006F7001">
              <w:rPr>
                <w:lang w:val="en-AU"/>
              </w:rPr>
              <w:t>1.5</w:t>
            </w:r>
          </w:p>
        </w:tc>
        <w:tc>
          <w:tcPr>
            <w:tcW w:w="2338" w:type="dxa"/>
          </w:tcPr>
          <w:p w14:paraId="45E2150C" w14:textId="64D6C76E" w:rsidR="00447E56" w:rsidRPr="006F7001" w:rsidRDefault="00447E56" w:rsidP="009D7FF0">
            <w:pPr>
              <w:pStyle w:val="TableDataCentred"/>
              <w:rPr>
                <w:lang w:val="en-AU"/>
              </w:rPr>
            </w:pPr>
            <w:r w:rsidRPr="006F7001">
              <w:rPr>
                <w:lang w:val="en-AU"/>
              </w:rPr>
              <w:t>0.50</w:t>
            </w:r>
          </w:p>
        </w:tc>
        <w:tc>
          <w:tcPr>
            <w:tcW w:w="2338" w:type="dxa"/>
          </w:tcPr>
          <w:p w14:paraId="0D4E59A2" w14:textId="5CD5A5EF" w:rsidR="00447E56" w:rsidRPr="006F7001" w:rsidRDefault="00447E56" w:rsidP="009D7FF0">
            <w:pPr>
              <w:pStyle w:val="TableDataCentred"/>
              <w:rPr>
                <w:lang w:val="en-AU"/>
              </w:rPr>
            </w:pPr>
            <w:r w:rsidRPr="006F7001">
              <w:rPr>
                <w:lang w:val="en-AU"/>
              </w:rPr>
              <w:t>[0.42, 0.59]</w:t>
            </w:r>
          </w:p>
        </w:tc>
      </w:tr>
      <w:tr w:rsidR="00447E56" w:rsidRPr="006F7001" w14:paraId="79C3F217" w14:textId="77777777" w:rsidTr="00A36B9F">
        <w:tc>
          <w:tcPr>
            <w:tcW w:w="2337" w:type="dxa"/>
            <w:vMerge/>
          </w:tcPr>
          <w:p w14:paraId="2891DC06" w14:textId="77777777" w:rsidR="00447E56" w:rsidRPr="006F7001" w:rsidRDefault="00447E56" w:rsidP="00F8427E">
            <w:pPr>
              <w:keepNext/>
              <w:spacing w:line="240" w:lineRule="auto"/>
              <w:rPr>
                <w:rFonts w:ascii="Times New Roman" w:hAnsi="Times New Roman"/>
                <w:sz w:val="20"/>
                <w:szCs w:val="20"/>
                <w:lang w:val="en-AU"/>
              </w:rPr>
            </w:pPr>
          </w:p>
        </w:tc>
        <w:tc>
          <w:tcPr>
            <w:tcW w:w="2337" w:type="dxa"/>
          </w:tcPr>
          <w:p w14:paraId="7EB28979" w14:textId="77777777" w:rsidR="00447E56" w:rsidRPr="006F7001" w:rsidRDefault="00447E56" w:rsidP="009D7FF0">
            <w:pPr>
              <w:pStyle w:val="TableDataCentred"/>
              <w:rPr>
                <w:lang w:val="en-AU"/>
              </w:rPr>
            </w:pPr>
            <w:r w:rsidRPr="006F7001">
              <w:rPr>
                <w:lang w:val="en-AU"/>
              </w:rPr>
              <w:t>2</w:t>
            </w:r>
          </w:p>
        </w:tc>
        <w:tc>
          <w:tcPr>
            <w:tcW w:w="2338" w:type="dxa"/>
          </w:tcPr>
          <w:p w14:paraId="2250E91C" w14:textId="76522FA6" w:rsidR="00447E56" w:rsidRPr="006F7001" w:rsidRDefault="00447E56" w:rsidP="009D7FF0">
            <w:pPr>
              <w:pStyle w:val="TableDataCentred"/>
              <w:rPr>
                <w:lang w:val="en-AU"/>
              </w:rPr>
            </w:pPr>
            <w:r w:rsidRPr="006F7001">
              <w:rPr>
                <w:lang w:val="en-AU"/>
              </w:rPr>
              <w:t>0.47</w:t>
            </w:r>
          </w:p>
        </w:tc>
        <w:tc>
          <w:tcPr>
            <w:tcW w:w="2338" w:type="dxa"/>
          </w:tcPr>
          <w:p w14:paraId="150B9E48" w14:textId="49F1A6B5" w:rsidR="00447E56" w:rsidRPr="006F7001" w:rsidRDefault="00447E56" w:rsidP="009D7FF0">
            <w:pPr>
              <w:pStyle w:val="TableDataCentred"/>
              <w:rPr>
                <w:lang w:val="en-AU"/>
              </w:rPr>
            </w:pPr>
            <w:r w:rsidRPr="006F7001">
              <w:rPr>
                <w:lang w:val="en-AU"/>
              </w:rPr>
              <w:t>[0.41, 0.54]</w:t>
            </w:r>
          </w:p>
        </w:tc>
      </w:tr>
      <w:tr w:rsidR="00447E56" w:rsidRPr="006F7001" w14:paraId="53A7D52B" w14:textId="77777777" w:rsidTr="00A36B9F">
        <w:tc>
          <w:tcPr>
            <w:tcW w:w="2337" w:type="dxa"/>
            <w:vMerge/>
          </w:tcPr>
          <w:p w14:paraId="6D2B5690" w14:textId="77777777" w:rsidR="00447E56" w:rsidRPr="006F7001" w:rsidRDefault="00447E56" w:rsidP="00F8427E">
            <w:pPr>
              <w:keepNext/>
              <w:spacing w:line="240" w:lineRule="auto"/>
              <w:rPr>
                <w:rFonts w:ascii="Times New Roman" w:hAnsi="Times New Roman"/>
                <w:sz w:val="20"/>
                <w:szCs w:val="20"/>
                <w:lang w:val="en-AU"/>
              </w:rPr>
            </w:pPr>
          </w:p>
        </w:tc>
        <w:tc>
          <w:tcPr>
            <w:tcW w:w="2337" w:type="dxa"/>
          </w:tcPr>
          <w:p w14:paraId="32A4B60B" w14:textId="77777777" w:rsidR="00447E56" w:rsidRPr="006F7001" w:rsidRDefault="00447E56" w:rsidP="009D7FF0">
            <w:pPr>
              <w:pStyle w:val="TableDataCentred"/>
              <w:rPr>
                <w:lang w:val="en-AU"/>
              </w:rPr>
            </w:pPr>
            <w:r w:rsidRPr="006F7001">
              <w:rPr>
                <w:lang w:val="en-AU"/>
              </w:rPr>
              <w:t>3</w:t>
            </w:r>
          </w:p>
        </w:tc>
        <w:tc>
          <w:tcPr>
            <w:tcW w:w="2338" w:type="dxa"/>
          </w:tcPr>
          <w:p w14:paraId="73E894D7" w14:textId="5F5AA954" w:rsidR="00447E56" w:rsidRPr="006F7001" w:rsidRDefault="00447E56" w:rsidP="009D7FF0">
            <w:pPr>
              <w:pStyle w:val="TableDataCentred"/>
              <w:rPr>
                <w:lang w:val="en-AU"/>
              </w:rPr>
            </w:pPr>
            <w:r w:rsidRPr="006F7001">
              <w:rPr>
                <w:lang w:val="en-AU"/>
              </w:rPr>
              <w:t>0.42</w:t>
            </w:r>
          </w:p>
        </w:tc>
        <w:tc>
          <w:tcPr>
            <w:tcW w:w="2338" w:type="dxa"/>
          </w:tcPr>
          <w:p w14:paraId="3CA2FBEF" w14:textId="619D72C2" w:rsidR="00447E56" w:rsidRPr="006F7001" w:rsidRDefault="257264C0" w:rsidP="009D7FF0">
            <w:pPr>
              <w:pStyle w:val="TableDataCentred"/>
              <w:rPr>
                <w:lang w:val="en-AU"/>
              </w:rPr>
            </w:pPr>
            <w:r w:rsidRPr="57199762">
              <w:rPr>
                <w:lang w:val="en-AU"/>
              </w:rPr>
              <w:t>[0.34, 0.49]</w:t>
            </w:r>
          </w:p>
        </w:tc>
      </w:tr>
      <w:tr w:rsidR="00447E56" w:rsidRPr="006F7001" w14:paraId="372DA100" w14:textId="77777777" w:rsidTr="00A36B9F">
        <w:tc>
          <w:tcPr>
            <w:tcW w:w="2337" w:type="dxa"/>
            <w:vMerge/>
            <w:tcBorders>
              <w:bottom w:val="single" w:sz="4" w:space="0" w:color="auto"/>
            </w:tcBorders>
          </w:tcPr>
          <w:p w14:paraId="68A9A830" w14:textId="77777777" w:rsidR="00447E56" w:rsidRPr="006F7001" w:rsidRDefault="00447E56" w:rsidP="00F8427E">
            <w:pPr>
              <w:keepNext/>
              <w:spacing w:line="240" w:lineRule="auto"/>
              <w:rPr>
                <w:rFonts w:ascii="Times New Roman" w:hAnsi="Times New Roman"/>
                <w:sz w:val="20"/>
                <w:szCs w:val="20"/>
                <w:lang w:val="en-AU"/>
              </w:rPr>
            </w:pPr>
          </w:p>
        </w:tc>
        <w:tc>
          <w:tcPr>
            <w:tcW w:w="2337" w:type="dxa"/>
            <w:tcBorders>
              <w:bottom w:val="single" w:sz="4" w:space="0" w:color="auto"/>
            </w:tcBorders>
          </w:tcPr>
          <w:p w14:paraId="4FA623E9" w14:textId="77777777" w:rsidR="00447E56" w:rsidRPr="006F7001" w:rsidRDefault="00447E56" w:rsidP="009D7FF0">
            <w:pPr>
              <w:pStyle w:val="TableDataCentred"/>
              <w:rPr>
                <w:lang w:val="en-AU"/>
              </w:rPr>
            </w:pPr>
            <w:r w:rsidRPr="006F7001">
              <w:rPr>
                <w:lang w:val="en-AU"/>
              </w:rPr>
              <w:t>3.5</w:t>
            </w:r>
          </w:p>
        </w:tc>
        <w:tc>
          <w:tcPr>
            <w:tcW w:w="2338" w:type="dxa"/>
            <w:tcBorders>
              <w:bottom w:val="single" w:sz="4" w:space="0" w:color="auto"/>
            </w:tcBorders>
          </w:tcPr>
          <w:p w14:paraId="33BC7FC1" w14:textId="77DEE44B" w:rsidR="00447E56" w:rsidRPr="006F7001" w:rsidRDefault="00447E56" w:rsidP="009D7FF0">
            <w:pPr>
              <w:pStyle w:val="TableDataCentred"/>
              <w:rPr>
                <w:lang w:val="en-AU"/>
              </w:rPr>
            </w:pPr>
            <w:r w:rsidRPr="006F7001">
              <w:rPr>
                <w:lang w:val="en-AU"/>
              </w:rPr>
              <w:t>0.39</w:t>
            </w:r>
          </w:p>
        </w:tc>
        <w:tc>
          <w:tcPr>
            <w:tcW w:w="2338" w:type="dxa"/>
            <w:tcBorders>
              <w:bottom w:val="single" w:sz="4" w:space="0" w:color="auto"/>
            </w:tcBorders>
          </w:tcPr>
          <w:p w14:paraId="617DEE58" w14:textId="1F4FDDC0" w:rsidR="00447E56" w:rsidRPr="006F7001" w:rsidRDefault="00447E56" w:rsidP="009D7FF0">
            <w:pPr>
              <w:pStyle w:val="TableDataCentred"/>
              <w:rPr>
                <w:lang w:val="en-AU"/>
              </w:rPr>
            </w:pPr>
            <w:r w:rsidRPr="006F7001">
              <w:rPr>
                <w:lang w:val="en-AU"/>
              </w:rPr>
              <w:t>[0.28, 0.49]</w:t>
            </w:r>
          </w:p>
        </w:tc>
      </w:tr>
      <w:tr w:rsidR="006B7705" w:rsidRPr="006F7001" w14:paraId="32A1817C" w14:textId="77777777" w:rsidTr="00A36B9F">
        <w:tc>
          <w:tcPr>
            <w:tcW w:w="2337" w:type="dxa"/>
            <w:vMerge w:val="restart"/>
            <w:tcBorders>
              <w:top w:val="single" w:sz="4" w:space="0" w:color="auto"/>
            </w:tcBorders>
          </w:tcPr>
          <w:p w14:paraId="6E6B07EA" w14:textId="22554870" w:rsidR="006B7705" w:rsidRPr="005F623F" w:rsidRDefault="006B7705" w:rsidP="005F623F">
            <w:pPr>
              <w:pStyle w:val="TableHeadingsColumn"/>
            </w:pPr>
            <w:r>
              <w:rPr>
                <w:lang w:val="en-AU"/>
              </w:rPr>
              <w:t>5</w:t>
            </w:r>
          </w:p>
        </w:tc>
        <w:tc>
          <w:tcPr>
            <w:tcW w:w="2337" w:type="dxa"/>
            <w:tcBorders>
              <w:top w:val="single" w:sz="4" w:space="0" w:color="auto"/>
            </w:tcBorders>
          </w:tcPr>
          <w:p w14:paraId="1B1B81EA" w14:textId="0DBFC0D0" w:rsidR="006B7705" w:rsidRPr="006F7001" w:rsidRDefault="006B7705" w:rsidP="009D7FF0">
            <w:pPr>
              <w:pStyle w:val="TableDataCentred"/>
              <w:rPr>
                <w:lang w:val="en-AU"/>
              </w:rPr>
            </w:pPr>
            <w:r>
              <w:rPr>
                <w:lang w:val="en-AU"/>
              </w:rPr>
              <w:t>1</w:t>
            </w:r>
          </w:p>
        </w:tc>
        <w:tc>
          <w:tcPr>
            <w:tcW w:w="2338" w:type="dxa"/>
            <w:tcBorders>
              <w:top w:val="single" w:sz="4" w:space="0" w:color="auto"/>
            </w:tcBorders>
          </w:tcPr>
          <w:p w14:paraId="0953A2B0" w14:textId="1FD1E4FC" w:rsidR="006B7705" w:rsidRPr="006F7001" w:rsidRDefault="007A4B27" w:rsidP="009D7FF0">
            <w:pPr>
              <w:pStyle w:val="TableDataCentred"/>
              <w:rPr>
                <w:lang w:val="en-AU"/>
              </w:rPr>
            </w:pPr>
            <w:r>
              <w:rPr>
                <w:lang w:val="en-AU"/>
              </w:rPr>
              <w:t>0.7</w:t>
            </w:r>
            <w:r w:rsidR="00F13EDC">
              <w:rPr>
                <w:lang w:val="en-AU"/>
              </w:rPr>
              <w:t>8</w:t>
            </w:r>
          </w:p>
        </w:tc>
        <w:tc>
          <w:tcPr>
            <w:tcW w:w="2338" w:type="dxa"/>
            <w:tcBorders>
              <w:top w:val="single" w:sz="4" w:space="0" w:color="auto"/>
            </w:tcBorders>
          </w:tcPr>
          <w:p w14:paraId="6894E1A6" w14:textId="78213BD1" w:rsidR="006B7705" w:rsidRPr="006F7001" w:rsidRDefault="00A61795" w:rsidP="009D7FF0">
            <w:pPr>
              <w:pStyle w:val="TableDataCentred"/>
              <w:rPr>
                <w:lang w:val="en-AU"/>
              </w:rPr>
            </w:pPr>
            <w:r>
              <w:rPr>
                <w:lang w:val="en-AU"/>
              </w:rPr>
              <w:t>[0.5</w:t>
            </w:r>
            <w:r w:rsidR="00987732">
              <w:rPr>
                <w:lang w:val="en-AU"/>
              </w:rPr>
              <w:t>8</w:t>
            </w:r>
            <w:r>
              <w:rPr>
                <w:lang w:val="en-AU"/>
              </w:rPr>
              <w:t>, 0.9</w:t>
            </w:r>
            <w:r w:rsidR="00987732">
              <w:rPr>
                <w:lang w:val="en-AU"/>
              </w:rPr>
              <w:t>8</w:t>
            </w:r>
            <w:r>
              <w:rPr>
                <w:lang w:val="en-AU"/>
              </w:rPr>
              <w:t>]</w:t>
            </w:r>
          </w:p>
        </w:tc>
      </w:tr>
      <w:tr w:rsidR="006B7705" w:rsidRPr="006F7001" w14:paraId="45D9FBC5" w14:textId="77777777" w:rsidTr="00A36B9F">
        <w:tc>
          <w:tcPr>
            <w:tcW w:w="2337" w:type="dxa"/>
            <w:vMerge/>
          </w:tcPr>
          <w:p w14:paraId="325F7DC8" w14:textId="77777777" w:rsidR="006B7705" w:rsidRDefault="006B7705" w:rsidP="006B7705">
            <w:pPr>
              <w:jc w:val="center"/>
              <w:rPr>
                <w:rFonts w:ascii="Times New Roman" w:hAnsi="Times New Roman"/>
                <w:sz w:val="20"/>
                <w:szCs w:val="20"/>
                <w:lang w:val="en-AU"/>
              </w:rPr>
            </w:pPr>
          </w:p>
        </w:tc>
        <w:tc>
          <w:tcPr>
            <w:tcW w:w="2337" w:type="dxa"/>
          </w:tcPr>
          <w:p w14:paraId="14691D74" w14:textId="36FF2D30" w:rsidR="006B7705" w:rsidRDefault="007A4B27" w:rsidP="009D7FF0">
            <w:pPr>
              <w:pStyle w:val="TableDataCentred"/>
              <w:rPr>
                <w:lang w:val="en-AU"/>
              </w:rPr>
            </w:pPr>
            <w:r>
              <w:rPr>
                <w:lang w:val="en-AU"/>
              </w:rPr>
              <w:t>1.5</w:t>
            </w:r>
          </w:p>
        </w:tc>
        <w:tc>
          <w:tcPr>
            <w:tcW w:w="2338" w:type="dxa"/>
          </w:tcPr>
          <w:p w14:paraId="1F9B9CAC" w14:textId="3700AFD1" w:rsidR="006B7705" w:rsidRPr="006F7001" w:rsidRDefault="007A4B27" w:rsidP="009D7FF0">
            <w:pPr>
              <w:pStyle w:val="TableDataCentred"/>
              <w:rPr>
                <w:lang w:val="en-AU"/>
              </w:rPr>
            </w:pPr>
            <w:r>
              <w:rPr>
                <w:lang w:val="en-AU"/>
              </w:rPr>
              <w:t>0.6</w:t>
            </w:r>
            <w:r w:rsidR="00F13EDC">
              <w:rPr>
                <w:lang w:val="en-AU"/>
              </w:rPr>
              <w:t>9</w:t>
            </w:r>
          </w:p>
        </w:tc>
        <w:tc>
          <w:tcPr>
            <w:tcW w:w="2338" w:type="dxa"/>
          </w:tcPr>
          <w:p w14:paraId="2FD6286F" w14:textId="40977D8A" w:rsidR="006B7705" w:rsidRPr="006F7001" w:rsidRDefault="00A61795" w:rsidP="009D7FF0">
            <w:pPr>
              <w:pStyle w:val="TableDataCentred"/>
              <w:rPr>
                <w:lang w:val="en-AU"/>
              </w:rPr>
            </w:pPr>
            <w:r>
              <w:rPr>
                <w:lang w:val="en-AU"/>
              </w:rPr>
              <w:t>[0.</w:t>
            </w:r>
            <w:r w:rsidR="00987732">
              <w:rPr>
                <w:lang w:val="en-AU"/>
              </w:rPr>
              <w:t>54</w:t>
            </w:r>
            <w:r>
              <w:rPr>
                <w:lang w:val="en-AU"/>
              </w:rPr>
              <w:t>, 0.8</w:t>
            </w:r>
            <w:r w:rsidR="00987732">
              <w:rPr>
                <w:lang w:val="en-AU"/>
              </w:rPr>
              <w:t>4</w:t>
            </w:r>
            <w:r>
              <w:rPr>
                <w:lang w:val="en-AU"/>
              </w:rPr>
              <w:t>]</w:t>
            </w:r>
          </w:p>
        </w:tc>
      </w:tr>
      <w:tr w:rsidR="006B7705" w:rsidRPr="006F7001" w14:paraId="20C432E0" w14:textId="77777777" w:rsidTr="00A36B9F">
        <w:tc>
          <w:tcPr>
            <w:tcW w:w="2337" w:type="dxa"/>
            <w:vMerge/>
          </w:tcPr>
          <w:p w14:paraId="3074ABBF" w14:textId="77777777" w:rsidR="006B7705" w:rsidRDefault="006B7705" w:rsidP="006B7705">
            <w:pPr>
              <w:jc w:val="center"/>
              <w:rPr>
                <w:rFonts w:ascii="Times New Roman" w:hAnsi="Times New Roman"/>
                <w:sz w:val="20"/>
                <w:szCs w:val="20"/>
                <w:lang w:val="en-AU"/>
              </w:rPr>
            </w:pPr>
          </w:p>
        </w:tc>
        <w:tc>
          <w:tcPr>
            <w:tcW w:w="2337" w:type="dxa"/>
          </w:tcPr>
          <w:p w14:paraId="06ED8BB7" w14:textId="4F1AFB73" w:rsidR="006B7705" w:rsidRDefault="007A4B27" w:rsidP="009D7FF0">
            <w:pPr>
              <w:pStyle w:val="TableDataCentred"/>
              <w:rPr>
                <w:lang w:val="en-AU"/>
              </w:rPr>
            </w:pPr>
            <w:r>
              <w:rPr>
                <w:lang w:val="en-AU"/>
              </w:rPr>
              <w:t>2</w:t>
            </w:r>
          </w:p>
        </w:tc>
        <w:tc>
          <w:tcPr>
            <w:tcW w:w="2338" w:type="dxa"/>
          </w:tcPr>
          <w:p w14:paraId="6215B056" w14:textId="7C848432" w:rsidR="006B7705" w:rsidRPr="006F7001" w:rsidRDefault="007A4B27" w:rsidP="009D7FF0">
            <w:pPr>
              <w:pStyle w:val="TableDataCentred"/>
              <w:rPr>
                <w:lang w:val="en-AU"/>
              </w:rPr>
            </w:pPr>
            <w:r>
              <w:rPr>
                <w:lang w:val="en-AU"/>
              </w:rPr>
              <w:t>0.</w:t>
            </w:r>
            <w:r w:rsidR="00F13EDC">
              <w:rPr>
                <w:lang w:val="en-AU"/>
              </w:rPr>
              <w:t>60</w:t>
            </w:r>
          </w:p>
        </w:tc>
        <w:tc>
          <w:tcPr>
            <w:tcW w:w="2338" w:type="dxa"/>
          </w:tcPr>
          <w:p w14:paraId="751AD0AB" w14:textId="58C127DC" w:rsidR="006B7705" w:rsidRPr="006F7001" w:rsidRDefault="00A61795" w:rsidP="009D7FF0">
            <w:pPr>
              <w:pStyle w:val="TableDataCentred"/>
              <w:rPr>
                <w:lang w:val="en-AU"/>
              </w:rPr>
            </w:pPr>
            <w:r>
              <w:rPr>
                <w:lang w:val="en-AU"/>
              </w:rPr>
              <w:t>[</w:t>
            </w:r>
            <w:r w:rsidR="00CA683A">
              <w:rPr>
                <w:lang w:val="en-AU"/>
              </w:rPr>
              <w:t>0.</w:t>
            </w:r>
            <w:r w:rsidR="00987732">
              <w:rPr>
                <w:lang w:val="en-AU"/>
              </w:rPr>
              <w:t>48</w:t>
            </w:r>
            <w:r w:rsidR="00CA683A">
              <w:rPr>
                <w:lang w:val="en-AU"/>
              </w:rPr>
              <w:t>, 0.</w:t>
            </w:r>
            <w:r w:rsidR="00987732">
              <w:rPr>
                <w:lang w:val="en-AU"/>
              </w:rPr>
              <w:t>71</w:t>
            </w:r>
            <w:r w:rsidR="00CA683A">
              <w:rPr>
                <w:lang w:val="en-AU"/>
              </w:rPr>
              <w:t>]</w:t>
            </w:r>
          </w:p>
        </w:tc>
      </w:tr>
      <w:tr w:rsidR="006B7705" w:rsidRPr="006F7001" w14:paraId="326D16F2" w14:textId="77777777" w:rsidTr="00A36B9F">
        <w:tc>
          <w:tcPr>
            <w:tcW w:w="2337" w:type="dxa"/>
            <w:vMerge/>
          </w:tcPr>
          <w:p w14:paraId="77EB1C78" w14:textId="77777777" w:rsidR="006B7705" w:rsidRDefault="006B7705" w:rsidP="006B7705">
            <w:pPr>
              <w:jc w:val="center"/>
              <w:rPr>
                <w:rFonts w:ascii="Times New Roman" w:hAnsi="Times New Roman"/>
                <w:sz w:val="20"/>
                <w:szCs w:val="20"/>
                <w:lang w:val="en-AU"/>
              </w:rPr>
            </w:pPr>
          </w:p>
        </w:tc>
        <w:tc>
          <w:tcPr>
            <w:tcW w:w="2337" w:type="dxa"/>
          </w:tcPr>
          <w:p w14:paraId="11B01405" w14:textId="13418295" w:rsidR="006B7705" w:rsidRDefault="007A4B27" w:rsidP="009D7FF0">
            <w:pPr>
              <w:pStyle w:val="TableDataCentred"/>
              <w:rPr>
                <w:lang w:val="en-AU"/>
              </w:rPr>
            </w:pPr>
            <w:r>
              <w:rPr>
                <w:lang w:val="en-AU"/>
              </w:rPr>
              <w:t>3</w:t>
            </w:r>
          </w:p>
        </w:tc>
        <w:tc>
          <w:tcPr>
            <w:tcW w:w="2338" w:type="dxa"/>
          </w:tcPr>
          <w:p w14:paraId="2AFCB100" w14:textId="22E94807" w:rsidR="006B7705" w:rsidRPr="006F7001" w:rsidRDefault="007A4B27" w:rsidP="009D7FF0">
            <w:pPr>
              <w:pStyle w:val="TableDataCentred"/>
              <w:rPr>
                <w:lang w:val="en-AU"/>
              </w:rPr>
            </w:pPr>
            <w:r>
              <w:rPr>
                <w:lang w:val="en-AU"/>
              </w:rPr>
              <w:t>0.</w:t>
            </w:r>
            <w:r w:rsidR="00987732">
              <w:rPr>
                <w:lang w:val="en-AU"/>
              </w:rPr>
              <w:t>41</w:t>
            </w:r>
          </w:p>
        </w:tc>
        <w:tc>
          <w:tcPr>
            <w:tcW w:w="2338" w:type="dxa"/>
          </w:tcPr>
          <w:p w14:paraId="3B1F14C8" w14:textId="7B5A94E2" w:rsidR="006B7705" w:rsidRPr="006F7001" w:rsidRDefault="00CA683A" w:rsidP="009D7FF0">
            <w:pPr>
              <w:pStyle w:val="TableDataCentred"/>
              <w:rPr>
                <w:lang w:val="en-AU"/>
              </w:rPr>
            </w:pPr>
            <w:r>
              <w:rPr>
                <w:lang w:val="en-AU"/>
              </w:rPr>
              <w:t>[0.</w:t>
            </w:r>
            <w:r w:rsidR="00987732">
              <w:rPr>
                <w:lang w:val="en-AU"/>
              </w:rPr>
              <w:t>30</w:t>
            </w:r>
            <w:r>
              <w:rPr>
                <w:lang w:val="en-AU"/>
              </w:rPr>
              <w:t>, 0.</w:t>
            </w:r>
            <w:r w:rsidR="00987732">
              <w:rPr>
                <w:lang w:val="en-AU"/>
              </w:rPr>
              <w:t>52</w:t>
            </w:r>
            <w:r>
              <w:rPr>
                <w:lang w:val="en-AU"/>
              </w:rPr>
              <w:t>]</w:t>
            </w:r>
          </w:p>
        </w:tc>
      </w:tr>
      <w:tr w:rsidR="006B7705" w:rsidRPr="006F7001" w14:paraId="0026C518" w14:textId="77777777" w:rsidTr="00A36B9F">
        <w:tc>
          <w:tcPr>
            <w:tcW w:w="2337" w:type="dxa"/>
            <w:vMerge/>
            <w:tcBorders>
              <w:bottom w:val="single" w:sz="4" w:space="0" w:color="auto"/>
            </w:tcBorders>
          </w:tcPr>
          <w:p w14:paraId="03B4C0F4" w14:textId="77777777" w:rsidR="006B7705" w:rsidRDefault="006B7705" w:rsidP="006B7705">
            <w:pPr>
              <w:jc w:val="center"/>
              <w:rPr>
                <w:rFonts w:ascii="Times New Roman" w:hAnsi="Times New Roman"/>
                <w:sz w:val="20"/>
                <w:szCs w:val="20"/>
                <w:lang w:val="en-AU"/>
              </w:rPr>
            </w:pPr>
          </w:p>
        </w:tc>
        <w:tc>
          <w:tcPr>
            <w:tcW w:w="2337" w:type="dxa"/>
            <w:tcBorders>
              <w:bottom w:val="single" w:sz="4" w:space="0" w:color="auto"/>
            </w:tcBorders>
          </w:tcPr>
          <w:p w14:paraId="485B11C1" w14:textId="363E5765" w:rsidR="006B7705" w:rsidRDefault="007A4B27" w:rsidP="009D7FF0">
            <w:pPr>
              <w:pStyle w:val="TableDataCentred"/>
              <w:rPr>
                <w:lang w:val="en-AU"/>
              </w:rPr>
            </w:pPr>
            <w:r>
              <w:rPr>
                <w:lang w:val="en-AU"/>
              </w:rPr>
              <w:t>3.5</w:t>
            </w:r>
          </w:p>
        </w:tc>
        <w:tc>
          <w:tcPr>
            <w:tcW w:w="2338" w:type="dxa"/>
            <w:tcBorders>
              <w:bottom w:val="single" w:sz="4" w:space="0" w:color="auto"/>
            </w:tcBorders>
          </w:tcPr>
          <w:p w14:paraId="68C4ED08" w14:textId="12629BD8" w:rsidR="006B7705" w:rsidRPr="006F7001" w:rsidRDefault="007A4B27" w:rsidP="009D7FF0">
            <w:pPr>
              <w:pStyle w:val="TableDataCentred"/>
              <w:rPr>
                <w:lang w:val="en-AU"/>
              </w:rPr>
            </w:pPr>
            <w:r>
              <w:rPr>
                <w:lang w:val="en-AU"/>
              </w:rPr>
              <w:t>0.</w:t>
            </w:r>
            <w:r w:rsidR="00987732">
              <w:rPr>
                <w:lang w:val="en-AU"/>
              </w:rPr>
              <w:t>32</w:t>
            </w:r>
          </w:p>
        </w:tc>
        <w:tc>
          <w:tcPr>
            <w:tcW w:w="2338" w:type="dxa"/>
            <w:tcBorders>
              <w:bottom w:val="single" w:sz="4" w:space="0" w:color="auto"/>
            </w:tcBorders>
          </w:tcPr>
          <w:p w14:paraId="65C63687" w14:textId="53A63399" w:rsidR="006B7705" w:rsidRPr="006F7001" w:rsidRDefault="00CA683A" w:rsidP="009D7FF0">
            <w:pPr>
              <w:pStyle w:val="TableDataCentred"/>
              <w:rPr>
                <w:lang w:val="en-AU"/>
              </w:rPr>
            </w:pPr>
            <w:r>
              <w:rPr>
                <w:lang w:val="en-AU"/>
              </w:rPr>
              <w:t>[0.</w:t>
            </w:r>
            <w:r w:rsidR="00987732">
              <w:rPr>
                <w:lang w:val="en-AU"/>
              </w:rPr>
              <w:t>1</w:t>
            </w:r>
            <w:r>
              <w:rPr>
                <w:lang w:val="en-AU"/>
              </w:rPr>
              <w:t>7, 0.</w:t>
            </w:r>
            <w:r w:rsidR="00987732">
              <w:rPr>
                <w:lang w:val="en-AU"/>
              </w:rPr>
              <w:t>46</w:t>
            </w:r>
            <w:r>
              <w:rPr>
                <w:lang w:val="en-AU"/>
              </w:rPr>
              <w:t>]</w:t>
            </w:r>
          </w:p>
        </w:tc>
      </w:tr>
    </w:tbl>
    <w:p w14:paraId="6C866094" w14:textId="31A05E08" w:rsidR="00447E56" w:rsidRDefault="00447E56" w:rsidP="003A7FB3">
      <w:pPr>
        <w:pStyle w:val="TableFooternoborder"/>
      </w:pPr>
    </w:p>
    <w:p w14:paraId="5FA505CB" w14:textId="363B50F6" w:rsidR="00636D41" w:rsidRPr="0070280D" w:rsidRDefault="00A47F69" w:rsidP="0070280D">
      <w:pPr>
        <w:pStyle w:val="Paragraphfirst"/>
      </w:pPr>
      <w:r>
        <w:fldChar w:fldCharType="begin"/>
      </w:r>
      <w:r>
        <w:instrText>REF _Ref122351902</w:instrText>
      </w:r>
      <w:r>
        <w:fldChar w:fldCharType="separate"/>
      </w:r>
      <w:r w:rsidR="00770A06">
        <w:t xml:space="preserve">Table </w:t>
      </w:r>
      <w:r w:rsidR="00770A06">
        <w:rPr>
          <w:noProof/>
        </w:rPr>
        <w:t>G.1</w:t>
      </w:r>
      <w:r w:rsidR="00770A06">
        <w:t>.</w:t>
      </w:r>
      <w:r w:rsidR="00770A06">
        <w:rPr>
          <w:noProof/>
        </w:rPr>
        <w:t>2</w:t>
      </w:r>
      <w:r>
        <w:fldChar w:fldCharType="end"/>
      </w:r>
      <w:r w:rsidR="00636D41" w:rsidRPr="0070280D">
        <w:t xml:space="preserve"> reports the mean predicted values for the interaction between Decision Impact and Complexity that have been considered to build</w:t>
      </w:r>
      <w:r w:rsidR="007A2004">
        <w:t xml:space="preserve"> </w:t>
      </w:r>
      <w:r w:rsidR="007A2004">
        <w:fldChar w:fldCharType="begin"/>
      </w:r>
      <w:r w:rsidR="007A2004">
        <w:instrText xml:space="preserve"> REF _Ref122352421 </w:instrText>
      </w:r>
      <w:r w:rsidR="007A2004">
        <w:fldChar w:fldCharType="separate"/>
      </w:r>
      <w:r w:rsidR="007A2004">
        <w:t xml:space="preserve">Figure </w:t>
      </w:r>
      <w:r w:rsidR="007A2004">
        <w:rPr>
          <w:noProof/>
        </w:rPr>
        <w:t>G.1</w:t>
      </w:r>
      <w:r w:rsidR="007A2004">
        <w:t>.</w:t>
      </w:r>
      <w:r w:rsidR="007A2004">
        <w:rPr>
          <w:noProof/>
        </w:rPr>
        <w:t>1</w:t>
      </w:r>
      <w:r w:rsidR="007A2004">
        <w:fldChar w:fldCharType="end"/>
      </w:r>
      <w:r w:rsidR="00636D41" w:rsidRPr="0070280D">
        <w:t>.</w:t>
      </w:r>
    </w:p>
    <w:p w14:paraId="0F555EEA" w14:textId="4BD217BB" w:rsidR="00636D41" w:rsidRPr="006F7001" w:rsidRDefault="005F623F" w:rsidP="005F623F">
      <w:pPr>
        <w:pStyle w:val="Caption"/>
      </w:pPr>
      <w:bookmarkStart w:id="211" w:name="_Ref122351902"/>
      <w:r>
        <w:lastRenderedPageBreak/>
        <w:t xml:space="preserve">Table </w:t>
      </w:r>
      <w:r>
        <w:fldChar w:fldCharType="begin"/>
      </w:r>
      <w:r>
        <w:instrText>STYLEREF 2 \s</w:instrText>
      </w:r>
      <w:r>
        <w:fldChar w:fldCharType="separate"/>
      </w:r>
      <w:r>
        <w:rPr>
          <w:noProof/>
        </w:rPr>
        <w:t>G.1</w:t>
      </w:r>
      <w:r>
        <w:fldChar w:fldCharType="end"/>
      </w:r>
      <w:r>
        <w:t>.</w:t>
      </w:r>
      <w:r>
        <w:fldChar w:fldCharType="begin"/>
      </w:r>
      <w:r>
        <w:instrText>SEQ Table \* ARABIC \s 2</w:instrText>
      </w:r>
      <w:r>
        <w:fldChar w:fldCharType="separate"/>
      </w:r>
      <w:r>
        <w:rPr>
          <w:noProof/>
        </w:rPr>
        <w:t>2</w:t>
      </w:r>
      <w:r>
        <w:fldChar w:fldCharType="end"/>
      </w:r>
      <w:bookmarkEnd w:id="211"/>
      <w:r w:rsidR="00636D41">
        <w:t xml:space="preserve">: </w:t>
      </w:r>
      <w:r w:rsidR="00636D41" w:rsidRPr="006F7001">
        <w:t>Mean conditional effect interaction Decision</w:t>
      </w:r>
      <w:r w:rsidR="00447BDD">
        <w:t xml:space="preserve"> I</w:t>
      </w:r>
      <w:r w:rsidR="00636D41" w:rsidRPr="006F7001">
        <w:t>mpact*Complexity (Model I2)</w:t>
      </w:r>
    </w:p>
    <w:tbl>
      <w:tblPr>
        <w:tblStyle w:val="APSROnlineAppendix"/>
        <w:tblW w:w="9746" w:type="dxa"/>
        <w:tblLook w:val="0600" w:firstRow="0" w:lastRow="0" w:firstColumn="0" w:lastColumn="0" w:noHBand="1" w:noVBand="1"/>
      </w:tblPr>
      <w:tblGrid>
        <w:gridCol w:w="1624"/>
        <w:gridCol w:w="1624"/>
        <w:gridCol w:w="1624"/>
        <w:gridCol w:w="1624"/>
        <w:gridCol w:w="1624"/>
        <w:gridCol w:w="1626"/>
      </w:tblGrid>
      <w:tr w:rsidR="00636D41" w:rsidRPr="00B91CE4" w14:paraId="48B01E2C" w14:textId="77777777" w:rsidTr="006A4029">
        <w:tc>
          <w:tcPr>
            <w:tcW w:w="9746" w:type="dxa"/>
            <w:gridSpan w:val="6"/>
            <w:tcBorders>
              <w:bottom w:val="single" w:sz="6" w:space="0" w:color="auto"/>
            </w:tcBorders>
            <w:hideMark/>
          </w:tcPr>
          <w:p w14:paraId="59270322" w14:textId="77777777" w:rsidR="00636D41" w:rsidRPr="00A36B9F" w:rsidRDefault="00636D41" w:rsidP="00B91CE4">
            <w:pPr>
              <w:pStyle w:val="TableHeader1"/>
            </w:pPr>
            <w:r w:rsidRPr="00B91CE4">
              <w:t>Complexity*Decision Impact</w:t>
            </w:r>
          </w:p>
        </w:tc>
      </w:tr>
      <w:tr w:rsidR="00636D41" w:rsidRPr="00636D41" w14:paraId="2DDC2FE5" w14:textId="77777777" w:rsidTr="006A4029">
        <w:tc>
          <w:tcPr>
            <w:tcW w:w="1624" w:type="dxa"/>
            <w:tcBorders>
              <w:top w:val="single" w:sz="6" w:space="0" w:color="auto"/>
            </w:tcBorders>
            <w:hideMark/>
          </w:tcPr>
          <w:p w14:paraId="27824A43" w14:textId="77777777" w:rsidR="00636D41" w:rsidRPr="00A03C64" w:rsidRDefault="00636D41" w:rsidP="00636D41">
            <w:pPr>
              <w:pStyle w:val="TableHeader2"/>
              <w:rPr>
                <w:b/>
                <w:bCs w:val="0"/>
              </w:rPr>
            </w:pPr>
            <w:r w:rsidRPr="00A03C64">
              <w:t>Statistic</w:t>
            </w:r>
          </w:p>
        </w:tc>
        <w:tc>
          <w:tcPr>
            <w:tcW w:w="1624" w:type="dxa"/>
            <w:tcBorders>
              <w:top w:val="single" w:sz="6" w:space="0" w:color="auto"/>
            </w:tcBorders>
            <w:hideMark/>
          </w:tcPr>
          <w:p w14:paraId="4C67C2BB" w14:textId="77777777" w:rsidR="00636D41" w:rsidRPr="00636D41" w:rsidRDefault="00636D41" w:rsidP="00636D41">
            <w:pPr>
              <w:pStyle w:val="TableHeader2"/>
            </w:pPr>
            <w:r w:rsidRPr="00636D41">
              <w:t>N</w:t>
            </w:r>
          </w:p>
        </w:tc>
        <w:tc>
          <w:tcPr>
            <w:tcW w:w="1624" w:type="dxa"/>
            <w:tcBorders>
              <w:top w:val="single" w:sz="6" w:space="0" w:color="auto"/>
            </w:tcBorders>
            <w:hideMark/>
          </w:tcPr>
          <w:p w14:paraId="43A66A55" w14:textId="77777777" w:rsidR="00636D41" w:rsidRPr="00636D41" w:rsidRDefault="00636D41" w:rsidP="00636D41">
            <w:pPr>
              <w:pStyle w:val="TableHeader2"/>
            </w:pPr>
            <w:r w:rsidRPr="00636D41">
              <w:t>Mean</w:t>
            </w:r>
          </w:p>
        </w:tc>
        <w:tc>
          <w:tcPr>
            <w:tcW w:w="1624" w:type="dxa"/>
            <w:tcBorders>
              <w:top w:val="single" w:sz="6" w:space="0" w:color="auto"/>
            </w:tcBorders>
            <w:hideMark/>
          </w:tcPr>
          <w:p w14:paraId="624A1605" w14:textId="77777777" w:rsidR="00636D41" w:rsidRPr="00636D41" w:rsidRDefault="00636D41" w:rsidP="00636D41">
            <w:pPr>
              <w:pStyle w:val="TableHeader2"/>
            </w:pPr>
            <w:r w:rsidRPr="00636D41">
              <w:t>St. Dev.</w:t>
            </w:r>
          </w:p>
        </w:tc>
        <w:tc>
          <w:tcPr>
            <w:tcW w:w="1624" w:type="dxa"/>
            <w:tcBorders>
              <w:top w:val="single" w:sz="6" w:space="0" w:color="auto"/>
            </w:tcBorders>
            <w:hideMark/>
          </w:tcPr>
          <w:p w14:paraId="4F3BA12C" w14:textId="77777777" w:rsidR="00636D41" w:rsidRPr="00636D41" w:rsidRDefault="00636D41" w:rsidP="00636D41">
            <w:pPr>
              <w:pStyle w:val="TableHeader2"/>
            </w:pPr>
            <w:r w:rsidRPr="00636D41">
              <w:t>Min</w:t>
            </w:r>
          </w:p>
        </w:tc>
        <w:tc>
          <w:tcPr>
            <w:tcW w:w="1626" w:type="dxa"/>
            <w:tcBorders>
              <w:top w:val="single" w:sz="6" w:space="0" w:color="auto"/>
            </w:tcBorders>
            <w:hideMark/>
          </w:tcPr>
          <w:p w14:paraId="3DA2E947" w14:textId="77777777" w:rsidR="00636D41" w:rsidRPr="00636D41" w:rsidRDefault="00636D41" w:rsidP="00636D41">
            <w:pPr>
              <w:pStyle w:val="TableHeader2"/>
            </w:pPr>
            <w:r w:rsidRPr="00636D41">
              <w:t>Max</w:t>
            </w:r>
          </w:p>
        </w:tc>
      </w:tr>
      <w:tr w:rsidR="00636D41" w:rsidRPr="00B6144F" w14:paraId="10C34E3D" w14:textId="77777777" w:rsidTr="006A4029">
        <w:tc>
          <w:tcPr>
            <w:tcW w:w="1624" w:type="dxa"/>
            <w:hideMark/>
          </w:tcPr>
          <w:p w14:paraId="21D1ECCE" w14:textId="77777777" w:rsidR="00636D41" w:rsidRPr="00A03C64" w:rsidRDefault="00636D41" w:rsidP="009D7FF0">
            <w:pPr>
              <w:pStyle w:val="TableHeadingsColumn"/>
              <w:rPr>
                <w:b/>
              </w:rPr>
            </w:pPr>
            <w:r w:rsidRPr="00A03C64">
              <w:t>Complexity</w:t>
            </w:r>
          </w:p>
        </w:tc>
        <w:tc>
          <w:tcPr>
            <w:tcW w:w="1624" w:type="dxa"/>
            <w:hideMark/>
          </w:tcPr>
          <w:p w14:paraId="0D766B03" w14:textId="4874C612" w:rsidR="00636D41" w:rsidRPr="00B6144F" w:rsidRDefault="00636D41" w:rsidP="009D7FF0">
            <w:pPr>
              <w:pStyle w:val="TableDataCentred"/>
            </w:pPr>
            <w:r w:rsidRPr="00B6144F">
              <w:t>2</w:t>
            </w:r>
            <w:r w:rsidR="0069233E">
              <w:t>5</w:t>
            </w:r>
          </w:p>
        </w:tc>
        <w:tc>
          <w:tcPr>
            <w:tcW w:w="1624" w:type="dxa"/>
            <w:hideMark/>
          </w:tcPr>
          <w:p w14:paraId="12F41335" w14:textId="77777777" w:rsidR="00636D41" w:rsidRPr="00B6144F" w:rsidRDefault="00636D41" w:rsidP="009D7FF0">
            <w:pPr>
              <w:pStyle w:val="TableDataCentred"/>
            </w:pPr>
            <w:r w:rsidRPr="00B6144F">
              <w:t>2.200</w:t>
            </w:r>
          </w:p>
        </w:tc>
        <w:tc>
          <w:tcPr>
            <w:tcW w:w="1624" w:type="dxa"/>
            <w:hideMark/>
          </w:tcPr>
          <w:p w14:paraId="389185D0" w14:textId="42FAA72E" w:rsidR="00636D41" w:rsidRPr="00B6144F" w:rsidRDefault="00636D41" w:rsidP="009D7FF0">
            <w:pPr>
              <w:pStyle w:val="TableDataCentred"/>
            </w:pPr>
            <w:r w:rsidRPr="00B6144F">
              <w:t>0.9</w:t>
            </w:r>
            <w:r w:rsidR="00BD4A57">
              <w:t>46</w:t>
            </w:r>
          </w:p>
        </w:tc>
        <w:tc>
          <w:tcPr>
            <w:tcW w:w="1624" w:type="dxa"/>
            <w:hideMark/>
          </w:tcPr>
          <w:p w14:paraId="41C740D3" w14:textId="77777777" w:rsidR="00636D41" w:rsidRPr="00B6144F" w:rsidRDefault="00636D41" w:rsidP="009D7FF0">
            <w:pPr>
              <w:pStyle w:val="TableDataCentred"/>
            </w:pPr>
            <w:r w:rsidRPr="00B6144F">
              <w:t>1.000</w:t>
            </w:r>
          </w:p>
        </w:tc>
        <w:tc>
          <w:tcPr>
            <w:tcW w:w="1626" w:type="dxa"/>
            <w:hideMark/>
          </w:tcPr>
          <w:p w14:paraId="140EA457" w14:textId="77777777" w:rsidR="00636D41" w:rsidRPr="00B6144F" w:rsidRDefault="00636D41" w:rsidP="009D7FF0">
            <w:pPr>
              <w:pStyle w:val="TableDataCentred"/>
            </w:pPr>
            <w:r w:rsidRPr="00B6144F">
              <w:t>3.500</w:t>
            </w:r>
          </w:p>
        </w:tc>
      </w:tr>
      <w:tr w:rsidR="00636D41" w:rsidRPr="00B6144F" w14:paraId="4327A40D" w14:textId="77777777" w:rsidTr="006A4029">
        <w:tc>
          <w:tcPr>
            <w:tcW w:w="1624" w:type="dxa"/>
            <w:hideMark/>
          </w:tcPr>
          <w:p w14:paraId="2F9D2937" w14:textId="77777777" w:rsidR="00636D41" w:rsidRPr="00A03C64" w:rsidRDefault="00636D41" w:rsidP="009D7FF0">
            <w:pPr>
              <w:pStyle w:val="TableHeadingsColumn"/>
              <w:rPr>
                <w:b/>
              </w:rPr>
            </w:pPr>
            <w:r w:rsidRPr="00A03C64">
              <w:t>Predicted DRI</w:t>
            </w:r>
          </w:p>
        </w:tc>
        <w:tc>
          <w:tcPr>
            <w:tcW w:w="1624" w:type="dxa"/>
            <w:hideMark/>
          </w:tcPr>
          <w:p w14:paraId="3B42FF84" w14:textId="39574E10" w:rsidR="00636D41" w:rsidRPr="00B6144F" w:rsidRDefault="00636D41" w:rsidP="009D7FF0">
            <w:pPr>
              <w:pStyle w:val="TableDataCentred"/>
            </w:pPr>
            <w:r w:rsidRPr="00B6144F">
              <w:t>2</w:t>
            </w:r>
            <w:r w:rsidR="0069233E">
              <w:t>5</w:t>
            </w:r>
          </w:p>
        </w:tc>
        <w:tc>
          <w:tcPr>
            <w:tcW w:w="1624" w:type="dxa"/>
            <w:hideMark/>
          </w:tcPr>
          <w:p w14:paraId="1451514F" w14:textId="23633A02" w:rsidR="00636D41" w:rsidRPr="00B6144F" w:rsidRDefault="00636D41" w:rsidP="009D7FF0">
            <w:pPr>
              <w:pStyle w:val="TableDataCentred"/>
            </w:pPr>
            <w:r w:rsidRPr="00B6144F">
              <w:t>0.3</w:t>
            </w:r>
            <w:r w:rsidR="00BD4A57">
              <w:t>6</w:t>
            </w:r>
            <w:r w:rsidR="0069233E">
              <w:t>6</w:t>
            </w:r>
          </w:p>
        </w:tc>
        <w:tc>
          <w:tcPr>
            <w:tcW w:w="1624" w:type="dxa"/>
            <w:hideMark/>
          </w:tcPr>
          <w:p w14:paraId="0EA8FBD3" w14:textId="2A71FE8F" w:rsidR="00636D41" w:rsidRPr="00B6144F" w:rsidRDefault="00636D41" w:rsidP="009D7FF0">
            <w:pPr>
              <w:pStyle w:val="TableDataCentred"/>
            </w:pPr>
            <w:r w:rsidRPr="00B6144F">
              <w:t>0.</w:t>
            </w:r>
            <w:r w:rsidR="00BD4A57">
              <w:t>230</w:t>
            </w:r>
          </w:p>
        </w:tc>
        <w:tc>
          <w:tcPr>
            <w:tcW w:w="1624" w:type="dxa"/>
            <w:hideMark/>
          </w:tcPr>
          <w:p w14:paraId="03D18301" w14:textId="3B41B8B4" w:rsidR="00636D41" w:rsidRPr="00B6144F" w:rsidRDefault="00636D41" w:rsidP="009D7FF0">
            <w:pPr>
              <w:pStyle w:val="TableDataCentred"/>
            </w:pPr>
            <w:r w:rsidRPr="00B6144F">
              <w:t>-0.</w:t>
            </w:r>
            <w:r w:rsidR="00BD4A57">
              <w:t>215</w:t>
            </w:r>
          </w:p>
        </w:tc>
        <w:tc>
          <w:tcPr>
            <w:tcW w:w="1626" w:type="dxa"/>
            <w:hideMark/>
          </w:tcPr>
          <w:p w14:paraId="179B7D6E" w14:textId="7679CE1B" w:rsidR="00636D41" w:rsidRPr="00B6144F" w:rsidRDefault="00636D41" w:rsidP="009D7FF0">
            <w:pPr>
              <w:pStyle w:val="TableDataCentred"/>
            </w:pPr>
            <w:r w:rsidRPr="00B6144F">
              <w:t>0.</w:t>
            </w:r>
            <w:r w:rsidR="00711242">
              <w:t>7</w:t>
            </w:r>
            <w:r w:rsidR="00BD4A57">
              <w:t>83</w:t>
            </w:r>
          </w:p>
        </w:tc>
      </w:tr>
      <w:tr w:rsidR="00636D41" w:rsidRPr="00B6144F" w14:paraId="204AABEB" w14:textId="77777777" w:rsidTr="006A4029">
        <w:tc>
          <w:tcPr>
            <w:tcW w:w="1624" w:type="dxa"/>
            <w:hideMark/>
          </w:tcPr>
          <w:p w14:paraId="62CD5E50" w14:textId="43D6FAF5" w:rsidR="00636D41" w:rsidRPr="00A03C64" w:rsidRDefault="007708FA" w:rsidP="009D7FF0">
            <w:pPr>
              <w:pStyle w:val="TableHeadingsColumn"/>
              <w:rPr>
                <w:b/>
              </w:rPr>
            </w:pPr>
            <w:r>
              <w:t>Standard Error</w:t>
            </w:r>
          </w:p>
        </w:tc>
        <w:tc>
          <w:tcPr>
            <w:tcW w:w="1624" w:type="dxa"/>
            <w:tcBorders>
              <w:bottom w:val="single" w:sz="6" w:space="0" w:color="auto"/>
            </w:tcBorders>
            <w:hideMark/>
          </w:tcPr>
          <w:p w14:paraId="7BA809DC" w14:textId="026E1F1A" w:rsidR="00636D41" w:rsidRPr="00B6144F" w:rsidRDefault="00636D41" w:rsidP="009D7FF0">
            <w:pPr>
              <w:pStyle w:val="TableDataCentred"/>
            </w:pPr>
            <w:r w:rsidRPr="00B6144F">
              <w:t>2</w:t>
            </w:r>
            <w:r w:rsidR="0069233E">
              <w:t>5</w:t>
            </w:r>
          </w:p>
        </w:tc>
        <w:tc>
          <w:tcPr>
            <w:tcW w:w="1624" w:type="dxa"/>
            <w:tcBorders>
              <w:bottom w:val="single" w:sz="6" w:space="0" w:color="auto"/>
            </w:tcBorders>
            <w:hideMark/>
          </w:tcPr>
          <w:p w14:paraId="788F4537" w14:textId="23B4D60D" w:rsidR="00636D41" w:rsidRPr="00B6144F" w:rsidRDefault="00636D41" w:rsidP="009D7FF0">
            <w:pPr>
              <w:pStyle w:val="TableDataCentred"/>
            </w:pPr>
            <w:r w:rsidRPr="00B6144F">
              <w:t>0.06</w:t>
            </w:r>
            <w:r w:rsidR="009E0FBE">
              <w:t>3</w:t>
            </w:r>
          </w:p>
        </w:tc>
        <w:tc>
          <w:tcPr>
            <w:tcW w:w="1624" w:type="dxa"/>
            <w:tcBorders>
              <w:bottom w:val="single" w:sz="6" w:space="0" w:color="auto"/>
            </w:tcBorders>
            <w:hideMark/>
          </w:tcPr>
          <w:p w14:paraId="2B5F3868" w14:textId="4AE67138" w:rsidR="00636D41" w:rsidRPr="00B6144F" w:rsidRDefault="00636D41" w:rsidP="009D7FF0">
            <w:pPr>
              <w:pStyle w:val="TableDataCentred"/>
            </w:pPr>
            <w:r w:rsidRPr="00B6144F">
              <w:t>0.03</w:t>
            </w:r>
            <w:r w:rsidR="009E0FBE">
              <w:t>3</w:t>
            </w:r>
          </w:p>
        </w:tc>
        <w:tc>
          <w:tcPr>
            <w:tcW w:w="1624" w:type="dxa"/>
            <w:tcBorders>
              <w:bottom w:val="single" w:sz="6" w:space="0" w:color="auto"/>
            </w:tcBorders>
            <w:hideMark/>
          </w:tcPr>
          <w:p w14:paraId="7F03B722" w14:textId="45790C1C" w:rsidR="00636D41" w:rsidRPr="00B6144F" w:rsidRDefault="00636D41" w:rsidP="009D7FF0">
            <w:pPr>
              <w:pStyle w:val="TableDataCentred"/>
            </w:pPr>
            <w:r w:rsidRPr="00B6144F">
              <w:t>0.02</w:t>
            </w:r>
            <w:r w:rsidR="009E0FBE">
              <w:t>7</w:t>
            </w:r>
          </w:p>
        </w:tc>
        <w:tc>
          <w:tcPr>
            <w:tcW w:w="1626" w:type="dxa"/>
            <w:tcBorders>
              <w:bottom w:val="single" w:sz="6" w:space="0" w:color="auto"/>
            </w:tcBorders>
            <w:hideMark/>
          </w:tcPr>
          <w:p w14:paraId="4C958CE3" w14:textId="409D6817" w:rsidR="00636D41" w:rsidRPr="00B6144F" w:rsidRDefault="00636D41" w:rsidP="009D7FF0">
            <w:pPr>
              <w:pStyle w:val="TableDataCentred"/>
            </w:pPr>
            <w:r w:rsidRPr="00B6144F">
              <w:t>0.1</w:t>
            </w:r>
            <w:r w:rsidR="009E0FBE">
              <w:t>62</w:t>
            </w:r>
          </w:p>
        </w:tc>
      </w:tr>
      <w:tr w:rsidR="006A4029" w:rsidRPr="00B6144F" w14:paraId="5878A8E4" w14:textId="77777777" w:rsidTr="006A4029">
        <w:tc>
          <w:tcPr>
            <w:tcW w:w="1624" w:type="dxa"/>
          </w:tcPr>
          <w:p w14:paraId="005E2BC1" w14:textId="77777777" w:rsidR="006A4029" w:rsidRDefault="006A4029" w:rsidP="009D7FF0">
            <w:pPr>
              <w:pStyle w:val="TableHeadingsColumn"/>
            </w:pPr>
          </w:p>
        </w:tc>
        <w:tc>
          <w:tcPr>
            <w:tcW w:w="8122" w:type="dxa"/>
            <w:gridSpan w:val="5"/>
            <w:tcBorders>
              <w:top w:val="single" w:sz="6" w:space="0" w:color="auto"/>
              <w:bottom w:val="single" w:sz="6" w:space="0" w:color="auto"/>
            </w:tcBorders>
          </w:tcPr>
          <w:p w14:paraId="7039121C" w14:textId="76EFAAE9" w:rsidR="006A4029" w:rsidRPr="00B6144F" w:rsidRDefault="006A4029" w:rsidP="006A4029">
            <w:pPr>
              <w:pStyle w:val="TableHeader2"/>
            </w:pPr>
            <w:r>
              <w:t>Confidence Interval</w:t>
            </w:r>
          </w:p>
        </w:tc>
      </w:tr>
      <w:tr w:rsidR="00636D41" w:rsidRPr="00B6144F" w14:paraId="6F6EADEF" w14:textId="77777777" w:rsidTr="006A4029">
        <w:tc>
          <w:tcPr>
            <w:tcW w:w="1624" w:type="dxa"/>
            <w:hideMark/>
          </w:tcPr>
          <w:p w14:paraId="6BB22CD6" w14:textId="22164BD8" w:rsidR="00636D41" w:rsidRPr="00A03C64" w:rsidRDefault="006A4029" w:rsidP="009D7FF0">
            <w:pPr>
              <w:pStyle w:val="TableHeadingsColumn"/>
              <w:rPr>
                <w:b/>
              </w:rPr>
            </w:pPr>
            <w:r>
              <w:t>Lower</w:t>
            </w:r>
          </w:p>
        </w:tc>
        <w:tc>
          <w:tcPr>
            <w:tcW w:w="1624" w:type="dxa"/>
            <w:tcBorders>
              <w:top w:val="single" w:sz="6" w:space="0" w:color="auto"/>
            </w:tcBorders>
            <w:hideMark/>
          </w:tcPr>
          <w:p w14:paraId="2D6EFF1C" w14:textId="4378B30E" w:rsidR="00636D41" w:rsidRPr="00B6144F" w:rsidRDefault="00636D41" w:rsidP="009D7FF0">
            <w:pPr>
              <w:pStyle w:val="TableDataCentred"/>
            </w:pPr>
            <w:r w:rsidRPr="00B6144F">
              <w:t>2</w:t>
            </w:r>
            <w:r w:rsidR="0069233E">
              <w:t>5</w:t>
            </w:r>
          </w:p>
        </w:tc>
        <w:tc>
          <w:tcPr>
            <w:tcW w:w="1624" w:type="dxa"/>
            <w:tcBorders>
              <w:top w:val="single" w:sz="6" w:space="0" w:color="auto"/>
            </w:tcBorders>
            <w:hideMark/>
          </w:tcPr>
          <w:p w14:paraId="163DA845" w14:textId="14AF9D20" w:rsidR="00636D41" w:rsidRPr="00B6144F" w:rsidRDefault="00636D41" w:rsidP="009D7FF0">
            <w:pPr>
              <w:pStyle w:val="TableDataCentred"/>
            </w:pPr>
            <w:r w:rsidRPr="00B6144F">
              <w:t>0.</w:t>
            </w:r>
            <w:r w:rsidR="001F07C4">
              <w:t>242</w:t>
            </w:r>
          </w:p>
        </w:tc>
        <w:tc>
          <w:tcPr>
            <w:tcW w:w="1624" w:type="dxa"/>
            <w:tcBorders>
              <w:top w:val="single" w:sz="6" w:space="0" w:color="auto"/>
            </w:tcBorders>
            <w:hideMark/>
          </w:tcPr>
          <w:p w14:paraId="566D2366" w14:textId="252A3C6D" w:rsidR="00636D41" w:rsidRPr="00B6144F" w:rsidRDefault="00636D41" w:rsidP="009D7FF0">
            <w:pPr>
              <w:pStyle w:val="TableDataCentred"/>
            </w:pPr>
            <w:r w:rsidRPr="00B6144F">
              <w:t>0.2</w:t>
            </w:r>
            <w:r w:rsidR="001F07C4">
              <w:t>74</w:t>
            </w:r>
          </w:p>
        </w:tc>
        <w:tc>
          <w:tcPr>
            <w:tcW w:w="1624" w:type="dxa"/>
            <w:tcBorders>
              <w:top w:val="single" w:sz="6" w:space="0" w:color="auto"/>
            </w:tcBorders>
            <w:hideMark/>
          </w:tcPr>
          <w:p w14:paraId="33F3F312" w14:textId="5FC21CFB" w:rsidR="00636D41" w:rsidRPr="00B6144F" w:rsidRDefault="00636D41" w:rsidP="009D7FF0">
            <w:pPr>
              <w:pStyle w:val="TableDataCentred"/>
            </w:pPr>
            <w:r w:rsidRPr="00B6144F">
              <w:t>-0.</w:t>
            </w:r>
            <w:r w:rsidR="001F07C4">
              <w:t>532</w:t>
            </w:r>
          </w:p>
        </w:tc>
        <w:tc>
          <w:tcPr>
            <w:tcW w:w="1626" w:type="dxa"/>
            <w:tcBorders>
              <w:top w:val="single" w:sz="6" w:space="0" w:color="auto"/>
            </w:tcBorders>
            <w:hideMark/>
          </w:tcPr>
          <w:p w14:paraId="30C0CC69" w14:textId="508F4DBA" w:rsidR="00636D41" w:rsidRPr="00B6144F" w:rsidRDefault="00636D41" w:rsidP="009D7FF0">
            <w:pPr>
              <w:pStyle w:val="TableDataCentred"/>
            </w:pPr>
            <w:r w:rsidRPr="00B6144F">
              <w:t>0.</w:t>
            </w:r>
            <w:r w:rsidR="00711242">
              <w:t>5</w:t>
            </w:r>
            <w:r w:rsidR="001F07C4">
              <w:t>84</w:t>
            </w:r>
          </w:p>
        </w:tc>
      </w:tr>
      <w:tr w:rsidR="00636D41" w:rsidRPr="00B6144F" w14:paraId="13B85A81" w14:textId="77777777" w:rsidTr="006A4029">
        <w:tc>
          <w:tcPr>
            <w:tcW w:w="1624" w:type="dxa"/>
            <w:tcBorders>
              <w:bottom w:val="single" w:sz="6" w:space="0" w:color="auto"/>
            </w:tcBorders>
            <w:hideMark/>
          </w:tcPr>
          <w:p w14:paraId="0413A935" w14:textId="33A54585" w:rsidR="00636D41" w:rsidRPr="006A4029" w:rsidRDefault="006A4029" w:rsidP="006A4029">
            <w:pPr>
              <w:pStyle w:val="TableHeadingsColumn"/>
            </w:pPr>
            <w:r w:rsidRPr="006A4029">
              <w:t>Upper</w:t>
            </w:r>
          </w:p>
        </w:tc>
        <w:tc>
          <w:tcPr>
            <w:tcW w:w="1624" w:type="dxa"/>
            <w:tcBorders>
              <w:bottom w:val="single" w:sz="6" w:space="0" w:color="auto"/>
            </w:tcBorders>
            <w:hideMark/>
          </w:tcPr>
          <w:p w14:paraId="014F01A4" w14:textId="2B0FD4E2" w:rsidR="00636D41" w:rsidRPr="00B6144F" w:rsidRDefault="00636D41" w:rsidP="009D7FF0">
            <w:pPr>
              <w:pStyle w:val="TableDataCentred"/>
            </w:pPr>
            <w:r w:rsidRPr="00B6144F">
              <w:t>2</w:t>
            </w:r>
            <w:r w:rsidR="0069233E">
              <w:t>5</w:t>
            </w:r>
          </w:p>
        </w:tc>
        <w:tc>
          <w:tcPr>
            <w:tcW w:w="1624" w:type="dxa"/>
            <w:tcBorders>
              <w:bottom w:val="single" w:sz="6" w:space="0" w:color="auto"/>
            </w:tcBorders>
            <w:hideMark/>
          </w:tcPr>
          <w:p w14:paraId="4EFEAA92" w14:textId="1D7BC2CA" w:rsidR="00636D41" w:rsidRPr="00B6144F" w:rsidRDefault="00636D41" w:rsidP="009D7FF0">
            <w:pPr>
              <w:pStyle w:val="TableDataCentred"/>
            </w:pPr>
            <w:r w:rsidRPr="00B6144F">
              <w:t>0.4</w:t>
            </w:r>
            <w:r w:rsidR="001F07C4">
              <w:t>90</w:t>
            </w:r>
          </w:p>
        </w:tc>
        <w:tc>
          <w:tcPr>
            <w:tcW w:w="1624" w:type="dxa"/>
            <w:tcBorders>
              <w:bottom w:val="single" w:sz="6" w:space="0" w:color="auto"/>
            </w:tcBorders>
            <w:hideMark/>
          </w:tcPr>
          <w:p w14:paraId="1AE29383" w14:textId="340EC77C" w:rsidR="00636D41" w:rsidRPr="00B6144F" w:rsidRDefault="00636D41" w:rsidP="009D7FF0">
            <w:pPr>
              <w:pStyle w:val="TableDataCentred"/>
            </w:pPr>
            <w:r w:rsidRPr="00B6144F">
              <w:t>0.1</w:t>
            </w:r>
            <w:r w:rsidR="001F07C4">
              <w:t>97</w:t>
            </w:r>
          </w:p>
        </w:tc>
        <w:tc>
          <w:tcPr>
            <w:tcW w:w="1624" w:type="dxa"/>
            <w:tcBorders>
              <w:bottom w:val="single" w:sz="6" w:space="0" w:color="auto"/>
            </w:tcBorders>
            <w:hideMark/>
          </w:tcPr>
          <w:p w14:paraId="0141B9D2" w14:textId="4FEF4457" w:rsidR="00636D41" w:rsidRPr="00B6144F" w:rsidRDefault="00636D41" w:rsidP="009D7FF0">
            <w:pPr>
              <w:pStyle w:val="TableDataCentred"/>
            </w:pPr>
            <w:r w:rsidRPr="00B6144F">
              <w:t>0.1</w:t>
            </w:r>
            <w:r w:rsidR="001F07C4">
              <w:t>01</w:t>
            </w:r>
          </w:p>
        </w:tc>
        <w:tc>
          <w:tcPr>
            <w:tcW w:w="1626" w:type="dxa"/>
            <w:tcBorders>
              <w:bottom w:val="single" w:sz="6" w:space="0" w:color="auto"/>
            </w:tcBorders>
            <w:hideMark/>
          </w:tcPr>
          <w:p w14:paraId="51826DBA" w14:textId="4234EC5E" w:rsidR="00636D41" w:rsidRPr="00B6144F" w:rsidRDefault="00636D41" w:rsidP="009D7FF0">
            <w:pPr>
              <w:pStyle w:val="TableDataCentred"/>
            </w:pPr>
            <w:r w:rsidRPr="00B6144F">
              <w:t>0.</w:t>
            </w:r>
            <w:r w:rsidR="00711242">
              <w:t>9</w:t>
            </w:r>
            <w:r w:rsidR="001F07C4">
              <w:t>82</w:t>
            </w:r>
          </w:p>
        </w:tc>
      </w:tr>
    </w:tbl>
    <w:p w14:paraId="70441572" w14:textId="77777777" w:rsidR="00636D41" w:rsidRPr="00B30247" w:rsidRDefault="00636D41" w:rsidP="00B30247">
      <w:pPr>
        <w:pStyle w:val="TableFooternoborder"/>
      </w:pPr>
    </w:p>
    <w:p w14:paraId="6F279F68" w14:textId="22E1785F" w:rsidR="009722BD" w:rsidRPr="00C51910" w:rsidRDefault="009722BD" w:rsidP="00EE709F">
      <w:pPr>
        <w:pStyle w:val="Heading2"/>
      </w:pPr>
      <w:bookmarkStart w:id="212" w:name="_Toc97622128"/>
      <w:r w:rsidRPr="00CA1FA5">
        <w:t>Group Building and Complexity</w:t>
      </w:r>
      <w:bookmarkEnd w:id="212"/>
    </w:p>
    <w:p w14:paraId="29E20519" w14:textId="26FECE34" w:rsidR="00D315C2" w:rsidRPr="009C0B42" w:rsidRDefault="007D2B73" w:rsidP="00F8427E">
      <w:pPr>
        <w:pStyle w:val="Paragraphfirst"/>
        <w:keepNext/>
      </w:pPr>
      <w:r>
        <w:fldChar w:fldCharType="begin"/>
      </w:r>
      <w:r>
        <w:instrText>REF _Ref122352439</w:instrText>
      </w:r>
      <w:r>
        <w:fldChar w:fldCharType="separate"/>
      </w:r>
      <w:r>
        <w:t xml:space="preserve">Figure </w:t>
      </w:r>
      <w:r>
        <w:rPr>
          <w:noProof/>
        </w:rPr>
        <w:t>G.2</w:t>
      </w:r>
      <w:r>
        <w:t>.</w:t>
      </w:r>
      <w:r>
        <w:rPr>
          <w:noProof/>
        </w:rPr>
        <w:t>1</w:t>
      </w:r>
      <w:r>
        <w:fldChar w:fldCharType="end"/>
      </w:r>
      <w:r>
        <w:t xml:space="preserve"> </w:t>
      </w:r>
      <w:r w:rsidR="00D315C2" w:rsidRPr="009C0B42">
        <w:t xml:space="preserve">illustrates the interaction between Complexity and Group </w:t>
      </w:r>
      <w:r w:rsidR="005E4985" w:rsidRPr="009C0B42">
        <w:t>Bu</w:t>
      </w:r>
      <w:r w:rsidR="005E4985">
        <w:t>ilding</w:t>
      </w:r>
      <w:r w:rsidR="00D315C2" w:rsidRPr="009C0B42">
        <w:t>. As</w:t>
      </w:r>
      <w:r w:rsidR="00FC63EE">
        <w:t xml:space="preserve"> reported in the main text, as</w:t>
      </w:r>
      <w:r w:rsidR="00D315C2" w:rsidRPr="009C0B42">
        <w:t xml:space="preserve"> complexity increase</w:t>
      </w:r>
      <w:r w:rsidR="00B71865" w:rsidRPr="009C0B42">
        <w:t>s</w:t>
      </w:r>
      <w:r w:rsidR="00D315C2" w:rsidRPr="009C0B42">
        <w:t xml:space="preserve">, so too does the </w:t>
      </w:r>
      <w:r w:rsidR="00A405E8">
        <w:t xml:space="preserve">relative </w:t>
      </w:r>
      <w:r w:rsidR="00D315C2" w:rsidRPr="009C0B42">
        <w:t xml:space="preserve">impact of group building </w:t>
      </w:r>
      <w:r w:rsidR="00B71865" w:rsidRPr="009C0B42">
        <w:t>i</w:t>
      </w:r>
      <w:r w:rsidR="00D315C2" w:rsidRPr="009C0B42">
        <w:t xml:space="preserve">n </w:t>
      </w:r>
      <w:r w:rsidR="00B26A12">
        <w:t xml:space="preserve">producing </w:t>
      </w:r>
      <w:r w:rsidR="00A405E8">
        <w:t>higher</w:t>
      </w:r>
      <w:r w:rsidR="00B26A12">
        <w:t xml:space="preserve"> DRI</w:t>
      </w:r>
      <w:r w:rsidR="00435773">
        <w:t>.</w:t>
      </w:r>
      <w:r w:rsidR="00B26A12">
        <w:t xml:space="preserve"> </w:t>
      </w:r>
      <w:r w:rsidR="00435773">
        <w:t>The positive role of group building</w:t>
      </w:r>
      <w:r w:rsidR="00C24A18">
        <w:t xml:space="preserve"> increases </w:t>
      </w:r>
      <w:r w:rsidR="0032202F">
        <w:t xml:space="preserve">once complexity reaches </w:t>
      </w:r>
      <w:r w:rsidR="0038653C">
        <w:t>around 1.5</w:t>
      </w:r>
      <w:r w:rsidR="00AE7A24">
        <w:t xml:space="preserve"> (hence the </w:t>
      </w:r>
      <w:r w:rsidR="00B41B61">
        <w:t>negative</w:t>
      </w:r>
      <w:r w:rsidR="00A405E8">
        <w:t>, but not significant,</w:t>
      </w:r>
      <w:r w:rsidR="00B41B61">
        <w:t xml:space="preserve"> result for </w:t>
      </w:r>
      <w:r w:rsidR="0032202F">
        <w:t xml:space="preserve">the </w:t>
      </w:r>
      <w:r w:rsidR="00B41B61">
        <w:t xml:space="preserve">group </w:t>
      </w:r>
      <w:r w:rsidR="00030AFC">
        <w:t>building</w:t>
      </w:r>
      <w:r w:rsidR="00B41B61">
        <w:t xml:space="preserve"> </w:t>
      </w:r>
      <w:r w:rsidR="0032202F">
        <w:t xml:space="preserve">coefficient in model </w:t>
      </w:r>
      <w:r w:rsidR="00F010A5">
        <w:t xml:space="preserve">I2 in Table </w:t>
      </w:r>
      <w:r w:rsidR="00EE1B6A">
        <w:t>5 in the main text).</w:t>
      </w:r>
    </w:p>
    <w:p w14:paraId="5EEA516B" w14:textId="35CA21B6" w:rsidR="00D315C2" w:rsidRPr="009C0B42" w:rsidRDefault="00770A06" w:rsidP="00770A06">
      <w:pPr>
        <w:pStyle w:val="Caption"/>
      </w:pPr>
      <w:bookmarkStart w:id="213" w:name="_Ref122352439"/>
      <w:r>
        <w:t xml:space="preserve">Figure </w:t>
      </w:r>
      <w:r>
        <w:fldChar w:fldCharType="begin"/>
      </w:r>
      <w:r>
        <w:instrText>STYLEREF 2 \s</w:instrText>
      </w:r>
      <w:r>
        <w:fldChar w:fldCharType="separate"/>
      </w:r>
      <w:r>
        <w:rPr>
          <w:noProof/>
        </w:rPr>
        <w:t>G.2</w:t>
      </w:r>
      <w:r>
        <w:fldChar w:fldCharType="end"/>
      </w:r>
      <w:r>
        <w:t>.</w:t>
      </w:r>
      <w:r>
        <w:fldChar w:fldCharType="begin"/>
      </w:r>
      <w:r>
        <w:instrText>SEQ Figure \* ARABIC \s 2</w:instrText>
      </w:r>
      <w:r>
        <w:fldChar w:fldCharType="separate"/>
      </w:r>
      <w:r>
        <w:rPr>
          <w:noProof/>
        </w:rPr>
        <w:t>1</w:t>
      </w:r>
      <w:r>
        <w:fldChar w:fldCharType="end"/>
      </w:r>
      <w:bookmarkEnd w:id="213"/>
      <w:r w:rsidR="00D315C2">
        <w:t xml:space="preserve">: </w:t>
      </w:r>
      <w:r w:rsidR="00B71865">
        <w:t>Interaction Between Complexity and</w:t>
      </w:r>
      <w:r w:rsidR="00471CF8">
        <w:t xml:space="preserve"> </w:t>
      </w:r>
      <w:r w:rsidR="00D315C2">
        <w:t>Group Building (model I3)</w:t>
      </w:r>
    </w:p>
    <w:p w14:paraId="75955347" w14:textId="0835EE0F" w:rsidR="00471CF8" w:rsidRDefault="001A6973" w:rsidP="002A2EB6">
      <w:pPr>
        <w:pStyle w:val="Figure"/>
        <w:rPr>
          <w:rFonts w:eastAsia="Cambria"/>
        </w:rPr>
      </w:pPr>
      <w:r>
        <w:rPr>
          <w:rFonts w:eastAsia="Cambria"/>
          <w:noProof/>
        </w:rPr>
        <w:drawing>
          <wp:inline distT="0" distB="0" distL="0" distR="0" wp14:anchorId="7F50B56C" wp14:editId="5EC8206B">
            <wp:extent cx="5372100" cy="397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5"/>
                    <a:stretch>
                      <a:fillRect/>
                    </a:stretch>
                  </pic:blipFill>
                  <pic:spPr>
                    <a:xfrm>
                      <a:off x="0" y="0"/>
                      <a:ext cx="5372100" cy="3975100"/>
                    </a:xfrm>
                    <a:prstGeom prst="rect">
                      <a:avLst/>
                    </a:prstGeom>
                  </pic:spPr>
                </pic:pic>
              </a:graphicData>
            </a:graphic>
          </wp:inline>
        </w:drawing>
      </w:r>
    </w:p>
    <w:p w14:paraId="1EC3AD31" w14:textId="20BE5708" w:rsidR="00BE287B" w:rsidRPr="001A3514" w:rsidRDefault="00BE287B" w:rsidP="00BE287B">
      <w:pPr>
        <w:pStyle w:val="FigureFooter"/>
      </w:pPr>
      <w:r>
        <w:t>Note:</w:t>
      </w:r>
      <w:r>
        <w:tab/>
        <w:t>The model from which this interaction is drawn can be found in Table 5 in the main text (model I2)</w:t>
      </w:r>
    </w:p>
    <w:p w14:paraId="07E3CBF9" w14:textId="1C9DD05A" w:rsidR="2F973660" w:rsidRPr="005F623F" w:rsidRDefault="005858EE" w:rsidP="005F623F">
      <w:pPr>
        <w:rPr>
          <w:rFonts w:eastAsia="Calibri"/>
        </w:rPr>
      </w:pPr>
      <w:r>
        <w:rPr>
          <w:rFonts w:eastAsia="Calibri"/>
        </w:rPr>
        <w:lastRenderedPageBreak/>
        <w:fldChar w:fldCharType="begin"/>
      </w:r>
      <w:r>
        <w:rPr>
          <w:rFonts w:eastAsia="Calibri"/>
        </w:rPr>
        <w:instrText xml:space="preserve"> REF _Ref122352086 </w:instrText>
      </w:r>
      <w:r>
        <w:rPr>
          <w:rFonts w:eastAsia="Calibri"/>
        </w:rPr>
        <w:fldChar w:fldCharType="separate"/>
      </w:r>
      <w:r>
        <w:t xml:space="preserve">Table </w:t>
      </w:r>
      <w:r>
        <w:rPr>
          <w:noProof/>
        </w:rPr>
        <w:t>G.2</w:t>
      </w:r>
      <w:r>
        <w:t>.</w:t>
      </w:r>
      <w:r>
        <w:rPr>
          <w:noProof/>
        </w:rPr>
        <w:t>1</w:t>
      </w:r>
      <w:r>
        <w:rPr>
          <w:rFonts w:eastAsia="Calibri"/>
        </w:rPr>
        <w:fldChar w:fldCharType="end"/>
      </w:r>
      <w:r>
        <w:rPr>
          <w:rFonts w:eastAsia="Calibri"/>
        </w:rPr>
        <w:t xml:space="preserve"> </w:t>
      </w:r>
      <w:r w:rsidR="2F973660" w:rsidRPr="005F623F">
        <w:rPr>
          <w:rFonts w:eastAsia="Calibri"/>
        </w:rPr>
        <w:t xml:space="preserve">reports the conditional predicted values for the interaction between Group Building and Complexity that have been considered to build </w:t>
      </w:r>
      <w:r w:rsidR="007A2004">
        <w:rPr>
          <w:rFonts w:eastAsia="Calibri"/>
        </w:rPr>
        <w:fldChar w:fldCharType="begin"/>
      </w:r>
      <w:r w:rsidR="007A2004">
        <w:rPr>
          <w:rFonts w:eastAsia="Calibri"/>
        </w:rPr>
        <w:instrText xml:space="preserve"> REF _Ref122352421 </w:instrText>
      </w:r>
      <w:r w:rsidR="007A2004">
        <w:rPr>
          <w:rFonts w:eastAsia="Calibri"/>
        </w:rPr>
        <w:fldChar w:fldCharType="separate"/>
      </w:r>
      <w:r w:rsidR="007A2004">
        <w:t xml:space="preserve">Figure </w:t>
      </w:r>
      <w:r w:rsidR="007A2004">
        <w:rPr>
          <w:noProof/>
        </w:rPr>
        <w:t>G.1</w:t>
      </w:r>
      <w:r w:rsidR="007A2004">
        <w:t>.</w:t>
      </w:r>
      <w:r w:rsidR="007A2004">
        <w:rPr>
          <w:noProof/>
        </w:rPr>
        <w:t>1</w:t>
      </w:r>
      <w:r w:rsidR="007A2004">
        <w:rPr>
          <w:rFonts w:eastAsia="Calibri"/>
        </w:rPr>
        <w:fldChar w:fldCharType="end"/>
      </w:r>
      <w:r w:rsidR="2F973660" w:rsidRPr="005F623F">
        <w:rPr>
          <w:rFonts w:eastAsia="Calibri"/>
        </w:rPr>
        <w:t>.</w:t>
      </w:r>
    </w:p>
    <w:p w14:paraId="27AB5AA7" w14:textId="5495EE01" w:rsidR="2F973660" w:rsidRPr="00A5706B" w:rsidRDefault="005F623F" w:rsidP="005F623F">
      <w:pPr>
        <w:pStyle w:val="Caption"/>
      </w:pPr>
      <w:bookmarkStart w:id="214" w:name="_Ref122352086"/>
      <w:r>
        <w:t xml:space="preserve">Table </w:t>
      </w:r>
      <w:r>
        <w:fldChar w:fldCharType="begin"/>
      </w:r>
      <w:r>
        <w:instrText>STYLEREF 2 \s</w:instrText>
      </w:r>
      <w:r>
        <w:fldChar w:fldCharType="separate"/>
      </w:r>
      <w:r>
        <w:rPr>
          <w:noProof/>
        </w:rPr>
        <w:t>G.2</w:t>
      </w:r>
      <w:r>
        <w:fldChar w:fldCharType="end"/>
      </w:r>
      <w:r>
        <w:t>.</w:t>
      </w:r>
      <w:r>
        <w:fldChar w:fldCharType="begin"/>
      </w:r>
      <w:r>
        <w:instrText>SEQ Table \* ARABIC \s 2</w:instrText>
      </w:r>
      <w:r>
        <w:fldChar w:fldCharType="separate"/>
      </w:r>
      <w:r>
        <w:rPr>
          <w:noProof/>
        </w:rPr>
        <w:t>1</w:t>
      </w:r>
      <w:r>
        <w:fldChar w:fldCharType="end"/>
      </w:r>
      <w:bookmarkEnd w:id="214"/>
      <w:r w:rsidR="2F973660" w:rsidRPr="00A5706B">
        <w:t>: Conditional effects for interaction Group</w:t>
      </w:r>
      <w:r w:rsidR="00F92B60">
        <w:t xml:space="preserve"> B</w:t>
      </w:r>
      <w:r w:rsidR="2F973660" w:rsidRPr="00A5706B">
        <w:t>uilding*Complexity (Model I2)</w:t>
      </w:r>
    </w:p>
    <w:tbl>
      <w:tblPr>
        <w:tblW w:w="0" w:type="auto"/>
        <w:tblLayout w:type="fixed"/>
        <w:tblCellMar>
          <w:top w:w="28" w:type="dxa"/>
          <w:bottom w:w="28" w:type="dxa"/>
        </w:tblCellMar>
        <w:tblLook w:val="0600" w:firstRow="0" w:lastRow="0" w:firstColumn="0" w:lastColumn="0" w:noHBand="1" w:noVBand="1"/>
      </w:tblPr>
      <w:tblGrid>
        <w:gridCol w:w="2415"/>
        <w:gridCol w:w="2415"/>
        <w:gridCol w:w="2265"/>
        <w:gridCol w:w="2205"/>
      </w:tblGrid>
      <w:tr w:rsidR="009E47BA" w:rsidRPr="009E6891" w14:paraId="74DEA962" w14:textId="77777777" w:rsidTr="00AE35A9">
        <w:tc>
          <w:tcPr>
            <w:tcW w:w="2415" w:type="dxa"/>
            <w:tcBorders>
              <w:bottom w:val="single" w:sz="4" w:space="0" w:color="auto"/>
            </w:tcBorders>
          </w:tcPr>
          <w:p w14:paraId="21AAF807" w14:textId="742355A9" w:rsidR="3B867521" w:rsidRPr="00D450CE" w:rsidRDefault="3B867521" w:rsidP="00AE35A9">
            <w:pPr>
              <w:pStyle w:val="TableHeader2"/>
            </w:pPr>
            <w:r w:rsidRPr="00D450CE">
              <w:t>Group Building</w:t>
            </w:r>
            <w:r w:rsidR="009E6891">
              <w:t xml:space="preserve"> </w:t>
            </w:r>
            <w:r w:rsidR="007F234C">
              <w:t>(</w:t>
            </w:r>
            <w:r w:rsidR="009E6891">
              <w:t>Level</w:t>
            </w:r>
            <w:r w:rsidR="007F234C">
              <w:t>)</w:t>
            </w:r>
          </w:p>
        </w:tc>
        <w:tc>
          <w:tcPr>
            <w:tcW w:w="2415" w:type="dxa"/>
            <w:tcBorders>
              <w:bottom w:val="single" w:sz="4" w:space="0" w:color="auto"/>
            </w:tcBorders>
          </w:tcPr>
          <w:p w14:paraId="20B8805E" w14:textId="449AE47E" w:rsidR="3B867521" w:rsidRPr="00D450CE" w:rsidRDefault="3B867521" w:rsidP="00AE35A9">
            <w:pPr>
              <w:pStyle w:val="TableHeader2"/>
            </w:pPr>
            <w:r w:rsidRPr="00D450CE">
              <w:t>Complexity</w:t>
            </w:r>
            <w:r w:rsidR="007F234C">
              <w:t xml:space="preserve"> (Level)</w:t>
            </w:r>
          </w:p>
        </w:tc>
        <w:tc>
          <w:tcPr>
            <w:tcW w:w="2265" w:type="dxa"/>
            <w:tcBorders>
              <w:bottom w:val="single" w:sz="4" w:space="0" w:color="auto"/>
            </w:tcBorders>
          </w:tcPr>
          <w:p w14:paraId="42B106F4" w14:textId="6F0B983B" w:rsidR="3B867521" w:rsidRPr="00AE35A9" w:rsidRDefault="3B867521" w:rsidP="00AE35A9">
            <w:pPr>
              <w:pStyle w:val="TableHeader2"/>
            </w:pPr>
            <w:r w:rsidRPr="00AE35A9">
              <w:t>Predicted DRI</w:t>
            </w:r>
          </w:p>
        </w:tc>
        <w:tc>
          <w:tcPr>
            <w:tcW w:w="2205" w:type="dxa"/>
            <w:tcBorders>
              <w:bottom w:val="single" w:sz="4" w:space="0" w:color="auto"/>
            </w:tcBorders>
          </w:tcPr>
          <w:p w14:paraId="0671CF69" w14:textId="6FE178FD" w:rsidR="3B867521" w:rsidRPr="00AE35A9" w:rsidRDefault="3B867521" w:rsidP="00AE35A9">
            <w:pPr>
              <w:pStyle w:val="TableHeader2"/>
            </w:pPr>
            <w:r w:rsidRPr="00AE35A9">
              <w:t>95% CI</w:t>
            </w:r>
          </w:p>
        </w:tc>
      </w:tr>
      <w:tr w:rsidR="009E47BA" w:rsidRPr="00A5706B" w14:paraId="4A3D85E4" w14:textId="77777777" w:rsidTr="00AE35A9">
        <w:tc>
          <w:tcPr>
            <w:tcW w:w="2415" w:type="dxa"/>
            <w:vMerge w:val="restart"/>
            <w:tcBorders>
              <w:top w:val="single" w:sz="4" w:space="0" w:color="auto"/>
            </w:tcBorders>
          </w:tcPr>
          <w:p w14:paraId="49EB90AB" w14:textId="3B3AB330" w:rsidR="3B867521" w:rsidRPr="00B028D5" w:rsidRDefault="3B867521" w:rsidP="009D7FF0">
            <w:pPr>
              <w:pStyle w:val="TableHeadingsColumn"/>
            </w:pPr>
            <w:r w:rsidRPr="00B028D5">
              <w:t>1</w:t>
            </w:r>
          </w:p>
        </w:tc>
        <w:tc>
          <w:tcPr>
            <w:tcW w:w="2415" w:type="dxa"/>
            <w:tcBorders>
              <w:top w:val="single" w:sz="4" w:space="0" w:color="auto"/>
            </w:tcBorders>
          </w:tcPr>
          <w:p w14:paraId="116ED96B" w14:textId="7BF729A5" w:rsidR="3B867521" w:rsidRPr="009E47BA" w:rsidRDefault="3B867521" w:rsidP="009D7FF0">
            <w:pPr>
              <w:pStyle w:val="TableDataCentred"/>
            </w:pPr>
            <w:r w:rsidRPr="009E6891">
              <w:t>1</w:t>
            </w:r>
          </w:p>
        </w:tc>
        <w:tc>
          <w:tcPr>
            <w:tcW w:w="2265" w:type="dxa"/>
            <w:tcBorders>
              <w:top w:val="single" w:sz="4" w:space="0" w:color="auto"/>
            </w:tcBorders>
          </w:tcPr>
          <w:p w14:paraId="0088364D" w14:textId="53CB1817" w:rsidR="3B867521" w:rsidRPr="009E47BA" w:rsidRDefault="3B867521" w:rsidP="009D7FF0">
            <w:pPr>
              <w:pStyle w:val="TableDataCentred"/>
            </w:pPr>
            <w:r w:rsidRPr="009E47BA">
              <w:t>0.59</w:t>
            </w:r>
          </w:p>
        </w:tc>
        <w:tc>
          <w:tcPr>
            <w:tcW w:w="2205" w:type="dxa"/>
            <w:tcBorders>
              <w:top w:val="single" w:sz="4" w:space="0" w:color="auto"/>
            </w:tcBorders>
          </w:tcPr>
          <w:p w14:paraId="7C9CF168" w14:textId="7E8B08DB" w:rsidR="3B867521" w:rsidRPr="009E47BA" w:rsidRDefault="3B867521" w:rsidP="009D7FF0">
            <w:pPr>
              <w:pStyle w:val="TableDataCentred"/>
            </w:pPr>
            <w:r w:rsidRPr="009E47BA">
              <w:t>[0.</w:t>
            </w:r>
            <w:r w:rsidR="003F64EE" w:rsidRPr="009E47BA">
              <w:t>36</w:t>
            </w:r>
            <w:r w:rsidRPr="009E47BA">
              <w:t xml:space="preserve">, </w:t>
            </w:r>
            <w:r w:rsidR="003F64EE" w:rsidRPr="009E47BA">
              <w:t>0.83</w:t>
            </w:r>
            <w:r w:rsidRPr="009E47BA">
              <w:t>]</w:t>
            </w:r>
          </w:p>
        </w:tc>
      </w:tr>
      <w:tr w:rsidR="00AE35A9" w14:paraId="0CC9E465" w14:textId="77777777" w:rsidTr="00AE35A9">
        <w:tc>
          <w:tcPr>
            <w:tcW w:w="2415" w:type="dxa"/>
            <w:vMerge/>
          </w:tcPr>
          <w:p w14:paraId="56D7C6C4" w14:textId="77777777" w:rsidR="004B639E" w:rsidRPr="00B028D5" w:rsidRDefault="004B639E" w:rsidP="009D7FF0">
            <w:pPr>
              <w:pStyle w:val="TableHeadingsColumn"/>
            </w:pPr>
          </w:p>
        </w:tc>
        <w:tc>
          <w:tcPr>
            <w:tcW w:w="2415" w:type="dxa"/>
          </w:tcPr>
          <w:p w14:paraId="5F926FB9" w14:textId="3E2E420A" w:rsidR="3B867521" w:rsidRPr="00AE35A9" w:rsidRDefault="3B867521" w:rsidP="009D7FF0">
            <w:pPr>
              <w:pStyle w:val="TableDataCentred"/>
            </w:pPr>
            <w:r w:rsidRPr="00AE35A9">
              <w:t>1.5</w:t>
            </w:r>
          </w:p>
        </w:tc>
        <w:tc>
          <w:tcPr>
            <w:tcW w:w="2265" w:type="dxa"/>
          </w:tcPr>
          <w:p w14:paraId="04B1A041" w14:textId="36DFB74A" w:rsidR="3B867521" w:rsidRPr="00AE35A9" w:rsidRDefault="3B867521" w:rsidP="009D7FF0">
            <w:pPr>
              <w:pStyle w:val="TableDataCentred"/>
            </w:pPr>
            <w:r w:rsidRPr="00AE35A9">
              <w:t>0.7</w:t>
            </w:r>
          </w:p>
        </w:tc>
        <w:tc>
          <w:tcPr>
            <w:tcW w:w="2205" w:type="dxa"/>
          </w:tcPr>
          <w:p w14:paraId="524A093A" w14:textId="48117754" w:rsidR="3B867521" w:rsidRPr="00AE35A9" w:rsidRDefault="3B867521" w:rsidP="009D7FF0">
            <w:pPr>
              <w:pStyle w:val="TableDataCentred"/>
            </w:pPr>
            <w:r w:rsidRPr="00AE35A9">
              <w:t>[0.3</w:t>
            </w:r>
            <w:r w:rsidR="003F64EE" w:rsidRPr="00AE35A9">
              <w:t>0</w:t>
            </w:r>
            <w:r w:rsidRPr="00AE35A9">
              <w:t>, 0.</w:t>
            </w:r>
            <w:r w:rsidR="003F64EE" w:rsidRPr="00AE35A9">
              <w:t>65</w:t>
            </w:r>
            <w:r w:rsidRPr="00AE35A9">
              <w:t>]</w:t>
            </w:r>
          </w:p>
        </w:tc>
      </w:tr>
      <w:tr w:rsidR="00A93D08" w14:paraId="0C59D896" w14:textId="77777777" w:rsidTr="00C51417">
        <w:tc>
          <w:tcPr>
            <w:tcW w:w="2415" w:type="dxa"/>
            <w:vMerge/>
          </w:tcPr>
          <w:p w14:paraId="75844517" w14:textId="77777777" w:rsidR="004B639E" w:rsidRPr="00B028D5" w:rsidRDefault="004B639E" w:rsidP="009D7FF0">
            <w:pPr>
              <w:pStyle w:val="TableHeadingsColumn"/>
            </w:pPr>
          </w:p>
        </w:tc>
        <w:tc>
          <w:tcPr>
            <w:tcW w:w="2415" w:type="dxa"/>
          </w:tcPr>
          <w:p w14:paraId="06799EA5" w14:textId="11B5A3E3" w:rsidR="3B867521" w:rsidRPr="00AE35A9" w:rsidRDefault="3B867521" w:rsidP="009D7FF0">
            <w:pPr>
              <w:pStyle w:val="TableDataCentred"/>
            </w:pPr>
            <w:r w:rsidRPr="00AE35A9">
              <w:t>2</w:t>
            </w:r>
          </w:p>
        </w:tc>
        <w:tc>
          <w:tcPr>
            <w:tcW w:w="2265" w:type="dxa"/>
          </w:tcPr>
          <w:p w14:paraId="0E6B7F89" w14:textId="611BB17F" w:rsidR="3B867521" w:rsidRPr="00AE35A9" w:rsidRDefault="3B867521" w:rsidP="009D7FF0">
            <w:pPr>
              <w:pStyle w:val="TableDataCentred"/>
            </w:pPr>
            <w:r w:rsidRPr="00AE35A9">
              <w:t>0.</w:t>
            </w:r>
            <w:r w:rsidR="003F64EE" w:rsidRPr="00AE35A9">
              <w:t>35</w:t>
            </w:r>
          </w:p>
        </w:tc>
        <w:tc>
          <w:tcPr>
            <w:tcW w:w="2205" w:type="dxa"/>
          </w:tcPr>
          <w:p w14:paraId="032516D9" w14:textId="7483315B" w:rsidR="3B867521" w:rsidRPr="00AE35A9" w:rsidRDefault="3B867521" w:rsidP="009D7FF0">
            <w:pPr>
              <w:pStyle w:val="TableDataCentred"/>
            </w:pPr>
            <w:r w:rsidRPr="00AE35A9">
              <w:t>[0.2</w:t>
            </w:r>
            <w:r w:rsidR="003F64EE" w:rsidRPr="00AE35A9">
              <w:t>4</w:t>
            </w:r>
            <w:r w:rsidRPr="00AE35A9">
              <w:t>, 0.</w:t>
            </w:r>
            <w:r w:rsidR="003F64EE" w:rsidRPr="00AE35A9">
              <w:t>47</w:t>
            </w:r>
            <w:r w:rsidRPr="00AE35A9">
              <w:t>]</w:t>
            </w:r>
          </w:p>
        </w:tc>
      </w:tr>
      <w:tr w:rsidR="00A93D08" w14:paraId="62CD64C4" w14:textId="77777777" w:rsidTr="00C51417">
        <w:tc>
          <w:tcPr>
            <w:tcW w:w="2415" w:type="dxa"/>
            <w:vMerge/>
          </w:tcPr>
          <w:p w14:paraId="64A82294" w14:textId="77777777" w:rsidR="004B639E" w:rsidRPr="00B028D5" w:rsidRDefault="004B639E" w:rsidP="009D7FF0">
            <w:pPr>
              <w:pStyle w:val="TableHeadingsColumn"/>
            </w:pPr>
          </w:p>
        </w:tc>
        <w:tc>
          <w:tcPr>
            <w:tcW w:w="2415" w:type="dxa"/>
          </w:tcPr>
          <w:p w14:paraId="4C12A3C9" w14:textId="650ED88D" w:rsidR="3B867521" w:rsidRPr="00AE35A9" w:rsidRDefault="3B867521" w:rsidP="009D7FF0">
            <w:pPr>
              <w:pStyle w:val="TableDataCentred"/>
            </w:pPr>
            <w:r w:rsidRPr="00AE35A9">
              <w:t>3</w:t>
            </w:r>
          </w:p>
        </w:tc>
        <w:tc>
          <w:tcPr>
            <w:tcW w:w="2265" w:type="dxa"/>
          </w:tcPr>
          <w:p w14:paraId="7CD0CB4B" w14:textId="1E22E5BD" w:rsidR="3B867521" w:rsidRPr="00AE35A9" w:rsidRDefault="3B867521" w:rsidP="009D7FF0">
            <w:pPr>
              <w:pStyle w:val="TableDataCentred"/>
            </w:pPr>
            <w:r w:rsidRPr="00AE35A9">
              <w:t>0.11</w:t>
            </w:r>
          </w:p>
        </w:tc>
        <w:tc>
          <w:tcPr>
            <w:tcW w:w="2205" w:type="dxa"/>
          </w:tcPr>
          <w:p w14:paraId="5346587D" w14:textId="68095D14" w:rsidR="3B867521" w:rsidRPr="00AE35A9" w:rsidRDefault="3B867521" w:rsidP="009D7FF0">
            <w:pPr>
              <w:pStyle w:val="TableDataCentred"/>
            </w:pPr>
            <w:r w:rsidRPr="00AE35A9">
              <w:t>[0.0</w:t>
            </w:r>
            <w:r w:rsidR="003F64EE" w:rsidRPr="00AE35A9">
              <w:t>0</w:t>
            </w:r>
            <w:r w:rsidRPr="00AE35A9">
              <w:t>, 0.22]</w:t>
            </w:r>
          </w:p>
        </w:tc>
      </w:tr>
      <w:tr w:rsidR="00C51417" w14:paraId="48CBC54D" w14:textId="77777777" w:rsidTr="00AE35A9">
        <w:tc>
          <w:tcPr>
            <w:tcW w:w="2415" w:type="dxa"/>
            <w:vMerge/>
            <w:tcBorders>
              <w:bottom w:val="single" w:sz="4" w:space="0" w:color="auto"/>
            </w:tcBorders>
          </w:tcPr>
          <w:p w14:paraId="2D016943" w14:textId="77777777" w:rsidR="004B639E" w:rsidRPr="00B028D5" w:rsidRDefault="004B639E" w:rsidP="009D7FF0">
            <w:pPr>
              <w:pStyle w:val="TableHeadingsColumn"/>
            </w:pPr>
          </w:p>
        </w:tc>
        <w:tc>
          <w:tcPr>
            <w:tcW w:w="2415" w:type="dxa"/>
            <w:tcBorders>
              <w:bottom w:val="single" w:sz="4" w:space="0" w:color="auto"/>
            </w:tcBorders>
          </w:tcPr>
          <w:p w14:paraId="5A869CBE" w14:textId="7F2D1043" w:rsidR="3B867521" w:rsidRPr="00AE35A9" w:rsidRDefault="3B867521" w:rsidP="009D7FF0">
            <w:pPr>
              <w:pStyle w:val="TableDataCentred"/>
            </w:pPr>
            <w:r w:rsidRPr="00AE35A9">
              <w:t>3.5</w:t>
            </w:r>
          </w:p>
        </w:tc>
        <w:tc>
          <w:tcPr>
            <w:tcW w:w="2265" w:type="dxa"/>
            <w:tcBorders>
              <w:bottom w:val="single" w:sz="4" w:space="0" w:color="auto"/>
            </w:tcBorders>
          </w:tcPr>
          <w:p w14:paraId="5CB0B06C" w14:textId="4A44AD32" w:rsidR="3B867521" w:rsidRPr="00AE35A9" w:rsidRDefault="3B867521" w:rsidP="009D7FF0">
            <w:pPr>
              <w:pStyle w:val="TableDataCentred"/>
            </w:pPr>
            <w:r w:rsidRPr="00AE35A9">
              <w:t>-0.0</w:t>
            </w:r>
            <w:r w:rsidR="003F64EE" w:rsidRPr="00AE35A9">
              <w:t>1</w:t>
            </w:r>
          </w:p>
        </w:tc>
        <w:tc>
          <w:tcPr>
            <w:tcW w:w="2205" w:type="dxa"/>
            <w:tcBorders>
              <w:bottom w:val="single" w:sz="4" w:space="0" w:color="auto"/>
            </w:tcBorders>
          </w:tcPr>
          <w:p w14:paraId="44B00077" w14:textId="0B3FFAE5" w:rsidR="3B867521" w:rsidRPr="00AE35A9" w:rsidRDefault="3B867521" w:rsidP="009D7FF0">
            <w:pPr>
              <w:pStyle w:val="TableDataCentred"/>
            </w:pPr>
            <w:r w:rsidRPr="00AE35A9">
              <w:t>[-0.</w:t>
            </w:r>
            <w:r w:rsidR="003F64EE" w:rsidRPr="00AE35A9">
              <w:t>17</w:t>
            </w:r>
            <w:r w:rsidRPr="00AE35A9">
              <w:t>, 0.1</w:t>
            </w:r>
            <w:r w:rsidR="00D33B65" w:rsidRPr="00AE35A9">
              <w:t>6</w:t>
            </w:r>
            <w:r w:rsidRPr="00AE35A9">
              <w:t>]</w:t>
            </w:r>
          </w:p>
        </w:tc>
      </w:tr>
      <w:tr w:rsidR="00A93D08" w14:paraId="0763DC5B" w14:textId="77777777" w:rsidTr="00C51417">
        <w:tc>
          <w:tcPr>
            <w:tcW w:w="2415" w:type="dxa"/>
            <w:vMerge w:val="restart"/>
            <w:tcBorders>
              <w:top w:val="single" w:sz="4" w:space="0" w:color="auto"/>
            </w:tcBorders>
          </w:tcPr>
          <w:p w14:paraId="4EE093F7" w14:textId="355D330A" w:rsidR="3B867521" w:rsidRPr="00B028D5" w:rsidRDefault="3B867521" w:rsidP="009D7FF0">
            <w:pPr>
              <w:pStyle w:val="TableHeadingsColumn"/>
            </w:pPr>
            <w:r w:rsidRPr="00B028D5">
              <w:t>2</w:t>
            </w:r>
          </w:p>
        </w:tc>
        <w:tc>
          <w:tcPr>
            <w:tcW w:w="2415" w:type="dxa"/>
            <w:tcBorders>
              <w:top w:val="single" w:sz="4" w:space="0" w:color="auto"/>
            </w:tcBorders>
          </w:tcPr>
          <w:p w14:paraId="55B5BBB0" w14:textId="6A94F53F" w:rsidR="3B867521" w:rsidRPr="00AE35A9" w:rsidRDefault="3B867521" w:rsidP="009D7FF0">
            <w:pPr>
              <w:pStyle w:val="TableDataCentred"/>
            </w:pPr>
            <w:r w:rsidRPr="00AE35A9">
              <w:t>1</w:t>
            </w:r>
          </w:p>
        </w:tc>
        <w:tc>
          <w:tcPr>
            <w:tcW w:w="2265" w:type="dxa"/>
            <w:tcBorders>
              <w:top w:val="single" w:sz="4" w:space="0" w:color="auto"/>
            </w:tcBorders>
          </w:tcPr>
          <w:p w14:paraId="63CBE497" w14:textId="3088DC23" w:rsidR="3B867521" w:rsidRPr="00AE35A9" w:rsidRDefault="3B867521" w:rsidP="009D7FF0">
            <w:pPr>
              <w:pStyle w:val="TableDataCentred"/>
            </w:pPr>
            <w:r w:rsidRPr="00AE35A9">
              <w:t>0.</w:t>
            </w:r>
            <w:r w:rsidR="00D33B65" w:rsidRPr="00AE35A9">
              <w:t>57</w:t>
            </w:r>
          </w:p>
        </w:tc>
        <w:tc>
          <w:tcPr>
            <w:tcW w:w="2205" w:type="dxa"/>
            <w:tcBorders>
              <w:top w:val="single" w:sz="4" w:space="0" w:color="auto"/>
            </w:tcBorders>
          </w:tcPr>
          <w:p w14:paraId="3BB8EEE7" w14:textId="6A6A8A27" w:rsidR="3B867521" w:rsidRPr="00AE35A9" w:rsidRDefault="3B867521" w:rsidP="009D7FF0">
            <w:pPr>
              <w:pStyle w:val="TableDataCentred"/>
            </w:pPr>
            <w:r w:rsidRPr="00AE35A9">
              <w:t>[0.4</w:t>
            </w:r>
            <w:r w:rsidR="00D33B65" w:rsidRPr="00AE35A9">
              <w:t>0</w:t>
            </w:r>
            <w:r w:rsidRPr="00AE35A9">
              <w:t>, 0.7</w:t>
            </w:r>
            <w:r w:rsidR="00C529BD" w:rsidRPr="00AE35A9">
              <w:t>4</w:t>
            </w:r>
            <w:r w:rsidRPr="00AE35A9">
              <w:t>]</w:t>
            </w:r>
          </w:p>
        </w:tc>
      </w:tr>
      <w:tr w:rsidR="00A95707" w14:paraId="5BA1D328" w14:textId="77777777" w:rsidTr="00C51417">
        <w:tc>
          <w:tcPr>
            <w:tcW w:w="2415" w:type="dxa"/>
            <w:vMerge/>
          </w:tcPr>
          <w:p w14:paraId="1AD5F57D" w14:textId="77777777" w:rsidR="004B639E" w:rsidRPr="00B028D5" w:rsidRDefault="004B639E" w:rsidP="009D7FF0">
            <w:pPr>
              <w:pStyle w:val="TableHeadingsColumn"/>
            </w:pPr>
          </w:p>
        </w:tc>
        <w:tc>
          <w:tcPr>
            <w:tcW w:w="2415" w:type="dxa"/>
          </w:tcPr>
          <w:p w14:paraId="296B27D4" w14:textId="1BEC175C" w:rsidR="3B867521" w:rsidRPr="00AE35A9" w:rsidRDefault="3B867521" w:rsidP="009D7FF0">
            <w:pPr>
              <w:pStyle w:val="TableDataCentred"/>
            </w:pPr>
            <w:r w:rsidRPr="00AE35A9">
              <w:t>1.5</w:t>
            </w:r>
          </w:p>
        </w:tc>
        <w:tc>
          <w:tcPr>
            <w:tcW w:w="2265" w:type="dxa"/>
          </w:tcPr>
          <w:p w14:paraId="706C7BC8" w14:textId="1442E3BF" w:rsidR="3B867521" w:rsidRPr="00AE35A9" w:rsidRDefault="3B867521" w:rsidP="009D7FF0">
            <w:pPr>
              <w:pStyle w:val="TableDataCentred"/>
            </w:pPr>
            <w:r w:rsidRPr="00AE35A9">
              <w:t>0.</w:t>
            </w:r>
            <w:r w:rsidR="00D33B65" w:rsidRPr="00AE35A9">
              <w:t>48</w:t>
            </w:r>
          </w:p>
        </w:tc>
        <w:tc>
          <w:tcPr>
            <w:tcW w:w="2205" w:type="dxa"/>
          </w:tcPr>
          <w:p w14:paraId="6301F97A" w14:textId="4213597C" w:rsidR="3B867521" w:rsidRPr="00AE35A9" w:rsidRDefault="3B867521" w:rsidP="009D7FF0">
            <w:pPr>
              <w:pStyle w:val="TableDataCentred"/>
            </w:pPr>
            <w:r w:rsidRPr="00AE35A9">
              <w:t>[0.3</w:t>
            </w:r>
            <w:r w:rsidR="00C529BD" w:rsidRPr="00AE35A9">
              <w:t>6</w:t>
            </w:r>
            <w:r w:rsidRPr="00AE35A9">
              <w:t>, 0.6</w:t>
            </w:r>
            <w:r w:rsidR="00C529BD" w:rsidRPr="00AE35A9">
              <w:t>1</w:t>
            </w:r>
            <w:r w:rsidRPr="00AE35A9">
              <w:t>]</w:t>
            </w:r>
          </w:p>
        </w:tc>
      </w:tr>
      <w:tr w:rsidR="00AE35A9" w14:paraId="5CEF5F00" w14:textId="77777777" w:rsidTr="00AE35A9">
        <w:tc>
          <w:tcPr>
            <w:tcW w:w="2415" w:type="dxa"/>
            <w:vMerge/>
          </w:tcPr>
          <w:p w14:paraId="412FE714" w14:textId="77777777" w:rsidR="004B639E" w:rsidRPr="00B028D5" w:rsidRDefault="004B639E" w:rsidP="009D7FF0">
            <w:pPr>
              <w:pStyle w:val="TableHeadingsColumn"/>
            </w:pPr>
          </w:p>
        </w:tc>
        <w:tc>
          <w:tcPr>
            <w:tcW w:w="2415" w:type="dxa"/>
          </w:tcPr>
          <w:p w14:paraId="68EC4A7A" w14:textId="6EAE0DEB" w:rsidR="3B867521" w:rsidRPr="00AE35A9" w:rsidRDefault="3B867521" w:rsidP="009D7FF0">
            <w:pPr>
              <w:pStyle w:val="TableDataCentred"/>
            </w:pPr>
            <w:r w:rsidRPr="00AE35A9">
              <w:t>2</w:t>
            </w:r>
          </w:p>
        </w:tc>
        <w:tc>
          <w:tcPr>
            <w:tcW w:w="2265" w:type="dxa"/>
          </w:tcPr>
          <w:p w14:paraId="420E7CE5" w14:textId="7B5CBA38" w:rsidR="3B867521" w:rsidRPr="00AE35A9" w:rsidRDefault="3B867521" w:rsidP="009D7FF0">
            <w:pPr>
              <w:pStyle w:val="TableDataCentred"/>
            </w:pPr>
            <w:r w:rsidRPr="00AE35A9">
              <w:t>0.</w:t>
            </w:r>
            <w:r w:rsidR="00D33B65" w:rsidRPr="00AE35A9">
              <w:t>39</w:t>
            </w:r>
          </w:p>
        </w:tc>
        <w:tc>
          <w:tcPr>
            <w:tcW w:w="2205" w:type="dxa"/>
          </w:tcPr>
          <w:p w14:paraId="692D4E99" w14:textId="322A9549" w:rsidR="3B867521" w:rsidRPr="00AE35A9" w:rsidRDefault="3B867521" w:rsidP="009D7FF0">
            <w:pPr>
              <w:pStyle w:val="TableDataCentred"/>
            </w:pPr>
            <w:r w:rsidRPr="00AE35A9">
              <w:t>[0.3</w:t>
            </w:r>
            <w:r w:rsidR="00C529BD" w:rsidRPr="00AE35A9">
              <w:t>1</w:t>
            </w:r>
            <w:r w:rsidRPr="00AE35A9">
              <w:t>, 0.4</w:t>
            </w:r>
            <w:r w:rsidR="00C529BD" w:rsidRPr="00AE35A9">
              <w:t>8</w:t>
            </w:r>
            <w:r w:rsidRPr="00AE35A9">
              <w:t>]</w:t>
            </w:r>
          </w:p>
        </w:tc>
      </w:tr>
      <w:tr w:rsidR="00A95707" w14:paraId="4A9BB19C" w14:textId="77777777" w:rsidTr="00C51417">
        <w:tc>
          <w:tcPr>
            <w:tcW w:w="2415" w:type="dxa"/>
            <w:vMerge/>
          </w:tcPr>
          <w:p w14:paraId="55BDCB84" w14:textId="77777777" w:rsidR="004B639E" w:rsidRPr="00B028D5" w:rsidRDefault="004B639E" w:rsidP="009D7FF0">
            <w:pPr>
              <w:pStyle w:val="TableHeadingsColumn"/>
            </w:pPr>
          </w:p>
        </w:tc>
        <w:tc>
          <w:tcPr>
            <w:tcW w:w="2415" w:type="dxa"/>
          </w:tcPr>
          <w:p w14:paraId="7BE18A04" w14:textId="25ADF66A" w:rsidR="3B867521" w:rsidRPr="00AE35A9" w:rsidRDefault="3B867521" w:rsidP="009D7FF0">
            <w:pPr>
              <w:pStyle w:val="TableDataCentred"/>
            </w:pPr>
            <w:r w:rsidRPr="00AE35A9">
              <w:t>3</w:t>
            </w:r>
          </w:p>
        </w:tc>
        <w:tc>
          <w:tcPr>
            <w:tcW w:w="2265" w:type="dxa"/>
          </w:tcPr>
          <w:p w14:paraId="526F0A85" w14:textId="2656B8EB" w:rsidR="3B867521" w:rsidRPr="00AE35A9" w:rsidRDefault="3B867521" w:rsidP="009D7FF0">
            <w:pPr>
              <w:pStyle w:val="TableDataCentred"/>
            </w:pPr>
            <w:r w:rsidRPr="00AE35A9">
              <w:t>0.21</w:t>
            </w:r>
          </w:p>
        </w:tc>
        <w:tc>
          <w:tcPr>
            <w:tcW w:w="2205" w:type="dxa"/>
          </w:tcPr>
          <w:p w14:paraId="1B51C426" w14:textId="26ADDCC0" w:rsidR="3B867521" w:rsidRPr="00AE35A9" w:rsidRDefault="3B867521" w:rsidP="009D7FF0">
            <w:pPr>
              <w:pStyle w:val="TableDataCentred"/>
            </w:pPr>
            <w:r w:rsidRPr="00AE35A9">
              <w:t>[0.14, 0.2</w:t>
            </w:r>
            <w:r w:rsidR="00C529BD" w:rsidRPr="00AE35A9">
              <w:t>9</w:t>
            </w:r>
            <w:r w:rsidRPr="00AE35A9">
              <w:t>]</w:t>
            </w:r>
          </w:p>
        </w:tc>
      </w:tr>
      <w:tr w:rsidR="00A93D08" w14:paraId="31B89F50" w14:textId="77777777" w:rsidTr="00C51417">
        <w:tc>
          <w:tcPr>
            <w:tcW w:w="2415" w:type="dxa"/>
            <w:vMerge/>
            <w:tcBorders>
              <w:bottom w:val="single" w:sz="4" w:space="0" w:color="auto"/>
            </w:tcBorders>
          </w:tcPr>
          <w:p w14:paraId="37C5FC0F" w14:textId="77777777" w:rsidR="004B639E" w:rsidRPr="00B028D5" w:rsidRDefault="004B639E" w:rsidP="009D7FF0">
            <w:pPr>
              <w:pStyle w:val="TableHeadingsColumn"/>
            </w:pPr>
          </w:p>
        </w:tc>
        <w:tc>
          <w:tcPr>
            <w:tcW w:w="2415" w:type="dxa"/>
            <w:tcBorders>
              <w:bottom w:val="single" w:sz="4" w:space="0" w:color="auto"/>
            </w:tcBorders>
          </w:tcPr>
          <w:p w14:paraId="305AC20A" w14:textId="242DA957" w:rsidR="3B867521" w:rsidRPr="00AE35A9" w:rsidRDefault="3B867521" w:rsidP="009D7FF0">
            <w:pPr>
              <w:pStyle w:val="TableDataCentred"/>
            </w:pPr>
            <w:r w:rsidRPr="00AE35A9">
              <w:t>3.5</w:t>
            </w:r>
          </w:p>
        </w:tc>
        <w:tc>
          <w:tcPr>
            <w:tcW w:w="2265" w:type="dxa"/>
            <w:tcBorders>
              <w:bottom w:val="single" w:sz="4" w:space="0" w:color="auto"/>
            </w:tcBorders>
          </w:tcPr>
          <w:p w14:paraId="646F0663" w14:textId="76FA734F" w:rsidR="3B867521" w:rsidRPr="00AE35A9" w:rsidRDefault="3B867521" w:rsidP="009D7FF0">
            <w:pPr>
              <w:pStyle w:val="TableDataCentred"/>
            </w:pPr>
            <w:r w:rsidRPr="00AE35A9">
              <w:t>0.1</w:t>
            </w:r>
            <w:r w:rsidR="00D33B65" w:rsidRPr="00AE35A9">
              <w:t>2</w:t>
            </w:r>
          </w:p>
        </w:tc>
        <w:tc>
          <w:tcPr>
            <w:tcW w:w="2205" w:type="dxa"/>
            <w:tcBorders>
              <w:bottom w:val="single" w:sz="4" w:space="0" w:color="auto"/>
            </w:tcBorders>
          </w:tcPr>
          <w:p w14:paraId="372355CB" w14:textId="41259D02" w:rsidR="3B867521" w:rsidRPr="00AE35A9" w:rsidRDefault="3B867521" w:rsidP="009D7FF0">
            <w:pPr>
              <w:pStyle w:val="TableDataCentred"/>
            </w:pPr>
            <w:r w:rsidRPr="00AE35A9">
              <w:t>[0.0</w:t>
            </w:r>
            <w:r w:rsidR="00C529BD" w:rsidRPr="00AE35A9">
              <w:t>1</w:t>
            </w:r>
            <w:r w:rsidRPr="00AE35A9">
              <w:t>, 0.2</w:t>
            </w:r>
            <w:r w:rsidR="007C2ACB" w:rsidRPr="00AE35A9">
              <w:t>4</w:t>
            </w:r>
            <w:r w:rsidRPr="00AE35A9">
              <w:t>]</w:t>
            </w:r>
          </w:p>
        </w:tc>
      </w:tr>
      <w:tr w:rsidR="00A95707" w14:paraId="6E00D62A" w14:textId="77777777" w:rsidTr="00C51417">
        <w:tc>
          <w:tcPr>
            <w:tcW w:w="2415" w:type="dxa"/>
            <w:vMerge w:val="restart"/>
            <w:tcBorders>
              <w:top w:val="single" w:sz="4" w:space="0" w:color="auto"/>
            </w:tcBorders>
          </w:tcPr>
          <w:p w14:paraId="3770E5BE" w14:textId="1BD36575" w:rsidR="3B867521" w:rsidRPr="00B028D5" w:rsidRDefault="3B867521" w:rsidP="009D7FF0">
            <w:pPr>
              <w:pStyle w:val="TableHeadingsColumn"/>
            </w:pPr>
            <w:r w:rsidRPr="00B028D5">
              <w:t>3</w:t>
            </w:r>
          </w:p>
        </w:tc>
        <w:tc>
          <w:tcPr>
            <w:tcW w:w="2415" w:type="dxa"/>
            <w:tcBorders>
              <w:top w:val="single" w:sz="4" w:space="0" w:color="auto"/>
            </w:tcBorders>
          </w:tcPr>
          <w:p w14:paraId="6A148712" w14:textId="6297BA62" w:rsidR="3B867521" w:rsidRPr="00AE35A9" w:rsidRDefault="3B867521" w:rsidP="009D7FF0">
            <w:pPr>
              <w:pStyle w:val="TableDataCentred"/>
            </w:pPr>
            <w:r w:rsidRPr="00AE35A9">
              <w:t>1</w:t>
            </w:r>
          </w:p>
        </w:tc>
        <w:tc>
          <w:tcPr>
            <w:tcW w:w="2265" w:type="dxa"/>
            <w:tcBorders>
              <w:top w:val="single" w:sz="4" w:space="0" w:color="auto"/>
            </w:tcBorders>
          </w:tcPr>
          <w:p w14:paraId="66FE3894" w14:textId="5B052B98" w:rsidR="3B867521" w:rsidRPr="00AE35A9" w:rsidRDefault="3B867521" w:rsidP="009D7FF0">
            <w:pPr>
              <w:pStyle w:val="TableDataCentred"/>
            </w:pPr>
            <w:r w:rsidRPr="00AE35A9">
              <w:t>0.5</w:t>
            </w:r>
            <w:r w:rsidR="007C2ACB" w:rsidRPr="00AE35A9">
              <w:t>5</w:t>
            </w:r>
          </w:p>
        </w:tc>
        <w:tc>
          <w:tcPr>
            <w:tcW w:w="2205" w:type="dxa"/>
            <w:tcBorders>
              <w:top w:val="single" w:sz="4" w:space="0" w:color="auto"/>
            </w:tcBorders>
          </w:tcPr>
          <w:p w14:paraId="678FF5A7" w14:textId="2057D2BB" w:rsidR="3B867521" w:rsidRPr="00AE35A9" w:rsidRDefault="3B867521" w:rsidP="009D7FF0">
            <w:pPr>
              <w:pStyle w:val="TableDataCentred"/>
            </w:pPr>
            <w:r w:rsidRPr="00AE35A9">
              <w:t>[0.</w:t>
            </w:r>
            <w:r w:rsidR="007C2ACB" w:rsidRPr="00AE35A9">
              <w:t>43</w:t>
            </w:r>
            <w:r w:rsidRPr="00AE35A9">
              <w:t>, 0.6</w:t>
            </w:r>
            <w:r w:rsidR="004F1E81" w:rsidRPr="00AE35A9">
              <w:t>8</w:t>
            </w:r>
            <w:r w:rsidRPr="00AE35A9">
              <w:t>]</w:t>
            </w:r>
          </w:p>
        </w:tc>
      </w:tr>
      <w:tr w:rsidR="00AE35A9" w14:paraId="6E3E0B63" w14:textId="77777777" w:rsidTr="00AE35A9">
        <w:tc>
          <w:tcPr>
            <w:tcW w:w="2415" w:type="dxa"/>
            <w:vMerge/>
          </w:tcPr>
          <w:p w14:paraId="4E2B655C" w14:textId="77777777" w:rsidR="004B639E" w:rsidRPr="00B028D5" w:rsidRDefault="004B639E" w:rsidP="009D7FF0">
            <w:pPr>
              <w:pStyle w:val="TableHeadingsColumn"/>
            </w:pPr>
          </w:p>
        </w:tc>
        <w:tc>
          <w:tcPr>
            <w:tcW w:w="2415" w:type="dxa"/>
          </w:tcPr>
          <w:p w14:paraId="49F8072E" w14:textId="3982C015" w:rsidR="3B867521" w:rsidRPr="00AE35A9" w:rsidRDefault="3B867521" w:rsidP="009D7FF0">
            <w:pPr>
              <w:pStyle w:val="TableDataCentred"/>
            </w:pPr>
            <w:r w:rsidRPr="00AE35A9">
              <w:t>1.5</w:t>
            </w:r>
          </w:p>
        </w:tc>
        <w:tc>
          <w:tcPr>
            <w:tcW w:w="2265" w:type="dxa"/>
          </w:tcPr>
          <w:p w14:paraId="3236DADA" w14:textId="643C2008" w:rsidR="3B867521" w:rsidRPr="00AE35A9" w:rsidRDefault="3B867521" w:rsidP="009D7FF0">
            <w:pPr>
              <w:pStyle w:val="TableDataCentred"/>
            </w:pPr>
            <w:r w:rsidRPr="00AE35A9">
              <w:t>0.4</w:t>
            </w:r>
            <w:r w:rsidR="007C2ACB" w:rsidRPr="00AE35A9">
              <w:t>9</w:t>
            </w:r>
          </w:p>
        </w:tc>
        <w:tc>
          <w:tcPr>
            <w:tcW w:w="2205" w:type="dxa"/>
          </w:tcPr>
          <w:p w14:paraId="7B732529" w14:textId="7CE0C18C" w:rsidR="3B867521" w:rsidRPr="00AE35A9" w:rsidRDefault="3B867521" w:rsidP="009D7FF0">
            <w:pPr>
              <w:pStyle w:val="TableDataCentred"/>
            </w:pPr>
            <w:r w:rsidRPr="00AE35A9">
              <w:t>[0.</w:t>
            </w:r>
            <w:r w:rsidR="004F1E81" w:rsidRPr="00AE35A9">
              <w:t>40</w:t>
            </w:r>
            <w:r w:rsidRPr="00AE35A9">
              <w:t>, 0.5</w:t>
            </w:r>
            <w:r w:rsidR="004F1E81" w:rsidRPr="00AE35A9">
              <w:t>8</w:t>
            </w:r>
            <w:r w:rsidRPr="00AE35A9">
              <w:t>]</w:t>
            </w:r>
          </w:p>
        </w:tc>
      </w:tr>
      <w:tr w:rsidR="00A93D08" w14:paraId="74ECA7E9" w14:textId="77777777" w:rsidTr="00C51417">
        <w:tc>
          <w:tcPr>
            <w:tcW w:w="2415" w:type="dxa"/>
            <w:vMerge/>
          </w:tcPr>
          <w:p w14:paraId="402B6289" w14:textId="77777777" w:rsidR="004B639E" w:rsidRPr="00B028D5" w:rsidRDefault="004B639E" w:rsidP="009D7FF0">
            <w:pPr>
              <w:pStyle w:val="TableHeadingsColumn"/>
            </w:pPr>
          </w:p>
        </w:tc>
        <w:tc>
          <w:tcPr>
            <w:tcW w:w="2415" w:type="dxa"/>
          </w:tcPr>
          <w:p w14:paraId="6BB19BFD" w14:textId="3B6CB7FA" w:rsidR="3B867521" w:rsidRPr="00AE35A9" w:rsidRDefault="3B867521" w:rsidP="009D7FF0">
            <w:pPr>
              <w:pStyle w:val="TableDataCentred"/>
            </w:pPr>
            <w:r w:rsidRPr="00AE35A9">
              <w:t>2</w:t>
            </w:r>
          </w:p>
        </w:tc>
        <w:tc>
          <w:tcPr>
            <w:tcW w:w="2265" w:type="dxa"/>
          </w:tcPr>
          <w:p w14:paraId="76E5F3EB" w14:textId="556E022F" w:rsidR="3B867521" w:rsidRPr="00AE35A9" w:rsidRDefault="3B867521" w:rsidP="009D7FF0">
            <w:pPr>
              <w:pStyle w:val="TableDataCentred"/>
            </w:pPr>
            <w:r w:rsidRPr="00AE35A9">
              <w:t>0.4</w:t>
            </w:r>
            <w:r w:rsidR="007C2ACB" w:rsidRPr="00AE35A9">
              <w:t>3</w:t>
            </w:r>
          </w:p>
        </w:tc>
        <w:tc>
          <w:tcPr>
            <w:tcW w:w="2205" w:type="dxa"/>
          </w:tcPr>
          <w:p w14:paraId="0A98CBC9" w14:textId="2CAB593C" w:rsidR="3B867521" w:rsidRPr="00AE35A9" w:rsidRDefault="3B867521" w:rsidP="009D7FF0">
            <w:pPr>
              <w:pStyle w:val="TableDataCentred"/>
            </w:pPr>
            <w:r w:rsidRPr="00AE35A9">
              <w:t>[0.3</w:t>
            </w:r>
            <w:r w:rsidR="004F1E81" w:rsidRPr="00AE35A9">
              <w:t>7</w:t>
            </w:r>
            <w:r w:rsidRPr="00AE35A9">
              <w:t>, 0.</w:t>
            </w:r>
            <w:r w:rsidR="00A06F62" w:rsidRPr="00AE35A9">
              <w:t>4</w:t>
            </w:r>
            <w:r w:rsidR="004F1E81" w:rsidRPr="00AE35A9">
              <w:t>9</w:t>
            </w:r>
            <w:r w:rsidRPr="00AE35A9">
              <w:t>]</w:t>
            </w:r>
          </w:p>
        </w:tc>
      </w:tr>
      <w:tr w:rsidR="00A93D08" w14:paraId="71E13DD6" w14:textId="77777777" w:rsidTr="00C51417">
        <w:tc>
          <w:tcPr>
            <w:tcW w:w="2415" w:type="dxa"/>
            <w:vMerge/>
          </w:tcPr>
          <w:p w14:paraId="418B9A9B" w14:textId="77777777" w:rsidR="004B639E" w:rsidRPr="00B028D5" w:rsidRDefault="004B639E" w:rsidP="009D7FF0">
            <w:pPr>
              <w:pStyle w:val="TableHeadingsColumn"/>
            </w:pPr>
          </w:p>
        </w:tc>
        <w:tc>
          <w:tcPr>
            <w:tcW w:w="2415" w:type="dxa"/>
          </w:tcPr>
          <w:p w14:paraId="45922956" w14:textId="0AA3A2E9" w:rsidR="3B867521" w:rsidRPr="00AE35A9" w:rsidRDefault="3B867521" w:rsidP="009D7FF0">
            <w:pPr>
              <w:pStyle w:val="TableDataCentred"/>
            </w:pPr>
            <w:r w:rsidRPr="00AE35A9">
              <w:t>3</w:t>
            </w:r>
          </w:p>
        </w:tc>
        <w:tc>
          <w:tcPr>
            <w:tcW w:w="2265" w:type="dxa"/>
          </w:tcPr>
          <w:p w14:paraId="041A1F35" w14:textId="448B22BF" w:rsidR="3B867521" w:rsidRPr="00AE35A9" w:rsidRDefault="3B867521" w:rsidP="009D7FF0">
            <w:pPr>
              <w:pStyle w:val="TableDataCentred"/>
            </w:pPr>
            <w:r w:rsidRPr="00AE35A9">
              <w:t>0.3</w:t>
            </w:r>
            <w:r w:rsidR="007C2ACB" w:rsidRPr="00AE35A9">
              <w:t>2</w:t>
            </w:r>
          </w:p>
        </w:tc>
        <w:tc>
          <w:tcPr>
            <w:tcW w:w="2205" w:type="dxa"/>
          </w:tcPr>
          <w:p w14:paraId="677ED0B1" w14:textId="28C0CBF6" w:rsidR="3B867521" w:rsidRPr="00AE35A9" w:rsidRDefault="3B867521" w:rsidP="009D7FF0">
            <w:pPr>
              <w:pStyle w:val="TableDataCentred"/>
            </w:pPr>
            <w:r w:rsidRPr="00AE35A9">
              <w:t>[0.25, 0.3</w:t>
            </w:r>
            <w:r w:rsidR="004F1E81" w:rsidRPr="00AE35A9">
              <w:t>8</w:t>
            </w:r>
            <w:r w:rsidRPr="00AE35A9">
              <w:t>]</w:t>
            </w:r>
          </w:p>
        </w:tc>
      </w:tr>
      <w:tr w:rsidR="00C51417" w14:paraId="627F30CF" w14:textId="77777777" w:rsidTr="00AE35A9">
        <w:tc>
          <w:tcPr>
            <w:tcW w:w="2415" w:type="dxa"/>
            <w:vMerge/>
            <w:tcBorders>
              <w:bottom w:val="single" w:sz="4" w:space="0" w:color="auto"/>
            </w:tcBorders>
          </w:tcPr>
          <w:p w14:paraId="3B12EDAD" w14:textId="77777777" w:rsidR="004B639E" w:rsidRPr="00B028D5" w:rsidRDefault="004B639E" w:rsidP="009D7FF0">
            <w:pPr>
              <w:pStyle w:val="TableHeadingsColumn"/>
            </w:pPr>
          </w:p>
        </w:tc>
        <w:tc>
          <w:tcPr>
            <w:tcW w:w="2415" w:type="dxa"/>
            <w:tcBorders>
              <w:bottom w:val="single" w:sz="4" w:space="0" w:color="auto"/>
            </w:tcBorders>
          </w:tcPr>
          <w:p w14:paraId="25726D74" w14:textId="3C0DF6B8" w:rsidR="3B867521" w:rsidRPr="00AE35A9" w:rsidRDefault="3B867521" w:rsidP="009D7FF0">
            <w:pPr>
              <w:pStyle w:val="TableDataCentred"/>
            </w:pPr>
            <w:r w:rsidRPr="00AE35A9">
              <w:t>3.5</w:t>
            </w:r>
          </w:p>
        </w:tc>
        <w:tc>
          <w:tcPr>
            <w:tcW w:w="2265" w:type="dxa"/>
            <w:tcBorders>
              <w:bottom w:val="single" w:sz="4" w:space="0" w:color="auto"/>
            </w:tcBorders>
          </w:tcPr>
          <w:p w14:paraId="05A2C964" w14:textId="075D564A" w:rsidR="3B867521" w:rsidRPr="00AE35A9" w:rsidRDefault="3B867521" w:rsidP="009D7FF0">
            <w:pPr>
              <w:pStyle w:val="TableDataCentred"/>
            </w:pPr>
            <w:r w:rsidRPr="00AE35A9">
              <w:t>0.2</w:t>
            </w:r>
            <w:r w:rsidR="007C2ACB" w:rsidRPr="00AE35A9">
              <w:t>6</w:t>
            </w:r>
          </w:p>
        </w:tc>
        <w:tc>
          <w:tcPr>
            <w:tcW w:w="2205" w:type="dxa"/>
            <w:tcBorders>
              <w:bottom w:val="single" w:sz="4" w:space="0" w:color="auto"/>
            </w:tcBorders>
          </w:tcPr>
          <w:p w14:paraId="73CA7523" w14:textId="2AE36FF5" w:rsidR="3B867521" w:rsidRPr="00AE35A9" w:rsidRDefault="3B867521" w:rsidP="009D7FF0">
            <w:pPr>
              <w:pStyle w:val="TableDataCentred"/>
            </w:pPr>
            <w:r w:rsidRPr="00AE35A9">
              <w:t>[0.17, 0.34]</w:t>
            </w:r>
          </w:p>
        </w:tc>
      </w:tr>
      <w:tr w:rsidR="00A93D08" w14:paraId="3A9CE552" w14:textId="77777777" w:rsidTr="00C51417">
        <w:tc>
          <w:tcPr>
            <w:tcW w:w="2415" w:type="dxa"/>
            <w:vMerge w:val="restart"/>
            <w:tcBorders>
              <w:top w:val="single" w:sz="4" w:space="0" w:color="auto"/>
            </w:tcBorders>
          </w:tcPr>
          <w:p w14:paraId="41B811A5" w14:textId="7407B5B3" w:rsidR="3B867521" w:rsidRPr="00B028D5" w:rsidRDefault="00197D7C" w:rsidP="009D7FF0">
            <w:pPr>
              <w:pStyle w:val="TableHeadingsColumn"/>
            </w:pPr>
            <w:r w:rsidRPr="00B028D5">
              <w:t>4</w:t>
            </w:r>
          </w:p>
        </w:tc>
        <w:tc>
          <w:tcPr>
            <w:tcW w:w="2415" w:type="dxa"/>
            <w:tcBorders>
              <w:top w:val="single" w:sz="4" w:space="0" w:color="auto"/>
            </w:tcBorders>
          </w:tcPr>
          <w:p w14:paraId="1E008D21" w14:textId="44C86D49" w:rsidR="3B867521" w:rsidRPr="00AE35A9" w:rsidRDefault="3B867521" w:rsidP="009D7FF0">
            <w:pPr>
              <w:pStyle w:val="TableDataCentred"/>
            </w:pPr>
            <w:r w:rsidRPr="00AE35A9">
              <w:t>1</w:t>
            </w:r>
          </w:p>
        </w:tc>
        <w:tc>
          <w:tcPr>
            <w:tcW w:w="2265" w:type="dxa"/>
            <w:tcBorders>
              <w:top w:val="single" w:sz="4" w:space="0" w:color="auto"/>
            </w:tcBorders>
          </w:tcPr>
          <w:p w14:paraId="309F45F2" w14:textId="22C41805" w:rsidR="3B867521" w:rsidRPr="00AE35A9" w:rsidRDefault="3B867521" w:rsidP="009D7FF0">
            <w:pPr>
              <w:pStyle w:val="TableDataCentred"/>
            </w:pPr>
            <w:r w:rsidRPr="00AE35A9">
              <w:t>0.</w:t>
            </w:r>
            <w:r w:rsidR="00EE5916" w:rsidRPr="00AE35A9">
              <w:t>53</w:t>
            </w:r>
          </w:p>
        </w:tc>
        <w:tc>
          <w:tcPr>
            <w:tcW w:w="2205" w:type="dxa"/>
            <w:tcBorders>
              <w:top w:val="single" w:sz="4" w:space="0" w:color="auto"/>
            </w:tcBorders>
          </w:tcPr>
          <w:p w14:paraId="5D425250" w14:textId="6EF0C661" w:rsidR="3B867521" w:rsidRPr="00AE35A9" w:rsidRDefault="3B867521" w:rsidP="009D7FF0">
            <w:pPr>
              <w:pStyle w:val="TableDataCentred"/>
            </w:pPr>
            <w:r w:rsidRPr="00AE35A9">
              <w:t>[0.42, 0.65]</w:t>
            </w:r>
          </w:p>
        </w:tc>
      </w:tr>
      <w:tr w:rsidR="00A95707" w14:paraId="70313451" w14:textId="77777777" w:rsidTr="00C51417">
        <w:tc>
          <w:tcPr>
            <w:tcW w:w="2415" w:type="dxa"/>
            <w:vMerge/>
          </w:tcPr>
          <w:p w14:paraId="3EC80054" w14:textId="77777777" w:rsidR="004B639E" w:rsidRPr="00B028D5" w:rsidRDefault="004B639E" w:rsidP="009D7FF0">
            <w:pPr>
              <w:pStyle w:val="TableHeadingsColumn"/>
            </w:pPr>
          </w:p>
        </w:tc>
        <w:tc>
          <w:tcPr>
            <w:tcW w:w="2415" w:type="dxa"/>
          </w:tcPr>
          <w:p w14:paraId="70F4CBFD" w14:textId="54247CE2" w:rsidR="3B867521" w:rsidRPr="00AE35A9" w:rsidRDefault="3B867521" w:rsidP="009D7FF0">
            <w:pPr>
              <w:pStyle w:val="TableDataCentred"/>
            </w:pPr>
            <w:r w:rsidRPr="00AE35A9">
              <w:t>1.5</w:t>
            </w:r>
          </w:p>
        </w:tc>
        <w:tc>
          <w:tcPr>
            <w:tcW w:w="2265" w:type="dxa"/>
          </w:tcPr>
          <w:p w14:paraId="4E3A9AC6" w14:textId="57DA4810" w:rsidR="3B867521" w:rsidRPr="00AE35A9" w:rsidRDefault="3B867521" w:rsidP="009D7FF0">
            <w:pPr>
              <w:pStyle w:val="TableDataCentred"/>
            </w:pPr>
            <w:r w:rsidRPr="00AE35A9">
              <w:t>0.</w:t>
            </w:r>
            <w:r w:rsidR="00EE5916" w:rsidRPr="00AE35A9">
              <w:t>50</w:t>
            </w:r>
          </w:p>
        </w:tc>
        <w:tc>
          <w:tcPr>
            <w:tcW w:w="2205" w:type="dxa"/>
          </w:tcPr>
          <w:p w14:paraId="4A43E6EF" w14:textId="56A53813" w:rsidR="3B867521" w:rsidRPr="00AE35A9" w:rsidRDefault="3B867521" w:rsidP="009D7FF0">
            <w:pPr>
              <w:pStyle w:val="TableDataCentred"/>
            </w:pPr>
            <w:r w:rsidRPr="00AE35A9">
              <w:t>[0.42, 0.59]</w:t>
            </w:r>
          </w:p>
        </w:tc>
      </w:tr>
      <w:tr w:rsidR="00AE35A9" w14:paraId="1658ECBA" w14:textId="77777777" w:rsidTr="00AE35A9">
        <w:tc>
          <w:tcPr>
            <w:tcW w:w="2415" w:type="dxa"/>
            <w:vMerge/>
          </w:tcPr>
          <w:p w14:paraId="28CA57B9" w14:textId="77777777" w:rsidR="004B639E" w:rsidRPr="00B028D5" w:rsidRDefault="004B639E" w:rsidP="009D7FF0">
            <w:pPr>
              <w:pStyle w:val="TableHeadingsColumn"/>
            </w:pPr>
          </w:p>
        </w:tc>
        <w:tc>
          <w:tcPr>
            <w:tcW w:w="2415" w:type="dxa"/>
          </w:tcPr>
          <w:p w14:paraId="4E36D81A" w14:textId="6B7ADB60" w:rsidR="3B867521" w:rsidRPr="00AE35A9" w:rsidRDefault="3B867521" w:rsidP="009D7FF0">
            <w:pPr>
              <w:pStyle w:val="TableDataCentred"/>
            </w:pPr>
            <w:r w:rsidRPr="00AE35A9">
              <w:t>2</w:t>
            </w:r>
          </w:p>
        </w:tc>
        <w:tc>
          <w:tcPr>
            <w:tcW w:w="2265" w:type="dxa"/>
          </w:tcPr>
          <w:p w14:paraId="35582016" w14:textId="6C0B7C41" w:rsidR="3B867521" w:rsidRPr="00AE35A9" w:rsidRDefault="3B867521" w:rsidP="009D7FF0">
            <w:pPr>
              <w:pStyle w:val="TableDataCentred"/>
            </w:pPr>
            <w:r w:rsidRPr="00AE35A9">
              <w:t>0.</w:t>
            </w:r>
            <w:r w:rsidR="00EE5916" w:rsidRPr="00AE35A9">
              <w:t>47</w:t>
            </w:r>
          </w:p>
        </w:tc>
        <w:tc>
          <w:tcPr>
            <w:tcW w:w="2205" w:type="dxa"/>
          </w:tcPr>
          <w:p w14:paraId="0D4FB230" w14:textId="751D744D" w:rsidR="3B867521" w:rsidRPr="00AE35A9" w:rsidRDefault="3B867521" w:rsidP="009D7FF0">
            <w:pPr>
              <w:pStyle w:val="TableDataCentred"/>
            </w:pPr>
            <w:r w:rsidRPr="00AE35A9">
              <w:t>[0.41, 0.54]</w:t>
            </w:r>
          </w:p>
        </w:tc>
      </w:tr>
      <w:tr w:rsidR="00A95707" w14:paraId="45BFB548" w14:textId="77777777" w:rsidTr="00C51417">
        <w:tc>
          <w:tcPr>
            <w:tcW w:w="2415" w:type="dxa"/>
            <w:vMerge/>
          </w:tcPr>
          <w:p w14:paraId="35729518" w14:textId="77777777" w:rsidR="004B639E" w:rsidRPr="00B028D5" w:rsidRDefault="004B639E" w:rsidP="009D7FF0">
            <w:pPr>
              <w:pStyle w:val="TableHeadingsColumn"/>
            </w:pPr>
          </w:p>
        </w:tc>
        <w:tc>
          <w:tcPr>
            <w:tcW w:w="2415" w:type="dxa"/>
          </w:tcPr>
          <w:p w14:paraId="53B222B8" w14:textId="4C7D970E" w:rsidR="3B867521" w:rsidRPr="00AE35A9" w:rsidRDefault="3B867521" w:rsidP="009D7FF0">
            <w:pPr>
              <w:pStyle w:val="TableDataCentred"/>
            </w:pPr>
            <w:r w:rsidRPr="00AE35A9">
              <w:t>3</w:t>
            </w:r>
          </w:p>
        </w:tc>
        <w:tc>
          <w:tcPr>
            <w:tcW w:w="2265" w:type="dxa"/>
          </w:tcPr>
          <w:p w14:paraId="72185508" w14:textId="0FAABFC7" w:rsidR="3B867521" w:rsidRPr="00AE35A9" w:rsidRDefault="3B867521" w:rsidP="009D7FF0">
            <w:pPr>
              <w:pStyle w:val="TableDataCentred"/>
            </w:pPr>
            <w:r w:rsidRPr="00AE35A9">
              <w:t>0.4</w:t>
            </w:r>
            <w:r w:rsidR="00EE5916" w:rsidRPr="00AE35A9">
              <w:t>2</w:t>
            </w:r>
          </w:p>
        </w:tc>
        <w:tc>
          <w:tcPr>
            <w:tcW w:w="2205" w:type="dxa"/>
          </w:tcPr>
          <w:p w14:paraId="56B255A5" w14:textId="7DB58A50" w:rsidR="3B867521" w:rsidRPr="00AE35A9" w:rsidRDefault="3B867521" w:rsidP="009D7FF0">
            <w:pPr>
              <w:pStyle w:val="TableDataCentred"/>
            </w:pPr>
            <w:r w:rsidRPr="00AE35A9">
              <w:t>[0.34, 0.49]</w:t>
            </w:r>
          </w:p>
        </w:tc>
      </w:tr>
      <w:tr w:rsidR="00A93D08" w14:paraId="2CE687FE" w14:textId="77777777" w:rsidTr="00C51417">
        <w:trPr>
          <w:trHeight w:val="60"/>
        </w:trPr>
        <w:tc>
          <w:tcPr>
            <w:tcW w:w="2415" w:type="dxa"/>
            <w:vMerge/>
            <w:tcBorders>
              <w:bottom w:val="single" w:sz="4" w:space="0" w:color="auto"/>
            </w:tcBorders>
          </w:tcPr>
          <w:p w14:paraId="1ED4ADFD" w14:textId="77777777" w:rsidR="004B639E" w:rsidRPr="00B028D5" w:rsidRDefault="004B639E" w:rsidP="009D7FF0">
            <w:pPr>
              <w:pStyle w:val="TableHeadingsColumn"/>
            </w:pPr>
          </w:p>
        </w:tc>
        <w:tc>
          <w:tcPr>
            <w:tcW w:w="2415" w:type="dxa"/>
            <w:tcBorders>
              <w:bottom w:val="single" w:sz="4" w:space="0" w:color="auto"/>
            </w:tcBorders>
          </w:tcPr>
          <w:p w14:paraId="7B5C8270" w14:textId="6868A680" w:rsidR="3B867521" w:rsidRPr="00AE35A9" w:rsidRDefault="3B867521" w:rsidP="009D7FF0">
            <w:pPr>
              <w:pStyle w:val="TableDataCentred"/>
            </w:pPr>
            <w:r w:rsidRPr="00AE35A9">
              <w:t>3.5</w:t>
            </w:r>
          </w:p>
        </w:tc>
        <w:tc>
          <w:tcPr>
            <w:tcW w:w="2265" w:type="dxa"/>
            <w:tcBorders>
              <w:bottom w:val="single" w:sz="4" w:space="0" w:color="auto"/>
            </w:tcBorders>
          </w:tcPr>
          <w:p w14:paraId="5F847FCB" w14:textId="248BFA01" w:rsidR="3B867521" w:rsidRPr="00AE35A9" w:rsidRDefault="3B867521" w:rsidP="009D7FF0">
            <w:pPr>
              <w:pStyle w:val="TableDataCentred"/>
            </w:pPr>
            <w:r w:rsidRPr="00AE35A9">
              <w:t>0.</w:t>
            </w:r>
            <w:r w:rsidR="00EE5916" w:rsidRPr="00AE35A9">
              <w:t>39</w:t>
            </w:r>
          </w:p>
        </w:tc>
        <w:tc>
          <w:tcPr>
            <w:tcW w:w="2205" w:type="dxa"/>
            <w:tcBorders>
              <w:bottom w:val="single" w:sz="4" w:space="0" w:color="auto"/>
            </w:tcBorders>
          </w:tcPr>
          <w:p w14:paraId="347E8ECF" w14:textId="40F83E1C" w:rsidR="3B867521" w:rsidRPr="00AE35A9" w:rsidRDefault="3B867521" w:rsidP="009D7FF0">
            <w:pPr>
              <w:pStyle w:val="TableDataCentred"/>
            </w:pPr>
            <w:r w:rsidRPr="00AE35A9">
              <w:t>[0.28, 0.49]</w:t>
            </w:r>
          </w:p>
        </w:tc>
      </w:tr>
      <w:tr w:rsidR="00A93D08" w14:paraId="65057818" w14:textId="77777777" w:rsidTr="00C51417">
        <w:trPr>
          <w:trHeight w:val="60"/>
        </w:trPr>
        <w:tc>
          <w:tcPr>
            <w:tcW w:w="2415" w:type="dxa"/>
            <w:vMerge w:val="restart"/>
            <w:tcBorders>
              <w:top w:val="single" w:sz="4" w:space="0" w:color="auto"/>
            </w:tcBorders>
          </w:tcPr>
          <w:p w14:paraId="7C272B53" w14:textId="3111065D" w:rsidR="3B867521" w:rsidRPr="00B028D5" w:rsidRDefault="3B867521" w:rsidP="009D7FF0">
            <w:pPr>
              <w:pStyle w:val="TableHeadingsColumn"/>
            </w:pPr>
            <w:r w:rsidRPr="00B028D5">
              <w:t>5</w:t>
            </w:r>
          </w:p>
        </w:tc>
        <w:tc>
          <w:tcPr>
            <w:tcW w:w="2415" w:type="dxa"/>
            <w:tcBorders>
              <w:top w:val="single" w:sz="4" w:space="0" w:color="auto"/>
            </w:tcBorders>
          </w:tcPr>
          <w:p w14:paraId="2B5B8D5D" w14:textId="218DB89E" w:rsidR="3B867521" w:rsidRPr="00AE35A9" w:rsidRDefault="3B867521" w:rsidP="009D7FF0">
            <w:pPr>
              <w:pStyle w:val="TableDataCentred"/>
            </w:pPr>
            <w:r w:rsidRPr="00AE35A9">
              <w:t>1</w:t>
            </w:r>
          </w:p>
        </w:tc>
        <w:tc>
          <w:tcPr>
            <w:tcW w:w="2265" w:type="dxa"/>
            <w:tcBorders>
              <w:top w:val="single" w:sz="4" w:space="0" w:color="auto"/>
            </w:tcBorders>
          </w:tcPr>
          <w:p w14:paraId="337EB6F9" w14:textId="76651738" w:rsidR="3B867521" w:rsidRPr="00AE35A9" w:rsidRDefault="3B867521" w:rsidP="009D7FF0">
            <w:pPr>
              <w:pStyle w:val="TableDataCentred"/>
            </w:pPr>
            <w:r w:rsidRPr="00AE35A9">
              <w:t>0.51</w:t>
            </w:r>
          </w:p>
        </w:tc>
        <w:tc>
          <w:tcPr>
            <w:tcW w:w="2205" w:type="dxa"/>
            <w:tcBorders>
              <w:top w:val="single" w:sz="4" w:space="0" w:color="auto"/>
            </w:tcBorders>
          </w:tcPr>
          <w:p w14:paraId="330DCA47" w14:textId="06DDB78C" w:rsidR="3B867521" w:rsidRPr="00AE35A9" w:rsidRDefault="3B867521" w:rsidP="009D7FF0">
            <w:pPr>
              <w:pStyle w:val="TableDataCentred"/>
            </w:pPr>
            <w:r w:rsidRPr="00AE35A9">
              <w:t>[0.36, 0.67]</w:t>
            </w:r>
          </w:p>
        </w:tc>
      </w:tr>
      <w:tr w:rsidR="00D450CE" w14:paraId="7F853E6C" w14:textId="77777777" w:rsidTr="00C51417">
        <w:trPr>
          <w:trHeight w:val="60"/>
        </w:trPr>
        <w:tc>
          <w:tcPr>
            <w:tcW w:w="2415" w:type="dxa"/>
            <w:vMerge/>
          </w:tcPr>
          <w:p w14:paraId="24C00248" w14:textId="77777777" w:rsidR="004B639E" w:rsidRDefault="004B639E" w:rsidP="009D7FF0">
            <w:pPr>
              <w:pStyle w:val="TableDataCentred"/>
            </w:pPr>
          </w:p>
        </w:tc>
        <w:tc>
          <w:tcPr>
            <w:tcW w:w="2415" w:type="dxa"/>
          </w:tcPr>
          <w:p w14:paraId="09BAA67A" w14:textId="0AFC9CA1" w:rsidR="3B867521" w:rsidRPr="00AE35A9" w:rsidRDefault="3B867521" w:rsidP="009D7FF0">
            <w:pPr>
              <w:pStyle w:val="TableDataCentred"/>
            </w:pPr>
            <w:r w:rsidRPr="00AE35A9">
              <w:t>1.5</w:t>
            </w:r>
          </w:p>
        </w:tc>
        <w:tc>
          <w:tcPr>
            <w:tcW w:w="2265" w:type="dxa"/>
          </w:tcPr>
          <w:p w14:paraId="5B452F51" w14:textId="70F32933" w:rsidR="3B867521" w:rsidRPr="00AE35A9" w:rsidRDefault="3B867521" w:rsidP="009D7FF0">
            <w:pPr>
              <w:pStyle w:val="TableDataCentred"/>
            </w:pPr>
            <w:r w:rsidRPr="00AE35A9">
              <w:t>0.51</w:t>
            </w:r>
          </w:p>
        </w:tc>
        <w:tc>
          <w:tcPr>
            <w:tcW w:w="2205" w:type="dxa"/>
          </w:tcPr>
          <w:p w14:paraId="3CED0240" w14:textId="37D2066E" w:rsidR="3B867521" w:rsidRPr="00AE35A9" w:rsidRDefault="3B867521" w:rsidP="009D7FF0">
            <w:pPr>
              <w:pStyle w:val="TableDataCentred"/>
            </w:pPr>
            <w:r w:rsidRPr="00AE35A9">
              <w:t>[0.40, 0.63]</w:t>
            </w:r>
          </w:p>
        </w:tc>
      </w:tr>
      <w:tr w:rsidR="00A93D08" w14:paraId="2D927D6E" w14:textId="77777777" w:rsidTr="00C51417">
        <w:trPr>
          <w:trHeight w:val="60"/>
        </w:trPr>
        <w:tc>
          <w:tcPr>
            <w:tcW w:w="2415" w:type="dxa"/>
            <w:vMerge/>
          </w:tcPr>
          <w:p w14:paraId="0B7A0195" w14:textId="77777777" w:rsidR="004B639E" w:rsidRDefault="004B639E" w:rsidP="009D7FF0">
            <w:pPr>
              <w:pStyle w:val="TableDataCentred"/>
            </w:pPr>
          </w:p>
        </w:tc>
        <w:tc>
          <w:tcPr>
            <w:tcW w:w="2415" w:type="dxa"/>
          </w:tcPr>
          <w:p w14:paraId="18BD3B05" w14:textId="1D26D0F5" w:rsidR="3B867521" w:rsidRPr="00AE35A9" w:rsidRDefault="3B867521" w:rsidP="009D7FF0">
            <w:pPr>
              <w:pStyle w:val="TableDataCentred"/>
            </w:pPr>
            <w:r w:rsidRPr="00AE35A9">
              <w:t>2</w:t>
            </w:r>
          </w:p>
        </w:tc>
        <w:tc>
          <w:tcPr>
            <w:tcW w:w="2265" w:type="dxa"/>
          </w:tcPr>
          <w:p w14:paraId="48954E98" w14:textId="02E3BD74" w:rsidR="3B867521" w:rsidRPr="00AE35A9" w:rsidRDefault="3B867521" w:rsidP="009D7FF0">
            <w:pPr>
              <w:pStyle w:val="TableDataCentred"/>
            </w:pPr>
            <w:r w:rsidRPr="00AE35A9">
              <w:t>0.52</w:t>
            </w:r>
          </w:p>
        </w:tc>
        <w:tc>
          <w:tcPr>
            <w:tcW w:w="2205" w:type="dxa"/>
          </w:tcPr>
          <w:p w14:paraId="13C8F397" w14:textId="400DE925" w:rsidR="3B867521" w:rsidRPr="00AE35A9" w:rsidRDefault="3B867521" w:rsidP="009D7FF0">
            <w:pPr>
              <w:pStyle w:val="TableDataCentred"/>
            </w:pPr>
            <w:r w:rsidRPr="00AE35A9">
              <w:t>[0.42, 0.61]</w:t>
            </w:r>
          </w:p>
        </w:tc>
      </w:tr>
      <w:tr w:rsidR="00C51417" w14:paraId="5149F607" w14:textId="77777777" w:rsidTr="00C51417">
        <w:trPr>
          <w:trHeight w:val="60"/>
        </w:trPr>
        <w:tc>
          <w:tcPr>
            <w:tcW w:w="2415" w:type="dxa"/>
            <w:vMerge/>
          </w:tcPr>
          <w:p w14:paraId="7C119E89" w14:textId="77777777" w:rsidR="004B639E" w:rsidRDefault="004B639E" w:rsidP="009D7FF0">
            <w:pPr>
              <w:pStyle w:val="TableDataCentred"/>
            </w:pPr>
          </w:p>
        </w:tc>
        <w:tc>
          <w:tcPr>
            <w:tcW w:w="2415" w:type="dxa"/>
          </w:tcPr>
          <w:p w14:paraId="1DA3B514" w14:textId="0987BEAB" w:rsidR="3B867521" w:rsidRPr="00AE35A9" w:rsidRDefault="3B867521" w:rsidP="009D7FF0">
            <w:pPr>
              <w:pStyle w:val="TableDataCentred"/>
            </w:pPr>
            <w:r w:rsidRPr="00AE35A9">
              <w:t>3</w:t>
            </w:r>
          </w:p>
        </w:tc>
        <w:tc>
          <w:tcPr>
            <w:tcW w:w="2265" w:type="dxa"/>
          </w:tcPr>
          <w:p w14:paraId="54627507" w14:textId="442EC988" w:rsidR="3B867521" w:rsidRPr="00AE35A9" w:rsidRDefault="3B867521" w:rsidP="009D7FF0">
            <w:pPr>
              <w:pStyle w:val="TableDataCentred"/>
            </w:pPr>
            <w:r w:rsidRPr="00AE35A9">
              <w:t>0.52</w:t>
            </w:r>
          </w:p>
        </w:tc>
        <w:tc>
          <w:tcPr>
            <w:tcW w:w="2205" w:type="dxa"/>
          </w:tcPr>
          <w:p w14:paraId="631FF8BB" w14:textId="40C1718E" w:rsidR="3B867521" w:rsidRPr="00AE35A9" w:rsidRDefault="3B867521" w:rsidP="009D7FF0">
            <w:pPr>
              <w:pStyle w:val="TableDataCentred"/>
            </w:pPr>
            <w:r w:rsidRPr="00AE35A9">
              <w:t>[0.40, 0.63]</w:t>
            </w:r>
          </w:p>
        </w:tc>
      </w:tr>
      <w:tr w:rsidR="00C51417" w14:paraId="1684C5D5" w14:textId="77777777" w:rsidTr="00C51417">
        <w:trPr>
          <w:trHeight w:val="60"/>
        </w:trPr>
        <w:tc>
          <w:tcPr>
            <w:tcW w:w="2415" w:type="dxa"/>
            <w:vMerge/>
            <w:tcBorders>
              <w:bottom w:val="single" w:sz="4" w:space="0" w:color="auto"/>
            </w:tcBorders>
          </w:tcPr>
          <w:p w14:paraId="1A3B4B13" w14:textId="77777777" w:rsidR="004B639E" w:rsidRDefault="004B639E" w:rsidP="009D7FF0">
            <w:pPr>
              <w:pStyle w:val="TableDataCentred"/>
            </w:pPr>
          </w:p>
        </w:tc>
        <w:tc>
          <w:tcPr>
            <w:tcW w:w="2415" w:type="dxa"/>
            <w:tcBorders>
              <w:bottom w:val="single" w:sz="4" w:space="0" w:color="auto"/>
            </w:tcBorders>
          </w:tcPr>
          <w:p w14:paraId="49B9BF83" w14:textId="798666D6" w:rsidR="3B867521" w:rsidRPr="00AE35A9" w:rsidRDefault="3B867521" w:rsidP="009D7FF0">
            <w:pPr>
              <w:pStyle w:val="TableDataCentred"/>
            </w:pPr>
            <w:r w:rsidRPr="00AE35A9">
              <w:t>3.5</w:t>
            </w:r>
          </w:p>
        </w:tc>
        <w:tc>
          <w:tcPr>
            <w:tcW w:w="2265" w:type="dxa"/>
            <w:tcBorders>
              <w:bottom w:val="single" w:sz="4" w:space="0" w:color="auto"/>
            </w:tcBorders>
          </w:tcPr>
          <w:p w14:paraId="3E80A786" w14:textId="68978683" w:rsidR="3B867521" w:rsidRPr="00AE35A9" w:rsidRDefault="3B867521" w:rsidP="009D7FF0">
            <w:pPr>
              <w:pStyle w:val="TableDataCentred"/>
            </w:pPr>
            <w:r w:rsidRPr="00AE35A9">
              <w:t>0.52</w:t>
            </w:r>
          </w:p>
        </w:tc>
        <w:tc>
          <w:tcPr>
            <w:tcW w:w="2205" w:type="dxa"/>
            <w:tcBorders>
              <w:bottom w:val="single" w:sz="4" w:space="0" w:color="auto"/>
            </w:tcBorders>
          </w:tcPr>
          <w:p w14:paraId="7A90A0C6" w14:textId="30FCB782" w:rsidR="3B867521" w:rsidRPr="00AE35A9" w:rsidRDefault="3B867521" w:rsidP="009D7FF0">
            <w:pPr>
              <w:pStyle w:val="TableDataCentred"/>
            </w:pPr>
            <w:r w:rsidRPr="00AE35A9">
              <w:t>[0.37, 0.67]</w:t>
            </w:r>
          </w:p>
        </w:tc>
      </w:tr>
    </w:tbl>
    <w:p w14:paraId="57865A48" w14:textId="5F9500A8" w:rsidR="3B867521" w:rsidRPr="009E6891" w:rsidRDefault="3B867521" w:rsidP="008B3F05">
      <w:pPr>
        <w:pStyle w:val="TableFooternoborder"/>
        <w:rPr>
          <w:rFonts w:eastAsia="Cambria"/>
        </w:rPr>
      </w:pPr>
    </w:p>
    <w:p w14:paraId="5B63F481" w14:textId="1CD68256" w:rsidR="78E4877A" w:rsidRDefault="00A5228A" w:rsidP="00F10FAF">
      <w:pPr>
        <w:rPr>
          <w:rFonts w:eastAsia="Calibri"/>
        </w:rPr>
      </w:pPr>
      <w:r>
        <w:rPr>
          <w:rFonts w:eastAsia="Calibri"/>
        </w:rPr>
        <w:fldChar w:fldCharType="begin"/>
      </w:r>
      <w:r>
        <w:rPr>
          <w:rFonts w:eastAsia="Calibri"/>
        </w:rPr>
        <w:instrText xml:space="preserve"> REF _Ref122351924 </w:instrText>
      </w:r>
      <w:r>
        <w:rPr>
          <w:rFonts w:eastAsia="Calibri"/>
        </w:rPr>
        <w:fldChar w:fldCharType="separate"/>
      </w:r>
      <w:r>
        <w:t xml:space="preserve">Table </w:t>
      </w:r>
      <w:r>
        <w:rPr>
          <w:noProof/>
        </w:rPr>
        <w:t>G.2</w:t>
      </w:r>
      <w:r>
        <w:t>.</w:t>
      </w:r>
      <w:r>
        <w:rPr>
          <w:noProof/>
        </w:rPr>
        <w:t>2</w:t>
      </w:r>
      <w:r>
        <w:rPr>
          <w:rFonts w:eastAsia="Calibri"/>
        </w:rPr>
        <w:fldChar w:fldCharType="end"/>
      </w:r>
      <w:r>
        <w:rPr>
          <w:rFonts w:eastAsia="Calibri"/>
        </w:rPr>
        <w:t xml:space="preserve"> </w:t>
      </w:r>
      <w:r w:rsidR="78E4877A" w:rsidRPr="3B867521">
        <w:rPr>
          <w:rFonts w:eastAsia="Calibri"/>
        </w:rPr>
        <w:t>reports the mean predicted values for the interaction between Group Building and Complexity that have been considered to build</w:t>
      </w:r>
      <w:r w:rsidR="007D2B73">
        <w:rPr>
          <w:rFonts w:eastAsia="Calibri"/>
        </w:rPr>
        <w:t xml:space="preserve"> </w:t>
      </w:r>
      <w:r w:rsidR="007A2004">
        <w:rPr>
          <w:rFonts w:eastAsia="Calibri"/>
        </w:rPr>
        <w:fldChar w:fldCharType="begin"/>
      </w:r>
      <w:r w:rsidR="007A2004">
        <w:rPr>
          <w:rFonts w:eastAsia="Calibri"/>
        </w:rPr>
        <w:instrText xml:space="preserve"> REF _Ref122352439 </w:instrText>
      </w:r>
      <w:r w:rsidR="007A2004">
        <w:rPr>
          <w:rFonts w:eastAsia="Calibri"/>
        </w:rPr>
        <w:fldChar w:fldCharType="separate"/>
      </w:r>
      <w:r w:rsidR="007A2004">
        <w:t xml:space="preserve">Figure </w:t>
      </w:r>
      <w:r w:rsidR="007A2004">
        <w:rPr>
          <w:noProof/>
        </w:rPr>
        <w:t>G.2</w:t>
      </w:r>
      <w:r w:rsidR="007A2004">
        <w:t>.</w:t>
      </w:r>
      <w:r w:rsidR="007A2004">
        <w:rPr>
          <w:noProof/>
        </w:rPr>
        <w:t>1</w:t>
      </w:r>
      <w:r w:rsidR="007A2004">
        <w:rPr>
          <w:rFonts w:eastAsia="Calibri"/>
        </w:rPr>
        <w:fldChar w:fldCharType="end"/>
      </w:r>
      <w:r w:rsidR="78E4877A" w:rsidRPr="3B867521">
        <w:rPr>
          <w:rFonts w:eastAsia="Calibri"/>
        </w:rPr>
        <w:t>.</w:t>
      </w:r>
    </w:p>
    <w:p w14:paraId="506AD697" w14:textId="4420E9E3" w:rsidR="78E4877A" w:rsidRDefault="005F623F" w:rsidP="005F623F">
      <w:pPr>
        <w:pStyle w:val="Caption"/>
      </w:pPr>
      <w:bookmarkStart w:id="215" w:name="_Ref122351924"/>
      <w:r>
        <w:lastRenderedPageBreak/>
        <w:t xml:space="preserve">Table </w:t>
      </w:r>
      <w:r>
        <w:fldChar w:fldCharType="begin"/>
      </w:r>
      <w:r>
        <w:instrText>STYLEREF 2 \s</w:instrText>
      </w:r>
      <w:r>
        <w:fldChar w:fldCharType="separate"/>
      </w:r>
      <w:r w:rsidR="00A5228A">
        <w:rPr>
          <w:noProof/>
        </w:rPr>
        <w:t>G.2</w:t>
      </w:r>
      <w:r>
        <w:fldChar w:fldCharType="end"/>
      </w:r>
      <w:r>
        <w:t>.</w:t>
      </w:r>
      <w:r>
        <w:fldChar w:fldCharType="begin"/>
      </w:r>
      <w:r>
        <w:instrText>SEQ Table \* ARABIC \s 2</w:instrText>
      </w:r>
      <w:r>
        <w:fldChar w:fldCharType="separate"/>
      </w:r>
      <w:r w:rsidR="00A5228A">
        <w:rPr>
          <w:noProof/>
        </w:rPr>
        <w:t>2</w:t>
      </w:r>
      <w:r>
        <w:fldChar w:fldCharType="end"/>
      </w:r>
      <w:bookmarkEnd w:id="215"/>
      <w:r w:rsidR="78E4877A" w:rsidRPr="3B867521">
        <w:t xml:space="preserve">: </w:t>
      </w:r>
      <w:r w:rsidR="78E4877A" w:rsidRPr="008B3F05">
        <w:t>Mean</w:t>
      </w:r>
      <w:r w:rsidR="78E4877A" w:rsidRPr="3B867521">
        <w:t xml:space="preserve"> conditional effect interaction Group</w:t>
      </w:r>
      <w:r w:rsidR="00F92B60">
        <w:t xml:space="preserve"> B</w:t>
      </w:r>
      <w:r w:rsidR="78E4877A" w:rsidRPr="3B867521">
        <w:t>uilding*Complexity (Model I2)</w:t>
      </w:r>
    </w:p>
    <w:tbl>
      <w:tblPr>
        <w:tblStyle w:val="APSROnlineAppendix"/>
        <w:tblW w:w="9780" w:type="dxa"/>
        <w:tblLayout w:type="fixed"/>
        <w:tblCellMar>
          <w:top w:w="28" w:type="dxa"/>
          <w:bottom w:w="28" w:type="dxa"/>
        </w:tblCellMar>
        <w:tblLook w:val="0600" w:firstRow="0" w:lastRow="0" w:firstColumn="0" w:lastColumn="0" w:noHBand="1" w:noVBand="1"/>
      </w:tblPr>
      <w:tblGrid>
        <w:gridCol w:w="2694"/>
        <w:gridCol w:w="737"/>
        <w:gridCol w:w="893"/>
        <w:gridCol w:w="2821"/>
        <w:gridCol w:w="935"/>
        <w:gridCol w:w="1559"/>
        <w:gridCol w:w="141"/>
      </w:tblGrid>
      <w:tr w:rsidR="00F92B60" w14:paraId="522A129C" w14:textId="77777777" w:rsidTr="00F92B60">
        <w:trPr>
          <w:trHeight w:val="284"/>
        </w:trPr>
        <w:tc>
          <w:tcPr>
            <w:tcW w:w="9780" w:type="dxa"/>
            <w:gridSpan w:val="7"/>
            <w:tcBorders>
              <w:bottom w:val="single" w:sz="4" w:space="0" w:color="auto"/>
            </w:tcBorders>
          </w:tcPr>
          <w:p w14:paraId="76A4B3F4" w14:textId="05265C65" w:rsidR="3B867521" w:rsidRDefault="3B867521" w:rsidP="008B3F05">
            <w:pPr>
              <w:pStyle w:val="TableHeader1"/>
              <w:spacing w:line="200" w:lineRule="exact"/>
            </w:pPr>
            <w:r w:rsidRPr="3B867521">
              <w:t>Complexity*Group Building</w:t>
            </w:r>
          </w:p>
        </w:tc>
      </w:tr>
      <w:tr w:rsidR="00F92B60" w:rsidRPr="00F10FAF" w14:paraId="1D89A540" w14:textId="77777777" w:rsidTr="00F92B60">
        <w:trPr>
          <w:gridAfter w:val="1"/>
          <w:wAfter w:w="141" w:type="dxa"/>
        </w:trPr>
        <w:tc>
          <w:tcPr>
            <w:tcW w:w="2694" w:type="dxa"/>
            <w:tcBorders>
              <w:top w:val="single" w:sz="4" w:space="0" w:color="auto"/>
              <w:bottom w:val="single" w:sz="4" w:space="0" w:color="auto"/>
            </w:tcBorders>
          </w:tcPr>
          <w:p w14:paraId="77F056F0" w14:textId="44DDC96F" w:rsidR="3B867521" w:rsidRPr="000C7711" w:rsidRDefault="3B867521" w:rsidP="00AE35A9">
            <w:pPr>
              <w:pStyle w:val="TableHeader2"/>
              <w:spacing w:before="0" w:line="220" w:lineRule="exact"/>
            </w:pPr>
          </w:p>
        </w:tc>
        <w:tc>
          <w:tcPr>
            <w:tcW w:w="737" w:type="dxa"/>
            <w:tcBorders>
              <w:top w:val="single" w:sz="4" w:space="0" w:color="auto"/>
              <w:bottom w:val="single" w:sz="4" w:space="0" w:color="auto"/>
            </w:tcBorders>
          </w:tcPr>
          <w:p w14:paraId="1A995CEE" w14:textId="77B5E54E" w:rsidR="3B867521" w:rsidRPr="00AE35A9" w:rsidRDefault="3B867521" w:rsidP="00AE35A9">
            <w:pPr>
              <w:pStyle w:val="TableHeader2"/>
              <w:spacing w:before="0" w:line="220" w:lineRule="exact"/>
            </w:pPr>
            <w:r w:rsidRPr="00AE35A9">
              <w:t>N</w:t>
            </w:r>
          </w:p>
        </w:tc>
        <w:tc>
          <w:tcPr>
            <w:tcW w:w="893" w:type="dxa"/>
            <w:tcBorders>
              <w:top w:val="single" w:sz="4" w:space="0" w:color="auto"/>
              <w:bottom w:val="single" w:sz="4" w:space="0" w:color="auto"/>
            </w:tcBorders>
          </w:tcPr>
          <w:p w14:paraId="127C4807" w14:textId="1B99EFA2" w:rsidR="3B867521" w:rsidRPr="00AE35A9" w:rsidRDefault="3B867521" w:rsidP="00AE35A9">
            <w:pPr>
              <w:pStyle w:val="TableHeader2"/>
              <w:spacing w:before="0" w:line="220" w:lineRule="exact"/>
            </w:pPr>
            <w:r w:rsidRPr="00AE35A9">
              <w:t>Mean</w:t>
            </w:r>
          </w:p>
        </w:tc>
        <w:tc>
          <w:tcPr>
            <w:tcW w:w="2821" w:type="dxa"/>
            <w:tcBorders>
              <w:top w:val="single" w:sz="4" w:space="0" w:color="auto"/>
              <w:bottom w:val="single" w:sz="4" w:space="0" w:color="auto"/>
            </w:tcBorders>
          </w:tcPr>
          <w:p w14:paraId="1A690615" w14:textId="2178118B" w:rsidR="3B867521" w:rsidRPr="00AE35A9" w:rsidRDefault="3B867521" w:rsidP="00AE35A9">
            <w:pPr>
              <w:pStyle w:val="TableHeader2"/>
              <w:spacing w:before="0" w:line="220" w:lineRule="exact"/>
            </w:pPr>
            <w:r w:rsidRPr="00AE35A9">
              <w:t>St. Dev.</w:t>
            </w:r>
          </w:p>
        </w:tc>
        <w:tc>
          <w:tcPr>
            <w:tcW w:w="935" w:type="dxa"/>
            <w:tcBorders>
              <w:top w:val="single" w:sz="4" w:space="0" w:color="auto"/>
              <w:bottom w:val="single" w:sz="4" w:space="0" w:color="auto"/>
            </w:tcBorders>
          </w:tcPr>
          <w:p w14:paraId="74298CF1" w14:textId="16D49B95" w:rsidR="3B867521" w:rsidRPr="00AE35A9" w:rsidRDefault="3B867521" w:rsidP="00AE35A9">
            <w:pPr>
              <w:pStyle w:val="TableHeader2"/>
              <w:spacing w:before="0" w:line="220" w:lineRule="exact"/>
            </w:pPr>
            <w:r w:rsidRPr="00AE35A9">
              <w:t>Min</w:t>
            </w:r>
          </w:p>
        </w:tc>
        <w:tc>
          <w:tcPr>
            <w:tcW w:w="1559" w:type="dxa"/>
            <w:tcBorders>
              <w:top w:val="single" w:sz="4" w:space="0" w:color="auto"/>
              <w:bottom w:val="single" w:sz="4" w:space="0" w:color="auto"/>
            </w:tcBorders>
          </w:tcPr>
          <w:p w14:paraId="3D7D14AB" w14:textId="3A31E083" w:rsidR="3B867521" w:rsidRPr="00AE35A9" w:rsidRDefault="3B867521" w:rsidP="00AE35A9">
            <w:pPr>
              <w:pStyle w:val="TableHeader2"/>
              <w:spacing w:before="0" w:line="220" w:lineRule="exact"/>
            </w:pPr>
            <w:r w:rsidRPr="00AE35A9">
              <w:t>Max</w:t>
            </w:r>
          </w:p>
        </w:tc>
      </w:tr>
      <w:tr w:rsidR="00F92B60" w14:paraId="7F7B6D90" w14:textId="77777777" w:rsidTr="00F92B60">
        <w:trPr>
          <w:gridAfter w:val="1"/>
          <w:wAfter w:w="141" w:type="dxa"/>
        </w:trPr>
        <w:tc>
          <w:tcPr>
            <w:tcW w:w="2694" w:type="dxa"/>
            <w:tcBorders>
              <w:top w:val="single" w:sz="6" w:space="0" w:color="auto"/>
            </w:tcBorders>
          </w:tcPr>
          <w:p w14:paraId="2B76409D" w14:textId="3C2F2905" w:rsidR="3B867521" w:rsidRPr="000C7711" w:rsidRDefault="3B867521" w:rsidP="009D7FF0">
            <w:pPr>
              <w:pStyle w:val="TableHeadingsColumn"/>
            </w:pPr>
            <w:r w:rsidRPr="009E6891">
              <w:t>Complexity</w:t>
            </w:r>
          </w:p>
        </w:tc>
        <w:tc>
          <w:tcPr>
            <w:tcW w:w="737" w:type="dxa"/>
            <w:tcBorders>
              <w:top w:val="single" w:sz="6" w:space="0" w:color="auto"/>
            </w:tcBorders>
          </w:tcPr>
          <w:p w14:paraId="032CA3FF" w14:textId="7E449E1F" w:rsidR="3B867521" w:rsidRPr="00AE35A9" w:rsidRDefault="3B867521" w:rsidP="009D7FF0">
            <w:pPr>
              <w:pStyle w:val="TableDataCentred"/>
            </w:pPr>
            <w:r w:rsidRPr="00AE35A9">
              <w:t>25</w:t>
            </w:r>
          </w:p>
        </w:tc>
        <w:tc>
          <w:tcPr>
            <w:tcW w:w="893" w:type="dxa"/>
            <w:tcBorders>
              <w:top w:val="single" w:sz="6" w:space="0" w:color="auto"/>
            </w:tcBorders>
          </w:tcPr>
          <w:p w14:paraId="052A2F92" w14:textId="26A16A90" w:rsidR="3B867521" w:rsidRPr="00AE35A9" w:rsidRDefault="3B867521" w:rsidP="009D7FF0">
            <w:pPr>
              <w:pStyle w:val="TableDataCentred"/>
            </w:pPr>
            <w:r w:rsidRPr="00AE35A9">
              <w:t>2.200</w:t>
            </w:r>
          </w:p>
        </w:tc>
        <w:tc>
          <w:tcPr>
            <w:tcW w:w="2821" w:type="dxa"/>
            <w:tcBorders>
              <w:top w:val="single" w:sz="6" w:space="0" w:color="auto"/>
            </w:tcBorders>
          </w:tcPr>
          <w:p w14:paraId="7C3D8307" w14:textId="5A80036A" w:rsidR="3B867521" w:rsidRPr="00AE35A9" w:rsidRDefault="3B867521" w:rsidP="009D7FF0">
            <w:pPr>
              <w:pStyle w:val="TableDataCentred"/>
            </w:pPr>
            <w:r w:rsidRPr="00AE35A9">
              <w:t>0.946</w:t>
            </w:r>
          </w:p>
        </w:tc>
        <w:tc>
          <w:tcPr>
            <w:tcW w:w="935" w:type="dxa"/>
            <w:tcBorders>
              <w:top w:val="single" w:sz="6" w:space="0" w:color="auto"/>
            </w:tcBorders>
          </w:tcPr>
          <w:p w14:paraId="678A8E21" w14:textId="19773987" w:rsidR="3B867521" w:rsidRPr="00AE35A9" w:rsidRDefault="3B867521" w:rsidP="009D7FF0">
            <w:pPr>
              <w:pStyle w:val="TableDataCentred"/>
            </w:pPr>
            <w:r w:rsidRPr="00AE35A9">
              <w:t>1.000</w:t>
            </w:r>
          </w:p>
        </w:tc>
        <w:tc>
          <w:tcPr>
            <w:tcW w:w="1559" w:type="dxa"/>
          </w:tcPr>
          <w:p w14:paraId="4F4F9ED2" w14:textId="651BD679" w:rsidR="3B867521" w:rsidRPr="00AE35A9" w:rsidRDefault="3B867521" w:rsidP="009D7FF0">
            <w:pPr>
              <w:pStyle w:val="TableDataCentred"/>
            </w:pPr>
            <w:r w:rsidRPr="00AE35A9">
              <w:t>3.500</w:t>
            </w:r>
          </w:p>
        </w:tc>
      </w:tr>
      <w:tr w:rsidR="00F92B60" w14:paraId="650A6D61" w14:textId="77777777" w:rsidTr="00F92B60">
        <w:trPr>
          <w:gridAfter w:val="1"/>
          <w:wAfter w:w="141" w:type="dxa"/>
        </w:trPr>
        <w:tc>
          <w:tcPr>
            <w:tcW w:w="2694" w:type="dxa"/>
          </w:tcPr>
          <w:p w14:paraId="4BD45C52" w14:textId="4DE95A33" w:rsidR="3B867521" w:rsidRPr="000C7711" w:rsidRDefault="3B867521" w:rsidP="009D7FF0">
            <w:pPr>
              <w:pStyle w:val="TableHeadingsColumn"/>
            </w:pPr>
            <w:r w:rsidRPr="009E6891">
              <w:t>Predicted DRI</w:t>
            </w:r>
          </w:p>
        </w:tc>
        <w:tc>
          <w:tcPr>
            <w:tcW w:w="737" w:type="dxa"/>
          </w:tcPr>
          <w:p w14:paraId="2F748095" w14:textId="7E5EC119" w:rsidR="3B867521" w:rsidRPr="00AE35A9" w:rsidRDefault="3B867521" w:rsidP="009D7FF0">
            <w:pPr>
              <w:pStyle w:val="TableDataCentred"/>
            </w:pPr>
            <w:r w:rsidRPr="00AE35A9">
              <w:t>25</w:t>
            </w:r>
          </w:p>
        </w:tc>
        <w:tc>
          <w:tcPr>
            <w:tcW w:w="893" w:type="dxa"/>
          </w:tcPr>
          <w:p w14:paraId="6E503DD2" w14:textId="32C0BF6E" w:rsidR="3B867521" w:rsidRPr="00AE35A9" w:rsidRDefault="3B867521" w:rsidP="009D7FF0">
            <w:pPr>
              <w:pStyle w:val="TableDataCentred"/>
            </w:pPr>
            <w:r w:rsidRPr="00AE35A9">
              <w:t>0.41</w:t>
            </w:r>
            <w:r w:rsidR="00FA4521" w:rsidRPr="00AE35A9">
              <w:t>0</w:t>
            </w:r>
          </w:p>
        </w:tc>
        <w:tc>
          <w:tcPr>
            <w:tcW w:w="2821" w:type="dxa"/>
          </w:tcPr>
          <w:p w14:paraId="0E7B4176" w14:textId="2098FF0F" w:rsidR="3B867521" w:rsidRPr="00AE35A9" w:rsidRDefault="3B867521" w:rsidP="009D7FF0">
            <w:pPr>
              <w:pStyle w:val="TableDataCentred"/>
            </w:pPr>
            <w:r w:rsidRPr="00AE35A9">
              <w:t>0.158</w:t>
            </w:r>
          </w:p>
        </w:tc>
        <w:tc>
          <w:tcPr>
            <w:tcW w:w="935" w:type="dxa"/>
          </w:tcPr>
          <w:p w14:paraId="4604B891" w14:textId="7654F4DC" w:rsidR="3B867521" w:rsidRPr="00AE35A9" w:rsidRDefault="3B867521" w:rsidP="009D7FF0">
            <w:pPr>
              <w:pStyle w:val="TableDataCentred"/>
            </w:pPr>
            <w:r w:rsidRPr="00AE35A9">
              <w:t>-0.007</w:t>
            </w:r>
          </w:p>
        </w:tc>
        <w:tc>
          <w:tcPr>
            <w:tcW w:w="1559" w:type="dxa"/>
          </w:tcPr>
          <w:p w14:paraId="5CE06C2F" w14:textId="0CFA3B94" w:rsidR="3B867521" w:rsidRPr="00AE35A9" w:rsidRDefault="3B867521" w:rsidP="009D7FF0">
            <w:pPr>
              <w:pStyle w:val="TableDataCentred"/>
            </w:pPr>
            <w:r w:rsidRPr="00AE35A9">
              <w:t>0.594</w:t>
            </w:r>
          </w:p>
        </w:tc>
      </w:tr>
      <w:tr w:rsidR="00F92B60" w14:paraId="2571ED7E" w14:textId="77777777" w:rsidTr="00A8685E">
        <w:trPr>
          <w:gridAfter w:val="1"/>
          <w:wAfter w:w="141" w:type="dxa"/>
        </w:trPr>
        <w:tc>
          <w:tcPr>
            <w:tcW w:w="2694" w:type="dxa"/>
          </w:tcPr>
          <w:p w14:paraId="4059ADC3" w14:textId="5E55A0E1" w:rsidR="3B867521" w:rsidRPr="000C7711" w:rsidRDefault="00F92B60" w:rsidP="009D7FF0">
            <w:pPr>
              <w:pStyle w:val="TableHeadingsColumn"/>
            </w:pPr>
            <w:r>
              <w:t>S</w:t>
            </w:r>
            <w:r w:rsidR="3B867521" w:rsidRPr="009E6891">
              <w:t>td</w:t>
            </w:r>
            <w:r>
              <w:t xml:space="preserve"> E</w:t>
            </w:r>
            <w:r w:rsidR="3B867521" w:rsidRPr="009E6891">
              <w:t>rror</w:t>
            </w:r>
          </w:p>
        </w:tc>
        <w:tc>
          <w:tcPr>
            <w:tcW w:w="737" w:type="dxa"/>
          </w:tcPr>
          <w:p w14:paraId="259FAE6A" w14:textId="45F13A3B" w:rsidR="3B867521" w:rsidRPr="00AE35A9" w:rsidRDefault="3B867521" w:rsidP="009D7FF0">
            <w:pPr>
              <w:pStyle w:val="TableDataCentred"/>
            </w:pPr>
            <w:r w:rsidRPr="00AE35A9">
              <w:t>25</w:t>
            </w:r>
          </w:p>
        </w:tc>
        <w:tc>
          <w:tcPr>
            <w:tcW w:w="893" w:type="dxa"/>
            <w:tcBorders>
              <w:bottom w:val="single" w:sz="6" w:space="0" w:color="auto"/>
            </w:tcBorders>
          </w:tcPr>
          <w:p w14:paraId="13C87239" w14:textId="42CBB95A" w:rsidR="3B867521" w:rsidRPr="00AE35A9" w:rsidRDefault="3B867521" w:rsidP="009D7FF0">
            <w:pPr>
              <w:pStyle w:val="TableDataCentred"/>
            </w:pPr>
            <w:r w:rsidRPr="00AE35A9">
              <w:t>0.059</w:t>
            </w:r>
          </w:p>
        </w:tc>
        <w:tc>
          <w:tcPr>
            <w:tcW w:w="2821" w:type="dxa"/>
            <w:tcBorders>
              <w:bottom w:val="single" w:sz="6" w:space="0" w:color="auto"/>
            </w:tcBorders>
          </w:tcPr>
          <w:p w14:paraId="7F214E53" w14:textId="277CA758" w:rsidR="3B867521" w:rsidRPr="00AE35A9" w:rsidRDefault="3B867521" w:rsidP="009D7FF0">
            <w:pPr>
              <w:pStyle w:val="TableDataCentred"/>
            </w:pPr>
            <w:r w:rsidRPr="00AE35A9">
              <w:t>0.02</w:t>
            </w:r>
            <w:r w:rsidR="00FA4521" w:rsidRPr="00AE35A9">
              <w:t>2</w:t>
            </w:r>
          </w:p>
        </w:tc>
        <w:tc>
          <w:tcPr>
            <w:tcW w:w="935" w:type="dxa"/>
            <w:tcBorders>
              <w:bottom w:val="single" w:sz="6" w:space="0" w:color="auto"/>
            </w:tcBorders>
          </w:tcPr>
          <w:p w14:paraId="6B7E3B3D" w14:textId="36C433E5" w:rsidR="3B867521" w:rsidRPr="00AE35A9" w:rsidRDefault="3B867521" w:rsidP="009D7FF0">
            <w:pPr>
              <w:pStyle w:val="TableDataCentred"/>
            </w:pPr>
            <w:r w:rsidRPr="00AE35A9">
              <w:t>0.031</w:t>
            </w:r>
          </w:p>
        </w:tc>
        <w:tc>
          <w:tcPr>
            <w:tcW w:w="1559" w:type="dxa"/>
            <w:tcBorders>
              <w:bottom w:val="single" w:sz="6" w:space="0" w:color="auto"/>
            </w:tcBorders>
          </w:tcPr>
          <w:p w14:paraId="57C07C95" w14:textId="316B2780" w:rsidR="3B867521" w:rsidRPr="00AE35A9" w:rsidRDefault="3B867521" w:rsidP="009D7FF0">
            <w:pPr>
              <w:pStyle w:val="TableDataCentred"/>
            </w:pPr>
            <w:r w:rsidRPr="00AE35A9">
              <w:t>0.121</w:t>
            </w:r>
          </w:p>
        </w:tc>
      </w:tr>
      <w:tr w:rsidR="00A8685E" w14:paraId="0DD11D45" w14:textId="77777777" w:rsidTr="00A8685E">
        <w:trPr>
          <w:gridAfter w:val="1"/>
          <w:wAfter w:w="141" w:type="dxa"/>
        </w:trPr>
        <w:tc>
          <w:tcPr>
            <w:tcW w:w="2694" w:type="dxa"/>
          </w:tcPr>
          <w:p w14:paraId="3F2B5C20" w14:textId="77777777" w:rsidR="00A8685E" w:rsidRDefault="00A8685E" w:rsidP="00F62099">
            <w:pPr>
              <w:pStyle w:val="TableHeadingsColumn"/>
            </w:pPr>
          </w:p>
        </w:tc>
        <w:tc>
          <w:tcPr>
            <w:tcW w:w="737" w:type="dxa"/>
          </w:tcPr>
          <w:p w14:paraId="7D7A0326" w14:textId="77777777" w:rsidR="00A8685E" w:rsidRPr="00AE35A9" w:rsidRDefault="00A8685E" w:rsidP="00F62099">
            <w:pPr>
              <w:pStyle w:val="TableDataCentred"/>
            </w:pPr>
          </w:p>
        </w:tc>
        <w:tc>
          <w:tcPr>
            <w:tcW w:w="6208" w:type="dxa"/>
            <w:gridSpan w:val="4"/>
            <w:tcBorders>
              <w:top w:val="single" w:sz="6" w:space="0" w:color="auto"/>
              <w:bottom w:val="single" w:sz="6" w:space="0" w:color="auto"/>
            </w:tcBorders>
          </w:tcPr>
          <w:p w14:paraId="4CD7CC9A" w14:textId="77777777" w:rsidR="00A8685E" w:rsidRPr="00AE35A9" w:rsidRDefault="00A8685E" w:rsidP="00F62099">
            <w:pPr>
              <w:pStyle w:val="TableDataCentred"/>
            </w:pPr>
            <w:r>
              <w:t>Confidence Interval</w:t>
            </w:r>
          </w:p>
        </w:tc>
      </w:tr>
      <w:tr w:rsidR="00F92B60" w14:paraId="542CDE29" w14:textId="77777777" w:rsidTr="00A8685E">
        <w:trPr>
          <w:gridAfter w:val="1"/>
          <w:wAfter w:w="141" w:type="dxa"/>
        </w:trPr>
        <w:tc>
          <w:tcPr>
            <w:tcW w:w="2694" w:type="dxa"/>
          </w:tcPr>
          <w:p w14:paraId="07851DD5" w14:textId="1FB07509" w:rsidR="3B867521" w:rsidRPr="000C7711" w:rsidRDefault="00A8685E" w:rsidP="009D7FF0">
            <w:pPr>
              <w:pStyle w:val="TableHeadingsColumn"/>
            </w:pPr>
            <w:r>
              <w:t>Lower</w:t>
            </w:r>
          </w:p>
        </w:tc>
        <w:tc>
          <w:tcPr>
            <w:tcW w:w="737" w:type="dxa"/>
          </w:tcPr>
          <w:p w14:paraId="1D84F5EF" w14:textId="5F0195AC" w:rsidR="3B867521" w:rsidRPr="00AE35A9" w:rsidRDefault="3B867521" w:rsidP="009D7FF0">
            <w:pPr>
              <w:pStyle w:val="TableDataCentred"/>
            </w:pPr>
            <w:r w:rsidRPr="00AE35A9">
              <w:t>25</w:t>
            </w:r>
          </w:p>
        </w:tc>
        <w:tc>
          <w:tcPr>
            <w:tcW w:w="893" w:type="dxa"/>
            <w:tcBorders>
              <w:top w:val="single" w:sz="6" w:space="0" w:color="auto"/>
            </w:tcBorders>
          </w:tcPr>
          <w:p w14:paraId="5C1A1586" w14:textId="742CA046" w:rsidR="3B867521" w:rsidRPr="00AE35A9" w:rsidRDefault="3B867521" w:rsidP="009D7FF0">
            <w:pPr>
              <w:pStyle w:val="TableDataCentred"/>
            </w:pPr>
            <w:r w:rsidRPr="00AE35A9">
              <w:t>0.29</w:t>
            </w:r>
            <w:r w:rsidR="00FA4521" w:rsidRPr="00AE35A9">
              <w:t>5</w:t>
            </w:r>
          </w:p>
        </w:tc>
        <w:tc>
          <w:tcPr>
            <w:tcW w:w="2821" w:type="dxa"/>
            <w:tcBorders>
              <w:top w:val="single" w:sz="6" w:space="0" w:color="auto"/>
            </w:tcBorders>
          </w:tcPr>
          <w:p w14:paraId="5C051654" w14:textId="6EEAE253" w:rsidR="3B867521" w:rsidRPr="00AE35A9" w:rsidRDefault="3B867521" w:rsidP="009D7FF0">
            <w:pPr>
              <w:pStyle w:val="TableDataCentred"/>
            </w:pPr>
            <w:r w:rsidRPr="00AE35A9">
              <w:t>0.156</w:t>
            </w:r>
          </w:p>
        </w:tc>
        <w:tc>
          <w:tcPr>
            <w:tcW w:w="935" w:type="dxa"/>
            <w:tcBorders>
              <w:top w:val="single" w:sz="6" w:space="0" w:color="auto"/>
            </w:tcBorders>
          </w:tcPr>
          <w:p w14:paraId="30173761" w14:textId="1A36FA4E" w:rsidR="3B867521" w:rsidRPr="00AE35A9" w:rsidRDefault="3B867521" w:rsidP="009D7FF0">
            <w:pPr>
              <w:pStyle w:val="TableDataCentred"/>
            </w:pPr>
            <w:r w:rsidRPr="00AE35A9">
              <w:t>-0.175</w:t>
            </w:r>
          </w:p>
        </w:tc>
        <w:tc>
          <w:tcPr>
            <w:tcW w:w="1559" w:type="dxa"/>
            <w:tcBorders>
              <w:top w:val="single" w:sz="6" w:space="0" w:color="auto"/>
            </w:tcBorders>
          </w:tcPr>
          <w:p w14:paraId="2492C7C2" w14:textId="7CB0F4BE" w:rsidR="3B867521" w:rsidRPr="00AE35A9" w:rsidRDefault="3B867521" w:rsidP="009D7FF0">
            <w:pPr>
              <w:pStyle w:val="TableDataCentred"/>
            </w:pPr>
            <w:r w:rsidRPr="00AE35A9">
              <w:t>0.431</w:t>
            </w:r>
          </w:p>
        </w:tc>
      </w:tr>
      <w:tr w:rsidR="00F92B60" w14:paraId="17B175CE" w14:textId="77777777" w:rsidTr="00A8685E">
        <w:trPr>
          <w:gridAfter w:val="1"/>
          <w:wAfter w:w="141" w:type="dxa"/>
        </w:trPr>
        <w:tc>
          <w:tcPr>
            <w:tcW w:w="2694" w:type="dxa"/>
            <w:tcBorders>
              <w:bottom w:val="single" w:sz="4" w:space="0" w:color="auto"/>
            </w:tcBorders>
          </w:tcPr>
          <w:p w14:paraId="2DC02A42" w14:textId="4F3BCB08" w:rsidR="3B867521" w:rsidRPr="000C7711" w:rsidRDefault="00F527F0" w:rsidP="009D7FF0">
            <w:pPr>
              <w:pStyle w:val="TableHeadingsColumn"/>
            </w:pPr>
            <w:r>
              <w:t>Upper</w:t>
            </w:r>
          </w:p>
        </w:tc>
        <w:tc>
          <w:tcPr>
            <w:tcW w:w="737" w:type="dxa"/>
            <w:tcBorders>
              <w:bottom w:val="single" w:sz="4" w:space="0" w:color="auto"/>
            </w:tcBorders>
          </w:tcPr>
          <w:p w14:paraId="62F4176C" w14:textId="2FA997FD" w:rsidR="3B867521" w:rsidRPr="00AE35A9" w:rsidRDefault="3B867521" w:rsidP="009D7FF0">
            <w:pPr>
              <w:pStyle w:val="TableDataCentred"/>
            </w:pPr>
            <w:r w:rsidRPr="00AE35A9">
              <w:t>25</w:t>
            </w:r>
          </w:p>
        </w:tc>
        <w:tc>
          <w:tcPr>
            <w:tcW w:w="893" w:type="dxa"/>
            <w:tcBorders>
              <w:bottom w:val="single" w:sz="4" w:space="0" w:color="auto"/>
            </w:tcBorders>
          </w:tcPr>
          <w:p w14:paraId="378D75E2" w14:textId="17029145" w:rsidR="3B867521" w:rsidRPr="00AE35A9" w:rsidRDefault="3B867521" w:rsidP="009D7FF0">
            <w:pPr>
              <w:pStyle w:val="TableDataCentred"/>
            </w:pPr>
            <w:r w:rsidRPr="00AE35A9">
              <w:t>0.526</w:t>
            </w:r>
          </w:p>
        </w:tc>
        <w:tc>
          <w:tcPr>
            <w:tcW w:w="2821" w:type="dxa"/>
            <w:tcBorders>
              <w:bottom w:val="single" w:sz="4" w:space="0" w:color="auto"/>
            </w:tcBorders>
          </w:tcPr>
          <w:p w14:paraId="1B0E9492" w14:textId="1736B916" w:rsidR="3B867521" w:rsidRPr="00AE35A9" w:rsidRDefault="3B867521" w:rsidP="009D7FF0">
            <w:pPr>
              <w:pStyle w:val="TableDataCentred"/>
            </w:pPr>
            <w:r w:rsidRPr="00AE35A9">
              <w:t>0.171</w:t>
            </w:r>
          </w:p>
        </w:tc>
        <w:tc>
          <w:tcPr>
            <w:tcW w:w="935" w:type="dxa"/>
            <w:tcBorders>
              <w:bottom w:val="single" w:sz="4" w:space="0" w:color="auto"/>
            </w:tcBorders>
          </w:tcPr>
          <w:p w14:paraId="285A517A" w14:textId="3AB3B601" w:rsidR="3B867521" w:rsidRPr="00AE35A9" w:rsidRDefault="3B867521" w:rsidP="009D7FF0">
            <w:pPr>
              <w:pStyle w:val="TableDataCentred"/>
            </w:pPr>
            <w:r w:rsidRPr="00AE35A9">
              <w:t>0.161</w:t>
            </w:r>
          </w:p>
        </w:tc>
        <w:tc>
          <w:tcPr>
            <w:tcW w:w="1559" w:type="dxa"/>
            <w:tcBorders>
              <w:bottom w:val="single" w:sz="4" w:space="0" w:color="auto"/>
            </w:tcBorders>
          </w:tcPr>
          <w:p w14:paraId="687A13A6" w14:textId="4D1861E2" w:rsidR="3B867521" w:rsidRPr="00AE35A9" w:rsidRDefault="3B867521" w:rsidP="009D7FF0">
            <w:pPr>
              <w:pStyle w:val="TableDataCentred"/>
            </w:pPr>
            <w:r w:rsidRPr="00AE35A9">
              <w:t>0.832</w:t>
            </w:r>
          </w:p>
        </w:tc>
      </w:tr>
    </w:tbl>
    <w:p w14:paraId="180A4C9D" w14:textId="31080B15" w:rsidR="3B867521" w:rsidRPr="000C7711" w:rsidRDefault="3B867521" w:rsidP="008B3F05">
      <w:pPr>
        <w:pStyle w:val="TableFooternoborder"/>
        <w:rPr>
          <w:rFonts w:eastAsia="Cambria"/>
        </w:rPr>
      </w:pPr>
    </w:p>
    <w:p w14:paraId="579FC672" w14:textId="6F0D9E4E" w:rsidR="0018672E" w:rsidRDefault="008D75D9" w:rsidP="00AE35A9">
      <w:pPr>
        <w:rPr>
          <w:rFonts w:eastAsia="Cambria"/>
        </w:rPr>
      </w:pPr>
      <w:r w:rsidRPr="009C0B42">
        <w:rPr>
          <w:rFonts w:eastAsia="Cambria"/>
        </w:rPr>
        <w:t>T</w:t>
      </w:r>
      <w:r w:rsidR="00B70954" w:rsidRPr="009C0B42">
        <w:rPr>
          <w:rFonts w:eastAsia="Cambria"/>
        </w:rPr>
        <w:t xml:space="preserve">he </w:t>
      </w:r>
      <w:r w:rsidR="00D46F6F">
        <w:rPr>
          <w:rFonts w:eastAsia="Cambria"/>
        </w:rPr>
        <w:t xml:space="preserve">progressive </w:t>
      </w:r>
      <w:r w:rsidR="00B70954" w:rsidRPr="009C0B42">
        <w:rPr>
          <w:rFonts w:eastAsia="Cambria"/>
        </w:rPr>
        <w:t xml:space="preserve">effect of </w:t>
      </w:r>
      <w:r w:rsidR="00AD35F6" w:rsidRPr="009C0B42">
        <w:rPr>
          <w:rFonts w:eastAsia="Cambria"/>
        </w:rPr>
        <w:t xml:space="preserve">the different increments of </w:t>
      </w:r>
      <w:r w:rsidR="00B70954" w:rsidRPr="009C0B42">
        <w:rPr>
          <w:rFonts w:eastAsia="Cambria"/>
        </w:rPr>
        <w:t xml:space="preserve">group building </w:t>
      </w:r>
      <w:r w:rsidR="000D33F1" w:rsidRPr="009C0B42">
        <w:rPr>
          <w:rFonts w:eastAsia="Cambria"/>
        </w:rPr>
        <w:t xml:space="preserve">in overcoming </w:t>
      </w:r>
      <w:r w:rsidR="00B70954" w:rsidRPr="009C0B42">
        <w:rPr>
          <w:rFonts w:eastAsia="Cambria"/>
        </w:rPr>
        <w:t xml:space="preserve">how complexity impedes DRI </w:t>
      </w:r>
      <w:r w:rsidR="00AD35F6" w:rsidRPr="009C0B42">
        <w:rPr>
          <w:rFonts w:eastAsia="Cambria"/>
        </w:rPr>
        <w:t>appears relatively smooth</w:t>
      </w:r>
      <w:r w:rsidR="002E1A6B">
        <w:rPr>
          <w:rFonts w:eastAsia="Cambria"/>
        </w:rPr>
        <w:t>—</w:t>
      </w:r>
      <w:r w:rsidR="00C06EFD">
        <w:rPr>
          <w:rFonts w:eastAsia="Cambria"/>
        </w:rPr>
        <w:t>i.e.</w:t>
      </w:r>
      <w:r w:rsidR="00181AAB">
        <w:rPr>
          <w:rFonts w:eastAsia="Cambria"/>
        </w:rPr>
        <w:t xml:space="preserve"> there are no threshold effects and</w:t>
      </w:r>
      <w:r w:rsidR="00C06EFD">
        <w:rPr>
          <w:rFonts w:eastAsia="Cambria"/>
        </w:rPr>
        <w:t xml:space="preserve"> </w:t>
      </w:r>
      <w:r w:rsidR="009008AD">
        <w:rPr>
          <w:rFonts w:eastAsia="Cambria"/>
        </w:rPr>
        <w:t xml:space="preserve">incremental improvements in group building </w:t>
      </w:r>
      <w:r w:rsidR="00181AAB">
        <w:rPr>
          <w:rFonts w:eastAsia="Cambria"/>
        </w:rPr>
        <w:t>lead to improvem</w:t>
      </w:r>
      <w:r w:rsidR="000F08F3">
        <w:rPr>
          <w:rFonts w:eastAsia="Cambria"/>
        </w:rPr>
        <w:t>ent in mitigating the effect of complexity</w:t>
      </w:r>
      <w:r w:rsidR="0002501B" w:rsidRPr="009C0B42">
        <w:rPr>
          <w:rFonts w:eastAsia="Cambria"/>
        </w:rPr>
        <w:t>.</w:t>
      </w:r>
    </w:p>
    <w:p w14:paraId="0B6E673C" w14:textId="2203DB83" w:rsidR="00262C1E" w:rsidRDefault="00262C1E" w:rsidP="008B3F05">
      <w:pPr>
        <w:pStyle w:val="Heading1"/>
      </w:pPr>
      <w:bookmarkStart w:id="216" w:name="_Toc97622133"/>
      <w:bookmarkStart w:id="217" w:name="_Toc95407105"/>
      <w:bookmarkStart w:id="218" w:name="_Toc95414729"/>
      <w:bookmarkStart w:id="219" w:name="_Toc95407107"/>
      <w:bookmarkStart w:id="220" w:name="_Toc95414731"/>
      <w:bookmarkStart w:id="221" w:name="_Toc97203807"/>
      <w:bookmarkStart w:id="222" w:name="_Toc97231603"/>
      <w:bookmarkStart w:id="223" w:name="_Toc97622134"/>
      <w:bookmarkEnd w:id="216"/>
      <w:bookmarkEnd w:id="217"/>
      <w:bookmarkEnd w:id="218"/>
      <w:bookmarkEnd w:id="219"/>
      <w:bookmarkEnd w:id="220"/>
      <w:r>
        <w:lastRenderedPageBreak/>
        <w:t>References</w:t>
      </w:r>
      <w:bookmarkEnd w:id="221"/>
      <w:bookmarkEnd w:id="222"/>
      <w:bookmarkEnd w:id="223"/>
    </w:p>
    <w:p w14:paraId="1A481888" w14:textId="7A6AEBAC" w:rsidR="00B82905" w:rsidRPr="002E5EFA" w:rsidRDefault="00B82905" w:rsidP="00F8427E">
      <w:pPr>
        <w:pStyle w:val="Referencelist"/>
      </w:pPr>
      <w:r w:rsidRPr="002E5EFA">
        <w:t xml:space="preserve">Ashworth, Peta, Anna Littleboy, Paul Graham, and Simon Niemeyer. 2010. </w:t>
      </w:r>
      <w:r w:rsidR="00283C1B">
        <w:t>“</w:t>
      </w:r>
      <w:r w:rsidRPr="002E5EFA">
        <w:t>Turning the heat on: Public engagement in Australia’s energy future.</w:t>
      </w:r>
      <w:r w:rsidR="00283C1B">
        <w:t>”</w:t>
      </w:r>
      <w:r w:rsidRPr="002E5EFA">
        <w:t xml:space="preserve"> In Renewable Energy and the Public: From NIMBY to Participation, edited by Patrick Devine-Wright. London: Earthscan.</w:t>
      </w:r>
    </w:p>
    <w:p w14:paraId="2740C073" w14:textId="3F7BDBF2" w:rsidR="00B82905" w:rsidRPr="002E5EFA" w:rsidRDefault="00B82905" w:rsidP="00F8427E">
      <w:pPr>
        <w:pStyle w:val="Referencelist"/>
      </w:pPr>
      <w:r w:rsidRPr="002E5EFA">
        <w:t xml:space="preserve">Brown, Steven R. 1970. </w:t>
      </w:r>
      <w:r w:rsidR="00283C1B">
        <w:t>“</w:t>
      </w:r>
      <w:r w:rsidRPr="002E5EFA">
        <w:t>On the use of variance designs in Q methodology.</w:t>
      </w:r>
      <w:r w:rsidR="00283C1B">
        <w:t>”</w:t>
      </w:r>
      <w:r w:rsidRPr="002E5EFA">
        <w:t xml:space="preserve"> </w:t>
      </w:r>
      <w:r w:rsidRPr="0002009E">
        <w:rPr>
          <w:i/>
          <w:iCs/>
        </w:rPr>
        <w:t>Psychological Record</w:t>
      </w:r>
      <w:r w:rsidRPr="002E5EFA">
        <w:t xml:space="preserve"> 20: 179–189.</w:t>
      </w:r>
    </w:p>
    <w:p w14:paraId="15D555E6" w14:textId="77777777" w:rsidR="00B82905" w:rsidRPr="002E5EFA" w:rsidRDefault="00B82905" w:rsidP="00F8427E">
      <w:pPr>
        <w:pStyle w:val="Referencelist"/>
      </w:pPr>
      <w:r w:rsidRPr="002E5EFA">
        <w:t>Carson, Lyn, John Gastil, Janette HartzKarp, and Ron Lubensky, eds. 2013. The Australian Citizens' Parliament and the Future of Deliberative Democracy. University Park, Penn.: Pennsylvania State University Press.</w:t>
      </w:r>
    </w:p>
    <w:p w14:paraId="5C7F5363" w14:textId="75BDFD5C" w:rsidR="00B82905" w:rsidRPr="002E5EFA" w:rsidRDefault="00B82905" w:rsidP="00F8427E">
      <w:pPr>
        <w:pStyle w:val="Referencelist"/>
      </w:pPr>
      <w:r w:rsidRPr="002E5EFA">
        <w:t xml:space="preserve">Curato, Nicole, John S. Dryzek, Selen Ercan, Carolyn M. Hendriks, and Simon John Niemeyer. 2017. </w:t>
      </w:r>
      <w:r w:rsidR="00283C1B">
        <w:t>“</w:t>
      </w:r>
      <w:r w:rsidRPr="002E5EFA">
        <w:t>Twelve Key Findings in Deliberative Democracy Research.</w:t>
      </w:r>
      <w:r w:rsidR="00283C1B">
        <w:t>”</w:t>
      </w:r>
      <w:r w:rsidRPr="002E5EFA">
        <w:t xml:space="preserve"> </w:t>
      </w:r>
      <w:r w:rsidRPr="0002009E">
        <w:rPr>
          <w:i/>
          <w:iCs/>
        </w:rPr>
        <w:t>Daedalus</w:t>
      </w:r>
      <w:r w:rsidRPr="002E5EFA">
        <w:t xml:space="preserve"> 146 (3): 28–38</w:t>
      </w:r>
      <w:r w:rsidR="008406FC" w:rsidRPr="002E5EFA">
        <w:t>.</w:t>
      </w:r>
    </w:p>
    <w:p w14:paraId="743112BE" w14:textId="43B03602" w:rsidR="00B82905" w:rsidRPr="002E5EFA" w:rsidRDefault="00B82905" w:rsidP="00F8427E">
      <w:pPr>
        <w:pStyle w:val="Referencelist"/>
      </w:pPr>
      <w:r w:rsidRPr="002E5EFA">
        <w:t xml:space="preserve">Felicetti, Andrea, Simon Niemeyer, and Nicole Curato. 2016. </w:t>
      </w:r>
      <w:r w:rsidR="00283C1B">
        <w:t>“</w:t>
      </w:r>
      <w:r w:rsidRPr="002E5EFA">
        <w:t>Improving deliberative participation: connecting mini-publics to deliberative systems.</w:t>
      </w:r>
      <w:r w:rsidR="00283C1B">
        <w:t>”</w:t>
      </w:r>
      <w:r w:rsidRPr="002E5EFA">
        <w:t xml:space="preserve"> </w:t>
      </w:r>
      <w:r w:rsidRPr="0002009E">
        <w:rPr>
          <w:i/>
          <w:iCs/>
        </w:rPr>
        <w:t>European Political Science Review</w:t>
      </w:r>
      <w:r w:rsidRPr="002E5EFA">
        <w:t xml:space="preserve"> 8 (3): 427-448. </w:t>
      </w:r>
    </w:p>
    <w:p w14:paraId="060050D7" w14:textId="1337A9CF" w:rsidR="007B77E1" w:rsidRPr="002E5EFA" w:rsidRDefault="007B77E1" w:rsidP="00F8427E">
      <w:pPr>
        <w:pStyle w:val="Referencelist"/>
      </w:pPr>
      <w:r w:rsidRPr="002E5EFA">
        <w:t xml:space="preserve">Grönlund, Kimmo, Maija Setälä, and Kaisa Herne. 2010. </w:t>
      </w:r>
      <w:r w:rsidR="00283C1B">
        <w:t>“</w:t>
      </w:r>
      <w:r w:rsidRPr="002E5EFA">
        <w:t>Deliberation and civic virtue: lessons from a citizen deliberation experiment.</w:t>
      </w:r>
      <w:r w:rsidR="00283C1B">
        <w:t>”</w:t>
      </w:r>
      <w:r w:rsidRPr="002E5EFA">
        <w:t xml:space="preserve"> </w:t>
      </w:r>
      <w:r w:rsidRPr="005E19C1">
        <w:rPr>
          <w:i/>
          <w:iCs/>
        </w:rPr>
        <w:t>European Political Science Review</w:t>
      </w:r>
      <w:r w:rsidRPr="002E5EFA">
        <w:t xml:space="preserve"> 2 (1): 95–117.</w:t>
      </w:r>
    </w:p>
    <w:p w14:paraId="0EBEEAFC" w14:textId="07FAF5EB" w:rsidR="00B82905" w:rsidRPr="002E5EFA" w:rsidRDefault="00B82905" w:rsidP="00F8427E">
      <w:pPr>
        <w:pStyle w:val="Referencelist"/>
      </w:pPr>
      <w:r w:rsidRPr="002E5EFA">
        <w:t>Hartz-Karp, Janette, Patrick Anderson, John Gasti</w:t>
      </w:r>
      <w:r w:rsidR="008B3F05">
        <w:t>l</w:t>
      </w:r>
      <w:r w:rsidRPr="002E5EFA">
        <w:t>, and Andrea Felicetti.</w:t>
      </w:r>
      <w:r w:rsidR="00E3064E" w:rsidRPr="002E5EFA">
        <w:t xml:space="preserve"> 2010,</w:t>
      </w:r>
      <w:r w:rsidRPr="002E5EFA">
        <w:t xml:space="preserve"> </w:t>
      </w:r>
      <w:r w:rsidR="00283C1B">
        <w:t>“</w:t>
      </w:r>
      <w:r w:rsidRPr="002E5EFA">
        <w:t>The Australian Citizens' Parliament: forging shared identity through public deliberation.</w:t>
      </w:r>
      <w:r w:rsidR="00283C1B">
        <w:t>”</w:t>
      </w:r>
      <w:r w:rsidR="00E3064E" w:rsidRPr="002E5EFA">
        <w:t xml:space="preserve">, </w:t>
      </w:r>
      <w:r w:rsidRPr="005E19C1">
        <w:rPr>
          <w:i/>
          <w:iCs/>
        </w:rPr>
        <w:t xml:space="preserve">Journal of Public Affairs </w:t>
      </w:r>
      <w:r w:rsidRPr="002E5EFA">
        <w:t xml:space="preserve">10 (4): 353-371. </w:t>
      </w:r>
    </w:p>
    <w:p w14:paraId="57B58988" w14:textId="76A2634A" w:rsidR="00B82905" w:rsidRPr="002E5EFA" w:rsidRDefault="00B82905" w:rsidP="00F8427E">
      <w:pPr>
        <w:pStyle w:val="Referencelist"/>
      </w:pPr>
      <w:r w:rsidRPr="002E5EFA">
        <w:t xml:space="preserve">Hobson, Kersty Pamela. 2009. </w:t>
      </w:r>
      <w:r w:rsidR="00283C1B">
        <w:t>“</w:t>
      </w:r>
      <w:r w:rsidRPr="002E5EFA">
        <w:t>On the modern and nonmodern in deliberative environmental democracy.</w:t>
      </w:r>
      <w:r w:rsidR="00283C1B">
        <w:t>”</w:t>
      </w:r>
      <w:r w:rsidRPr="002E5EFA">
        <w:t xml:space="preserve"> Global Environmental Politics 9 (4): 64-80. </w:t>
      </w:r>
    </w:p>
    <w:p w14:paraId="519C2302" w14:textId="1A031A44" w:rsidR="00B82905" w:rsidRPr="002E5EFA" w:rsidRDefault="00B82905" w:rsidP="00F8427E">
      <w:pPr>
        <w:pStyle w:val="Referencelist"/>
      </w:pPr>
      <w:r w:rsidRPr="002E5EFA">
        <w:t xml:space="preserve">Hobson, Kersty Pamela, and Simon John Niemeyer. 2011. </w:t>
      </w:r>
      <w:r w:rsidR="00283C1B">
        <w:t>“</w:t>
      </w:r>
      <w:r w:rsidRPr="002E5EFA">
        <w:t>Public responses to climate change: The role of deliberation in building capacity for adaptive action.</w:t>
      </w:r>
      <w:r w:rsidR="00283C1B">
        <w:t>”</w:t>
      </w:r>
      <w:r w:rsidRPr="002E5EFA">
        <w:t xml:space="preserve"> </w:t>
      </w:r>
      <w:r w:rsidRPr="005E19C1">
        <w:rPr>
          <w:i/>
          <w:iCs/>
        </w:rPr>
        <w:t>Global Environmental Change</w:t>
      </w:r>
      <w:r w:rsidRPr="002E5EFA">
        <w:t xml:space="preserve"> 21 (3): 957–971.</w:t>
      </w:r>
    </w:p>
    <w:p w14:paraId="345EFC40" w14:textId="6C9CBE21" w:rsidR="00B82905" w:rsidRPr="002E5EFA" w:rsidRDefault="00B82905" w:rsidP="00F8427E">
      <w:pPr>
        <w:pStyle w:val="Referencelist"/>
      </w:pPr>
      <w:r w:rsidRPr="002E5EFA">
        <w:t xml:space="preserve">Jennstål, Julia. 2018. </w:t>
      </w:r>
      <w:r w:rsidR="00283C1B">
        <w:t>“</w:t>
      </w:r>
      <w:r w:rsidRPr="002E5EFA">
        <w:t>Deliberative Participation and Personality: The Effect of Traits, Situations and Motivation.</w:t>
      </w:r>
      <w:r w:rsidR="00283C1B">
        <w:t>”</w:t>
      </w:r>
      <w:r w:rsidRPr="002E5EFA">
        <w:t xml:space="preserve"> </w:t>
      </w:r>
      <w:r w:rsidRPr="005E19C1">
        <w:rPr>
          <w:i/>
          <w:iCs/>
        </w:rPr>
        <w:t>European Political Science Review</w:t>
      </w:r>
      <w:r w:rsidRPr="002E5EFA">
        <w:t xml:space="preserve"> 10 (3): 417-440. </w:t>
      </w:r>
      <w:hyperlink r:id="rId26" w:history="1">
        <w:r w:rsidRPr="002E5EFA">
          <w:rPr>
            <w:rStyle w:val="Hyperlink"/>
            <w:color w:val="auto"/>
            <w:u w:val="none"/>
          </w:rPr>
          <w:t>4</w:t>
        </w:r>
      </w:hyperlink>
      <w:r w:rsidRPr="002E5EFA">
        <w:t>.</w:t>
      </w:r>
    </w:p>
    <w:p w14:paraId="56A536D8" w14:textId="15EF10A7" w:rsidR="00B82905" w:rsidRPr="002E5EFA" w:rsidRDefault="00B82905" w:rsidP="00F8427E">
      <w:pPr>
        <w:pStyle w:val="Referencelist"/>
      </w:pPr>
      <w:r w:rsidRPr="002E5EFA">
        <w:t xml:space="preserve">---. 2019. </w:t>
      </w:r>
      <w:r w:rsidR="00283C1B">
        <w:t>“</w:t>
      </w:r>
      <w:r w:rsidRPr="002E5EFA">
        <w:t>Deliberation and Integrative Complexity: Assessing the Development of Deliberative Norms in Minipublics.</w:t>
      </w:r>
      <w:r w:rsidR="00283C1B">
        <w:t>”</w:t>
      </w:r>
      <w:r w:rsidRPr="002E5EFA">
        <w:t xml:space="preserve"> </w:t>
      </w:r>
      <w:r w:rsidRPr="005E19C1">
        <w:rPr>
          <w:i/>
          <w:iCs/>
        </w:rPr>
        <w:t>Swiss Political Science Review</w:t>
      </w:r>
      <w:r w:rsidRPr="002E5EFA">
        <w:t xml:space="preserve"> 25 (1): 64–83. </w:t>
      </w:r>
    </w:p>
    <w:p w14:paraId="49B020C5" w14:textId="1D567858" w:rsidR="009A3071" w:rsidRPr="002E5EFA" w:rsidRDefault="009A3071" w:rsidP="00F8427E">
      <w:pPr>
        <w:pStyle w:val="Referencelist"/>
      </w:pPr>
      <w:r w:rsidRPr="002E5EFA">
        <w:t>Kenward, M. G., and J. H.</w:t>
      </w:r>
      <w:r w:rsidR="008E5A19">
        <w:t xml:space="preserve"> </w:t>
      </w:r>
      <w:r w:rsidRPr="002E5EFA">
        <w:t xml:space="preserve">Roger. 1997. </w:t>
      </w:r>
      <w:r w:rsidR="00283C1B">
        <w:t>“</w:t>
      </w:r>
      <w:r w:rsidRPr="002E5EFA">
        <w:t>Small sample inference for fixed effects from restricted maximum likelihood.</w:t>
      </w:r>
      <w:r w:rsidR="00283C1B">
        <w:t>”</w:t>
      </w:r>
      <w:r w:rsidRPr="002E5EFA">
        <w:t xml:space="preserve"> </w:t>
      </w:r>
      <w:r w:rsidRPr="005E19C1">
        <w:rPr>
          <w:i/>
          <w:iCs/>
        </w:rPr>
        <w:t>Biometrics</w:t>
      </w:r>
      <w:r w:rsidRPr="002E5EFA">
        <w:t xml:space="preserve"> 53 (3): 983-997. </w:t>
      </w:r>
    </w:p>
    <w:p w14:paraId="7D9ECD05" w14:textId="77436AEA" w:rsidR="00B82905" w:rsidRPr="002E5EFA" w:rsidRDefault="00B82905" w:rsidP="00F8427E">
      <w:pPr>
        <w:pStyle w:val="Referencelist"/>
      </w:pPr>
      <w:r w:rsidRPr="002E5EFA">
        <w:t>Lehman, Ann, Norm O'Rourke, Larry Hatcher, Edward J. Stepanski, and SAS Institute. 2013. JMP for basic univariate and multivariate statistics: methods for researchers and social scientists. Second edition. ed.</w:t>
      </w:r>
    </w:p>
    <w:p w14:paraId="6D09D263" w14:textId="26A9E1C3" w:rsidR="00B82905" w:rsidRPr="002E5EFA" w:rsidRDefault="00B82905" w:rsidP="00F8427E">
      <w:pPr>
        <w:pStyle w:val="Referencelist"/>
      </w:pPr>
      <w:r w:rsidRPr="002E5EFA">
        <w:t xml:space="preserve">Lindstädt, R., S. O. Proksch, and J. B. Slapin. 2020. </w:t>
      </w:r>
      <w:r w:rsidR="00283C1B">
        <w:t>“</w:t>
      </w:r>
      <w:r w:rsidRPr="002E5EFA">
        <w:t>When experts disagree: Response aggregation and its consequences in expert surveys.</w:t>
      </w:r>
      <w:r w:rsidR="00283C1B">
        <w:t>”</w:t>
      </w:r>
      <w:r w:rsidRPr="002E5EFA">
        <w:t xml:space="preserve"> </w:t>
      </w:r>
      <w:r w:rsidRPr="005E19C1">
        <w:rPr>
          <w:i/>
          <w:iCs/>
        </w:rPr>
        <w:t>Political Science Research and Methods</w:t>
      </w:r>
      <w:r w:rsidRPr="002E5EFA">
        <w:t xml:space="preserve"> 8 (3): 580-588.</w:t>
      </w:r>
    </w:p>
    <w:p w14:paraId="7FA13F0D" w14:textId="6E51F509" w:rsidR="00B82905" w:rsidRPr="002E5EFA" w:rsidRDefault="00B82905" w:rsidP="00F8427E">
      <w:pPr>
        <w:pStyle w:val="Referencelist"/>
      </w:pPr>
      <w:r w:rsidRPr="002E5EFA">
        <w:t xml:space="preserve">Meade, Adam W. 2010. </w:t>
      </w:r>
      <w:r w:rsidR="00283C1B">
        <w:t>“</w:t>
      </w:r>
      <w:r w:rsidRPr="002E5EFA">
        <w:t>Restriction of range.</w:t>
      </w:r>
      <w:r w:rsidR="00283C1B">
        <w:t>”</w:t>
      </w:r>
      <w:r w:rsidRPr="002E5EFA">
        <w:t xml:space="preserve"> Encyclopedia of Research Design, edited by Neil J. Salkind, 1279-1280. London: SAGE. </w:t>
      </w:r>
    </w:p>
    <w:p w14:paraId="2D10B79B" w14:textId="4B266754" w:rsidR="00B82905" w:rsidRPr="002E5EFA" w:rsidRDefault="00B82905" w:rsidP="00F8427E">
      <w:pPr>
        <w:pStyle w:val="Referencelist"/>
      </w:pPr>
      <w:r w:rsidRPr="002E5EFA">
        <w:t xml:space="preserve">Nakagawa, Shinichi, and Holger Schielzeth. 2013. </w:t>
      </w:r>
      <w:r w:rsidR="00283C1B">
        <w:t>“</w:t>
      </w:r>
      <w:r w:rsidRPr="002E5EFA">
        <w:t>A General and Simple Method for obtaining R2 from generalized linear mixed-effects models.</w:t>
      </w:r>
      <w:r w:rsidR="00E70822">
        <w:t>”</w:t>
      </w:r>
      <w:r w:rsidRPr="002E5EFA">
        <w:t xml:space="preserve"> Methods In Ecology and Evolution (4): 133-142.</w:t>
      </w:r>
    </w:p>
    <w:p w14:paraId="617AB0BC" w14:textId="2AB022E8" w:rsidR="00B82905" w:rsidRPr="002E5EFA" w:rsidRDefault="00B82905" w:rsidP="00F8427E">
      <w:pPr>
        <w:pStyle w:val="Referencelist"/>
      </w:pPr>
      <w:r w:rsidRPr="002E5EFA">
        <w:lastRenderedPageBreak/>
        <w:t xml:space="preserve">Niemeyer, Simon John. 2004. </w:t>
      </w:r>
      <w:r w:rsidR="00E70822">
        <w:t>“</w:t>
      </w:r>
      <w:r w:rsidRPr="002E5EFA">
        <w:t>Deliberation in the wilderness: displacing symbolic politics.</w:t>
      </w:r>
      <w:r w:rsidR="00E70822">
        <w:t>”</w:t>
      </w:r>
      <w:r w:rsidRPr="002E5EFA">
        <w:t xml:space="preserve"> </w:t>
      </w:r>
      <w:r w:rsidRPr="005E19C1">
        <w:rPr>
          <w:i/>
          <w:iCs/>
        </w:rPr>
        <w:t>Environmental Politics</w:t>
      </w:r>
      <w:r w:rsidRPr="002E5EFA">
        <w:t xml:space="preserve"> 13 (2): 347–372. </w:t>
      </w:r>
    </w:p>
    <w:p w14:paraId="261AEC57" w14:textId="1D911CFA" w:rsidR="00B82905" w:rsidRDefault="00B82905" w:rsidP="00F8427E">
      <w:pPr>
        <w:pStyle w:val="Referencelist"/>
      </w:pPr>
      <w:r w:rsidRPr="002E5EFA">
        <w:t xml:space="preserve">Niemeyer, Simon John, Selen Ayirtman, and Janette HartzKarp. 2013. </w:t>
      </w:r>
      <w:r w:rsidR="00E70822">
        <w:t>“</w:t>
      </w:r>
      <w:r w:rsidRPr="002E5EFA">
        <w:t>Q methodology and Analysis of Policy Issues: The Fremantle Bridge Case Study.</w:t>
      </w:r>
      <w:r w:rsidR="00E70822">
        <w:t>”</w:t>
      </w:r>
      <w:r w:rsidRPr="002E5EFA">
        <w:t xml:space="preserve"> </w:t>
      </w:r>
      <w:r w:rsidRPr="005E19C1">
        <w:rPr>
          <w:i/>
          <w:iCs/>
        </w:rPr>
        <w:t>Operant Subjectivity</w:t>
      </w:r>
      <w:r w:rsidRPr="002E5EFA">
        <w:t xml:space="preserve"> 36 (2): 114–134.</w:t>
      </w:r>
    </w:p>
    <w:p w14:paraId="4A052D66" w14:textId="27F56AC9" w:rsidR="00B82905" w:rsidRPr="002E5EFA" w:rsidRDefault="00B82905" w:rsidP="00F8427E">
      <w:pPr>
        <w:pStyle w:val="Referencelist"/>
      </w:pPr>
      <w:r w:rsidRPr="002E5EFA">
        <w:t xml:space="preserve">Schlosberg, David., Lisette Collins, and Simon John Niemeyer. 2017. </w:t>
      </w:r>
      <w:r w:rsidR="00283C1B">
        <w:t>“</w:t>
      </w:r>
      <w:r w:rsidRPr="002E5EFA">
        <w:t>Adaptation Policy and Community Discourse: Risk, Vulnerability, and Just Transformation.</w:t>
      </w:r>
      <w:r w:rsidR="00283C1B">
        <w:t>”</w:t>
      </w:r>
      <w:r w:rsidRPr="002E5EFA">
        <w:t xml:space="preserve"> </w:t>
      </w:r>
      <w:r w:rsidRPr="0002009E">
        <w:rPr>
          <w:i/>
          <w:iCs/>
        </w:rPr>
        <w:t>Environmental Politics</w:t>
      </w:r>
      <w:r w:rsidRPr="002E5EFA">
        <w:t xml:space="preserve"> 26 (3): 413–437</w:t>
      </w:r>
      <w:r w:rsidR="00A532EC" w:rsidRPr="002E5EFA">
        <w:t>.</w:t>
      </w:r>
      <w:r w:rsidRPr="002E5EFA">
        <w:t xml:space="preserve"> </w:t>
      </w:r>
    </w:p>
    <w:p w14:paraId="2BECA4AA" w14:textId="46F727E3" w:rsidR="00B82905" w:rsidRDefault="00B82905" w:rsidP="00F8427E">
      <w:pPr>
        <w:pStyle w:val="Referencelist"/>
      </w:pPr>
      <w:r w:rsidRPr="002E5EFA">
        <w:t xml:space="preserve">Secko, D. M., N. Preto, S. Niemeyer, and M. M. Burgess. 2009. </w:t>
      </w:r>
      <w:r w:rsidR="00283C1B">
        <w:t>“</w:t>
      </w:r>
      <w:r w:rsidRPr="002E5EFA">
        <w:t>Informed consent in biobank research: A deliberative approach to the debate.</w:t>
      </w:r>
      <w:r w:rsidR="00283C1B">
        <w:t>”</w:t>
      </w:r>
      <w:r w:rsidRPr="002E5EFA">
        <w:t xml:space="preserve"> </w:t>
      </w:r>
      <w:r w:rsidRPr="0002009E">
        <w:rPr>
          <w:i/>
          <w:iCs/>
        </w:rPr>
        <w:t>Social Science &amp; Medicine</w:t>
      </w:r>
      <w:r w:rsidRPr="002E5EFA">
        <w:t xml:space="preserve"> 68 (4): 781-789.</w:t>
      </w:r>
    </w:p>
    <w:p w14:paraId="0FEE0E8A" w14:textId="472194F4" w:rsidR="004943E4" w:rsidRDefault="004943E4" w:rsidP="00F8427E">
      <w:pPr>
        <w:pStyle w:val="Referencelist"/>
        <w:rPr>
          <w:lang w:val="en-GB"/>
        </w:rPr>
      </w:pPr>
      <w:r>
        <w:rPr>
          <w:lang w:val="en-GB"/>
        </w:rPr>
        <w:t xml:space="preserve">Stephenson, William. 1986. </w:t>
      </w:r>
      <w:r w:rsidR="00283C1B">
        <w:rPr>
          <w:lang w:val="en-GB"/>
        </w:rPr>
        <w:t>“</w:t>
      </w:r>
      <w:r>
        <w:rPr>
          <w:lang w:val="en-GB"/>
        </w:rPr>
        <w:t>The concourse theory of communication.</w:t>
      </w:r>
      <w:r w:rsidR="00283C1B">
        <w:rPr>
          <w:lang w:val="en-GB"/>
        </w:rPr>
        <w:t>”</w:t>
      </w:r>
      <w:r>
        <w:rPr>
          <w:lang w:val="en-GB"/>
        </w:rPr>
        <w:t xml:space="preserve"> </w:t>
      </w:r>
      <w:r>
        <w:rPr>
          <w:i/>
          <w:iCs/>
          <w:lang w:val="en-GB"/>
        </w:rPr>
        <w:t>Operant Subjectivity</w:t>
      </w:r>
      <w:r>
        <w:rPr>
          <w:lang w:val="en-GB"/>
        </w:rPr>
        <w:t xml:space="preserve"> 9 (2): 37–58.</w:t>
      </w:r>
    </w:p>
    <w:sectPr w:rsidR="004943E4" w:rsidSect="00D450CE">
      <w:headerReference w:type="default" r:id="rId27"/>
      <w:footerReference w:type="default" r:id="rId2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B0BC" w14:textId="77777777" w:rsidR="001340B4" w:rsidRDefault="001340B4" w:rsidP="000C3E29">
      <w:r>
        <w:separator/>
      </w:r>
    </w:p>
  </w:endnote>
  <w:endnote w:type="continuationSeparator" w:id="0">
    <w:p w14:paraId="5F3DCEC6" w14:textId="77777777" w:rsidR="001340B4" w:rsidRDefault="001340B4" w:rsidP="000C3E29">
      <w:r>
        <w:continuationSeparator/>
      </w:r>
    </w:p>
  </w:endnote>
  <w:endnote w:type="continuationNotice" w:id="1">
    <w:p w14:paraId="65C071AC" w14:textId="77777777" w:rsidR="001340B4" w:rsidRDefault="0013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eXGyreTermes">
    <w:altName w:val="﷽﷽﷽﷽﷽﷽﷽﷽ermes"/>
    <w:panose1 w:val="00000500000000000000"/>
    <w:charset w:val="4D"/>
    <w:family w:val="auto"/>
    <w:notTrueType/>
    <w:pitch w:val="variable"/>
    <w:sig w:usb0="2000028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eXGyreHeros">
    <w:altName w:val="﷽﷽﷽﷽﷽﷽﷽﷽"/>
    <w:panose1 w:val="00000500000000000000"/>
    <w:charset w:val="4D"/>
    <w:family w:val="auto"/>
    <w:notTrueType/>
    <w:pitch w:val="variable"/>
    <w:sig w:usb0="20000087" w:usb1="00000000" w:usb2="00000000" w:usb3="00000000" w:csb0="00000193"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SE Bold">
    <w:altName w:val="Chalkboard SE"/>
    <w:panose1 w:val="03050602040202020205"/>
    <w:charset w:val="4D"/>
    <w:family w:val="script"/>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lag Book">
    <w:altName w:val="﷽﷽﷽﷽﷽﷽﷽﷽ใƐM"/>
    <w:panose1 w:val="00000000000000000000"/>
    <w:charset w:val="4D"/>
    <w:family w:val="auto"/>
    <w:pitch w:val="variable"/>
    <w:sig w:usb0="A000007F" w:usb1="0000006A" w:usb2="00000000" w:usb3="00000000" w:csb0="00000193"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ḷƐM"/>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TeXGyreHerosCn">
    <w:altName w:val="﷽﷽﷽﷽﷽﷽﷽﷽erosCn"/>
    <w:panose1 w:val="00000506000000000000"/>
    <w:charset w:val="4D"/>
    <w:family w:val="auto"/>
    <w:notTrueType/>
    <w:pitch w:val="variable"/>
    <w:sig w:usb0="20000087" w:usb1="00000000" w:usb2="00000000" w:usb3="00000000" w:csb0="00000193"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E755" w14:textId="6BCFB909" w:rsidR="005F0534" w:rsidRDefault="005F0534" w:rsidP="0041799C">
    <w:pPr>
      <w:pBdr>
        <w:top w:val="single" w:sz="4" w:space="1" w:color="auto"/>
      </w:pBdr>
      <w:tabs>
        <w:tab w:val="center" w:pos="4536"/>
      </w:tabs>
    </w:pPr>
    <w:r>
      <w:tab/>
    </w:r>
    <w:r>
      <w:rPr>
        <w:color w:val="2B579A"/>
        <w:shd w:val="clear" w:color="auto" w:fill="E6E6E6"/>
      </w:rPr>
      <w:fldChar w:fldCharType="begin"/>
    </w:r>
    <w:r>
      <w:instrText xml:space="preserve"> PAGE </w:instrText>
    </w:r>
    <w:r>
      <w:rPr>
        <w:color w:val="2B579A"/>
        <w:shd w:val="clear" w:color="auto" w:fill="E6E6E6"/>
      </w:rPr>
      <w:fldChar w:fldCharType="separate"/>
    </w:r>
    <w:r>
      <w:t>28</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B2A3" w14:textId="77777777" w:rsidR="001340B4" w:rsidRDefault="001340B4" w:rsidP="009F1F38">
      <w:pPr>
        <w:pStyle w:val="FootnoteText"/>
      </w:pPr>
      <w:r>
        <w:separator/>
      </w:r>
    </w:p>
  </w:footnote>
  <w:footnote w:type="continuationSeparator" w:id="0">
    <w:p w14:paraId="63C1CA95" w14:textId="77777777" w:rsidR="001340B4" w:rsidRDefault="001340B4" w:rsidP="00461685">
      <w:pPr>
        <w:pStyle w:val="FootnoteText"/>
      </w:pPr>
      <w:r>
        <w:continuationSeparator/>
      </w:r>
    </w:p>
  </w:footnote>
  <w:footnote w:type="continuationNotice" w:id="1">
    <w:p w14:paraId="4C1EC130" w14:textId="77777777" w:rsidR="001340B4" w:rsidRDefault="001340B4" w:rsidP="00461685">
      <w:pPr>
        <w:pStyle w:val="FootnoteText"/>
      </w:pPr>
    </w:p>
  </w:footnote>
  <w:footnote w:id="2">
    <w:p w14:paraId="7DA0555C" w14:textId="03C0A504" w:rsidR="005F0534" w:rsidRPr="009C0B42" w:rsidRDefault="005F0534" w:rsidP="0041799C">
      <w:pPr>
        <w:pStyle w:val="paragraph"/>
        <w:ind w:firstLine="0"/>
      </w:pPr>
      <w:r>
        <w:rPr>
          <w:rStyle w:val="FootnoteReference"/>
        </w:rPr>
        <w:footnoteRef/>
      </w:r>
      <w:r w:rsidRPr="009C0B42">
        <w:t xml:space="preserve"> </w:t>
      </w:r>
      <w:r w:rsidRPr="009C0B42">
        <w:rPr>
          <w:rStyle w:val="FootnoteTextChar"/>
        </w:rPr>
        <w:t>To illustrate further, if we take two hypothetical individuals X and Y who are in perfectly inconsistent disagreement (e.g. plotting at</w:t>
      </w:r>
      <w:r w:rsidRPr="009C0B42" w:rsidDel="00E25430">
        <w:rPr>
          <w:rStyle w:val="FootnoteTextChar"/>
        </w:rPr>
        <w:t xml:space="preserve"> </w:t>
      </w:r>
      <w:r w:rsidRPr="009C0B42">
        <w:rPr>
          <w:rStyle w:val="FootnoteTextChar"/>
        </w:rPr>
        <w:t>1,0 in</w:t>
      </w:r>
      <w:r w:rsidRPr="009C0B42">
        <w:rPr>
          <w:rStyle w:val="FootnoteTextChar"/>
        </w:rPr>
        <w:t xml:space="preserve"> Figure</w:t>
      </w:r>
      <w:r w:rsidR="00FF234F">
        <w:rPr>
          <w:rStyle w:val="FootnoteTextChar"/>
        </w:rPr>
        <w:t xml:space="preserve"> </w:t>
      </w:r>
      <w:r w:rsidR="00FF234F">
        <w:rPr>
          <w:rStyle w:val="FootnoteTextChar"/>
        </w:rPr>
        <w:t>C</w:t>
      </w:r>
      <w:r w:rsidR="00FF234F">
        <w:rPr>
          <w:rStyle w:val="FootnoteTextChar"/>
        </w:rPr>
        <w:t>.1.1</w:t>
      </w:r>
      <w:r w:rsidRPr="009C0B42">
        <w:rPr>
          <w:rStyle w:val="FootnoteTextChar"/>
        </w:rPr>
        <w:t xml:space="preserve">), such that </w:t>
      </w:r>
      <w:proofErr w:type="spellStart"/>
      <w:r w:rsidRPr="0E345509">
        <w:rPr>
          <w:rStyle w:val="FootnoteTextChar"/>
          <w:i/>
          <w:iCs/>
        </w:rPr>
        <w:t>d</w:t>
      </w:r>
      <w:r w:rsidRPr="0E345509">
        <w:rPr>
          <w:rStyle w:val="FootnoteTextChar"/>
          <w:i/>
          <w:iCs/>
          <w:vertAlign w:val="subscript"/>
        </w:rPr>
        <w:t>x,y</w:t>
      </w:r>
      <w:proofErr w:type="spellEnd"/>
      <w:r w:rsidRPr="00AF1613">
        <w:rPr>
          <w:rStyle w:val="FootnoteTextChar"/>
          <w:vertAlign w:val="subscript"/>
        </w:rPr>
        <w:t xml:space="preserve"> </w:t>
      </w:r>
      <w:r w:rsidRPr="009C0B42">
        <w:rPr>
          <w:rStyle w:val="FootnoteTextChar"/>
        </w:rPr>
        <w:t>= 0.71, and we then add an additional individual (Z) who is in perfectly inconsistent</w:t>
      </w:r>
      <w:r w:rsidRPr="009C0B42" w:rsidDel="00E25430">
        <w:rPr>
          <w:rStyle w:val="FootnoteTextChar"/>
        </w:rPr>
        <w:t xml:space="preserve"> </w:t>
      </w:r>
      <w:r w:rsidRPr="009C0B42">
        <w:rPr>
          <w:rStyle w:val="FootnoteTextChar"/>
        </w:rPr>
        <w:t>disagreement with X (</w:t>
      </w:r>
      <w:proofErr w:type="spellStart"/>
      <w:r w:rsidRPr="0E345509">
        <w:rPr>
          <w:rStyle w:val="FootnoteTextChar"/>
          <w:i/>
          <w:iCs/>
        </w:rPr>
        <w:t>d</w:t>
      </w:r>
      <w:r w:rsidRPr="0E345509">
        <w:rPr>
          <w:rStyle w:val="FootnoteTextChar"/>
          <w:i/>
          <w:iCs/>
          <w:vertAlign w:val="subscript"/>
        </w:rPr>
        <w:t>x,z</w:t>
      </w:r>
      <w:proofErr w:type="spellEnd"/>
      <w:r w:rsidRPr="00FF41DE">
        <w:rPr>
          <w:rStyle w:val="FootnoteTextChar"/>
          <w:vertAlign w:val="subscript"/>
        </w:rPr>
        <w:t xml:space="preserve"> </w:t>
      </w:r>
      <w:r w:rsidRPr="009C0B42">
        <w:rPr>
          <w:rStyle w:val="FootnoteTextChar"/>
        </w:rPr>
        <w:t>= 0.7), they would, by definition, be in perfectly consistent disagreement with Y (</w:t>
      </w:r>
      <w:proofErr w:type="spellStart"/>
      <w:r w:rsidRPr="0E345509">
        <w:rPr>
          <w:rStyle w:val="FootnoteTextChar"/>
          <w:i/>
          <w:iCs/>
        </w:rPr>
        <w:t>d</w:t>
      </w:r>
      <w:r w:rsidRPr="0E345509">
        <w:rPr>
          <w:rStyle w:val="FootnoteTextChar"/>
          <w:i/>
          <w:iCs/>
          <w:vertAlign w:val="subscript"/>
        </w:rPr>
        <w:t>y,z</w:t>
      </w:r>
      <w:proofErr w:type="spellEnd"/>
      <w:r w:rsidRPr="00FF41DE">
        <w:rPr>
          <w:rStyle w:val="FootnoteTextChar"/>
          <w:vertAlign w:val="subscript"/>
        </w:rPr>
        <w:t xml:space="preserve"> </w:t>
      </w:r>
      <w:r w:rsidRPr="009C0B42">
        <w:rPr>
          <w:rStyle w:val="FootnoteTextChar"/>
        </w:rPr>
        <w:t>= 0), such that the maximum average distance (</w:t>
      </w:r>
      <w:r w:rsidRPr="00A93012">
        <w:rPr>
          <w:rStyle w:val="FootnoteTextChar"/>
        </w:rPr>
        <w:t>λ</w:t>
      </w:r>
      <w:r w:rsidRPr="009C0B42">
        <w:rPr>
          <w:rStyle w:val="FootnoteTextChar"/>
        </w:rPr>
        <w:t xml:space="preserve">) declines from 0.71 to 0.47, and so on until </w:t>
      </w:r>
      <w:r w:rsidRPr="00A93012">
        <w:rPr>
          <w:rStyle w:val="FootnoteTextChar"/>
        </w:rPr>
        <w:t>λ</w:t>
      </w:r>
      <w:r w:rsidRPr="009C0B42">
        <w:rPr>
          <w:rStyle w:val="FootnoteTextChar"/>
        </w:rPr>
        <w:t>→</w:t>
      </w:r>
      <m:oMath>
        <m:f>
          <m:fPr>
            <m:type m:val="lin"/>
            <m:ctrlPr>
              <w:rPr>
                <w:rStyle w:val="FootnoteTextChar"/>
                <w:rFonts w:ascii="Cambria Math" w:hAnsi="Cambria Math"/>
                <w:i/>
              </w:rPr>
            </m:ctrlPr>
          </m:fPr>
          <m:num>
            <m:rad>
              <m:radPr>
                <m:degHide m:val="1"/>
                <m:ctrlPr>
                  <w:rPr>
                    <w:rStyle w:val="FootnoteTextChar"/>
                    <w:rFonts w:ascii="Cambria Math" w:hAnsi="Cambria Math"/>
                    <w:i/>
                  </w:rPr>
                </m:ctrlPr>
              </m:radPr>
              <m:deg/>
              <m:e>
                <m:r>
                  <w:rPr>
                    <w:rStyle w:val="FootnoteTextChar"/>
                    <w:rFonts w:ascii="Cambria Math" w:hAnsi="Cambria Math"/>
                  </w:rPr>
                  <m:t>2</m:t>
                </m:r>
              </m:e>
            </m:rad>
          </m:num>
          <m:den>
            <m:r>
              <w:rPr>
                <w:rStyle w:val="FootnoteTextChar"/>
                <w:rFonts w:ascii="Cambria Math" w:hAnsi="Cambria Math"/>
              </w:rPr>
              <m:t>2</m:t>
            </m:r>
          </m:den>
        </m:f>
      </m:oMath>
      <w:r w:rsidRPr="009C0B42">
        <w:rPr>
          <w:rStyle w:val="FootnoteTextChar"/>
        </w:rPr>
        <w:t>.</w:t>
      </w:r>
    </w:p>
  </w:footnote>
  <w:footnote w:id="3">
    <w:p w14:paraId="17D8585B" w14:textId="1DE4FF90" w:rsidR="005F0534" w:rsidRPr="002C6562" w:rsidRDefault="005F0534" w:rsidP="00571A08">
      <w:pPr>
        <w:pStyle w:val="FootnoteText"/>
      </w:pPr>
      <w:r w:rsidRPr="000B0588">
        <w:rPr>
          <w:rStyle w:val="FootnoteReference"/>
        </w:rPr>
        <w:footnoteRef/>
      </w:r>
      <w:r w:rsidRPr="002C6562">
        <w:rPr>
          <w:rStyle w:val="FootnoteReference"/>
        </w:rPr>
        <w:t xml:space="preserve"> </w:t>
      </w:r>
      <w:r w:rsidRPr="002C6562">
        <w:t xml:space="preserve">Alternatively, it </w:t>
      </w:r>
      <w:r w:rsidR="006A5EA5">
        <w:t>would be</w:t>
      </w:r>
      <w:r w:rsidRPr="002C6562">
        <w:t xml:space="preserve"> possible to employ imputation techniques, for mean imputation, regression imputation or stochastic regression imputation. We decided not to adopt imputation to avoid uncertainty associated with too small a standard error.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A1AD" w14:textId="27180FEE" w:rsidR="006F3803" w:rsidRPr="00F67235" w:rsidRDefault="006F3803" w:rsidP="00F67235">
    <w:pPr>
      <w:pStyle w:val="Header"/>
      <w:pBdr>
        <w:bottom w:val="single" w:sz="4" w:space="1" w:color="auto"/>
      </w:pBdr>
      <w:rPr>
        <w:i/>
        <w:iCs/>
        <w:lang w:val="en-AU"/>
      </w:rPr>
    </w:pPr>
    <w:r w:rsidRPr="00F67235">
      <w:rPr>
        <w:i/>
        <w:iCs/>
        <w:lang w:val="en-AU"/>
      </w:rPr>
      <w:t>Online Appendix</w:t>
    </w:r>
    <w:r w:rsidR="00E3720A" w:rsidRPr="00F67235">
      <w:rPr>
        <w:i/>
        <w:iCs/>
        <w:lang w:val="en-AU"/>
      </w:rPr>
      <w:tab/>
    </w:r>
    <w:r w:rsidR="00E3720A" w:rsidRPr="00F67235">
      <w:rPr>
        <w:i/>
        <w:iCs/>
        <w:lang w:val="en-AU"/>
      </w:rPr>
      <w:tab/>
      <w:t>How Deliberation Happens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346888"/>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E4CCF6E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557059C"/>
    <w:multiLevelType w:val="multilevel"/>
    <w:tmpl w:val="2682B026"/>
    <w:lvl w:ilvl="0">
      <w:start w:val="1"/>
      <w:numFmt w:val="upperLetter"/>
      <w:lvlText w:val="%1"/>
      <w:lvlJc w:val="left"/>
      <w:pPr>
        <w:tabs>
          <w:tab w:val="num" w:pos="57"/>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1080" w:hanging="360"/>
      </w:pPr>
      <w:rPr>
        <w:rFonts w:ascii="Symbol" w:hAnsi="Symbol" w:hint="default"/>
      </w:rPr>
    </w:lvl>
    <w:lvl w:ilvl="5">
      <w:start w:val="1"/>
      <w:numFmt w:val="bullet"/>
      <w:lvlText w:val=""/>
      <w:lvlJc w:val="left"/>
      <w:pPr>
        <w:ind w:left="1440" w:hanging="360"/>
      </w:pPr>
      <w:rPr>
        <w:rFonts w:ascii="Wingdings" w:hAnsi="Wingdings" w:hint="default"/>
      </w:rPr>
    </w:lvl>
    <w:lvl w:ilvl="6">
      <w:start w:val="1"/>
      <w:numFmt w:val="bullet"/>
      <w:lvlText w:val=""/>
      <w:lvlJc w:val="left"/>
      <w:pPr>
        <w:ind w:left="1800" w:hanging="360"/>
      </w:pPr>
      <w:rPr>
        <w:rFonts w:ascii="Wingdings" w:hAnsi="Wingdings" w:hint="default"/>
      </w:rPr>
    </w:lvl>
    <w:lvl w:ilvl="7">
      <w:start w:val="1"/>
      <w:numFmt w:val="bullet"/>
      <w:lvlText w:val=""/>
      <w:lvlJc w:val="left"/>
      <w:pPr>
        <w:ind w:left="2160" w:hanging="360"/>
      </w:pPr>
      <w:rPr>
        <w:rFonts w:ascii="Symbol" w:hAnsi="Symbol" w:hint="default"/>
      </w:rPr>
    </w:lvl>
    <w:lvl w:ilvl="8">
      <w:start w:val="1"/>
      <w:numFmt w:val="bullet"/>
      <w:lvlText w:val=""/>
      <w:lvlJc w:val="left"/>
      <w:pPr>
        <w:ind w:left="2520" w:hanging="360"/>
      </w:pPr>
      <w:rPr>
        <w:rFonts w:ascii="Symbol" w:hAnsi="Symbol" w:hint="default"/>
      </w:rPr>
    </w:lvl>
  </w:abstractNum>
  <w:abstractNum w:abstractNumId="3" w15:restartNumberingAfterBreak="0">
    <w:nsid w:val="05F24DFE"/>
    <w:multiLevelType w:val="hybridMultilevel"/>
    <w:tmpl w:val="39D65494"/>
    <w:lvl w:ilvl="0" w:tplc="D8CEFE4C">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92469"/>
    <w:multiLevelType w:val="hybridMultilevel"/>
    <w:tmpl w:val="F84E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01F91"/>
    <w:multiLevelType w:val="multilevel"/>
    <w:tmpl w:val="519C5FCC"/>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0DE77DF3"/>
    <w:multiLevelType w:val="hybridMultilevel"/>
    <w:tmpl w:val="67FC8928"/>
    <w:lvl w:ilvl="0" w:tplc="D8CEFE4C">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33084"/>
    <w:multiLevelType w:val="hybridMultilevel"/>
    <w:tmpl w:val="93349514"/>
    <w:lvl w:ilvl="0" w:tplc="9CBE9950">
      <w:start w:val="1"/>
      <w:numFmt w:val="decimal"/>
      <w:pStyle w:val="TableText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D3EB3"/>
    <w:multiLevelType w:val="multilevel"/>
    <w:tmpl w:val="47E2FF86"/>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BDA2586"/>
    <w:multiLevelType w:val="hybridMultilevel"/>
    <w:tmpl w:val="6B285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510DD"/>
    <w:multiLevelType w:val="hybridMultilevel"/>
    <w:tmpl w:val="AE1C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3698C"/>
    <w:multiLevelType w:val="multilevel"/>
    <w:tmpl w:val="2B6634DA"/>
    <w:lvl w:ilvl="0">
      <w:start w:val="1"/>
      <w:numFmt w:val="upperLetter"/>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1E620AD"/>
    <w:multiLevelType w:val="multilevel"/>
    <w:tmpl w:val="33A6E272"/>
    <w:lvl w:ilvl="0">
      <w:start w:val="1"/>
      <w:numFmt w:val="upperLetter"/>
      <w:lvlText w:val="%1."/>
      <w:lvlJc w:val="left"/>
      <w:pPr>
        <w:ind w:left="851" w:hanging="851"/>
      </w:pPr>
      <w:rPr>
        <w:rFonts w:hint="default"/>
      </w:rPr>
    </w:lvl>
    <w:lvl w:ilvl="1">
      <w:start w:val="1"/>
      <w:numFmt w:val="decimal"/>
      <w:lvlText w:val="%1.%2."/>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5B57CF"/>
    <w:multiLevelType w:val="multilevel"/>
    <w:tmpl w:val="9B7C608C"/>
    <w:lvl w:ilvl="0">
      <w:start w:val="1"/>
      <w:numFmt w:val="upperLetter"/>
      <w:pStyle w:val="Heading1Review"/>
      <w:lvlText w:val="%1"/>
      <w:lvlJc w:val="left"/>
      <w:pPr>
        <w:ind w:left="432" w:hanging="432"/>
      </w:pPr>
      <w:rPr>
        <w:rFonts w:hint="default"/>
      </w:rPr>
    </w:lvl>
    <w:lvl w:ilvl="1">
      <w:start w:val="1"/>
      <w:numFmt w:val="decimal"/>
      <w:pStyle w:val="RHEAD2"/>
      <w:lvlText w:val="%1.%2"/>
      <w:lvlJc w:val="left"/>
      <w:pPr>
        <w:ind w:left="57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62D4CBF"/>
    <w:multiLevelType w:val="hybridMultilevel"/>
    <w:tmpl w:val="ECD684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891607"/>
    <w:multiLevelType w:val="hybridMultilevel"/>
    <w:tmpl w:val="8EE67264"/>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D71F57"/>
    <w:multiLevelType w:val="multilevel"/>
    <w:tmpl w:val="C1C66522"/>
    <w:lvl w:ilvl="0">
      <w:start w:val="1"/>
      <w:numFmt w:val="upperLetter"/>
      <w:pStyle w:val="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8981CCA"/>
    <w:multiLevelType w:val="hybridMultilevel"/>
    <w:tmpl w:val="64766824"/>
    <w:lvl w:ilvl="0" w:tplc="D8CEFE4C">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E514D"/>
    <w:multiLevelType w:val="hybridMultilevel"/>
    <w:tmpl w:val="73EC9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B319A3"/>
    <w:multiLevelType w:val="hybridMultilevel"/>
    <w:tmpl w:val="59BCEB38"/>
    <w:lvl w:ilvl="0" w:tplc="CD6AE56E">
      <w:start w:val="1"/>
      <w:numFmt w:val="bullet"/>
      <w:pStyle w:val="Revision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4DBD"/>
    <w:multiLevelType w:val="multilevel"/>
    <w:tmpl w:val="CBCCEF98"/>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E05366D"/>
    <w:multiLevelType w:val="multilevel"/>
    <w:tmpl w:val="4CDA9540"/>
    <w:lvl w:ilvl="0">
      <w:start w:val="1"/>
      <w:numFmt w:val="upperLetter"/>
      <w:pStyle w:val="AppendixHeading1"/>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46D076B"/>
    <w:multiLevelType w:val="hybridMultilevel"/>
    <w:tmpl w:val="2F42627C"/>
    <w:lvl w:ilvl="0" w:tplc="B582B774">
      <w:start w:val="1"/>
      <w:numFmt w:val="bullet"/>
      <w:pStyle w:val="ListParagraph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054EF"/>
    <w:multiLevelType w:val="multilevel"/>
    <w:tmpl w:val="17068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55000F"/>
    <w:multiLevelType w:val="hybridMultilevel"/>
    <w:tmpl w:val="53BCBF2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3A9E6ED2"/>
    <w:multiLevelType w:val="multilevel"/>
    <w:tmpl w:val="B03EB148"/>
    <w:lvl w:ilvl="0">
      <w:start w:val="1"/>
      <w:numFmt w:val="upperLetter"/>
      <w:lvlText w:val="Online 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3DEA729A"/>
    <w:multiLevelType w:val="multilevel"/>
    <w:tmpl w:val="F9B889A4"/>
    <w:lvl w:ilvl="0">
      <w:start w:val="1"/>
      <w:numFmt w:val="upperLetter"/>
      <w:pStyle w:val="OnlineAppendixH1"/>
      <w:lvlText w:val="%1."/>
      <w:lvlJc w:val="left"/>
      <w:pPr>
        <w:ind w:left="0" w:firstLine="0"/>
      </w:pPr>
      <w:rPr>
        <w:rFonts w:hint="default"/>
      </w:rPr>
    </w:lvl>
    <w:lvl w:ilvl="1">
      <w:start w:val="1"/>
      <w:numFmt w:val="decimal"/>
      <w:pStyle w:val="OnlineAppendixH2"/>
      <w:lvlText w:val="%1.%2"/>
      <w:lvlJc w:val="left"/>
      <w:pPr>
        <w:ind w:left="113" w:hanging="113"/>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3E1C0039"/>
    <w:multiLevelType w:val="multilevel"/>
    <w:tmpl w:val="47E2FF86"/>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409A0FA6"/>
    <w:multiLevelType w:val="multilevel"/>
    <w:tmpl w:val="064E41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310E62"/>
    <w:multiLevelType w:val="multilevel"/>
    <w:tmpl w:val="8CDA2F44"/>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44647EC9"/>
    <w:multiLevelType w:val="hybridMultilevel"/>
    <w:tmpl w:val="6034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7C7512"/>
    <w:multiLevelType w:val="multilevel"/>
    <w:tmpl w:val="0436D61C"/>
    <w:lvl w:ilvl="0">
      <w:start w:val="1"/>
      <w:numFmt w:val="upperLetter"/>
      <w:lvlText w:val="%1."/>
      <w:lvlJc w:val="left"/>
      <w:pPr>
        <w:ind w:left="-144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32" w15:restartNumberingAfterBreak="0">
    <w:nsid w:val="45923234"/>
    <w:multiLevelType w:val="multilevel"/>
    <w:tmpl w:val="560456F2"/>
    <w:styleLink w:val="CurrentList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70B39C7"/>
    <w:multiLevelType w:val="multilevel"/>
    <w:tmpl w:val="5E94B82E"/>
    <w:lvl w:ilvl="0">
      <w:start w:val="1"/>
      <w:numFmt w:val="upperLetter"/>
      <w:pStyle w:val="OnlineAppendixHeading1"/>
      <w:lvlText w:val="Online 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4C077A48"/>
    <w:multiLevelType w:val="hybridMultilevel"/>
    <w:tmpl w:val="E8FEF1CA"/>
    <w:lvl w:ilvl="0" w:tplc="4C62B8DE">
      <w:start w:val="1"/>
      <w:numFmt w:val="bullet"/>
      <w:pStyle w:val="RHEAD4Revision"/>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RHEAD4Revision"/>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4D7B78"/>
    <w:multiLevelType w:val="multilevel"/>
    <w:tmpl w:val="47E2FF86"/>
    <w:lvl w:ilvl="0">
      <w:start w:val="1"/>
      <w:numFmt w:val="upperLetter"/>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15:restartNumberingAfterBreak="0">
    <w:nsid w:val="4C7D0F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1323FA0"/>
    <w:multiLevelType w:val="hybridMultilevel"/>
    <w:tmpl w:val="61F6A528"/>
    <w:lvl w:ilvl="0" w:tplc="D8CEFE4C">
      <w:start w:val="1"/>
      <w:numFmt w:val="decimal"/>
      <w:lvlText w:val="%1."/>
      <w:lvlJc w:val="left"/>
      <w:pPr>
        <w:ind w:left="942" w:hanging="44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56A70A5A"/>
    <w:multiLevelType w:val="hybridMultilevel"/>
    <w:tmpl w:val="1082A284"/>
    <w:lvl w:ilvl="0" w:tplc="260273D2">
      <w:start w:val="1"/>
      <w:numFmt w:val="decimal"/>
      <w:pStyle w:val="Listparagraphnumbered"/>
      <w:lvlText w:val="%1."/>
      <w:lvlJc w:val="left"/>
      <w:pPr>
        <w:ind w:left="3762" w:hanging="360"/>
      </w:pPr>
      <w:rPr>
        <w:rFont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7BB62DC"/>
    <w:multiLevelType w:val="hybridMultilevel"/>
    <w:tmpl w:val="B9E0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706C2F"/>
    <w:multiLevelType w:val="multilevel"/>
    <w:tmpl w:val="5E94B82E"/>
    <w:lvl w:ilvl="0">
      <w:start w:val="1"/>
      <w:numFmt w:val="upperLetter"/>
      <w:lvlText w:val="Online 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5DAD7DC3"/>
    <w:multiLevelType w:val="multilevel"/>
    <w:tmpl w:val="EBAA8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B50225"/>
    <w:multiLevelType w:val="multilevel"/>
    <w:tmpl w:val="FCAE40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BD4B49"/>
    <w:multiLevelType w:val="multilevel"/>
    <w:tmpl w:val="71E24A9E"/>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5FB458AF"/>
    <w:multiLevelType w:val="hybridMultilevel"/>
    <w:tmpl w:val="15E66A46"/>
    <w:lvl w:ilvl="0" w:tplc="F842B9F6">
      <w:start w:val="1"/>
      <w:numFmt w:val="lowerLetter"/>
      <w:pStyle w:val="Listparagraphindent"/>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AE67DE"/>
    <w:multiLevelType w:val="multilevel"/>
    <w:tmpl w:val="1270CD9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0D37BD"/>
    <w:multiLevelType w:val="hybridMultilevel"/>
    <w:tmpl w:val="2C52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FB1201"/>
    <w:multiLevelType w:val="multilevel"/>
    <w:tmpl w:val="DE3E878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F1A792F"/>
    <w:multiLevelType w:val="hybridMultilevel"/>
    <w:tmpl w:val="97C2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A0625D"/>
    <w:multiLevelType w:val="hybridMultilevel"/>
    <w:tmpl w:val="B96E4C54"/>
    <w:lvl w:ilvl="0" w:tplc="C206D33E">
      <w:start w:val="1"/>
      <w:numFmt w:val="bullet"/>
      <w:pStyle w:val="tabletextlist"/>
      <w:lvlText w:val=""/>
      <w:lvlJc w:val="left"/>
      <w:pPr>
        <w:tabs>
          <w:tab w:val="num" w:pos="1080"/>
        </w:tabs>
        <w:ind w:left="108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eastAsia="Times New Roman"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eastAsia="Times New Roman"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E233F5"/>
    <w:multiLevelType w:val="hybridMultilevel"/>
    <w:tmpl w:val="D4D2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6351E6"/>
    <w:multiLevelType w:val="multilevel"/>
    <w:tmpl w:val="3EBE86B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7C2394"/>
    <w:multiLevelType w:val="hybridMultilevel"/>
    <w:tmpl w:val="B290F300"/>
    <w:lvl w:ilvl="0" w:tplc="C8A4E3B4">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C534238"/>
    <w:multiLevelType w:val="hybridMultilevel"/>
    <w:tmpl w:val="3AD6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9"/>
  </w:num>
  <w:num w:numId="4">
    <w:abstractNumId w:val="16"/>
  </w:num>
  <w:num w:numId="5">
    <w:abstractNumId w:val="21"/>
  </w:num>
  <w:num w:numId="6">
    <w:abstractNumId w:val="52"/>
  </w:num>
  <w:num w:numId="7">
    <w:abstractNumId w:val="38"/>
  </w:num>
  <w:num w:numId="8">
    <w:abstractNumId w:val="44"/>
  </w:num>
  <w:num w:numId="9">
    <w:abstractNumId w:val="49"/>
  </w:num>
  <w:num w:numId="10">
    <w:abstractNumId w:val="7"/>
  </w:num>
  <w:num w:numId="11">
    <w:abstractNumId w:val="52"/>
    <w:lvlOverride w:ilvl="0">
      <w:startOverride w:val="1"/>
    </w:lvlOverride>
  </w:num>
  <w:num w:numId="12">
    <w:abstractNumId w:val="52"/>
    <w:lvlOverride w:ilvl="0">
      <w:startOverride w:val="1"/>
    </w:lvlOverride>
  </w:num>
  <w:num w:numId="13">
    <w:abstractNumId w:val="43"/>
  </w:num>
  <w:num w:numId="14">
    <w:abstractNumId w:val="33"/>
  </w:num>
  <w:num w:numId="15">
    <w:abstractNumId w:val="19"/>
  </w:num>
  <w:num w:numId="16">
    <w:abstractNumId w:val="13"/>
  </w:num>
  <w:num w:numId="17">
    <w:abstractNumId w:val="34"/>
  </w:num>
  <w:num w:numId="18">
    <w:abstractNumId w:val="26"/>
  </w:num>
  <w:num w:numId="19">
    <w:abstractNumId w:val="52"/>
    <w:lvlOverride w:ilvl="0">
      <w:startOverride w:val="1"/>
    </w:lvlOverride>
  </w:num>
  <w:num w:numId="20">
    <w:abstractNumId w:val="20"/>
  </w:num>
  <w:num w:numId="21">
    <w:abstractNumId w:val="32"/>
  </w:num>
  <w:num w:numId="22">
    <w:abstractNumId w:val="1"/>
  </w:num>
  <w:num w:numId="23">
    <w:abstractNumId w:val="29"/>
  </w:num>
  <w:num w:numId="24">
    <w:abstractNumId w:val="23"/>
  </w:num>
  <w:num w:numId="25">
    <w:abstractNumId w:val="25"/>
  </w:num>
  <w:num w:numId="26">
    <w:abstractNumId w:val="40"/>
  </w:num>
  <w:num w:numId="27">
    <w:abstractNumId w:val="5"/>
  </w:num>
  <w:num w:numId="28">
    <w:abstractNumId w:val="31"/>
  </w:num>
  <w:num w:numId="29">
    <w:abstractNumId w:val="11"/>
  </w:num>
  <w:num w:numId="30">
    <w:abstractNumId w:val="35"/>
  </w:num>
  <w:num w:numId="31">
    <w:abstractNumId w:val="27"/>
  </w:num>
  <w:num w:numId="32">
    <w:abstractNumId w:val="8"/>
  </w:num>
  <w:num w:numId="33">
    <w:abstractNumId w:val="18"/>
  </w:num>
  <w:num w:numId="34">
    <w:abstractNumId w:val="46"/>
  </w:num>
  <w:num w:numId="35">
    <w:abstractNumId w:val="50"/>
  </w:num>
  <w:num w:numId="36">
    <w:abstractNumId w:val="30"/>
  </w:num>
  <w:num w:numId="37">
    <w:abstractNumId w:val="28"/>
  </w:num>
  <w:num w:numId="38">
    <w:abstractNumId w:val="41"/>
  </w:num>
  <w:num w:numId="39">
    <w:abstractNumId w:val="51"/>
  </w:num>
  <w:num w:numId="40">
    <w:abstractNumId w:val="45"/>
  </w:num>
  <w:num w:numId="41">
    <w:abstractNumId w:val="42"/>
  </w:num>
  <w:num w:numId="42">
    <w:abstractNumId w:val="48"/>
  </w:num>
  <w:num w:numId="43">
    <w:abstractNumId w:val="10"/>
  </w:num>
  <w:num w:numId="44">
    <w:abstractNumId w:val="53"/>
  </w:num>
  <w:num w:numId="45">
    <w:abstractNumId w:val="4"/>
  </w:num>
  <w:num w:numId="46">
    <w:abstractNumId w:val="3"/>
  </w:num>
  <w:num w:numId="47">
    <w:abstractNumId w:val="6"/>
  </w:num>
  <w:num w:numId="48">
    <w:abstractNumId w:val="17"/>
  </w:num>
  <w:num w:numId="49">
    <w:abstractNumId w:val="37"/>
  </w:num>
  <w:num w:numId="50">
    <w:abstractNumId w:val="15"/>
  </w:num>
  <w:num w:numId="51">
    <w:abstractNumId w:val="52"/>
    <w:lvlOverride w:ilvl="0">
      <w:startOverride w:val="1"/>
    </w:lvlOverride>
  </w:num>
  <w:num w:numId="52">
    <w:abstractNumId w:val="52"/>
    <w:lvlOverride w:ilvl="0">
      <w:startOverride w:val="1"/>
    </w:lvlOverride>
  </w:num>
  <w:num w:numId="53">
    <w:abstractNumId w:val="52"/>
    <w:lvlOverride w:ilvl="0">
      <w:startOverride w:val="1"/>
    </w:lvlOverride>
  </w:num>
  <w:num w:numId="54">
    <w:abstractNumId w:val="52"/>
    <w:lvlOverride w:ilvl="0">
      <w:startOverride w:val="1"/>
    </w:lvlOverride>
  </w:num>
  <w:num w:numId="55">
    <w:abstractNumId w:val="52"/>
    <w:lvlOverride w:ilvl="0">
      <w:startOverride w:val="1"/>
    </w:lvlOverride>
  </w:num>
  <w:num w:numId="56">
    <w:abstractNumId w:val="52"/>
    <w:lvlOverride w:ilvl="0">
      <w:startOverride w:val="1"/>
    </w:lvlOverride>
  </w:num>
  <w:num w:numId="57">
    <w:abstractNumId w:val="52"/>
    <w:lvlOverride w:ilvl="0">
      <w:startOverride w:val="1"/>
    </w:lvlOverride>
  </w:num>
  <w:num w:numId="58">
    <w:abstractNumId w:val="24"/>
  </w:num>
  <w:num w:numId="59">
    <w:abstractNumId w:val="14"/>
  </w:num>
  <w:num w:numId="60">
    <w:abstractNumId w:val="52"/>
    <w:lvlOverride w:ilvl="0">
      <w:startOverride w:val="1"/>
    </w:lvlOverride>
  </w:num>
  <w:num w:numId="61">
    <w:abstractNumId w:val="0"/>
  </w:num>
  <w:num w:numId="62">
    <w:abstractNumId w:val="52"/>
    <w:lvlOverride w:ilvl="0">
      <w:startOverride w:val="1"/>
    </w:lvlOverride>
  </w:num>
  <w:num w:numId="63">
    <w:abstractNumId w:val="52"/>
    <w:lvlOverride w:ilvl="0">
      <w:startOverride w:val="1"/>
    </w:lvlOverride>
  </w:num>
  <w:num w:numId="64">
    <w:abstractNumId w:val="52"/>
    <w:lvlOverride w:ilvl="0">
      <w:startOverride w:val="1"/>
    </w:lvlOverride>
  </w:num>
  <w:num w:numId="65">
    <w:abstractNumId w:val="52"/>
    <w:lvlOverride w:ilvl="0">
      <w:startOverride w:val="1"/>
    </w:lvlOverride>
  </w:num>
  <w:num w:numId="66">
    <w:abstractNumId w:val="52"/>
    <w:lvlOverride w:ilvl="0">
      <w:startOverride w:val="1"/>
    </w:lvlOverride>
  </w:num>
  <w:num w:numId="67">
    <w:abstractNumId w:val="12"/>
  </w:num>
  <w:num w:numId="68">
    <w:abstractNumId w:val="2"/>
  </w:num>
  <w:num w:numId="69">
    <w:abstractNumId w:val="47"/>
  </w:num>
  <w:num w:numId="70">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TQzMzA1sTAwsjRU0lEKTi0uzszPAykwrwUAr2T6PywAAAA="/>
    <w:docVar w:name="EN.InstantFormat" w:val="&lt;ENInstantFormat&gt;&lt;Enabled&gt;0&lt;/Enabled&gt;&lt;ScanUnformatted&gt;1&lt;/ScanUnformatted&gt;&lt;ScanChanges&gt;1&lt;/ScanChanges&gt;&lt;Suspended&gt;0&lt;/Suspended&gt;&lt;/ENInstantFormat&gt;"/>
    <w:docVar w:name="EN.Layout" w:val="&lt;ENLayout&gt;&lt;Style&gt;Chicago 17th Author-Date SJ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ddwetz5vszwnear29xr9tidterx9tfxsrr&quot;&gt;Simons EndNote LibraryX9&lt;record-ids&gt;&lt;item&gt;4633&lt;/item&gt;&lt;item&gt;4780&lt;/item&gt;&lt;/record-ids&gt;&lt;/item&gt;&lt;/Libraries&gt;"/>
  </w:docVars>
  <w:rsids>
    <w:rsidRoot w:val="000C3E29"/>
    <w:rsid w:val="0000058F"/>
    <w:rsid w:val="000014BF"/>
    <w:rsid w:val="0000179D"/>
    <w:rsid w:val="00001A37"/>
    <w:rsid w:val="00001DAD"/>
    <w:rsid w:val="00002499"/>
    <w:rsid w:val="00002B4E"/>
    <w:rsid w:val="00002F5B"/>
    <w:rsid w:val="00003A1A"/>
    <w:rsid w:val="00003CB8"/>
    <w:rsid w:val="000042E4"/>
    <w:rsid w:val="000046A8"/>
    <w:rsid w:val="000047FF"/>
    <w:rsid w:val="00005315"/>
    <w:rsid w:val="00005597"/>
    <w:rsid w:val="0000560A"/>
    <w:rsid w:val="00005896"/>
    <w:rsid w:val="00005C12"/>
    <w:rsid w:val="00005FA6"/>
    <w:rsid w:val="0000623A"/>
    <w:rsid w:val="00006690"/>
    <w:rsid w:val="000067DC"/>
    <w:rsid w:val="000069F8"/>
    <w:rsid w:val="0000709D"/>
    <w:rsid w:val="00007518"/>
    <w:rsid w:val="00007988"/>
    <w:rsid w:val="00007B55"/>
    <w:rsid w:val="00010626"/>
    <w:rsid w:val="00010781"/>
    <w:rsid w:val="00010D37"/>
    <w:rsid w:val="00011442"/>
    <w:rsid w:val="000115FE"/>
    <w:rsid w:val="00011957"/>
    <w:rsid w:val="00012786"/>
    <w:rsid w:val="00012B91"/>
    <w:rsid w:val="00012BA3"/>
    <w:rsid w:val="00013034"/>
    <w:rsid w:val="00013A34"/>
    <w:rsid w:val="000147E8"/>
    <w:rsid w:val="00014FBC"/>
    <w:rsid w:val="00015EB9"/>
    <w:rsid w:val="00016602"/>
    <w:rsid w:val="000169B4"/>
    <w:rsid w:val="00016BC7"/>
    <w:rsid w:val="00016EE0"/>
    <w:rsid w:val="00017320"/>
    <w:rsid w:val="00017771"/>
    <w:rsid w:val="000178E4"/>
    <w:rsid w:val="00017D26"/>
    <w:rsid w:val="00017DB2"/>
    <w:rsid w:val="0002009E"/>
    <w:rsid w:val="00020289"/>
    <w:rsid w:val="00020B3C"/>
    <w:rsid w:val="0002160F"/>
    <w:rsid w:val="000216D9"/>
    <w:rsid w:val="0002171F"/>
    <w:rsid w:val="000221C2"/>
    <w:rsid w:val="000222B2"/>
    <w:rsid w:val="0002255D"/>
    <w:rsid w:val="000225D4"/>
    <w:rsid w:val="00022C4B"/>
    <w:rsid w:val="00022EBC"/>
    <w:rsid w:val="000234B9"/>
    <w:rsid w:val="000237AB"/>
    <w:rsid w:val="000249DF"/>
    <w:rsid w:val="0002501B"/>
    <w:rsid w:val="000253C6"/>
    <w:rsid w:val="0002568D"/>
    <w:rsid w:val="00025C4B"/>
    <w:rsid w:val="00025FE4"/>
    <w:rsid w:val="0002629F"/>
    <w:rsid w:val="0002677A"/>
    <w:rsid w:val="00026BA5"/>
    <w:rsid w:val="00027843"/>
    <w:rsid w:val="00027897"/>
    <w:rsid w:val="000278D5"/>
    <w:rsid w:val="0002798F"/>
    <w:rsid w:val="0003021F"/>
    <w:rsid w:val="00030312"/>
    <w:rsid w:val="00030AFC"/>
    <w:rsid w:val="00030F2E"/>
    <w:rsid w:val="00031CA0"/>
    <w:rsid w:val="000328B3"/>
    <w:rsid w:val="00032914"/>
    <w:rsid w:val="00032B9B"/>
    <w:rsid w:val="000334DA"/>
    <w:rsid w:val="000335D7"/>
    <w:rsid w:val="0003413B"/>
    <w:rsid w:val="00034297"/>
    <w:rsid w:val="00034ACB"/>
    <w:rsid w:val="00034C37"/>
    <w:rsid w:val="00035CD8"/>
    <w:rsid w:val="00035ECE"/>
    <w:rsid w:val="000364C5"/>
    <w:rsid w:val="0003697F"/>
    <w:rsid w:val="000370C5"/>
    <w:rsid w:val="000372D0"/>
    <w:rsid w:val="00037313"/>
    <w:rsid w:val="000403AB"/>
    <w:rsid w:val="0004064E"/>
    <w:rsid w:val="00040650"/>
    <w:rsid w:val="00040BEB"/>
    <w:rsid w:val="00040E8E"/>
    <w:rsid w:val="00040ECC"/>
    <w:rsid w:val="00040F57"/>
    <w:rsid w:val="000419E9"/>
    <w:rsid w:val="00041D5F"/>
    <w:rsid w:val="00042455"/>
    <w:rsid w:val="00042530"/>
    <w:rsid w:val="00042739"/>
    <w:rsid w:val="00042B44"/>
    <w:rsid w:val="0004337F"/>
    <w:rsid w:val="000445CF"/>
    <w:rsid w:val="0004708B"/>
    <w:rsid w:val="00047126"/>
    <w:rsid w:val="000475A5"/>
    <w:rsid w:val="000475EA"/>
    <w:rsid w:val="00047804"/>
    <w:rsid w:val="0004784E"/>
    <w:rsid w:val="00047A3E"/>
    <w:rsid w:val="00047CF2"/>
    <w:rsid w:val="00047FD8"/>
    <w:rsid w:val="00050216"/>
    <w:rsid w:val="000503CD"/>
    <w:rsid w:val="000505D7"/>
    <w:rsid w:val="000509A4"/>
    <w:rsid w:val="00051387"/>
    <w:rsid w:val="000516A4"/>
    <w:rsid w:val="00051F01"/>
    <w:rsid w:val="000522F7"/>
    <w:rsid w:val="0005267E"/>
    <w:rsid w:val="0005366E"/>
    <w:rsid w:val="000539CB"/>
    <w:rsid w:val="000539D4"/>
    <w:rsid w:val="00053A7B"/>
    <w:rsid w:val="00053A8A"/>
    <w:rsid w:val="00053BFB"/>
    <w:rsid w:val="00054827"/>
    <w:rsid w:val="0005489A"/>
    <w:rsid w:val="00054A16"/>
    <w:rsid w:val="00054BD9"/>
    <w:rsid w:val="00055344"/>
    <w:rsid w:val="0005591B"/>
    <w:rsid w:val="00055DEB"/>
    <w:rsid w:val="0005666F"/>
    <w:rsid w:val="0005692C"/>
    <w:rsid w:val="00056DB2"/>
    <w:rsid w:val="00056F0D"/>
    <w:rsid w:val="00056F96"/>
    <w:rsid w:val="00057F7C"/>
    <w:rsid w:val="00060371"/>
    <w:rsid w:val="000607A9"/>
    <w:rsid w:val="00060E29"/>
    <w:rsid w:val="00061030"/>
    <w:rsid w:val="000614B1"/>
    <w:rsid w:val="00061BC3"/>
    <w:rsid w:val="0006201E"/>
    <w:rsid w:val="00062123"/>
    <w:rsid w:val="00062148"/>
    <w:rsid w:val="00062A92"/>
    <w:rsid w:val="00062CC9"/>
    <w:rsid w:val="00063144"/>
    <w:rsid w:val="000636FA"/>
    <w:rsid w:val="000647B9"/>
    <w:rsid w:val="00064801"/>
    <w:rsid w:val="00065CB3"/>
    <w:rsid w:val="00065E5A"/>
    <w:rsid w:val="000663D1"/>
    <w:rsid w:val="000663FE"/>
    <w:rsid w:val="00066BC4"/>
    <w:rsid w:val="00066DE3"/>
    <w:rsid w:val="0006709A"/>
    <w:rsid w:val="00067548"/>
    <w:rsid w:val="000676A2"/>
    <w:rsid w:val="00067F61"/>
    <w:rsid w:val="0006DC2A"/>
    <w:rsid w:val="00070130"/>
    <w:rsid w:val="000706EB"/>
    <w:rsid w:val="000707F2"/>
    <w:rsid w:val="0007117A"/>
    <w:rsid w:val="00071379"/>
    <w:rsid w:val="00071711"/>
    <w:rsid w:val="00071D8E"/>
    <w:rsid w:val="00071DD2"/>
    <w:rsid w:val="00071E0A"/>
    <w:rsid w:val="00071F63"/>
    <w:rsid w:val="000724D0"/>
    <w:rsid w:val="00072C07"/>
    <w:rsid w:val="00073BBA"/>
    <w:rsid w:val="000741F1"/>
    <w:rsid w:val="000744A7"/>
    <w:rsid w:val="000745D2"/>
    <w:rsid w:val="00074F1A"/>
    <w:rsid w:val="00075C81"/>
    <w:rsid w:val="00075D05"/>
    <w:rsid w:val="00076059"/>
    <w:rsid w:val="00076174"/>
    <w:rsid w:val="00076D9D"/>
    <w:rsid w:val="00077285"/>
    <w:rsid w:val="000772E4"/>
    <w:rsid w:val="0007765A"/>
    <w:rsid w:val="00077B30"/>
    <w:rsid w:val="00077D64"/>
    <w:rsid w:val="00080DC4"/>
    <w:rsid w:val="00081131"/>
    <w:rsid w:val="000813AE"/>
    <w:rsid w:val="00081A78"/>
    <w:rsid w:val="00081DDF"/>
    <w:rsid w:val="00081ED0"/>
    <w:rsid w:val="00083402"/>
    <w:rsid w:val="000835AE"/>
    <w:rsid w:val="0008377F"/>
    <w:rsid w:val="00083CAB"/>
    <w:rsid w:val="000842A6"/>
    <w:rsid w:val="000843B4"/>
    <w:rsid w:val="00084BA0"/>
    <w:rsid w:val="00085507"/>
    <w:rsid w:val="00085A66"/>
    <w:rsid w:val="00085A97"/>
    <w:rsid w:val="00085FF9"/>
    <w:rsid w:val="00086658"/>
    <w:rsid w:val="00086802"/>
    <w:rsid w:val="00086D26"/>
    <w:rsid w:val="00086E84"/>
    <w:rsid w:val="00087188"/>
    <w:rsid w:val="00087524"/>
    <w:rsid w:val="00087AF8"/>
    <w:rsid w:val="00087CF7"/>
    <w:rsid w:val="0009053E"/>
    <w:rsid w:val="00090694"/>
    <w:rsid w:val="00090A73"/>
    <w:rsid w:val="00090EB2"/>
    <w:rsid w:val="00091655"/>
    <w:rsid w:val="0009181F"/>
    <w:rsid w:val="00091D8A"/>
    <w:rsid w:val="000926A1"/>
    <w:rsid w:val="00092F3F"/>
    <w:rsid w:val="0009302D"/>
    <w:rsid w:val="00093FF4"/>
    <w:rsid w:val="000940D2"/>
    <w:rsid w:val="0009458E"/>
    <w:rsid w:val="00094F05"/>
    <w:rsid w:val="0009699D"/>
    <w:rsid w:val="000974B3"/>
    <w:rsid w:val="000974BC"/>
    <w:rsid w:val="00097D81"/>
    <w:rsid w:val="000A07E3"/>
    <w:rsid w:val="000A0AF4"/>
    <w:rsid w:val="000A0E20"/>
    <w:rsid w:val="000A108F"/>
    <w:rsid w:val="000A1565"/>
    <w:rsid w:val="000A1B9B"/>
    <w:rsid w:val="000A2716"/>
    <w:rsid w:val="000A2FF5"/>
    <w:rsid w:val="000A3D6F"/>
    <w:rsid w:val="000A436E"/>
    <w:rsid w:val="000A4572"/>
    <w:rsid w:val="000A4CF2"/>
    <w:rsid w:val="000A4F8B"/>
    <w:rsid w:val="000A6061"/>
    <w:rsid w:val="000A6D39"/>
    <w:rsid w:val="000A6FC8"/>
    <w:rsid w:val="000A71D3"/>
    <w:rsid w:val="000A7AA7"/>
    <w:rsid w:val="000A7E82"/>
    <w:rsid w:val="000A7EA8"/>
    <w:rsid w:val="000B016B"/>
    <w:rsid w:val="000B0262"/>
    <w:rsid w:val="000B16CB"/>
    <w:rsid w:val="000B1BDD"/>
    <w:rsid w:val="000B1C0E"/>
    <w:rsid w:val="000B2525"/>
    <w:rsid w:val="000B2C45"/>
    <w:rsid w:val="000B2E6F"/>
    <w:rsid w:val="000B312D"/>
    <w:rsid w:val="000B37AD"/>
    <w:rsid w:val="000B38C4"/>
    <w:rsid w:val="000B3DCC"/>
    <w:rsid w:val="000B5608"/>
    <w:rsid w:val="000B56E0"/>
    <w:rsid w:val="000B596E"/>
    <w:rsid w:val="000B652C"/>
    <w:rsid w:val="000B6DC1"/>
    <w:rsid w:val="000B712A"/>
    <w:rsid w:val="000B740F"/>
    <w:rsid w:val="000B75B5"/>
    <w:rsid w:val="000B766C"/>
    <w:rsid w:val="000B7A60"/>
    <w:rsid w:val="000B7A85"/>
    <w:rsid w:val="000B7DEB"/>
    <w:rsid w:val="000B7F24"/>
    <w:rsid w:val="000C022B"/>
    <w:rsid w:val="000C05A7"/>
    <w:rsid w:val="000C16F0"/>
    <w:rsid w:val="000C24CE"/>
    <w:rsid w:val="000C27F3"/>
    <w:rsid w:val="000C29CC"/>
    <w:rsid w:val="000C2B9D"/>
    <w:rsid w:val="000C2D54"/>
    <w:rsid w:val="000C34C0"/>
    <w:rsid w:val="000C3915"/>
    <w:rsid w:val="000C3A2D"/>
    <w:rsid w:val="000C3E07"/>
    <w:rsid w:val="000C3E29"/>
    <w:rsid w:val="000C4BD6"/>
    <w:rsid w:val="000C4E34"/>
    <w:rsid w:val="000C4EAC"/>
    <w:rsid w:val="000C532D"/>
    <w:rsid w:val="000C6CF6"/>
    <w:rsid w:val="000C7711"/>
    <w:rsid w:val="000D01A2"/>
    <w:rsid w:val="000D05A1"/>
    <w:rsid w:val="000D0A4A"/>
    <w:rsid w:val="000D10F5"/>
    <w:rsid w:val="000D1569"/>
    <w:rsid w:val="000D197B"/>
    <w:rsid w:val="000D26EA"/>
    <w:rsid w:val="000D2B71"/>
    <w:rsid w:val="000D2C79"/>
    <w:rsid w:val="000D3226"/>
    <w:rsid w:val="000D333B"/>
    <w:rsid w:val="000D33EE"/>
    <w:rsid w:val="000D33F1"/>
    <w:rsid w:val="000D3778"/>
    <w:rsid w:val="000D3A86"/>
    <w:rsid w:val="000D3D1A"/>
    <w:rsid w:val="000D3E17"/>
    <w:rsid w:val="000D3FCA"/>
    <w:rsid w:val="000D4BF0"/>
    <w:rsid w:val="000D4F4F"/>
    <w:rsid w:val="000D5D9D"/>
    <w:rsid w:val="000D7551"/>
    <w:rsid w:val="000D78B5"/>
    <w:rsid w:val="000D7B4B"/>
    <w:rsid w:val="000D7C70"/>
    <w:rsid w:val="000E06A9"/>
    <w:rsid w:val="000E1405"/>
    <w:rsid w:val="000E1F73"/>
    <w:rsid w:val="000E1FCE"/>
    <w:rsid w:val="000E21B4"/>
    <w:rsid w:val="000E22A3"/>
    <w:rsid w:val="000E28BC"/>
    <w:rsid w:val="000E39F7"/>
    <w:rsid w:val="000E3D42"/>
    <w:rsid w:val="000E461B"/>
    <w:rsid w:val="000E5AF2"/>
    <w:rsid w:val="000E6324"/>
    <w:rsid w:val="000E64F3"/>
    <w:rsid w:val="000E67AC"/>
    <w:rsid w:val="000E6D78"/>
    <w:rsid w:val="000E7464"/>
    <w:rsid w:val="000E7EB2"/>
    <w:rsid w:val="000F08F3"/>
    <w:rsid w:val="000F0FBF"/>
    <w:rsid w:val="000F1227"/>
    <w:rsid w:val="000F13BC"/>
    <w:rsid w:val="000F2323"/>
    <w:rsid w:val="000F234D"/>
    <w:rsid w:val="000F2A0A"/>
    <w:rsid w:val="000F2AED"/>
    <w:rsid w:val="000F2F57"/>
    <w:rsid w:val="000F2FFD"/>
    <w:rsid w:val="000F31CD"/>
    <w:rsid w:val="000F3B87"/>
    <w:rsid w:val="000F4EDD"/>
    <w:rsid w:val="000F531C"/>
    <w:rsid w:val="000F53D6"/>
    <w:rsid w:val="000F53E8"/>
    <w:rsid w:val="000F572F"/>
    <w:rsid w:val="000F575D"/>
    <w:rsid w:val="000F5787"/>
    <w:rsid w:val="000F6669"/>
    <w:rsid w:val="000F66FD"/>
    <w:rsid w:val="000F6E5C"/>
    <w:rsid w:val="000F6F58"/>
    <w:rsid w:val="000F75C5"/>
    <w:rsid w:val="000F7FED"/>
    <w:rsid w:val="00100477"/>
    <w:rsid w:val="00100E22"/>
    <w:rsid w:val="00100EB5"/>
    <w:rsid w:val="00100EE7"/>
    <w:rsid w:val="00101376"/>
    <w:rsid w:val="001018F2"/>
    <w:rsid w:val="00101CCC"/>
    <w:rsid w:val="0010249D"/>
    <w:rsid w:val="00102A1D"/>
    <w:rsid w:val="00102B09"/>
    <w:rsid w:val="00102EAD"/>
    <w:rsid w:val="00103541"/>
    <w:rsid w:val="0010354B"/>
    <w:rsid w:val="00103E24"/>
    <w:rsid w:val="00103FC5"/>
    <w:rsid w:val="001040DD"/>
    <w:rsid w:val="00104DAC"/>
    <w:rsid w:val="00105335"/>
    <w:rsid w:val="00105BF9"/>
    <w:rsid w:val="00105C6F"/>
    <w:rsid w:val="0010620D"/>
    <w:rsid w:val="00106BE4"/>
    <w:rsid w:val="00107629"/>
    <w:rsid w:val="00110018"/>
    <w:rsid w:val="0011019F"/>
    <w:rsid w:val="0011055E"/>
    <w:rsid w:val="00110880"/>
    <w:rsid w:val="00110AB6"/>
    <w:rsid w:val="00110F20"/>
    <w:rsid w:val="0011134C"/>
    <w:rsid w:val="00111B84"/>
    <w:rsid w:val="0011246C"/>
    <w:rsid w:val="001126D8"/>
    <w:rsid w:val="00113641"/>
    <w:rsid w:val="00113EE6"/>
    <w:rsid w:val="001142C7"/>
    <w:rsid w:val="001147DE"/>
    <w:rsid w:val="00114D07"/>
    <w:rsid w:val="00115013"/>
    <w:rsid w:val="00115188"/>
    <w:rsid w:val="001153B9"/>
    <w:rsid w:val="00115788"/>
    <w:rsid w:val="00115E62"/>
    <w:rsid w:val="00115F2F"/>
    <w:rsid w:val="00116022"/>
    <w:rsid w:val="001169F5"/>
    <w:rsid w:val="00117FC4"/>
    <w:rsid w:val="00120737"/>
    <w:rsid w:val="00120D6C"/>
    <w:rsid w:val="00120FFC"/>
    <w:rsid w:val="0012106F"/>
    <w:rsid w:val="00121CF0"/>
    <w:rsid w:val="00121D43"/>
    <w:rsid w:val="00121D9C"/>
    <w:rsid w:val="00121E3E"/>
    <w:rsid w:val="001225FC"/>
    <w:rsid w:val="00122C28"/>
    <w:rsid w:val="00122C3A"/>
    <w:rsid w:val="0012350A"/>
    <w:rsid w:val="00123639"/>
    <w:rsid w:val="00123B37"/>
    <w:rsid w:val="001240D7"/>
    <w:rsid w:val="00124189"/>
    <w:rsid w:val="00124377"/>
    <w:rsid w:val="0012448A"/>
    <w:rsid w:val="001245B1"/>
    <w:rsid w:val="001246D0"/>
    <w:rsid w:val="00124B6C"/>
    <w:rsid w:val="001251C7"/>
    <w:rsid w:val="00125A93"/>
    <w:rsid w:val="00125F08"/>
    <w:rsid w:val="001262C8"/>
    <w:rsid w:val="00126772"/>
    <w:rsid w:val="00127288"/>
    <w:rsid w:val="0012746E"/>
    <w:rsid w:val="00127E31"/>
    <w:rsid w:val="00127F16"/>
    <w:rsid w:val="001305A1"/>
    <w:rsid w:val="0013084C"/>
    <w:rsid w:val="001309DA"/>
    <w:rsid w:val="00130DB1"/>
    <w:rsid w:val="00130F0D"/>
    <w:rsid w:val="0013135A"/>
    <w:rsid w:val="00131DF1"/>
    <w:rsid w:val="001325E4"/>
    <w:rsid w:val="00132752"/>
    <w:rsid w:val="00132E97"/>
    <w:rsid w:val="0013371E"/>
    <w:rsid w:val="00133763"/>
    <w:rsid w:val="00133863"/>
    <w:rsid w:val="00133929"/>
    <w:rsid w:val="001340B4"/>
    <w:rsid w:val="0013426E"/>
    <w:rsid w:val="00134F00"/>
    <w:rsid w:val="0013532D"/>
    <w:rsid w:val="00135E01"/>
    <w:rsid w:val="001360A3"/>
    <w:rsid w:val="00136251"/>
    <w:rsid w:val="001362CD"/>
    <w:rsid w:val="00136702"/>
    <w:rsid w:val="0013686D"/>
    <w:rsid w:val="00136ADB"/>
    <w:rsid w:val="00136B2B"/>
    <w:rsid w:val="00136F98"/>
    <w:rsid w:val="00137816"/>
    <w:rsid w:val="001402CD"/>
    <w:rsid w:val="0014034C"/>
    <w:rsid w:val="0014091B"/>
    <w:rsid w:val="00140D34"/>
    <w:rsid w:val="0014199A"/>
    <w:rsid w:val="00141AF0"/>
    <w:rsid w:val="0014256D"/>
    <w:rsid w:val="00142668"/>
    <w:rsid w:val="00142A1D"/>
    <w:rsid w:val="00142C2B"/>
    <w:rsid w:val="00142C5A"/>
    <w:rsid w:val="00142DD7"/>
    <w:rsid w:val="001431E3"/>
    <w:rsid w:val="00143637"/>
    <w:rsid w:val="00143777"/>
    <w:rsid w:val="00143DDE"/>
    <w:rsid w:val="00144623"/>
    <w:rsid w:val="00144EAC"/>
    <w:rsid w:val="001456E3"/>
    <w:rsid w:val="00145760"/>
    <w:rsid w:val="001457B7"/>
    <w:rsid w:val="0014601A"/>
    <w:rsid w:val="0014639F"/>
    <w:rsid w:val="001466A4"/>
    <w:rsid w:val="00146C4A"/>
    <w:rsid w:val="0014725C"/>
    <w:rsid w:val="001477B7"/>
    <w:rsid w:val="00147911"/>
    <w:rsid w:val="00147BBD"/>
    <w:rsid w:val="00147ED5"/>
    <w:rsid w:val="00150033"/>
    <w:rsid w:val="00150537"/>
    <w:rsid w:val="00150B68"/>
    <w:rsid w:val="00152927"/>
    <w:rsid w:val="001532EF"/>
    <w:rsid w:val="00154156"/>
    <w:rsid w:val="00154231"/>
    <w:rsid w:val="00154C91"/>
    <w:rsid w:val="00154E4F"/>
    <w:rsid w:val="001565D7"/>
    <w:rsid w:val="00156707"/>
    <w:rsid w:val="001574F2"/>
    <w:rsid w:val="001609BB"/>
    <w:rsid w:val="001610CC"/>
    <w:rsid w:val="00161B3B"/>
    <w:rsid w:val="00161C2D"/>
    <w:rsid w:val="0016281C"/>
    <w:rsid w:val="001633C2"/>
    <w:rsid w:val="00163AA4"/>
    <w:rsid w:val="00163CB8"/>
    <w:rsid w:val="001641E1"/>
    <w:rsid w:val="0016421D"/>
    <w:rsid w:val="0016436E"/>
    <w:rsid w:val="001648D0"/>
    <w:rsid w:val="00164C75"/>
    <w:rsid w:val="00164EF5"/>
    <w:rsid w:val="001651A0"/>
    <w:rsid w:val="00165898"/>
    <w:rsid w:val="00165D26"/>
    <w:rsid w:val="00166CD3"/>
    <w:rsid w:val="00166D66"/>
    <w:rsid w:val="0016795F"/>
    <w:rsid w:val="00167991"/>
    <w:rsid w:val="0017070C"/>
    <w:rsid w:val="00170B68"/>
    <w:rsid w:val="001719D8"/>
    <w:rsid w:val="00171A2A"/>
    <w:rsid w:val="00172509"/>
    <w:rsid w:val="001725C0"/>
    <w:rsid w:val="00172B91"/>
    <w:rsid w:val="00172C91"/>
    <w:rsid w:val="00172D8E"/>
    <w:rsid w:val="00172ED1"/>
    <w:rsid w:val="0017370B"/>
    <w:rsid w:val="00173774"/>
    <w:rsid w:val="00173B89"/>
    <w:rsid w:val="00174147"/>
    <w:rsid w:val="001745C3"/>
    <w:rsid w:val="00174606"/>
    <w:rsid w:val="00174B09"/>
    <w:rsid w:val="00174CF5"/>
    <w:rsid w:val="00174ECB"/>
    <w:rsid w:val="00174F72"/>
    <w:rsid w:val="001757BE"/>
    <w:rsid w:val="00175B46"/>
    <w:rsid w:val="00175D69"/>
    <w:rsid w:val="00176F9E"/>
    <w:rsid w:val="0017703F"/>
    <w:rsid w:val="0017743B"/>
    <w:rsid w:val="00177994"/>
    <w:rsid w:val="001779B1"/>
    <w:rsid w:val="00177A0F"/>
    <w:rsid w:val="00177C93"/>
    <w:rsid w:val="001806A4"/>
    <w:rsid w:val="00180AFD"/>
    <w:rsid w:val="00180FFB"/>
    <w:rsid w:val="001815DE"/>
    <w:rsid w:val="001816CB"/>
    <w:rsid w:val="001817D4"/>
    <w:rsid w:val="00181AAB"/>
    <w:rsid w:val="00181C83"/>
    <w:rsid w:val="00181E67"/>
    <w:rsid w:val="001820DB"/>
    <w:rsid w:val="0018263D"/>
    <w:rsid w:val="00182EB5"/>
    <w:rsid w:val="00183100"/>
    <w:rsid w:val="001838CC"/>
    <w:rsid w:val="00183CAA"/>
    <w:rsid w:val="001842D0"/>
    <w:rsid w:val="00184E09"/>
    <w:rsid w:val="00184F52"/>
    <w:rsid w:val="001851E3"/>
    <w:rsid w:val="00185521"/>
    <w:rsid w:val="001858B5"/>
    <w:rsid w:val="00185CBC"/>
    <w:rsid w:val="00186423"/>
    <w:rsid w:val="0018642E"/>
    <w:rsid w:val="00186577"/>
    <w:rsid w:val="0018672E"/>
    <w:rsid w:val="001870CC"/>
    <w:rsid w:val="001878F1"/>
    <w:rsid w:val="0019051F"/>
    <w:rsid w:val="00191777"/>
    <w:rsid w:val="001918AC"/>
    <w:rsid w:val="0019197E"/>
    <w:rsid w:val="00191A3A"/>
    <w:rsid w:val="001925EB"/>
    <w:rsid w:val="00192670"/>
    <w:rsid w:val="001928C4"/>
    <w:rsid w:val="00192DF3"/>
    <w:rsid w:val="00193156"/>
    <w:rsid w:val="00193B69"/>
    <w:rsid w:val="00193E83"/>
    <w:rsid w:val="00194FEB"/>
    <w:rsid w:val="0019609E"/>
    <w:rsid w:val="00196838"/>
    <w:rsid w:val="00196A0F"/>
    <w:rsid w:val="00196A9B"/>
    <w:rsid w:val="001971B4"/>
    <w:rsid w:val="0019721A"/>
    <w:rsid w:val="001972A6"/>
    <w:rsid w:val="001976D4"/>
    <w:rsid w:val="00197D7C"/>
    <w:rsid w:val="001A03C3"/>
    <w:rsid w:val="001A0671"/>
    <w:rsid w:val="001A0C15"/>
    <w:rsid w:val="001A0CDF"/>
    <w:rsid w:val="001A1712"/>
    <w:rsid w:val="001A1813"/>
    <w:rsid w:val="001A1DD6"/>
    <w:rsid w:val="001A1EDB"/>
    <w:rsid w:val="001A2823"/>
    <w:rsid w:val="001A3514"/>
    <w:rsid w:val="001A3738"/>
    <w:rsid w:val="001A3CD1"/>
    <w:rsid w:val="001A4A2A"/>
    <w:rsid w:val="001A4D2F"/>
    <w:rsid w:val="001A4D82"/>
    <w:rsid w:val="001A5094"/>
    <w:rsid w:val="001A5DD0"/>
    <w:rsid w:val="001A64A5"/>
    <w:rsid w:val="001A6973"/>
    <w:rsid w:val="001A7451"/>
    <w:rsid w:val="001A755C"/>
    <w:rsid w:val="001A7D51"/>
    <w:rsid w:val="001B0156"/>
    <w:rsid w:val="001B02DA"/>
    <w:rsid w:val="001B0C65"/>
    <w:rsid w:val="001B10BD"/>
    <w:rsid w:val="001B1D3A"/>
    <w:rsid w:val="001B254F"/>
    <w:rsid w:val="001B26A1"/>
    <w:rsid w:val="001B2818"/>
    <w:rsid w:val="001B2B19"/>
    <w:rsid w:val="001B2B91"/>
    <w:rsid w:val="001B2B9F"/>
    <w:rsid w:val="001B2CD1"/>
    <w:rsid w:val="001B2D74"/>
    <w:rsid w:val="001B2DC6"/>
    <w:rsid w:val="001B2F64"/>
    <w:rsid w:val="001B38B8"/>
    <w:rsid w:val="001B3E70"/>
    <w:rsid w:val="001B3EB7"/>
    <w:rsid w:val="001B4161"/>
    <w:rsid w:val="001B420F"/>
    <w:rsid w:val="001B4435"/>
    <w:rsid w:val="001B55F0"/>
    <w:rsid w:val="001B5648"/>
    <w:rsid w:val="001B5E76"/>
    <w:rsid w:val="001B5ED4"/>
    <w:rsid w:val="001B6D27"/>
    <w:rsid w:val="001B7229"/>
    <w:rsid w:val="001B7AE8"/>
    <w:rsid w:val="001B7B1C"/>
    <w:rsid w:val="001C00E8"/>
    <w:rsid w:val="001C012A"/>
    <w:rsid w:val="001C091F"/>
    <w:rsid w:val="001C116A"/>
    <w:rsid w:val="001C16BC"/>
    <w:rsid w:val="001C1736"/>
    <w:rsid w:val="001C1BA7"/>
    <w:rsid w:val="001C2023"/>
    <w:rsid w:val="001C232D"/>
    <w:rsid w:val="001C241F"/>
    <w:rsid w:val="001C255E"/>
    <w:rsid w:val="001C2D42"/>
    <w:rsid w:val="001C3337"/>
    <w:rsid w:val="001C3482"/>
    <w:rsid w:val="001C36F4"/>
    <w:rsid w:val="001C3E8E"/>
    <w:rsid w:val="001C3F22"/>
    <w:rsid w:val="001C440E"/>
    <w:rsid w:val="001C4F71"/>
    <w:rsid w:val="001C4FC5"/>
    <w:rsid w:val="001C568B"/>
    <w:rsid w:val="001C5E8D"/>
    <w:rsid w:val="001C5E92"/>
    <w:rsid w:val="001C6607"/>
    <w:rsid w:val="001C70CB"/>
    <w:rsid w:val="001C716C"/>
    <w:rsid w:val="001C756E"/>
    <w:rsid w:val="001C78F4"/>
    <w:rsid w:val="001C7AE2"/>
    <w:rsid w:val="001D00A8"/>
    <w:rsid w:val="001D0344"/>
    <w:rsid w:val="001D0B2B"/>
    <w:rsid w:val="001D0E4D"/>
    <w:rsid w:val="001D15E8"/>
    <w:rsid w:val="001D176F"/>
    <w:rsid w:val="001D1DC1"/>
    <w:rsid w:val="001D2085"/>
    <w:rsid w:val="001D21E4"/>
    <w:rsid w:val="001D22E0"/>
    <w:rsid w:val="001D2914"/>
    <w:rsid w:val="001D2F27"/>
    <w:rsid w:val="001D3237"/>
    <w:rsid w:val="001D3960"/>
    <w:rsid w:val="001D3B32"/>
    <w:rsid w:val="001D3B87"/>
    <w:rsid w:val="001D3E55"/>
    <w:rsid w:val="001D3F48"/>
    <w:rsid w:val="001D4529"/>
    <w:rsid w:val="001D4553"/>
    <w:rsid w:val="001D484B"/>
    <w:rsid w:val="001D4BF6"/>
    <w:rsid w:val="001D5174"/>
    <w:rsid w:val="001D57BF"/>
    <w:rsid w:val="001D5A31"/>
    <w:rsid w:val="001D5AC5"/>
    <w:rsid w:val="001D60E7"/>
    <w:rsid w:val="001D62BA"/>
    <w:rsid w:val="001D6DD9"/>
    <w:rsid w:val="001D7498"/>
    <w:rsid w:val="001D75B9"/>
    <w:rsid w:val="001E0600"/>
    <w:rsid w:val="001E0886"/>
    <w:rsid w:val="001E0D9D"/>
    <w:rsid w:val="001E0EFF"/>
    <w:rsid w:val="001E10E9"/>
    <w:rsid w:val="001E120F"/>
    <w:rsid w:val="001E22E9"/>
    <w:rsid w:val="001E3A44"/>
    <w:rsid w:val="001E46FB"/>
    <w:rsid w:val="001E4A78"/>
    <w:rsid w:val="001E4B78"/>
    <w:rsid w:val="001E4DDC"/>
    <w:rsid w:val="001E4E0E"/>
    <w:rsid w:val="001E5CA1"/>
    <w:rsid w:val="001E6F8B"/>
    <w:rsid w:val="001E7069"/>
    <w:rsid w:val="001E756F"/>
    <w:rsid w:val="001E7A31"/>
    <w:rsid w:val="001F07C4"/>
    <w:rsid w:val="001F09F9"/>
    <w:rsid w:val="001F0CA7"/>
    <w:rsid w:val="001F1160"/>
    <w:rsid w:val="001F17D4"/>
    <w:rsid w:val="001F1A30"/>
    <w:rsid w:val="001F23F1"/>
    <w:rsid w:val="001F2516"/>
    <w:rsid w:val="001F26DE"/>
    <w:rsid w:val="001F2A97"/>
    <w:rsid w:val="001F2ADB"/>
    <w:rsid w:val="001F2F0E"/>
    <w:rsid w:val="001F32ED"/>
    <w:rsid w:val="001F3A50"/>
    <w:rsid w:val="001F3AA9"/>
    <w:rsid w:val="001F4027"/>
    <w:rsid w:val="001F41A2"/>
    <w:rsid w:val="001F4486"/>
    <w:rsid w:val="001F4BD2"/>
    <w:rsid w:val="001F51FC"/>
    <w:rsid w:val="001F5705"/>
    <w:rsid w:val="001F57CA"/>
    <w:rsid w:val="001F5833"/>
    <w:rsid w:val="001F6FB6"/>
    <w:rsid w:val="001F7075"/>
    <w:rsid w:val="001F7145"/>
    <w:rsid w:val="001F741A"/>
    <w:rsid w:val="001F78CE"/>
    <w:rsid w:val="001F7C13"/>
    <w:rsid w:val="002006C1"/>
    <w:rsid w:val="002008E2"/>
    <w:rsid w:val="00200F3B"/>
    <w:rsid w:val="00201513"/>
    <w:rsid w:val="00201E30"/>
    <w:rsid w:val="00202247"/>
    <w:rsid w:val="002025AE"/>
    <w:rsid w:val="00203816"/>
    <w:rsid w:val="002046E2"/>
    <w:rsid w:val="00205173"/>
    <w:rsid w:val="0020539D"/>
    <w:rsid w:val="002065F1"/>
    <w:rsid w:val="00206822"/>
    <w:rsid w:val="00206E90"/>
    <w:rsid w:val="00207637"/>
    <w:rsid w:val="00207FCF"/>
    <w:rsid w:val="00210560"/>
    <w:rsid w:val="002105E5"/>
    <w:rsid w:val="00210CA8"/>
    <w:rsid w:val="00210DED"/>
    <w:rsid w:val="00210F17"/>
    <w:rsid w:val="00210FEE"/>
    <w:rsid w:val="0021107E"/>
    <w:rsid w:val="00211447"/>
    <w:rsid w:val="00211586"/>
    <w:rsid w:val="002117E0"/>
    <w:rsid w:val="00211920"/>
    <w:rsid w:val="00211B2A"/>
    <w:rsid w:val="00211BBE"/>
    <w:rsid w:val="002120E4"/>
    <w:rsid w:val="002122D0"/>
    <w:rsid w:val="00212684"/>
    <w:rsid w:val="0021330A"/>
    <w:rsid w:val="00213869"/>
    <w:rsid w:val="002143E2"/>
    <w:rsid w:val="00214432"/>
    <w:rsid w:val="00215317"/>
    <w:rsid w:val="002153C3"/>
    <w:rsid w:val="002165C5"/>
    <w:rsid w:val="00216688"/>
    <w:rsid w:val="00216A60"/>
    <w:rsid w:val="00216E9A"/>
    <w:rsid w:val="00217348"/>
    <w:rsid w:val="00217DCC"/>
    <w:rsid w:val="00220713"/>
    <w:rsid w:val="00220E36"/>
    <w:rsid w:val="00220F0C"/>
    <w:rsid w:val="00220F7C"/>
    <w:rsid w:val="00221329"/>
    <w:rsid w:val="00221975"/>
    <w:rsid w:val="00221AA1"/>
    <w:rsid w:val="00221B21"/>
    <w:rsid w:val="00221E23"/>
    <w:rsid w:val="00221FA9"/>
    <w:rsid w:val="00222820"/>
    <w:rsid w:val="00222987"/>
    <w:rsid w:val="00223246"/>
    <w:rsid w:val="00223450"/>
    <w:rsid w:val="00223CC7"/>
    <w:rsid w:val="002242D8"/>
    <w:rsid w:val="00224903"/>
    <w:rsid w:val="00224992"/>
    <w:rsid w:val="00224DE2"/>
    <w:rsid w:val="00225658"/>
    <w:rsid w:val="0022579C"/>
    <w:rsid w:val="00225F10"/>
    <w:rsid w:val="00225FCD"/>
    <w:rsid w:val="002262DD"/>
    <w:rsid w:val="00227CEF"/>
    <w:rsid w:val="002306D1"/>
    <w:rsid w:val="00230AA4"/>
    <w:rsid w:val="00231384"/>
    <w:rsid w:val="002323E6"/>
    <w:rsid w:val="00232B81"/>
    <w:rsid w:val="00232B9F"/>
    <w:rsid w:val="00233432"/>
    <w:rsid w:val="00233D21"/>
    <w:rsid w:val="00233FE8"/>
    <w:rsid w:val="00234BB2"/>
    <w:rsid w:val="002351E5"/>
    <w:rsid w:val="00235723"/>
    <w:rsid w:val="00235821"/>
    <w:rsid w:val="00235AF3"/>
    <w:rsid w:val="00235B22"/>
    <w:rsid w:val="00235DFC"/>
    <w:rsid w:val="0023685C"/>
    <w:rsid w:val="00237E97"/>
    <w:rsid w:val="00240108"/>
    <w:rsid w:val="002404FA"/>
    <w:rsid w:val="00240981"/>
    <w:rsid w:val="002412E8"/>
    <w:rsid w:val="002419A5"/>
    <w:rsid w:val="00242046"/>
    <w:rsid w:val="00242A18"/>
    <w:rsid w:val="00242BE5"/>
    <w:rsid w:val="00242D89"/>
    <w:rsid w:val="00243050"/>
    <w:rsid w:val="00243694"/>
    <w:rsid w:val="00243BD8"/>
    <w:rsid w:val="00243FAF"/>
    <w:rsid w:val="0024443B"/>
    <w:rsid w:val="002449B7"/>
    <w:rsid w:val="002449FD"/>
    <w:rsid w:val="00244D56"/>
    <w:rsid w:val="00244E12"/>
    <w:rsid w:val="002458C0"/>
    <w:rsid w:val="00245A74"/>
    <w:rsid w:val="0024629F"/>
    <w:rsid w:val="0024756E"/>
    <w:rsid w:val="00247C12"/>
    <w:rsid w:val="00247CD2"/>
    <w:rsid w:val="00247DCA"/>
    <w:rsid w:val="00250262"/>
    <w:rsid w:val="002502A7"/>
    <w:rsid w:val="002506CE"/>
    <w:rsid w:val="002508F5"/>
    <w:rsid w:val="00250F62"/>
    <w:rsid w:val="00251153"/>
    <w:rsid w:val="0025132C"/>
    <w:rsid w:val="002523AC"/>
    <w:rsid w:val="0025259A"/>
    <w:rsid w:val="0025262C"/>
    <w:rsid w:val="002526A0"/>
    <w:rsid w:val="0025293D"/>
    <w:rsid w:val="00254E48"/>
    <w:rsid w:val="0025520C"/>
    <w:rsid w:val="00255562"/>
    <w:rsid w:val="00255687"/>
    <w:rsid w:val="0025586B"/>
    <w:rsid w:val="00255D2E"/>
    <w:rsid w:val="00256224"/>
    <w:rsid w:val="00256303"/>
    <w:rsid w:val="0025784A"/>
    <w:rsid w:val="00257BC4"/>
    <w:rsid w:val="00257E58"/>
    <w:rsid w:val="00260071"/>
    <w:rsid w:val="0026009F"/>
    <w:rsid w:val="002611AE"/>
    <w:rsid w:val="00261592"/>
    <w:rsid w:val="00261BE6"/>
    <w:rsid w:val="00261CF5"/>
    <w:rsid w:val="00262080"/>
    <w:rsid w:val="00262433"/>
    <w:rsid w:val="00262540"/>
    <w:rsid w:val="00262C1E"/>
    <w:rsid w:val="00262D90"/>
    <w:rsid w:val="00262E72"/>
    <w:rsid w:val="002633BE"/>
    <w:rsid w:val="002634F4"/>
    <w:rsid w:val="0026369A"/>
    <w:rsid w:val="00263E4D"/>
    <w:rsid w:val="002640C1"/>
    <w:rsid w:val="00265F5D"/>
    <w:rsid w:val="00266BCA"/>
    <w:rsid w:val="00266D52"/>
    <w:rsid w:val="00266FEB"/>
    <w:rsid w:val="002679FC"/>
    <w:rsid w:val="00267AE3"/>
    <w:rsid w:val="00267F87"/>
    <w:rsid w:val="00270673"/>
    <w:rsid w:val="0027077C"/>
    <w:rsid w:val="00270C97"/>
    <w:rsid w:val="002710BF"/>
    <w:rsid w:val="002711A6"/>
    <w:rsid w:val="00271854"/>
    <w:rsid w:val="00271AFC"/>
    <w:rsid w:val="00273282"/>
    <w:rsid w:val="002733B5"/>
    <w:rsid w:val="00273BAE"/>
    <w:rsid w:val="00273ECA"/>
    <w:rsid w:val="002742EE"/>
    <w:rsid w:val="002744FB"/>
    <w:rsid w:val="00274749"/>
    <w:rsid w:val="002758C1"/>
    <w:rsid w:val="00275BDD"/>
    <w:rsid w:val="00276054"/>
    <w:rsid w:val="0027640A"/>
    <w:rsid w:val="00276619"/>
    <w:rsid w:val="002768A9"/>
    <w:rsid w:val="00276C58"/>
    <w:rsid w:val="00276ECC"/>
    <w:rsid w:val="0027702D"/>
    <w:rsid w:val="002772C4"/>
    <w:rsid w:val="00277671"/>
    <w:rsid w:val="00280414"/>
    <w:rsid w:val="0028062E"/>
    <w:rsid w:val="00280E5E"/>
    <w:rsid w:val="0028139D"/>
    <w:rsid w:val="0028177B"/>
    <w:rsid w:val="0028209E"/>
    <w:rsid w:val="00282152"/>
    <w:rsid w:val="00282A31"/>
    <w:rsid w:val="00282B9E"/>
    <w:rsid w:val="002832DA"/>
    <w:rsid w:val="00283C1B"/>
    <w:rsid w:val="00283FC8"/>
    <w:rsid w:val="00284861"/>
    <w:rsid w:val="002851CC"/>
    <w:rsid w:val="00285ACD"/>
    <w:rsid w:val="00286341"/>
    <w:rsid w:val="00286F0A"/>
    <w:rsid w:val="00286F82"/>
    <w:rsid w:val="002872AA"/>
    <w:rsid w:val="00287B4F"/>
    <w:rsid w:val="00287B7D"/>
    <w:rsid w:val="002906F7"/>
    <w:rsid w:val="00290DF2"/>
    <w:rsid w:val="002911A2"/>
    <w:rsid w:val="00291291"/>
    <w:rsid w:val="00291314"/>
    <w:rsid w:val="002914EC"/>
    <w:rsid w:val="0029191A"/>
    <w:rsid w:val="00292108"/>
    <w:rsid w:val="002922E5"/>
    <w:rsid w:val="00293426"/>
    <w:rsid w:val="002938F9"/>
    <w:rsid w:val="00294E29"/>
    <w:rsid w:val="00294FB9"/>
    <w:rsid w:val="002968FE"/>
    <w:rsid w:val="002971CA"/>
    <w:rsid w:val="002973DE"/>
    <w:rsid w:val="0029743C"/>
    <w:rsid w:val="002A084C"/>
    <w:rsid w:val="002A10FC"/>
    <w:rsid w:val="002A17FB"/>
    <w:rsid w:val="002A2793"/>
    <w:rsid w:val="002A28B4"/>
    <w:rsid w:val="002A2908"/>
    <w:rsid w:val="002A2B87"/>
    <w:rsid w:val="002A2C6A"/>
    <w:rsid w:val="002A2D73"/>
    <w:rsid w:val="002A2EB6"/>
    <w:rsid w:val="002A3079"/>
    <w:rsid w:val="002A33E9"/>
    <w:rsid w:val="002A39D8"/>
    <w:rsid w:val="002A3B90"/>
    <w:rsid w:val="002A430A"/>
    <w:rsid w:val="002A47F0"/>
    <w:rsid w:val="002A4C6D"/>
    <w:rsid w:val="002A4D20"/>
    <w:rsid w:val="002A4DD6"/>
    <w:rsid w:val="002A50E1"/>
    <w:rsid w:val="002A5126"/>
    <w:rsid w:val="002A5595"/>
    <w:rsid w:val="002A63D3"/>
    <w:rsid w:val="002A6617"/>
    <w:rsid w:val="002A71CF"/>
    <w:rsid w:val="002A75A6"/>
    <w:rsid w:val="002A77A4"/>
    <w:rsid w:val="002B11A7"/>
    <w:rsid w:val="002B1326"/>
    <w:rsid w:val="002B195D"/>
    <w:rsid w:val="002B1D87"/>
    <w:rsid w:val="002B26B0"/>
    <w:rsid w:val="002B2F71"/>
    <w:rsid w:val="002B3497"/>
    <w:rsid w:val="002B3C28"/>
    <w:rsid w:val="002B3D01"/>
    <w:rsid w:val="002B3D53"/>
    <w:rsid w:val="002B401A"/>
    <w:rsid w:val="002B4351"/>
    <w:rsid w:val="002B49A2"/>
    <w:rsid w:val="002B4CE3"/>
    <w:rsid w:val="002B4ECA"/>
    <w:rsid w:val="002B4F55"/>
    <w:rsid w:val="002B4FC0"/>
    <w:rsid w:val="002B5421"/>
    <w:rsid w:val="002B59C3"/>
    <w:rsid w:val="002B5B0B"/>
    <w:rsid w:val="002B5D9A"/>
    <w:rsid w:val="002B62DC"/>
    <w:rsid w:val="002B6958"/>
    <w:rsid w:val="002B6F67"/>
    <w:rsid w:val="002B70D6"/>
    <w:rsid w:val="002B7372"/>
    <w:rsid w:val="002B7416"/>
    <w:rsid w:val="002B764E"/>
    <w:rsid w:val="002B7CB6"/>
    <w:rsid w:val="002B7DD6"/>
    <w:rsid w:val="002B7E08"/>
    <w:rsid w:val="002B7F3B"/>
    <w:rsid w:val="002C02F8"/>
    <w:rsid w:val="002C0489"/>
    <w:rsid w:val="002C076A"/>
    <w:rsid w:val="002C0EE3"/>
    <w:rsid w:val="002C1911"/>
    <w:rsid w:val="002C1ABB"/>
    <w:rsid w:val="002C1ABC"/>
    <w:rsid w:val="002C1C06"/>
    <w:rsid w:val="002C1D07"/>
    <w:rsid w:val="002C1F4F"/>
    <w:rsid w:val="002C20AF"/>
    <w:rsid w:val="002C23B3"/>
    <w:rsid w:val="002C26BA"/>
    <w:rsid w:val="002C520A"/>
    <w:rsid w:val="002C61A5"/>
    <w:rsid w:val="002C6EB8"/>
    <w:rsid w:val="002C7CA2"/>
    <w:rsid w:val="002C7DB7"/>
    <w:rsid w:val="002D0627"/>
    <w:rsid w:val="002D0DA9"/>
    <w:rsid w:val="002D166A"/>
    <w:rsid w:val="002D1A9A"/>
    <w:rsid w:val="002D1EBD"/>
    <w:rsid w:val="002D2A6D"/>
    <w:rsid w:val="002D2E5D"/>
    <w:rsid w:val="002D3A47"/>
    <w:rsid w:val="002D3AEB"/>
    <w:rsid w:val="002D4F79"/>
    <w:rsid w:val="002D5BD9"/>
    <w:rsid w:val="002D5C0C"/>
    <w:rsid w:val="002D5C79"/>
    <w:rsid w:val="002D5CC2"/>
    <w:rsid w:val="002D67AD"/>
    <w:rsid w:val="002D69AD"/>
    <w:rsid w:val="002D7A30"/>
    <w:rsid w:val="002D7C0C"/>
    <w:rsid w:val="002D7D70"/>
    <w:rsid w:val="002E0198"/>
    <w:rsid w:val="002E06B9"/>
    <w:rsid w:val="002E159C"/>
    <w:rsid w:val="002E1A6B"/>
    <w:rsid w:val="002E1E48"/>
    <w:rsid w:val="002E28C3"/>
    <w:rsid w:val="002E2ACB"/>
    <w:rsid w:val="002E2B91"/>
    <w:rsid w:val="002E33A8"/>
    <w:rsid w:val="002E3659"/>
    <w:rsid w:val="002E4D49"/>
    <w:rsid w:val="002E4FC6"/>
    <w:rsid w:val="002E523B"/>
    <w:rsid w:val="002E5465"/>
    <w:rsid w:val="002E5D2B"/>
    <w:rsid w:val="002E5EFA"/>
    <w:rsid w:val="002E6328"/>
    <w:rsid w:val="002E6CBF"/>
    <w:rsid w:val="002E75EB"/>
    <w:rsid w:val="002E7B46"/>
    <w:rsid w:val="002E7F8D"/>
    <w:rsid w:val="002F07DE"/>
    <w:rsid w:val="002F1165"/>
    <w:rsid w:val="002F13FF"/>
    <w:rsid w:val="002F222C"/>
    <w:rsid w:val="002F2310"/>
    <w:rsid w:val="002F274E"/>
    <w:rsid w:val="002F2C77"/>
    <w:rsid w:val="002F3829"/>
    <w:rsid w:val="002F3F04"/>
    <w:rsid w:val="002F4010"/>
    <w:rsid w:val="002F4C73"/>
    <w:rsid w:val="002F4DFB"/>
    <w:rsid w:val="002F5203"/>
    <w:rsid w:val="002F5270"/>
    <w:rsid w:val="002F54D6"/>
    <w:rsid w:val="002F55E8"/>
    <w:rsid w:val="002F5917"/>
    <w:rsid w:val="002F6087"/>
    <w:rsid w:val="002F652A"/>
    <w:rsid w:val="002F66D1"/>
    <w:rsid w:val="002F75B9"/>
    <w:rsid w:val="002F7AC6"/>
    <w:rsid w:val="002F7CF0"/>
    <w:rsid w:val="002F7F5F"/>
    <w:rsid w:val="00300B05"/>
    <w:rsid w:val="00300B5D"/>
    <w:rsid w:val="0030250F"/>
    <w:rsid w:val="003028EF"/>
    <w:rsid w:val="00302A4C"/>
    <w:rsid w:val="003033F0"/>
    <w:rsid w:val="0030366F"/>
    <w:rsid w:val="00304344"/>
    <w:rsid w:val="00304815"/>
    <w:rsid w:val="00304B43"/>
    <w:rsid w:val="003056EE"/>
    <w:rsid w:val="00305EBF"/>
    <w:rsid w:val="00306566"/>
    <w:rsid w:val="003066B8"/>
    <w:rsid w:val="00306A26"/>
    <w:rsid w:val="003070CC"/>
    <w:rsid w:val="003074C8"/>
    <w:rsid w:val="003078F6"/>
    <w:rsid w:val="00310153"/>
    <w:rsid w:val="003102CF"/>
    <w:rsid w:val="00310476"/>
    <w:rsid w:val="00310CE8"/>
    <w:rsid w:val="00311341"/>
    <w:rsid w:val="00312A37"/>
    <w:rsid w:val="00312A59"/>
    <w:rsid w:val="00312C66"/>
    <w:rsid w:val="0031307E"/>
    <w:rsid w:val="00313295"/>
    <w:rsid w:val="003135A8"/>
    <w:rsid w:val="00313709"/>
    <w:rsid w:val="0031372F"/>
    <w:rsid w:val="00313856"/>
    <w:rsid w:val="0031493E"/>
    <w:rsid w:val="00314C73"/>
    <w:rsid w:val="00314EA5"/>
    <w:rsid w:val="00315C6C"/>
    <w:rsid w:val="00316052"/>
    <w:rsid w:val="00316ACB"/>
    <w:rsid w:val="00316F79"/>
    <w:rsid w:val="003170E4"/>
    <w:rsid w:val="00317638"/>
    <w:rsid w:val="00317B72"/>
    <w:rsid w:val="00317E75"/>
    <w:rsid w:val="00317F65"/>
    <w:rsid w:val="003205F4"/>
    <w:rsid w:val="003209A8"/>
    <w:rsid w:val="00320A92"/>
    <w:rsid w:val="00320B12"/>
    <w:rsid w:val="00321205"/>
    <w:rsid w:val="003213E5"/>
    <w:rsid w:val="00321573"/>
    <w:rsid w:val="0032202F"/>
    <w:rsid w:val="0032248C"/>
    <w:rsid w:val="003224EE"/>
    <w:rsid w:val="00323A55"/>
    <w:rsid w:val="0032492A"/>
    <w:rsid w:val="00324A06"/>
    <w:rsid w:val="00325197"/>
    <w:rsid w:val="00325270"/>
    <w:rsid w:val="0032533E"/>
    <w:rsid w:val="0032589A"/>
    <w:rsid w:val="00325DCD"/>
    <w:rsid w:val="00325EBD"/>
    <w:rsid w:val="00326136"/>
    <w:rsid w:val="0032615E"/>
    <w:rsid w:val="003261A9"/>
    <w:rsid w:val="0032687F"/>
    <w:rsid w:val="00326E64"/>
    <w:rsid w:val="00327EA7"/>
    <w:rsid w:val="00330208"/>
    <w:rsid w:val="0033034C"/>
    <w:rsid w:val="0033093E"/>
    <w:rsid w:val="003312EF"/>
    <w:rsid w:val="00331447"/>
    <w:rsid w:val="00331D01"/>
    <w:rsid w:val="00331E83"/>
    <w:rsid w:val="00332051"/>
    <w:rsid w:val="0033237F"/>
    <w:rsid w:val="00332B23"/>
    <w:rsid w:val="00332DAD"/>
    <w:rsid w:val="00332E81"/>
    <w:rsid w:val="003332D9"/>
    <w:rsid w:val="003334DA"/>
    <w:rsid w:val="003335BE"/>
    <w:rsid w:val="00333CA4"/>
    <w:rsid w:val="00333DB6"/>
    <w:rsid w:val="003347C5"/>
    <w:rsid w:val="00334FDB"/>
    <w:rsid w:val="00335CFE"/>
    <w:rsid w:val="00336408"/>
    <w:rsid w:val="00336543"/>
    <w:rsid w:val="00336C26"/>
    <w:rsid w:val="0033751A"/>
    <w:rsid w:val="0033774F"/>
    <w:rsid w:val="00337CEF"/>
    <w:rsid w:val="00337D8B"/>
    <w:rsid w:val="00340865"/>
    <w:rsid w:val="003408A1"/>
    <w:rsid w:val="003408F0"/>
    <w:rsid w:val="00340B0A"/>
    <w:rsid w:val="00340ED2"/>
    <w:rsid w:val="00340FC5"/>
    <w:rsid w:val="00341293"/>
    <w:rsid w:val="003418B0"/>
    <w:rsid w:val="00341BC3"/>
    <w:rsid w:val="00342269"/>
    <w:rsid w:val="003424BA"/>
    <w:rsid w:val="00342974"/>
    <w:rsid w:val="00342DE6"/>
    <w:rsid w:val="00342E04"/>
    <w:rsid w:val="003434A9"/>
    <w:rsid w:val="00343CCB"/>
    <w:rsid w:val="00344DCB"/>
    <w:rsid w:val="0034556F"/>
    <w:rsid w:val="00345983"/>
    <w:rsid w:val="00345B2A"/>
    <w:rsid w:val="0034620C"/>
    <w:rsid w:val="003467B6"/>
    <w:rsid w:val="00346B71"/>
    <w:rsid w:val="00347277"/>
    <w:rsid w:val="00347C38"/>
    <w:rsid w:val="00347ED4"/>
    <w:rsid w:val="0035036E"/>
    <w:rsid w:val="003505EA"/>
    <w:rsid w:val="003510BD"/>
    <w:rsid w:val="003513C5"/>
    <w:rsid w:val="003522B1"/>
    <w:rsid w:val="003526AB"/>
    <w:rsid w:val="003529B3"/>
    <w:rsid w:val="003530F5"/>
    <w:rsid w:val="003533C6"/>
    <w:rsid w:val="003557B3"/>
    <w:rsid w:val="003561AB"/>
    <w:rsid w:val="003561D3"/>
    <w:rsid w:val="00356560"/>
    <w:rsid w:val="0035662B"/>
    <w:rsid w:val="00356E2A"/>
    <w:rsid w:val="0035774C"/>
    <w:rsid w:val="003579B1"/>
    <w:rsid w:val="003602BD"/>
    <w:rsid w:val="00361347"/>
    <w:rsid w:val="00361F3F"/>
    <w:rsid w:val="00362837"/>
    <w:rsid w:val="00364338"/>
    <w:rsid w:val="0036445C"/>
    <w:rsid w:val="00364508"/>
    <w:rsid w:val="0036457C"/>
    <w:rsid w:val="00364995"/>
    <w:rsid w:val="0036510F"/>
    <w:rsid w:val="0036514D"/>
    <w:rsid w:val="0036692E"/>
    <w:rsid w:val="00366A39"/>
    <w:rsid w:val="00366E59"/>
    <w:rsid w:val="003678E8"/>
    <w:rsid w:val="00367B28"/>
    <w:rsid w:val="00370077"/>
    <w:rsid w:val="0037044C"/>
    <w:rsid w:val="003714DD"/>
    <w:rsid w:val="0037187A"/>
    <w:rsid w:val="00371DD2"/>
    <w:rsid w:val="00371FE9"/>
    <w:rsid w:val="00372296"/>
    <w:rsid w:val="00372326"/>
    <w:rsid w:val="00372980"/>
    <w:rsid w:val="00372AED"/>
    <w:rsid w:val="00372B62"/>
    <w:rsid w:val="00372DCD"/>
    <w:rsid w:val="003737AB"/>
    <w:rsid w:val="00373917"/>
    <w:rsid w:val="00374088"/>
    <w:rsid w:val="0037442B"/>
    <w:rsid w:val="00374FDE"/>
    <w:rsid w:val="003754C7"/>
    <w:rsid w:val="003756CA"/>
    <w:rsid w:val="00375D70"/>
    <w:rsid w:val="003763F1"/>
    <w:rsid w:val="0037642B"/>
    <w:rsid w:val="0037662A"/>
    <w:rsid w:val="00377023"/>
    <w:rsid w:val="003779BC"/>
    <w:rsid w:val="00377A90"/>
    <w:rsid w:val="00377DC6"/>
    <w:rsid w:val="00377F97"/>
    <w:rsid w:val="00380DC9"/>
    <w:rsid w:val="00381180"/>
    <w:rsid w:val="0038118B"/>
    <w:rsid w:val="0038232F"/>
    <w:rsid w:val="00382367"/>
    <w:rsid w:val="00382777"/>
    <w:rsid w:val="0038290A"/>
    <w:rsid w:val="00382A87"/>
    <w:rsid w:val="00383993"/>
    <w:rsid w:val="00383E9A"/>
    <w:rsid w:val="003842FC"/>
    <w:rsid w:val="003844FD"/>
    <w:rsid w:val="00384989"/>
    <w:rsid w:val="00384D86"/>
    <w:rsid w:val="00385988"/>
    <w:rsid w:val="00385A78"/>
    <w:rsid w:val="00385B8A"/>
    <w:rsid w:val="00385D36"/>
    <w:rsid w:val="00385E58"/>
    <w:rsid w:val="0038653C"/>
    <w:rsid w:val="003866A4"/>
    <w:rsid w:val="00386720"/>
    <w:rsid w:val="00386B67"/>
    <w:rsid w:val="003871A7"/>
    <w:rsid w:val="00387407"/>
    <w:rsid w:val="003874B6"/>
    <w:rsid w:val="0038770F"/>
    <w:rsid w:val="00390182"/>
    <w:rsid w:val="0039024B"/>
    <w:rsid w:val="003902C1"/>
    <w:rsid w:val="003903BB"/>
    <w:rsid w:val="003903E0"/>
    <w:rsid w:val="00391C40"/>
    <w:rsid w:val="0039223F"/>
    <w:rsid w:val="00393126"/>
    <w:rsid w:val="003935F4"/>
    <w:rsid w:val="00393A0D"/>
    <w:rsid w:val="00393B6A"/>
    <w:rsid w:val="00393F99"/>
    <w:rsid w:val="00394A42"/>
    <w:rsid w:val="00394E3F"/>
    <w:rsid w:val="00394F43"/>
    <w:rsid w:val="00395A0A"/>
    <w:rsid w:val="00395D87"/>
    <w:rsid w:val="00395E2C"/>
    <w:rsid w:val="003960D6"/>
    <w:rsid w:val="0039638A"/>
    <w:rsid w:val="00396461"/>
    <w:rsid w:val="003968A0"/>
    <w:rsid w:val="00396CF7"/>
    <w:rsid w:val="00397372"/>
    <w:rsid w:val="0039768D"/>
    <w:rsid w:val="00397AC8"/>
    <w:rsid w:val="003A0197"/>
    <w:rsid w:val="003A085B"/>
    <w:rsid w:val="003A107C"/>
    <w:rsid w:val="003A1BBE"/>
    <w:rsid w:val="003A1CB4"/>
    <w:rsid w:val="003A1D51"/>
    <w:rsid w:val="003A2D35"/>
    <w:rsid w:val="003A2EFA"/>
    <w:rsid w:val="003A2FFF"/>
    <w:rsid w:val="003A380A"/>
    <w:rsid w:val="003A40A5"/>
    <w:rsid w:val="003A4138"/>
    <w:rsid w:val="003A496A"/>
    <w:rsid w:val="003A4AAB"/>
    <w:rsid w:val="003A4B9F"/>
    <w:rsid w:val="003A4BCD"/>
    <w:rsid w:val="003A4D1F"/>
    <w:rsid w:val="003A5057"/>
    <w:rsid w:val="003A5141"/>
    <w:rsid w:val="003A587F"/>
    <w:rsid w:val="003A5DFF"/>
    <w:rsid w:val="003A6872"/>
    <w:rsid w:val="003A73FE"/>
    <w:rsid w:val="003A79E8"/>
    <w:rsid w:val="003A7B93"/>
    <w:rsid w:val="003A7FB3"/>
    <w:rsid w:val="003B014D"/>
    <w:rsid w:val="003B07E1"/>
    <w:rsid w:val="003B0BC1"/>
    <w:rsid w:val="003B15C1"/>
    <w:rsid w:val="003B1AE5"/>
    <w:rsid w:val="003B1CD0"/>
    <w:rsid w:val="003B2081"/>
    <w:rsid w:val="003B26A2"/>
    <w:rsid w:val="003B2BA0"/>
    <w:rsid w:val="003B30D9"/>
    <w:rsid w:val="003B339B"/>
    <w:rsid w:val="003B43DD"/>
    <w:rsid w:val="003B4672"/>
    <w:rsid w:val="003B4B7C"/>
    <w:rsid w:val="003B53E5"/>
    <w:rsid w:val="003B54F1"/>
    <w:rsid w:val="003B55E8"/>
    <w:rsid w:val="003B578D"/>
    <w:rsid w:val="003B5A3E"/>
    <w:rsid w:val="003B5FF8"/>
    <w:rsid w:val="003B624F"/>
    <w:rsid w:val="003B667E"/>
    <w:rsid w:val="003B6956"/>
    <w:rsid w:val="003B6EEB"/>
    <w:rsid w:val="003B6F03"/>
    <w:rsid w:val="003B7701"/>
    <w:rsid w:val="003C06F9"/>
    <w:rsid w:val="003C277B"/>
    <w:rsid w:val="003C27F8"/>
    <w:rsid w:val="003C2B4B"/>
    <w:rsid w:val="003C373C"/>
    <w:rsid w:val="003C3BF9"/>
    <w:rsid w:val="003C494B"/>
    <w:rsid w:val="003C500F"/>
    <w:rsid w:val="003C508B"/>
    <w:rsid w:val="003C5365"/>
    <w:rsid w:val="003C5453"/>
    <w:rsid w:val="003C65D3"/>
    <w:rsid w:val="003C6BF1"/>
    <w:rsid w:val="003C6E58"/>
    <w:rsid w:val="003C6EBB"/>
    <w:rsid w:val="003C75EE"/>
    <w:rsid w:val="003C7927"/>
    <w:rsid w:val="003C7C37"/>
    <w:rsid w:val="003C7ED1"/>
    <w:rsid w:val="003D004C"/>
    <w:rsid w:val="003D01AA"/>
    <w:rsid w:val="003D0383"/>
    <w:rsid w:val="003D03E4"/>
    <w:rsid w:val="003D063A"/>
    <w:rsid w:val="003D07F7"/>
    <w:rsid w:val="003D08F9"/>
    <w:rsid w:val="003D0CA8"/>
    <w:rsid w:val="003D25D7"/>
    <w:rsid w:val="003D271A"/>
    <w:rsid w:val="003D2731"/>
    <w:rsid w:val="003D2BB6"/>
    <w:rsid w:val="003D2D75"/>
    <w:rsid w:val="003D325F"/>
    <w:rsid w:val="003D32F6"/>
    <w:rsid w:val="003D3329"/>
    <w:rsid w:val="003D33CB"/>
    <w:rsid w:val="003D3570"/>
    <w:rsid w:val="003D398E"/>
    <w:rsid w:val="003D3B04"/>
    <w:rsid w:val="003D3B44"/>
    <w:rsid w:val="003D4004"/>
    <w:rsid w:val="003D4D6C"/>
    <w:rsid w:val="003D51CA"/>
    <w:rsid w:val="003D5478"/>
    <w:rsid w:val="003D5A26"/>
    <w:rsid w:val="003D6C88"/>
    <w:rsid w:val="003D7198"/>
    <w:rsid w:val="003D74FA"/>
    <w:rsid w:val="003D7947"/>
    <w:rsid w:val="003D7F04"/>
    <w:rsid w:val="003D7FF8"/>
    <w:rsid w:val="003E019B"/>
    <w:rsid w:val="003E028F"/>
    <w:rsid w:val="003E06B7"/>
    <w:rsid w:val="003E0C7F"/>
    <w:rsid w:val="003E1498"/>
    <w:rsid w:val="003E17A1"/>
    <w:rsid w:val="003E2A7E"/>
    <w:rsid w:val="003E2C53"/>
    <w:rsid w:val="003E35A1"/>
    <w:rsid w:val="003E395F"/>
    <w:rsid w:val="003E3C48"/>
    <w:rsid w:val="003E466C"/>
    <w:rsid w:val="003E5088"/>
    <w:rsid w:val="003E629C"/>
    <w:rsid w:val="003E6325"/>
    <w:rsid w:val="003E6E07"/>
    <w:rsid w:val="003E74D6"/>
    <w:rsid w:val="003E7D59"/>
    <w:rsid w:val="003E7D91"/>
    <w:rsid w:val="003F0328"/>
    <w:rsid w:val="003F04D4"/>
    <w:rsid w:val="003F0F28"/>
    <w:rsid w:val="003F1245"/>
    <w:rsid w:val="003F1634"/>
    <w:rsid w:val="003F1A1A"/>
    <w:rsid w:val="003F21C9"/>
    <w:rsid w:val="003F2208"/>
    <w:rsid w:val="003F393B"/>
    <w:rsid w:val="003F3B1F"/>
    <w:rsid w:val="003F3C23"/>
    <w:rsid w:val="003F3CA3"/>
    <w:rsid w:val="003F4352"/>
    <w:rsid w:val="003F45E2"/>
    <w:rsid w:val="003F48A3"/>
    <w:rsid w:val="003F4C88"/>
    <w:rsid w:val="003F4ED7"/>
    <w:rsid w:val="003F57A0"/>
    <w:rsid w:val="003F6018"/>
    <w:rsid w:val="003F64EE"/>
    <w:rsid w:val="003F6641"/>
    <w:rsid w:val="003F79A9"/>
    <w:rsid w:val="00400370"/>
    <w:rsid w:val="00400C0B"/>
    <w:rsid w:val="00400E68"/>
    <w:rsid w:val="00400EB1"/>
    <w:rsid w:val="0040111E"/>
    <w:rsid w:val="00401844"/>
    <w:rsid w:val="0040188E"/>
    <w:rsid w:val="004024FD"/>
    <w:rsid w:val="00402A4A"/>
    <w:rsid w:val="00402DDF"/>
    <w:rsid w:val="00403318"/>
    <w:rsid w:val="004033DC"/>
    <w:rsid w:val="00403F58"/>
    <w:rsid w:val="00404148"/>
    <w:rsid w:val="0040453B"/>
    <w:rsid w:val="00404601"/>
    <w:rsid w:val="004057D1"/>
    <w:rsid w:val="00405C12"/>
    <w:rsid w:val="00405C54"/>
    <w:rsid w:val="004062A4"/>
    <w:rsid w:val="0040632D"/>
    <w:rsid w:val="00406487"/>
    <w:rsid w:val="00406656"/>
    <w:rsid w:val="0040683D"/>
    <w:rsid w:val="004075EC"/>
    <w:rsid w:val="00407A4C"/>
    <w:rsid w:val="00407D33"/>
    <w:rsid w:val="00407E3C"/>
    <w:rsid w:val="00410251"/>
    <w:rsid w:val="004115CE"/>
    <w:rsid w:val="00412023"/>
    <w:rsid w:val="00412230"/>
    <w:rsid w:val="004127B3"/>
    <w:rsid w:val="004133C6"/>
    <w:rsid w:val="00413994"/>
    <w:rsid w:val="004139C7"/>
    <w:rsid w:val="00413A52"/>
    <w:rsid w:val="00413F51"/>
    <w:rsid w:val="00414555"/>
    <w:rsid w:val="0041522A"/>
    <w:rsid w:val="0041522E"/>
    <w:rsid w:val="00415ED1"/>
    <w:rsid w:val="00415FED"/>
    <w:rsid w:val="00415FF2"/>
    <w:rsid w:val="004162A3"/>
    <w:rsid w:val="00416574"/>
    <w:rsid w:val="0041669E"/>
    <w:rsid w:val="00416D10"/>
    <w:rsid w:val="004177FD"/>
    <w:rsid w:val="00417945"/>
    <w:rsid w:val="0041799C"/>
    <w:rsid w:val="00417D8C"/>
    <w:rsid w:val="00420501"/>
    <w:rsid w:val="00420977"/>
    <w:rsid w:val="004209DC"/>
    <w:rsid w:val="00420D42"/>
    <w:rsid w:val="00421693"/>
    <w:rsid w:val="00421AD8"/>
    <w:rsid w:val="00421DEA"/>
    <w:rsid w:val="00421EEC"/>
    <w:rsid w:val="0042202D"/>
    <w:rsid w:val="00422A94"/>
    <w:rsid w:val="00423D12"/>
    <w:rsid w:val="00423FDF"/>
    <w:rsid w:val="00424455"/>
    <w:rsid w:val="00424D83"/>
    <w:rsid w:val="00425179"/>
    <w:rsid w:val="0042548B"/>
    <w:rsid w:val="00425670"/>
    <w:rsid w:val="00425ADD"/>
    <w:rsid w:val="00425D30"/>
    <w:rsid w:val="00426AC5"/>
    <w:rsid w:val="00427716"/>
    <w:rsid w:val="00427B2C"/>
    <w:rsid w:val="00430AD4"/>
    <w:rsid w:val="00431144"/>
    <w:rsid w:val="0043191D"/>
    <w:rsid w:val="00431D76"/>
    <w:rsid w:val="00431D86"/>
    <w:rsid w:val="00431F67"/>
    <w:rsid w:val="00431FAA"/>
    <w:rsid w:val="00432927"/>
    <w:rsid w:val="00433FF1"/>
    <w:rsid w:val="0043407A"/>
    <w:rsid w:val="004347E8"/>
    <w:rsid w:val="0043499D"/>
    <w:rsid w:val="00434C0A"/>
    <w:rsid w:val="00435167"/>
    <w:rsid w:val="004354D0"/>
    <w:rsid w:val="004356D8"/>
    <w:rsid w:val="00435773"/>
    <w:rsid w:val="00435E6F"/>
    <w:rsid w:val="004360D1"/>
    <w:rsid w:val="004370AA"/>
    <w:rsid w:val="00437415"/>
    <w:rsid w:val="00437DBB"/>
    <w:rsid w:val="0044092F"/>
    <w:rsid w:val="00440E02"/>
    <w:rsid w:val="004412EB"/>
    <w:rsid w:val="0044146D"/>
    <w:rsid w:val="00441697"/>
    <w:rsid w:val="00441F39"/>
    <w:rsid w:val="004422D7"/>
    <w:rsid w:val="00442B56"/>
    <w:rsid w:val="00443A37"/>
    <w:rsid w:val="00443F86"/>
    <w:rsid w:val="00445497"/>
    <w:rsid w:val="00445794"/>
    <w:rsid w:val="00446B70"/>
    <w:rsid w:val="00446CDA"/>
    <w:rsid w:val="00446EEE"/>
    <w:rsid w:val="00447076"/>
    <w:rsid w:val="00447BDD"/>
    <w:rsid w:val="00447C58"/>
    <w:rsid w:val="00447D68"/>
    <w:rsid w:val="00447E56"/>
    <w:rsid w:val="00447F81"/>
    <w:rsid w:val="0045013F"/>
    <w:rsid w:val="00450C22"/>
    <w:rsid w:val="00450C69"/>
    <w:rsid w:val="00451951"/>
    <w:rsid w:val="00451D0F"/>
    <w:rsid w:val="00451E4E"/>
    <w:rsid w:val="004526F1"/>
    <w:rsid w:val="0045274E"/>
    <w:rsid w:val="00452B4B"/>
    <w:rsid w:val="004533DB"/>
    <w:rsid w:val="004539AE"/>
    <w:rsid w:val="00453E8D"/>
    <w:rsid w:val="004542C9"/>
    <w:rsid w:val="0045431E"/>
    <w:rsid w:val="00455641"/>
    <w:rsid w:val="00455DA7"/>
    <w:rsid w:val="00455E78"/>
    <w:rsid w:val="00455F3C"/>
    <w:rsid w:val="00456F52"/>
    <w:rsid w:val="00456FFF"/>
    <w:rsid w:val="004570DA"/>
    <w:rsid w:val="00457249"/>
    <w:rsid w:val="004577E7"/>
    <w:rsid w:val="004577EA"/>
    <w:rsid w:val="00457941"/>
    <w:rsid w:val="00457E24"/>
    <w:rsid w:val="0046085E"/>
    <w:rsid w:val="00460A50"/>
    <w:rsid w:val="00460B10"/>
    <w:rsid w:val="00460FAB"/>
    <w:rsid w:val="00461065"/>
    <w:rsid w:val="004611FC"/>
    <w:rsid w:val="00461370"/>
    <w:rsid w:val="00461685"/>
    <w:rsid w:val="00461E29"/>
    <w:rsid w:val="00461F53"/>
    <w:rsid w:val="004623D7"/>
    <w:rsid w:val="00462B35"/>
    <w:rsid w:val="00462C54"/>
    <w:rsid w:val="0046301C"/>
    <w:rsid w:val="0046311F"/>
    <w:rsid w:val="004631DE"/>
    <w:rsid w:val="004638D1"/>
    <w:rsid w:val="00463AD8"/>
    <w:rsid w:val="00463EFB"/>
    <w:rsid w:val="004641E5"/>
    <w:rsid w:val="00464575"/>
    <w:rsid w:val="00464D0C"/>
    <w:rsid w:val="004650C6"/>
    <w:rsid w:val="004651E6"/>
    <w:rsid w:val="0046551F"/>
    <w:rsid w:val="0046582A"/>
    <w:rsid w:val="004659F7"/>
    <w:rsid w:val="00466468"/>
    <w:rsid w:val="004664C9"/>
    <w:rsid w:val="00467566"/>
    <w:rsid w:val="00467630"/>
    <w:rsid w:val="004677E3"/>
    <w:rsid w:val="00467D8E"/>
    <w:rsid w:val="004704FD"/>
    <w:rsid w:val="00471391"/>
    <w:rsid w:val="00471CF8"/>
    <w:rsid w:val="004725E3"/>
    <w:rsid w:val="0047286D"/>
    <w:rsid w:val="0047297A"/>
    <w:rsid w:val="00472A5D"/>
    <w:rsid w:val="00472C23"/>
    <w:rsid w:val="00472D6E"/>
    <w:rsid w:val="00472E08"/>
    <w:rsid w:val="00474122"/>
    <w:rsid w:val="004743B0"/>
    <w:rsid w:val="00474528"/>
    <w:rsid w:val="0047582D"/>
    <w:rsid w:val="004765A0"/>
    <w:rsid w:val="00476D57"/>
    <w:rsid w:val="00477BCD"/>
    <w:rsid w:val="00480BC4"/>
    <w:rsid w:val="00480C1E"/>
    <w:rsid w:val="00480F26"/>
    <w:rsid w:val="00481700"/>
    <w:rsid w:val="00481DA4"/>
    <w:rsid w:val="00482D08"/>
    <w:rsid w:val="00482F66"/>
    <w:rsid w:val="004833D8"/>
    <w:rsid w:val="004839B7"/>
    <w:rsid w:val="00483D22"/>
    <w:rsid w:val="00483D26"/>
    <w:rsid w:val="00483D31"/>
    <w:rsid w:val="00484335"/>
    <w:rsid w:val="00484F77"/>
    <w:rsid w:val="00484FC3"/>
    <w:rsid w:val="00486606"/>
    <w:rsid w:val="00486835"/>
    <w:rsid w:val="00486AE1"/>
    <w:rsid w:val="00486C33"/>
    <w:rsid w:val="004870D6"/>
    <w:rsid w:val="00487113"/>
    <w:rsid w:val="00487A5E"/>
    <w:rsid w:val="0049070F"/>
    <w:rsid w:val="00490AB4"/>
    <w:rsid w:val="00490C68"/>
    <w:rsid w:val="0049108F"/>
    <w:rsid w:val="0049176D"/>
    <w:rsid w:val="00491C64"/>
    <w:rsid w:val="00491C96"/>
    <w:rsid w:val="00492327"/>
    <w:rsid w:val="0049255D"/>
    <w:rsid w:val="00492CD5"/>
    <w:rsid w:val="00493063"/>
    <w:rsid w:val="00493610"/>
    <w:rsid w:val="00493B38"/>
    <w:rsid w:val="00493C6E"/>
    <w:rsid w:val="004940D8"/>
    <w:rsid w:val="004943E4"/>
    <w:rsid w:val="00494485"/>
    <w:rsid w:val="00495056"/>
    <w:rsid w:val="00495AEC"/>
    <w:rsid w:val="00495AF2"/>
    <w:rsid w:val="0049617D"/>
    <w:rsid w:val="0049638E"/>
    <w:rsid w:val="004964F1"/>
    <w:rsid w:val="0049669E"/>
    <w:rsid w:val="0049675C"/>
    <w:rsid w:val="0049683B"/>
    <w:rsid w:val="00496E2B"/>
    <w:rsid w:val="00497418"/>
    <w:rsid w:val="00497529"/>
    <w:rsid w:val="00497883"/>
    <w:rsid w:val="004A02CD"/>
    <w:rsid w:val="004A05E6"/>
    <w:rsid w:val="004A061A"/>
    <w:rsid w:val="004A067A"/>
    <w:rsid w:val="004A09A3"/>
    <w:rsid w:val="004A0FC5"/>
    <w:rsid w:val="004A1232"/>
    <w:rsid w:val="004A24BC"/>
    <w:rsid w:val="004A2690"/>
    <w:rsid w:val="004A2C07"/>
    <w:rsid w:val="004A349A"/>
    <w:rsid w:val="004A3DB4"/>
    <w:rsid w:val="004A4B61"/>
    <w:rsid w:val="004A4EDF"/>
    <w:rsid w:val="004A52B9"/>
    <w:rsid w:val="004A5383"/>
    <w:rsid w:val="004A56B4"/>
    <w:rsid w:val="004A5C4F"/>
    <w:rsid w:val="004A5E2D"/>
    <w:rsid w:val="004A5E38"/>
    <w:rsid w:val="004A5EFE"/>
    <w:rsid w:val="004A6896"/>
    <w:rsid w:val="004A6C6F"/>
    <w:rsid w:val="004A6CDF"/>
    <w:rsid w:val="004A6E44"/>
    <w:rsid w:val="004A6EC5"/>
    <w:rsid w:val="004A72F8"/>
    <w:rsid w:val="004A74DE"/>
    <w:rsid w:val="004A7A01"/>
    <w:rsid w:val="004B0DDB"/>
    <w:rsid w:val="004B10FC"/>
    <w:rsid w:val="004B1659"/>
    <w:rsid w:val="004B2611"/>
    <w:rsid w:val="004B2AD4"/>
    <w:rsid w:val="004B333F"/>
    <w:rsid w:val="004B348B"/>
    <w:rsid w:val="004B4F34"/>
    <w:rsid w:val="004B522F"/>
    <w:rsid w:val="004B55F5"/>
    <w:rsid w:val="004B639E"/>
    <w:rsid w:val="004B6AEF"/>
    <w:rsid w:val="004B6C47"/>
    <w:rsid w:val="004B7195"/>
    <w:rsid w:val="004B7212"/>
    <w:rsid w:val="004B72A0"/>
    <w:rsid w:val="004B732B"/>
    <w:rsid w:val="004C0C6D"/>
    <w:rsid w:val="004C1534"/>
    <w:rsid w:val="004C1566"/>
    <w:rsid w:val="004C17CF"/>
    <w:rsid w:val="004C18BA"/>
    <w:rsid w:val="004C1D82"/>
    <w:rsid w:val="004C2197"/>
    <w:rsid w:val="004C241E"/>
    <w:rsid w:val="004C28E1"/>
    <w:rsid w:val="004C36E9"/>
    <w:rsid w:val="004C3730"/>
    <w:rsid w:val="004C38CD"/>
    <w:rsid w:val="004C3D9B"/>
    <w:rsid w:val="004C3F7F"/>
    <w:rsid w:val="004C414B"/>
    <w:rsid w:val="004C4657"/>
    <w:rsid w:val="004C47FE"/>
    <w:rsid w:val="004C4F9F"/>
    <w:rsid w:val="004C53C2"/>
    <w:rsid w:val="004C56EB"/>
    <w:rsid w:val="004C5B7F"/>
    <w:rsid w:val="004C60CA"/>
    <w:rsid w:val="004C655A"/>
    <w:rsid w:val="004C6916"/>
    <w:rsid w:val="004C74B1"/>
    <w:rsid w:val="004C7A6C"/>
    <w:rsid w:val="004D0275"/>
    <w:rsid w:val="004D0666"/>
    <w:rsid w:val="004D0929"/>
    <w:rsid w:val="004D0B9A"/>
    <w:rsid w:val="004D133A"/>
    <w:rsid w:val="004D2ADC"/>
    <w:rsid w:val="004D32E7"/>
    <w:rsid w:val="004D33F1"/>
    <w:rsid w:val="004D384A"/>
    <w:rsid w:val="004D405C"/>
    <w:rsid w:val="004D4401"/>
    <w:rsid w:val="004D456C"/>
    <w:rsid w:val="004D48E9"/>
    <w:rsid w:val="004D4D92"/>
    <w:rsid w:val="004D508C"/>
    <w:rsid w:val="004D52CC"/>
    <w:rsid w:val="004D547E"/>
    <w:rsid w:val="004D5F0C"/>
    <w:rsid w:val="004D6220"/>
    <w:rsid w:val="004D66D7"/>
    <w:rsid w:val="004D70A6"/>
    <w:rsid w:val="004D744D"/>
    <w:rsid w:val="004D75D2"/>
    <w:rsid w:val="004D7608"/>
    <w:rsid w:val="004D767E"/>
    <w:rsid w:val="004D78EF"/>
    <w:rsid w:val="004D7AE5"/>
    <w:rsid w:val="004D7FC6"/>
    <w:rsid w:val="004E010D"/>
    <w:rsid w:val="004E0133"/>
    <w:rsid w:val="004E0347"/>
    <w:rsid w:val="004E03D1"/>
    <w:rsid w:val="004E0D3D"/>
    <w:rsid w:val="004E1081"/>
    <w:rsid w:val="004E13D5"/>
    <w:rsid w:val="004E194D"/>
    <w:rsid w:val="004E1A12"/>
    <w:rsid w:val="004E1AD9"/>
    <w:rsid w:val="004E1C29"/>
    <w:rsid w:val="004E200A"/>
    <w:rsid w:val="004E2205"/>
    <w:rsid w:val="004E22DB"/>
    <w:rsid w:val="004E24F3"/>
    <w:rsid w:val="004E2D4F"/>
    <w:rsid w:val="004E34C2"/>
    <w:rsid w:val="004E4602"/>
    <w:rsid w:val="004E4751"/>
    <w:rsid w:val="004E47AD"/>
    <w:rsid w:val="004E4D5C"/>
    <w:rsid w:val="004E52AC"/>
    <w:rsid w:val="004E602A"/>
    <w:rsid w:val="004E644A"/>
    <w:rsid w:val="004E6976"/>
    <w:rsid w:val="004E6E80"/>
    <w:rsid w:val="004E70A1"/>
    <w:rsid w:val="004F05C1"/>
    <w:rsid w:val="004F0918"/>
    <w:rsid w:val="004F0CD1"/>
    <w:rsid w:val="004F11C0"/>
    <w:rsid w:val="004F157A"/>
    <w:rsid w:val="004F1703"/>
    <w:rsid w:val="004F1731"/>
    <w:rsid w:val="004F1C85"/>
    <w:rsid w:val="004F1E81"/>
    <w:rsid w:val="004F21A7"/>
    <w:rsid w:val="004F2A49"/>
    <w:rsid w:val="004F2ED1"/>
    <w:rsid w:val="004F30A6"/>
    <w:rsid w:val="004F31F7"/>
    <w:rsid w:val="004F354C"/>
    <w:rsid w:val="004F36FD"/>
    <w:rsid w:val="004F4618"/>
    <w:rsid w:val="004F46C8"/>
    <w:rsid w:val="004F47B5"/>
    <w:rsid w:val="004F4B88"/>
    <w:rsid w:val="004F56C3"/>
    <w:rsid w:val="004F5A49"/>
    <w:rsid w:val="004F5AB0"/>
    <w:rsid w:val="004F5B30"/>
    <w:rsid w:val="004F5BFC"/>
    <w:rsid w:val="004F735F"/>
    <w:rsid w:val="004F73E3"/>
    <w:rsid w:val="004F7DD9"/>
    <w:rsid w:val="004F7EDC"/>
    <w:rsid w:val="005001BD"/>
    <w:rsid w:val="00500499"/>
    <w:rsid w:val="00500721"/>
    <w:rsid w:val="00501053"/>
    <w:rsid w:val="00501C1D"/>
    <w:rsid w:val="00501D5B"/>
    <w:rsid w:val="005023CC"/>
    <w:rsid w:val="00502E7D"/>
    <w:rsid w:val="0050359E"/>
    <w:rsid w:val="00503CCF"/>
    <w:rsid w:val="00504073"/>
    <w:rsid w:val="005040B3"/>
    <w:rsid w:val="00504668"/>
    <w:rsid w:val="00505E85"/>
    <w:rsid w:val="00505EE9"/>
    <w:rsid w:val="0051095C"/>
    <w:rsid w:val="00510B37"/>
    <w:rsid w:val="005115A8"/>
    <w:rsid w:val="0051194A"/>
    <w:rsid w:val="005119EF"/>
    <w:rsid w:val="00511CD0"/>
    <w:rsid w:val="0051234C"/>
    <w:rsid w:val="00512518"/>
    <w:rsid w:val="0051283D"/>
    <w:rsid w:val="00512FC0"/>
    <w:rsid w:val="00513113"/>
    <w:rsid w:val="00513399"/>
    <w:rsid w:val="005134F0"/>
    <w:rsid w:val="00514CBD"/>
    <w:rsid w:val="005154F1"/>
    <w:rsid w:val="00515D2C"/>
    <w:rsid w:val="00515EB3"/>
    <w:rsid w:val="005167A1"/>
    <w:rsid w:val="00516AAA"/>
    <w:rsid w:val="005177C3"/>
    <w:rsid w:val="00517A23"/>
    <w:rsid w:val="00517B1B"/>
    <w:rsid w:val="00517C86"/>
    <w:rsid w:val="00517D1E"/>
    <w:rsid w:val="00517F0C"/>
    <w:rsid w:val="00520260"/>
    <w:rsid w:val="0052031B"/>
    <w:rsid w:val="005216D7"/>
    <w:rsid w:val="005222A7"/>
    <w:rsid w:val="0052260A"/>
    <w:rsid w:val="005227A5"/>
    <w:rsid w:val="005228DC"/>
    <w:rsid w:val="00522FCA"/>
    <w:rsid w:val="00523381"/>
    <w:rsid w:val="005233E9"/>
    <w:rsid w:val="00523DE5"/>
    <w:rsid w:val="00523F13"/>
    <w:rsid w:val="00523F9F"/>
    <w:rsid w:val="00524267"/>
    <w:rsid w:val="0052495D"/>
    <w:rsid w:val="00524978"/>
    <w:rsid w:val="00524BC5"/>
    <w:rsid w:val="00524FCB"/>
    <w:rsid w:val="00525EEC"/>
    <w:rsid w:val="0052619D"/>
    <w:rsid w:val="005264FB"/>
    <w:rsid w:val="00527525"/>
    <w:rsid w:val="005277C7"/>
    <w:rsid w:val="00527901"/>
    <w:rsid w:val="0052792B"/>
    <w:rsid w:val="00530972"/>
    <w:rsid w:val="0053141B"/>
    <w:rsid w:val="00531AEF"/>
    <w:rsid w:val="00531DE4"/>
    <w:rsid w:val="0053200B"/>
    <w:rsid w:val="00532BF0"/>
    <w:rsid w:val="005342EE"/>
    <w:rsid w:val="0053433B"/>
    <w:rsid w:val="00534BA6"/>
    <w:rsid w:val="00534C3D"/>
    <w:rsid w:val="00534C4D"/>
    <w:rsid w:val="005351C3"/>
    <w:rsid w:val="005353ED"/>
    <w:rsid w:val="005355DF"/>
    <w:rsid w:val="005367A8"/>
    <w:rsid w:val="005377F4"/>
    <w:rsid w:val="00537A2E"/>
    <w:rsid w:val="00537BB2"/>
    <w:rsid w:val="005402B1"/>
    <w:rsid w:val="00540416"/>
    <w:rsid w:val="00540DF8"/>
    <w:rsid w:val="0054148A"/>
    <w:rsid w:val="00541751"/>
    <w:rsid w:val="00541890"/>
    <w:rsid w:val="0054193F"/>
    <w:rsid w:val="005419F4"/>
    <w:rsid w:val="0054237C"/>
    <w:rsid w:val="00542B4D"/>
    <w:rsid w:val="00542ED2"/>
    <w:rsid w:val="00543561"/>
    <w:rsid w:val="0054427D"/>
    <w:rsid w:val="0054434C"/>
    <w:rsid w:val="00545086"/>
    <w:rsid w:val="00545664"/>
    <w:rsid w:val="0054593C"/>
    <w:rsid w:val="005460C1"/>
    <w:rsid w:val="005461CB"/>
    <w:rsid w:val="005464B9"/>
    <w:rsid w:val="00546536"/>
    <w:rsid w:val="0054675E"/>
    <w:rsid w:val="00546A26"/>
    <w:rsid w:val="00547472"/>
    <w:rsid w:val="005478E0"/>
    <w:rsid w:val="00550290"/>
    <w:rsid w:val="00550CD3"/>
    <w:rsid w:val="0055110B"/>
    <w:rsid w:val="00551304"/>
    <w:rsid w:val="0055138D"/>
    <w:rsid w:val="005514F8"/>
    <w:rsid w:val="005516CB"/>
    <w:rsid w:val="00551FAF"/>
    <w:rsid w:val="00552F04"/>
    <w:rsid w:val="00552F05"/>
    <w:rsid w:val="0055313E"/>
    <w:rsid w:val="00553307"/>
    <w:rsid w:val="00553F47"/>
    <w:rsid w:val="00553FC9"/>
    <w:rsid w:val="0055425F"/>
    <w:rsid w:val="00554273"/>
    <w:rsid w:val="00554A4C"/>
    <w:rsid w:val="00554F03"/>
    <w:rsid w:val="0055508A"/>
    <w:rsid w:val="0055526B"/>
    <w:rsid w:val="00555E12"/>
    <w:rsid w:val="005565BC"/>
    <w:rsid w:val="00556821"/>
    <w:rsid w:val="00556A62"/>
    <w:rsid w:val="00557076"/>
    <w:rsid w:val="0055769A"/>
    <w:rsid w:val="00557A1F"/>
    <w:rsid w:val="005601CB"/>
    <w:rsid w:val="00560D54"/>
    <w:rsid w:val="00561082"/>
    <w:rsid w:val="0056176B"/>
    <w:rsid w:val="00561DC0"/>
    <w:rsid w:val="0056243D"/>
    <w:rsid w:val="00562517"/>
    <w:rsid w:val="00562702"/>
    <w:rsid w:val="00562A5D"/>
    <w:rsid w:val="0056381F"/>
    <w:rsid w:val="00563CB6"/>
    <w:rsid w:val="005647AF"/>
    <w:rsid w:val="005649C8"/>
    <w:rsid w:val="00564A42"/>
    <w:rsid w:val="00564E2C"/>
    <w:rsid w:val="005658AF"/>
    <w:rsid w:val="005658D4"/>
    <w:rsid w:val="0056596C"/>
    <w:rsid w:val="00565AF0"/>
    <w:rsid w:val="00565F4D"/>
    <w:rsid w:val="005672B9"/>
    <w:rsid w:val="005679EE"/>
    <w:rsid w:val="00570319"/>
    <w:rsid w:val="005707D8"/>
    <w:rsid w:val="0057083D"/>
    <w:rsid w:val="005709B8"/>
    <w:rsid w:val="00570EB7"/>
    <w:rsid w:val="00571770"/>
    <w:rsid w:val="0057197C"/>
    <w:rsid w:val="00571A08"/>
    <w:rsid w:val="00572183"/>
    <w:rsid w:val="0057253C"/>
    <w:rsid w:val="00572A51"/>
    <w:rsid w:val="00572BFE"/>
    <w:rsid w:val="0057342C"/>
    <w:rsid w:val="0057346A"/>
    <w:rsid w:val="0057353F"/>
    <w:rsid w:val="00573A1B"/>
    <w:rsid w:val="00573A64"/>
    <w:rsid w:val="00573C49"/>
    <w:rsid w:val="00573EBA"/>
    <w:rsid w:val="0057409C"/>
    <w:rsid w:val="00574F18"/>
    <w:rsid w:val="00574F48"/>
    <w:rsid w:val="00575041"/>
    <w:rsid w:val="00575527"/>
    <w:rsid w:val="00575542"/>
    <w:rsid w:val="005755AC"/>
    <w:rsid w:val="005758A4"/>
    <w:rsid w:val="00575DF2"/>
    <w:rsid w:val="00577C0E"/>
    <w:rsid w:val="0058183F"/>
    <w:rsid w:val="0058252E"/>
    <w:rsid w:val="00582B3E"/>
    <w:rsid w:val="005830B4"/>
    <w:rsid w:val="005833AA"/>
    <w:rsid w:val="00583418"/>
    <w:rsid w:val="00583875"/>
    <w:rsid w:val="005843AD"/>
    <w:rsid w:val="00585557"/>
    <w:rsid w:val="005858EE"/>
    <w:rsid w:val="00586476"/>
    <w:rsid w:val="00587034"/>
    <w:rsid w:val="005909EA"/>
    <w:rsid w:val="00590D87"/>
    <w:rsid w:val="0059153B"/>
    <w:rsid w:val="00591A8E"/>
    <w:rsid w:val="00591DEA"/>
    <w:rsid w:val="00591F57"/>
    <w:rsid w:val="00592159"/>
    <w:rsid w:val="00592C18"/>
    <w:rsid w:val="00592CA8"/>
    <w:rsid w:val="00592ECB"/>
    <w:rsid w:val="0059311C"/>
    <w:rsid w:val="00593CC0"/>
    <w:rsid w:val="00593D95"/>
    <w:rsid w:val="005940A5"/>
    <w:rsid w:val="00594C0F"/>
    <w:rsid w:val="00595AB9"/>
    <w:rsid w:val="00595D3D"/>
    <w:rsid w:val="005A03C8"/>
    <w:rsid w:val="005A0796"/>
    <w:rsid w:val="005A0A54"/>
    <w:rsid w:val="005A2847"/>
    <w:rsid w:val="005A2954"/>
    <w:rsid w:val="005A2D0E"/>
    <w:rsid w:val="005A2E92"/>
    <w:rsid w:val="005A3080"/>
    <w:rsid w:val="005A3335"/>
    <w:rsid w:val="005A372D"/>
    <w:rsid w:val="005A3CAA"/>
    <w:rsid w:val="005A3D43"/>
    <w:rsid w:val="005A429C"/>
    <w:rsid w:val="005A45F4"/>
    <w:rsid w:val="005A4DA4"/>
    <w:rsid w:val="005A5157"/>
    <w:rsid w:val="005A5218"/>
    <w:rsid w:val="005A5836"/>
    <w:rsid w:val="005A5853"/>
    <w:rsid w:val="005A6157"/>
    <w:rsid w:val="005A6D82"/>
    <w:rsid w:val="005A70CD"/>
    <w:rsid w:val="005A7156"/>
    <w:rsid w:val="005B0D0B"/>
    <w:rsid w:val="005B1141"/>
    <w:rsid w:val="005B1492"/>
    <w:rsid w:val="005B15F6"/>
    <w:rsid w:val="005B1DB1"/>
    <w:rsid w:val="005B20BE"/>
    <w:rsid w:val="005B2446"/>
    <w:rsid w:val="005B25FC"/>
    <w:rsid w:val="005B297E"/>
    <w:rsid w:val="005B29F7"/>
    <w:rsid w:val="005B2BEB"/>
    <w:rsid w:val="005B3808"/>
    <w:rsid w:val="005B383D"/>
    <w:rsid w:val="005B4E1D"/>
    <w:rsid w:val="005B5039"/>
    <w:rsid w:val="005B55A8"/>
    <w:rsid w:val="005B5A35"/>
    <w:rsid w:val="005B6678"/>
    <w:rsid w:val="005B6AE3"/>
    <w:rsid w:val="005B6E37"/>
    <w:rsid w:val="005B6EAE"/>
    <w:rsid w:val="005B7083"/>
    <w:rsid w:val="005B7A58"/>
    <w:rsid w:val="005B7F39"/>
    <w:rsid w:val="005C1576"/>
    <w:rsid w:val="005C16E1"/>
    <w:rsid w:val="005C242F"/>
    <w:rsid w:val="005C265D"/>
    <w:rsid w:val="005C2DD4"/>
    <w:rsid w:val="005C2F2B"/>
    <w:rsid w:val="005C30B9"/>
    <w:rsid w:val="005C30E2"/>
    <w:rsid w:val="005C319E"/>
    <w:rsid w:val="005C54E7"/>
    <w:rsid w:val="005C651C"/>
    <w:rsid w:val="005C763B"/>
    <w:rsid w:val="005C76F5"/>
    <w:rsid w:val="005C7D49"/>
    <w:rsid w:val="005C7EE1"/>
    <w:rsid w:val="005D023C"/>
    <w:rsid w:val="005D0AF8"/>
    <w:rsid w:val="005D1904"/>
    <w:rsid w:val="005D197A"/>
    <w:rsid w:val="005D1B8D"/>
    <w:rsid w:val="005D1E46"/>
    <w:rsid w:val="005D1ED0"/>
    <w:rsid w:val="005D27A5"/>
    <w:rsid w:val="005D2CDF"/>
    <w:rsid w:val="005D3C07"/>
    <w:rsid w:val="005D4D17"/>
    <w:rsid w:val="005D4ED1"/>
    <w:rsid w:val="005D50EF"/>
    <w:rsid w:val="005D58BF"/>
    <w:rsid w:val="005D5FEE"/>
    <w:rsid w:val="005D6287"/>
    <w:rsid w:val="005D62DB"/>
    <w:rsid w:val="005D6B29"/>
    <w:rsid w:val="005D6F55"/>
    <w:rsid w:val="005D72C2"/>
    <w:rsid w:val="005D76DD"/>
    <w:rsid w:val="005E1656"/>
    <w:rsid w:val="005E19C1"/>
    <w:rsid w:val="005E2DCF"/>
    <w:rsid w:val="005E31DE"/>
    <w:rsid w:val="005E3522"/>
    <w:rsid w:val="005E3753"/>
    <w:rsid w:val="005E4985"/>
    <w:rsid w:val="005E4A8C"/>
    <w:rsid w:val="005E5236"/>
    <w:rsid w:val="005E5383"/>
    <w:rsid w:val="005E5400"/>
    <w:rsid w:val="005E55D3"/>
    <w:rsid w:val="005E5ADC"/>
    <w:rsid w:val="005E5BC5"/>
    <w:rsid w:val="005E5FC8"/>
    <w:rsid w:val="005E7D3C"/>
    <w:rsid w:val="005F0534"/>
    <w:rsid w:val="005F06D8"/>
    <w:rsid w:val="005F0FAE"/>
    <w:rsid w:val="005F1620"/>
    <w:rsid w:val="005F1CB0"/>
    <w:rsid w:val="005F23CF"/>
    <w:rsid w:val="005F24C2"/>
    <w:rsid w:val="005F342A"/>
    <w:rsid w:val="005F3777"/>
    <w:rsid w:val="005F385E"/>
    <w:rsid w:val="005F3BDA"/>
    <w:rsid w:val="005F4EF9"/>
    <w:rsid w:val="005F5196"/>
    <w:rsid w:val="005F5360"/>
    <w:rsid w:val="005F5497"/>
    <w:rsid w:val="005F553C"/>
    <w:rsid w:val="005F623F"/>
    <w:rsid w:val="005F675F"/>
    <w:rsid w:val="005F6C24"/>
    <w:rsid w:val="005F6C8D"/>
    <w:rsid w:val="005F6DCE"/>
    <w:rsid w:val="005F788A"/>
    <w:rsid w:val="005F7A05"/>
    <w:rsid w:val="005F7BC9"/>
    <w:rsid w:val="00600546"/>
    <w:rsid w:val="00600D9D"/>
    <w:rsid w:val="00600DE5"/>
    <w:rsid w:val="00600E15"/>
    <w:rsid w:val="006013A0"/>
    <w:rsid w:val="00601C95"/>
    <w:rsid w:val="00601CD2"/>
    <w:rsid w:val="0060273A"/>
    <w:rsid w:val="00602D01"/>
    <w:rsid w:val="0060308C"/>
    <w:rsid w:val="006033DD"/>
    <w:rsid w:val="00603A31"/>
    <w:rsid w:val="00603F57"/>
    <w:rsid w:val="00604012"/>
    <w:rsid w:val="00604DB5"/>
    <w:rsid w:val="00605177"/>
    <w:rsid w:val="006051D6"/>
    <w:rsid w:val="006056D0"/>
    <w:rsid w:val="00605958"/>
    <w:rsid w:val="006059A3"/>
    <w:rsid w:val="00607399"/>
    <w:rsid w:val="00607471"/>
    <w:rsid w:val="00607A44"/>
    <w:rsid w:val="0061057C"/>
    <w:rsid w:val="00610E2F"/>
    <w:rsid w:val="00610F93"/>
    <w:rsid w:val="00611411"/>
    <w:rsid w:val="00611927"/>
    <w:rsid w:val="00611AF7"/>
    <w:rsid w:val="00611EE6"/>
    <w:rsid w:val="00612FCA"/>
    <w:rsid w:val="00613100"/>
    <w:rsid w:val="00613468"/>
    <w:rsid w:val="00613922"/>
    <w:rsid w:val="0061420F"/>
    <w:rsid w:val="00614456"/>
    <w:rsid w:val="0061454D"/>
    <w:rsid w:val="00614967"/>
    <w:rsid w:val="00615333"/>
    <w:rsid w:val="00615DEB"/>
    <w:rsid w:val="00616910"/>
    <w:rsid w:val="00617109"/>
    <w:rsid w:val="006200DF"/>
    <w:rsid w:val="006204D5"/>
    <w:rsid w:val="00620C7D"/>
    <w:rsid w:val="0062118B"/>
    <w:rsid w:val="006212FB"/>
    <w:rsid w:val="006216F9"/>
    <w:rsid w:val="006219D1"/>
    <w:rsid w:val="00621CBE"/>
    <w:rsid w:val="00623483"/>
    <w:rsid w:val="0062371F"/>
    <w:rsid w:val="00623838"/>
    <w:rsid w:val="00623A8D"/>
    <w:rsid w:val="00623D46"/>
    <w:rsid w:val="006240EF"/>
    <w:rsid w:val="0062426B"/>
    <w:rsid w:val="00624A85"/>
    <w:rsid w:val="00624C11"/>
    <w:rsid w:val="00625F83"/>
    <w:rsid w:val="0062614C"/>
    <w:rsid w:val="0062622A"/>
    <w:rsid w:val="00626AF9"/>
    <w:rsid w:val="00626C30"/>
    <w:rsid w:val="00627359"/>
    <w:rsid w:val="006273EC"/>
    <w:rsid w:val="0062792B"/>
    <w:rsid w:val="00627B01"/>
    <w:rsid w:val="00627CF6"/>
    <w:rsid w:val="00627DEE"/>
    <w:rsid w:val="00630DED"/>
    <w:rsid w:val="00631159"/>
    <w:rsid w:val="006311FE"/>
    <w:rsid w:val="006321C4"/>
    <w:rsid w:val="00632322"/>
    <w:rsid w:val="00633A46"/>
    <w:rsid w:val="00633D4F"/>
    <w:rsid w:val="00634291"/>
    <w:rsid w:val="0063510B"/>
    <w:rsid w:val="00635289"/>
    <w:rsid w:val="006356A9"/>
    <w:rsid w:val="006366C9"/>
    <w:rsid w:val="00636D41"/>
    <w:rsid w:val="006372ED"/>
    <w:rsid w:val="00637464"/>
    <w:rsid w:val="0063796F"/>
    <w:rsid w:val="00637F79"/>
    <w:rsid w:val="006402D4"/>
    <w:rsid w:val="00641B4F"/>
    <w:rsid w:val="00641BDD"/>
    <w:rsid w:val="0064213B"/>
    <w:rsid w:val="0064217A"/>
    <w:rsid w:val="00642352"/>
    <w:rsid w:val="0064256A"/>
    <w:rsid w:val="00642B62"/>
    <w:rsid w:val="00642DB3"/>
    <w:rsid w:val="00643BB6"/>
    <w:rsid w:val="0064473E"/>
    <w:rsid w:val="00645050"/>
    <w:rsid w:val="006452C0"/>
    <w:rsid w:val="006455CF"/>
    <w:rsid w:val="006459B3"/>
    <w:rsid w:val="00645ADC"/>
    <w:rsid w:val="00645F14"/>
    <w:rsid w:val="00646C8E"/>
    <w:rsid w:val="0064709C"/>
    <w:rsid w:val="006474FF"/>
    <w:rsid w:val="0064768E"/>
    <w:rsid w:val="00647BD0"/>
    <w:rsid w:val="00647E11"/>
    <w:rsid w:val="00647F5F"/>
    <w:rsid w:val="00650A29"/>
    <w:rsid w:val="00650EAB"/>
    <w:rsid w:val="00651FBE"/>
    <w:rsid w:val="00653A22"/>
    <w:rsid w:val="00653CB5"/>
    <w:rsid w:val="006540A9"/>
    <w:rsid w:val="006541E3"/>
    <w:rsid w:val="006545F9"/>
    <w:rsid w:val="0065474C"/>
    <w:rsid w:val="00654DD7"/>
    <w:rsid w:val="00654F4F"/>
    <w:rsid w:val="006552F5"/>
    <w:rsid w:val="00655D80"/>
    <w:rsid w:val="00655F92"/>
    <w:rsid w:val="00656003"/>
    <w:rsid w:val="006567DD"/>
    <w:rsid w:val="006569E1"/>
    <w:rsid w:val="00656EE4"/>
    <w:rsid w:val="00656FDA"/>
    <w:rsid w:val="0065754A"/>
    <w:rsid w:val="00657650"/>
    <w:rsid w:val="00657EFD"/>
    <w:rsid w:val="0066003A"/>
    <w:rsid w:val="00660182"/>
    <w:rsid w:val="006604BF"/>
    <w:rsid w:val="006605AF"/>
    <w:rsid w:val="0066078B"/>
    <w:rsid w:val="00660AC6"/>
    <w:rsid w:val="00660B84"/>
    <w:rsid w:val="006610B1"/>
    <w:rsid w:val="00661254"/>
    <w:rsid w:val="0066157E"/>
    <w:rsid w:val="00661F83"/>
    <w:rsid w:val="006621FD"/>
    <w:rsid w:val="00662353"/>
    <w:rsid w:val="00663022"/>
    <w:rsid w:val="006632F6"/>
    <w:rsid w:val="006642AD"/>
    <w:rsid w:val="00664890"/>
    <w:rsid w:val="00665860"/>
    <w:rsid w:val="00665AC2"/>
    <w:rsid w:val="00665B27"/>
    <w:rsid w:val="006663EB"/>
    <w:rsid w:val="006667EF"/>
    <w:rsid w:val="00666AD2"/>
    <w:rsid w:val="00667054"/>
    <w:rsid w:val="0066753A"/>
    <w:rsid w:val="00667E56"/>
    <w:rsid w:val="006701B6"/>
    <w:rsid w:val="006701E1"/>
    <w:rsid w:val="006709B6"/>
    <w:rsid w:val="00670A1F"/>
    <w:rsid w:val="006712D2"/>
    <w:rsid w:val="0067169D"/>
    <w:rsid w:val="006716E2"/>
    <w:rsid w:val="00671F6A"/>
    <w:rsid w:val="00672075"/>
    <w:rsid w:val="006721A2"/>
    <w:rsid w:val="006730C4"/>
    <w:rsid w:val="0067314A"/>
    <w:rsid w:val="00673607"/>
    <w:rsid w:val="0067399A"/>
    <w:rsid w:val="006741F4"/>
    <w:rsid w:val="0067431D"/>
    <w:rsid w:val="00674527"/>
    <w:rsid w:val="00675120"/>
    <w:rsid w:val="00676A55"/>
    <w:rsid w:val="00680262"/>
    <w:rsid w:val="006802D9"/>
    <w:rsid w:val="0068164C"/>
    <w:rsid w:val="00681CCB"/>
    <w:rsid w:val="006821A0"/>
    <w:rsid w:val="006828A1"/>
    <w:rsid w:val="00682B14"/>
    <w:rsid w:val="00684AE9"/>
    <w:rsid w:val="00685263"/>
    <w:rsid w:val="00685B53"/>
    <w:rsid w:val="0068658B"/>
    <w:rsid w:val="0068764C"/>
    <w:rsid w:val="00687A71"/>
    <w:rsid w:val="00687D38"/>
    <w:rsid w:val="0069003D"/>
    <w:rsid w:val="00690679"/>
    <w:rsid w:val="00690C68"/>
    <w:rsid w:val="0069151A"/>
    <w:rsid w:val="00691C17"/>
    <w:rsid w:val="00692159"/>
    <w:rsid w:val="0069233E"/>
    <w:rsid w:val="006923FA"/>
    <w:rsid w:val="0069266F"/>
    <w:rsid w:val="006926EF"/>
    <w:rsid w:val="006926FF"/>
    <w:rsid w:val="006928D9"/>
    <w:rsid w:val="00692C31"/>
    <w:rsid w:val="00693375"/>
    <w:rsid w:val="006943F5"/>
    <w:rsid w:val="006948D9"/>
    <w:rsid w:val="00694A2C"/>
    <w:rsid w:val="00694B6C"/>
    <w:rsid w:val="00695ACF"/>
    <w:rsid w:val="00695DEA"/>
    <w:rsid w:val="00695E77"/>
    <w:rsid w:val="006962DD"/>
    <w:rsid w:val="0069635C"/>
    <w:rsid w:val="00696829"/>
    <w:rsid w:val="00696890"/>
    <w:rsid w:val="00696BC0"/>
    <w:rsid w:val="00696DBF"/>
    <w:rsid w:val="00696F05"/>
    <w:rsid w:val="00696FD8"/>
    <w:rsid w:val="0069722E"/>
    <w:rsid w:val="00697389"/>
    <w:rsid w:val="00697520"/>
    <w:rsid w:val="006A0AC1"/>
    <w:rsid w:val="006A0CE1"/>
    <w:rsid w:val="006A0EC3"/>
    <w:rsid w:val="006A0ED3"/>
    <w:rsid w:val="006A1335"/>
    <w:rsid w:val="006A13ED"/>
    <w:rsid w:val="006A1999"/>
    <w:rsid w:val="006A2045"/>
    <w:rsid w:val="006A23F4"/>
    <w:rsid w:val="006A2685"/>
    <w:rsid w:val="006A3AE7"/>
    <w:rsid w:val="006A3FD5"/>
    <w:rsid w:val="006A4029"/>
    <w:rsid w:val="006A4713"/>
    <w:rsid w:val="006A4D51"/>
    <w:rsid w:val="006A5492"/>
    <w:rsid w:val="006A5C3D"/>
    <w:rsid w:val="006A5CFD"/>
    <w:rsid w:val="006A5EA5"/>
    <w:rsid w:val="006A6F38"/>
    <w:rsid w:val="006A75FE"/>
    <w:rsid w:val="006A7951"/>
    <w:rsid w:val="006B0D7B"/>
    <w:rsid w:val="006B0E63"/>
    <w:rsid w:val="006B113C"/>
    <w:rsid w:val="006B127E"/>
    <w:rsid w:val="006B12B4"/>
    <w:rsid w:val="006B13F4"/>
    <w:rsid w:val="006B15F2"/>
    <w:rsid w:val="006B2C69"/>
    <w:rsid w:val="006B31FE"/>
    <w:rsid w:val="006B367A"/>
    <w:rsid w:val="006B369D"/>
    <w:rsid w:val="006B388A"/>
    <w:rsid w:val="006B38EF"/>
    <w:rsid w:val="006B39A6"/>
    <w:rsid w:val="006B41BF"/>
    <w:rsid w:val="006B4D26"/>
    <w:rsid w:val="006B58B8"/>
    <w:rsid w:val="006B5A11"/>
    <w:rsid w:val="006B64BF"/>
    <w:rsid w:val="006B659A"/>
    <w:rsid w:val="006B664E"/>
    <w:rsid w:val="006B6AF1"/>
    <w:rsid w:val="006B6F66"/>
    <w:rsid w:val="006B72D5"/>
    <w:rsid w:val="006B7705"/>
    <w:rsid w:val="006B7C88"/>
    <w:rsid w:val="006C09A7"/>
    <w:rsid w:val="006C0E9F"/>
    <w:rsid w:val="006C0F39"/>
    <w:rsid w:val="006C159D"/>
    <w:rsid w:val="006C22E2"/>
    <w:rsid w:val="006C283B"/>
    <w:rsid w:val="006C2931"/>
    <w:rsid w:val="006C294B"/>
    <w:rsid w:val="006C2C78"/>
    <w:rsid w:val="006C3FD3"/>
    <w:rsid w:val="006C48B8"/>
    <w:rsid w:val="006C4B9A"/>
    <w:rsid w:val="006C5091"/>
    <w:rsid w:val="006C5101"/>
    <w:rsid w:val="006C5AD4"/>
    <w:rsid w:val="006C63A1"/>
    <w:rsid w:val="006C6615"/>
    <w:rsid w:val="006C67D9"/>
    <w:rsid w:val="006C6AE0"/>
    <w:rsid w:val="006C6CD7"/>
    <w:rsid w:val="006C6DB3"/>
    <w:rsid w:val="006D0530"/>
    <w:rsid w:val="006D0BCA"/>
    <w:rsid w:val="006D0C4A"/>
    <w:rsid w:val="006D1277"/>
    <w:rsid w:val="006D15E4"/>
    <w:rsid w:val="006D1A0D"/>
    <w:rsid w:val="006D1BA7"/>
    <w:rsid w:val="006D30E0"/>
    <w:rsid w:val="006D4007"/>
    <w:rsid w:val="006D4487"/>
    <w:rsid w:val="006D44E7"/>
    <w:rsid w:val="006D4EE6"/>
    <w:rsid w:val="006D60F3"/>
    <w:rsid w:val="006D6347"/>
    <w:rsid w:val="006D672F"/>
    <w:rsid w:val="006D6DA0"/>
    <w:rsid w:val="006D717C"/>
    <w:rsid w:val="006D7195"/>
    <w:rsid w:val="006D7F8E"/>
    <w:rsid w:val="006E017B"/>
    <w:rsid w:val="006E0B18"/>
    <w:rsid w:val="006E10A2"/>
    <w:rsid w:val="006E10E5"/>
    <w:rsid w:val="006E1324"/>
    <w:rsid w:val="006E14A0"/>
    <w:rsid w:val="006E160D"/>
    <w:rsid w:val="006E1933"/>
    <w:rsid w:val="006E20EC"/>
    <w:rsid w:val="006E24B9"/>
    <w:rsid w:val="006E2E3F"/>
    <w:rsid w:val="006E2E77"/>
    <w:rsid w:val="006E2FFF"/>
    <w:rsid w:val="006E3358"/>
    <w:rsid w:val="006E352F"/>
    <w:rsid w:val="006E3552"/>
    <w:rsid w:val="006E374A"/>
    <w:rsid w:val="006E3F23"/>
    <w:rsid w:val="006E40BE"/>
    <w:rsid w:val="006E486F"/>
    <w:rsid w:val="006E5A58"/>
    <w:rsid w:val="006E5CFD"/>
    <w:rsid w:val="006E5DF2"/>
    <w:rsid w:val="006E6123"/>
    <w:rsid w:val="006E6DDD"/>
    <w:rsid w:val="006E7073"/>
    <w:rsid w:val="006E7084"/>
    <w:rsid w:val="006E74EB"/>
    <w:rsid w:val="006E7506"/>
    <w:rsid w:val="006E79C2"/>
    <w:rsid w:val="006E7A81"/>
    <w:rsid w:val="006E7B9F"/>
    <w:rsid w:val="006E7C17"/>
    <w:rsid w:val="006E7C19"/>
    <w:rsid w:val="006E7F71"/>
    <w:rsid w:val="006F0B4D"/>
    <w:rsid w:val="006F102C"/>
    <w:rsid w:val="006F12DF"/>
    <w:rsid w:val="006F141E"/>
    <w:rsid w:val="006F189B"/>
    <w:rsid w:val="006F1BA0"/>
    <w:rsid w:val="006F1E43"/>
    <w:rsid w:val="006F23A8"/>
    <w:rsid w:val="006F2492"/>
    <w:rsid w:val="006F2C6C"/>
    <w:rsid w:val="006F3803"/>
    <w:rsid w:val="006F4026"/>
    <w:rsid w:val="006F5643"/>
    <w:rsid w:val="006F5676"/>
    <w:rsid w:val="006F573B"/>
    <w:rsid w:val="006F584A"/>
    <w:rsid w:val="006F5C36"/>
    <w:rsid w:val="006F5D48"/>
    <w:rsid w:val="006F60C5"/>
    <w:rsid w:val="006F7419"/>
    <w:rsid w:val="006F7741"/>
    <w:rsid w:val="007003EF"/>
    <w:rsid w:val="00700490"/>
    <w:rsid w:val="007011CC"/>
    <w:rsid w:val="00701320"/>
    <w:rsid w:val="0070141E"/>
    <w:rsid w:val="007014A9"/>
    <w:rsid w:val="0070185B"/>
    <w:rsid w:val="0070280D"/>
    <w:rsid w:val="00702AD3"/>
    <w:rsid w:val="00702FCB"/>
    <w:rsid w:val="00703859"/>
    <w:rsid w:val="00703F18"/>
    <w:rsid w:val="00704B33"/>
    <w:rsid w:val="00705698"/>
    <w:rsid w:val="00705D97"/>
    <w:rsid w:val="007062C5"/>
    <w:rsid w:val="007067C7"/>
    <w:rsid w:val="007067E8"/>
    <w:rsid w:val="00706C9B"/>
    <w:rsid w:val="00706DE5"/>
    <w:rsid w:val="00707388"/>
    <w:rsid w:val="00707674"/>
    <w:rsid w:val="007076F1"/>
    <w:rsid w:val="00707B7D"/>
    <w:rsid w:val="00707BE9"/>
    <w:rsid w:val="0071013C"/>
    <w:rsid w:val="00710C4B"/>
    <w:rsid w:val="007110B0"/>
    <w:rsid w:val="00711242"/>
    <w:rsid w:val="00711669"/>
    <w:rsid w:val="00711705"/>
    <w:rsid w:val="00711A58"/>
    <w:rsid w:val="0071219F"/>
    <w:rsid w:val="007127CA"/>
    <w:rsid w:val="00712E7A"/>
    <w:rsid w:val="00713503"/>
    <w:rsid w:val="00714436"/>
    <w:rsid w:val="00715036"/>
    <w:rsid w:val="007159EF"/>
    <w:rsid w:val="00715FBA"/>
    <w:rsid w:val="007162D9"/>
    <w:rsid w:val="00716486"/>
    <w:rsid w:val="007164A2"/>
    <w:rsid w:val="00716AD1"/>
    <w:rsid w:val="007170EF"/>
    <w:rsid w:val="0071739C"/>
    <w:rsid w:val="007174D0"/>
    <w:rsid w:val="00717A0D"/>
    <w:rsid w:val="00717B76"/>
    <w:rsid w:val="00717C31"/>
    <w:rsid w:val="00717C35"/>
    <w:rsid w:val="00717D6D"/>
    <w:rsid w:val="00720351"/>
    <w:rsid w:val="00720735"/>
    <w:rsid w:val="00720B6A"/>
    <w:rsid w:val="00720BAC"/>
    <w:rsid w:val="0072117F"/>
    <w:rsid w:val="0072174C"/>
    <w:rsid w:val="00721B06"/>
    <w:rsid w:val="00721D65"/>
    <w:rsid w:val="0072247A"/>
    <w:rsid w:val="007229BB"/>
    <w:rsid w:val="00722E33"/>
    <w:rsid w:val="00722E76"/>
    <w:rsid w:val="00722F74"/>
    <w:rsid w:val="00722F7F"/>
    <w:rsid w:val="00723332"/>
    <w:rsid w:val="007246FB"/>
    <w:rsid w:val="00724D74"/>
    <w:rsid w:val="00725858"/>
    <w:rsid w:val="00725ABF"/>
    <w:rsid w:val="00725F7A"/>
    <w:rsid w:val="007260A8"/>
    <w:rsid w:val="0072624E"/>
    <w:rsid w:val="00726D82"/>
    <w:rsid w:val="00726D94"/>
    <w:rsid w:val="00727041"/>
    <w:rsid w:val="00727260"/>
    <w:rsid w:val="00727950"/>
    <w:rsid w:val="007279B5"/>
    <w:rsid w:val="00727A8A"/>
    <w:rsid w:val="00727B45"/>
    <w:rsid w:val="00727F98"/>
    <w:rsid w:val="0073088A"/>
    <w:rsid w:val="007308B5"/>
    <w:rsid w:val="007308D9"/>
    <w:rsid w:val="00730F27"/>
    <w:rsid w:val="0073149F"/>
    <w:rsid w:val="00733B86"/>
    <w:rsid w:val="00733C4A"/>
    <w:rsid w:val="00733CBD"/>
    <w:rsid w:val="00734297"/>
    <w:rsid w:val="00734ACD"/>
    <w:rsid w:val="007355C3"/>
    <w:rsid w:val="0073580E"/>
    <w:rsid w:val="00735FDC"/>
    <w:rsid w:val="007365C3"/>
    <w:rsid w:val="00736DAF"/>
    <w:rsid w:val="00737264"/>
    <w:rsid w:val="0073760F"/>
    <w:rsid w:val="00737632"/>
    <w:rsid w:val="00740DBD"/>
    <w:rsid w:val="00741750"/>
    <w:rsid w:val="0074181D"/>
    <w:rsid w:val="0074186F"/>
    <w:rsid w:val="007418CA"/>
    <w:rsid w:val="00741970"/>
    <w:rsid w:val="00742496"/>
    <w:rsid w:val="0074309E"/>
    <w:rsid w:val="0074345E"/>
    <w:rsid w:val="00743FB5"/>
    <w:rsid w:val="007440A3"/>
    <w:rsid w:val="007440BA"/>
    <w:rsid w:val="00744113"/>
    <w:rsid w:val="00744BB1"/>
    <w:rsid w:val="0074542F"/>
    <w:rsid w:val="00745493"/>
    <w:rsid w:val="0074614F"/>
    <w:rsid w:val="0074722B"/>
    <w:rsid w:val="0074777D"/>
    <w:rsid w:val="00747A50"/>
    <w:rsid w:val="00747C18"/>
    <w:rsid w:val="00750965"/>
    <w:rsid w:val="007519B2"/>
    <w:rsid w:val="00751E3A"/>
    <w:rsid w:val="00751E53"/>
    <w:rsid w:val="00751F35"/>
    <w:rsid w:val="00752214"/>
    <w:rsid w:val="00752358"/>
    <w:rsid w:val="007526A3"/>
    <w:rsid w:val="007527DD"/>
    <w:rsid w:val="00752A90"/>
    <w:rsid w:val="00753285"/>
    <w:rsid w:val="00753673"/>
    <w:rsid w:val="0075381C"/>
    <w:rsid w:val="007538C9"/>
    <w:rsid w:val="00753CAD"/>
    <w:rsid w:val="00753F69"/>
    <w:rsid w:val="00754368"/>
    <w:rsid w:val="007557BA"/>
    <w:rsid w:val="00755B13"/>
    <w:rsid w:val="00755F85"/>
    <w:rsid w:val="00755FDA"/>
    <w:rsid w:val="0075661C"/>
    <w:rsid w:val="0075681D"/>
    <w:rsid w:val="007575E9"/>
    <w:rsid w:val="00757C7F"/>
    <w:rsid w:val="00760157"/>
    <w:rsid w:val="00760916"/>
    <w:rsid w:val="00760AF9"/>
    <w:rsid w:val="00760CDD"/>
    <w:rsid w:val="00760DC4"/>
    <w:rsid w:val="007611D4"/>
    <w:rsid w:val="00761713"/>
    <w:rsid w:val="00761801"/>
    <w:rsid w:val="00761868"/>
    <w:rsid w:val="007618F8"/>
    <w:rsid w:val="007622D9"/>
    <w:rsid w:val="00762DC1"/>
    <w:rsid w:val="00764059"/>
    <w:rsid w:val="007650D3"/>
    <w:rsid w:val="00765B22"/>
    <w:rsid w:val="007663BB"/>
    <w:rsid w:val="007665CB"/>
    <w:rsid w:val="00766662"/>
    <w:rsid w:val="007667F3"/>
    <w:rsid w:val="00766E64"/>
    <w:rsid w:val="00767847"/>
    <w:rsid w:val="00767923"/>
    <w:rsid w:val="00767A91"/>
    <w:rsid w:val="00767AB7"/>
    <w:rsid w:val="00767C1B"/>
    <w:rsid w:val="007705DB"/>
    <w:rsid w:val="007708FA"/>
    <w:rsid w:val="00770A06"/>
    <w:rsid w:val="00770E1D"/>
    <w:rsid w:val="00771586"/>
    <w:rsid w:val="00771629"/>
    <w:rsid w:val="007722BE"/>
    <w:rsid w:val="0077246F"/>
    <w:rsid w:val="00772D7A"/>
    <w:rsid w:val="00774BB6"/>
    <w:rsid w:val="00774CFC"/>
    <w:rsid w:val="00774DA8"/>
    <w:rsid w:val="007759C1"/>
    <w:rsid w:val="00775EA9"/>
    <w:rsid w:val="0077769A"/>
    <w:rsid w:val="007778B6"/>
    <w:rsid w:val="00780717"/>
    <w:rsid w:val="00781DB0"/>
    <w:rsid w:val="00781F71"/>
    <w:rsid w:val="00782060"/>
    <w:rsid w:val="00782FF8"/>
    <w:rsid w:val="0078371C"/>
    <w:rsid w:val="00783931"/>
    <w:rsid w:val="00783F4B"/>
    <w:rsid w:val="0078419E"/>
    <w:rsid w:val="007842F3"/>
    <w:rsid w:val="007847BF"/>
    <w:rsid w:val="00784AA0"/>
    <w:rsid w:val="00784BEF"/>
    <w:rsid w:val="00784BF5"/>
    <w:rsid w:val="00784F0E"/>
    <w:rsid w:val="007863F7"/>
    <w:rsid w:val="007866CB"/>
    <w:rsid w:val="007871BB"/>
    <w:rsid w:val="00787AEF"/>
    <w:rsid w:val="00790A81"/>
    <w:rsid w:val="00790D8C"/>
    <w:rsid w:val="00790E9F"/>
    <w:rsid w:val="00791199"/>
    <w:rsid w:val="00791236"/>
    <w:rsid w:val="00791278"/>
    <w:rsid w:val="00791663"/>
    <w:rsid w:val="00791AAA"/>
    <w:rsid w:val="00791ADC"/>
    <w:rsid w:val="00791CDC"/>
    <w:rsid w:val="00791EA9"/>
    <w:rsid w:val="00792CF6"/>
    <w:rsid w:val="00792D49"/>
    <w:rsid w:val="00792EC3"/>
    <w:rsid w:val="0079318B"/>
    <w:rsid w:val="007931A1"/>
    <w:rsid w:val="00793881"/>
    <w:rsid w:val="00793887"/>
    <w:rsid w:val="00793FFC"/>
    <w:rsid w:val="0079410C"/>
    <w:rsid w:val="00794127"/>
    <w:rsid w:val="0079412C"/>
    <w:rsid w:val="0079454D"/>
    <w:rsid w:val="00795663"/>
    <w:rsid w:val="00795942"/>
    <w:rsid w:val="00795A76"/>
    <w:rsid w:val="00795E03"/>
    <w:rsid w:val="007964C3"/>
    <w:rsid w:val="00797140"/>
    <w:rsid w:val="00797B9D"/>
    <w:rsid w:val="007A060E"/>
    <w:rsid w:val="007A183F"/>
    <w:rsid w:val="007A1C06"/>
    <w:rsid w:val="007A1FC1"/>
    <w:rsid w:val="007A2004"/>
    <w:rsid w:val="007A21EF"/>
    <w:rsid w:val="007A30E9"/>
    <w:rsid w:val="007A310C"/>
    <w:rsid w:val="007A3248"/>
    <w:rsid w:val="007A33A9"/>
    <w:rsid w:val="007A443A"/>
    <w:rsid w:val="007A4B27"/>
    <w:rsid w:val="007A4CC4"/>
    <w:rsid w:val="007A5670"/>
    <w:rsid w:val="007A646B"/>
    <w:rsid w:val="007A6B0D"/>
    <w:rsid w:val="007A6EAB"/>
    <w:rsid w:val="007A74A4"/>
    <w:rsid w:val="007A78D2"/>
    <w:rsid w:val="007A79BA"/>
    <w:rsid w:val="007B03A9"/>
    <w:rsid w:val="007B0450"/>
    <w:rsid w:val="007B0AC6"/>
    <w:rsid w:val="007B1392"/>
    <w:rsid w:val="007B163B"/>
    <w:rsid w:val="007B2072"/>
    <w:rsid w:val="007B2EF5"/>
    <w:rsid w:val="007B3530"/>
    <w:rsid w:val="007B35ED"/>
    <w:rsid w:val="007B4580"/>
    <w:rsid w:val="007B4C13"/>
    <w:rsid w:val="007B4E6D"/>
    <w:rsid w:val="007B5014"/>
    <w:rsid w:val="007B5A8E"/>
    <w:rsid w:val="007B5C4D"/>
    <w:rsid w:val="007B6270"/>
    <w:rsid w:val="007B6E39"/>
    <w:rsid w:val="007B6F75"/>
    <w:rsid w:val="007B6F85"/>
    <w:rsid w:val="007B77E1"/>
    <w:rsid w:val="007B7878"/>
    <w:rsid w:val="007B7BA8"/>
    <w:rsid w:val="007C04A6"/>
    <w:rsid w:val="007C054A"/>
    <w:rsid w:val="007C0D7D"/>
    <w:rsid w:val="007C110C"/>
    <w:rsid w:val="007C1676"/>
    <w:rsid w:val="007C1DFA"/>
    <w:rsid w:val="007C215D"/>
    <w:rsid w:val="007C253C"/>
    <w:rsid w:val="007C28A1"/>
    <w:rsid w:val="007C2ACB"/>
    <w:rsid w:val="007C2D7E"/>
    <w:rsid w:val="007C2EB2"/>
    <w:rsid w:val="007C32AC"/>
    <w:rsid w:val="007C32FE"/>
    <w:rsid w:val="007C3327"/>
    <w:rsid w:val="007C35C6"/>
    <w:rsid w:val="007C39C0"/>
    <w:rsid w:val="007C3A85"/>
    <w:rsid w:val="007C51DD"/>
    <w:rsid w:val="007C55A9"/>
    <w:rsid w:val="007C562B"/>
    <w:rsid w:val="007C5804"/>
    <w:rsid w:val="007C5DCB"/>
    <w:rsid w:val="007C62E3"/>
    <w:rsid w:val="007C6C0B"/>
    <w:rsid w:val="007C7046"/>
    <w:rsid w:val="007C7F37"/>
    <w:rsid w:val="007CD737"/>
    <w:rsid w:val="007D106E"/>
    <w:rsid w:val="007D10E0"/>
    <w:rsid w:val="007D15C2"/>
    <w:rsid w:val="007D16F0"/>
    <w:rsid w:val="007D2049"/>
    <w:rsid w:val="007D22A4"/>
    <w:rsid w:val="007D29E2"/>
    <w:rsid w:val="007D2A9A"/>
    <w:rsid w:val="007D2B73"/>
    <w:rsid w:val="007D2E85"/>
    <w:rsid w:val="007D3157"/>
    <w:rsid w:val="007D320B"/>
    <w:rsid w:val="007D3B09"/>
    <w:rsid w:val="007D4202"/>
    <w:rsid w:val="007D4CC2"/>
    <w:rsid w:val="007D50DA"/>
    <w:rsid w:val="007D533E"/>
    <w:rsid w:val="007D5568"/>
    <w:rsid w:val="007D55DB"/>
    <w:rsid w:val="007D6A48"/>
    <w:rsid w:val="007D6B63"/>
    <w:rsid w:val="007D6C86"/>
    <w:rsid w:val="007D6F3D"/>
    <w:rsid w:val="007D7585"/>
    <w:rsid w:val="007D7A83"/>
    <w:rsid w:val="007E0060"/>
    <w:rsid w:val="007E04D9"/>
    <w:rsid w:val="007E0B1B"/>
    <w:rsid w:val="007E16E4"/>
    <w:rsid w:val="007E18FE"/>
    <w:rsid w:val="007E1B0D"/>
    <w:rsid w:val="007E1C35"/>
    <w:rsid w:val="007E1D88"/>
    <w:rsid w:val="007E31FB"/>
    <w:rsid w:val="007E345B"/>
    <w:rsid w:val="007E363B"/>
    <w:rsid w:val="007E3961"/>
    <w:rsid w:val="007E3CD1"/>
    <w:rsid w:val="007E5366"/>
    <w:rsid w:val="007E564E"/>
    <w:rsid w:val="007E571D"/>
    <w:rsid w:val="007E5A22"/>
    <w:rsid w:val="007E6243"/>
    <w:rsid w:val="007E6520"/>
    <w:rsid w:val="007E74AD"/>
    <w:rsid w:val="007E7C22"/>
    <w:rsid w:val="007E7EBC"/>
    <w:rsid w:val="007F006C"/>
    <w:rsid w:val="007F0DF6"/>
    <w:rsid w:val="007F0FA0"/>
    <w:rsid w:val="007F11DF"/>
    <w:rsid w:val="007F1728"/>
    <w:rsid w:val="007F19C5"/>
    <w:rsid w:val="007F1BE5"/>
    <w:rsid w:val="007F217E"/>
    <w:rsid w:val="007F2206"/>
    <w:rsid w:val="007F234C"/>
    <w:rsid w:val="007F3508"/>
    <w:rsid w:val="007F4A83"/>
    <w:rsid w:val="007F4AEF"/>
    <w:rsid w:val="007F6215"/>
    <w:rsid w:val="007F6C76"/>
    <w:rsid w:val="007F6CDC"/>
    <w:rsid w:val="007F70A9"/>
    <w:rsid w:val="007F70FA"/>
    <w:rsid w:val="007F71DD"/>
    <w:rsid w:val="007F7EF3"/>
    <w:rsid w:val="00800126"/>
    <w:rsid w:val="0080041D"/>
    <w:rsid w:val="00801017"/>
    <w:rsid w:val="0080185F"/>
    <w:rsid w:val="008018D5"/>
    <w:rsid w:val="00801B05"/>
    <w:rsid w:val="00802777"/>
    <w:rsid w:val="00802F83"/>
    <w:rsid w:val="00803A2B"/>
    <w:rsid w:val="0080404E"/>
    <w:rsid w:val="00804136"/>
    <w:rsid w:val="00804EB0"/>
    <w:rsid w:val="0080540D"/>
    <w:rsid w:val="008062AE"/>
    <w:rsid w:val="008062C4"/>
    <w:rsid w:val="0080661F"/>
    <w:rsid w:val="00806A31"/>
    <w:rsid w:val="00806DC2"/>
    <w:rsid w:val="00807005"/>
    <w:rsid w:val="008070C5"/>
    <w:rsid w:val="008072E1"/>
    <w:rsid w:val="008077AF"/>
    <w:rsid w:val="008102C0"/>
    <w:rsid w:val="008104AD"/>
    <w:rsid w:val="0081056F"/>
    <w:rsid w:val="0081088B"/>
    <w:rsid w:val="00810F28"/>
    <w:rsid w:val="00811BEA"/>
    <w:rsid w:val="0081237E"/>
    <w:rsid w:val="00812F60"/>
    <w:rsid w:val="008138BC"/>
    <w:rsid w:val="00813E31"/>
    <w:rsid w:val="00814476"/>
    <w:rsid w:val="00814843"/>
    <w:rsid w:val="0081624F"/>
    <w:rsid w:val="008162D8"/>
    <w:rsid w:val="0081697A"/>
    <w:rsid w:val="00816AD1"/>
    <w:rsid w:val="00816B98"/>
    <w:rsid w:val="00816E72"/>
    <w:rsid w:val="00817586"/>
    <w:rsid w:val="00820036"/>
    <w:rsid w:val="008201E7"/>
    <w:rsid w:val="00820BBC"/>
    <w:rsid w:val="00820D1D"/>
    <w:rsid w:val="008213B9"/>
    <w:rsid w:val="00822524"/>
    <w:rsid w:val="00822D01"/>
    <w:rsid w:val="00823112"/>
    <w:rsid w:val="00823A23"/>
    <w:rsid w:val="00823AA4"/>
    <w:rsid w:val="00823B52"/>
    <w:rsid w:val="008242BE"/>
    <w:rsid w:val="00824A1C"/>
    <w:rsid w:val="00824FD2"/>
    <w:rsid w:val="0082501A"/>
    <w:rsid w:val="008257E3"/>
    <w:rsid w:val="00825EB6"/>
    <w:rsid w:val="00825F59"/>
    <w:rsid w:val="0082651F"/>
    <w:rsid w:val="008265E2"/>
    <w:rsid w:val="00826BE0"/>
    <w:rsid w:val="00826D19"/>
    <w:rsid w:val="008275AF"/>
    <w:rsid w:val="00827ACF"/>
    <w:rsid w:val="00827BBB"/>
    <w:rsid w:val="00827E20"/>
    <w:rsid w:val="008305EE"/>
    <w:rsid w:val="008305F6"/>
    <w:rsid w:val="00830AD0"/>
    <w:rsid w:val="00831A8C"/>
    <w:rsid w:val="0083242F"/>
    <w:rsid w:val="008328AC"/>
    <w:rsid w:val="00832EF4"/>
    <w:rsid w:val="008333BC"/>
    <w:rsid w:val="00833732"/>
    <w:rsid w:val="00833C36"/>
    <w:rsid w:val="008342C3"/>
    <w:rsid w:val="0083478D"/>
    <w:rsid w:val="00835419"/>
    <w:rsid w:val="00836319"/>
    <w:rsid w:val="00836DE5"/>
    <w:rsid w:val="00836E9A"/>
    <w:rsid w:val="00837309"/>
    <w:rsid w:val="008406FC"/>
    <w:rsid w:val="00840B88"/>
    <w:rsid w:val="00840E5C"/>
    <w:rsid w:val="008416C4"/>
    <w:rsid w:val="00841ADF"/>
    <w:rsid w:val="00841B08"/>
    <w:rsid w:val="00841CD1"/>
    <w:rsid w:val="0084241F"/>
    <w:rsid w:val="008428C1"/>
    <w:rsid w:val="00842D19"/>
    <w:rsid w:val="00842D3B"/>
    <w:rsid w:val="00843312"/>
    <w:rsid w:val="008435B1"/>
    <w:rsid w:val="008438D3"/>
    <w:rsid w:val="00844507"/>
    <w:rsid w:val="008448EC"/>
    <w:rsid w:val="008457BC"/>
    <w:rsid w:val="00845B5F"/>
    <w:rsid w:val="00846507"/>
    <w:rsid w:val="00846A43"/>
    <w:rsid w:val="00846AB9"/>
    <w:rsid w:val="00846E30"/>
    <w:rsid w:val="00847623"/>
    <w:rsid w:val="0085024D"/>
    <w:rsid w:val="0085040B"/>
    <w:rsid w:val="0085065F"/>
    <w:rsid w:val="00850712"/>
    <w:rsid w:val="00850D2D"/>
    <w:rsid w:val="0085114F"/>
    <w:rsid w:val="0085153A"/>
    <w:rsid w:val="00851693"/>
    <w:rsid w:val="0085191E"/>
    <w:rsid w:val="00851968"/>
    <w:rsid w:val="00851A55"/>
    <w:rsid w:val="00851BEC"/>
    <w:rsid w:val="008524DC"/>
    <w:rsid w:val="00852D8E"/>
    <w:rsid w:val="0085372D"/>
    <w:rsid w:val="00854424"/>
    <w:rsid w:val="00854E04"/>
    <w:rsid w:val="00854F57"/>
    <w:rsid w:val="00855187"/>
    <w:rsid w:val="008556D1"/>
    <w:rsid w:val="00855DFC"/>
    <w:rsid w:val="00855F92"/>
    <w:rsid w:val="008560B3"/>
    <w:rsid w:val="0085662E"/>
    <w:rsid w:val="00856967"/>
    <w:rsid w:val="00856CBD"/>
    <w:rsid w:val="00856D64"/>
    <w:rsid w:val="008572C2"/>
    <w:rsid w:val="0086056F"/>
    <w:rsid w:val="008606DD"/>
    <w:rsid w:val="008610B3"/>
    <w:rsid w:val="0086146C"/>
    <w:rsid w:val="0086179A"/>
    <w:rsid w:val="00861D12"/>
    <w:rsid w:val="00861F89"/>
    <w:rsid w:val="00861FD3"/>
    <w:rsid w:val="00862351"/>
    <w:rsid w:val="00862906"/>
    <w:rsid w:val="00862C55"/>
    <w:rsid w:val="00863344"/>
    <w:rsid w:val="0086350C"/>
    <w:rsid w:val="00863740"/>
    <w:rsid w:val="00863995"/>
    <w:rsid w:val="00864915"/>
    <w:rsid w:val="00864E73"/>
    <w:rsid w:val="00864E77"/>
    <w:rsid w:val="00864F23"/>
    <w:rsid w:val="0086579F"/>
    <w:rsid w:val="008658DE"/>
    <w:rsid w:val="00866561"/>
    <w:rsid w:val="00866594"/>
    <w:rsid w:val="008668BD"/>
    <w:rsid w:val="00866B57"/>
    <w:rsid w:val="00867DD1"/>
    <w:rsid w:val="008702D8"/>
    <w:rsid w:val="00870701"/>
    <w:rsid w:val="00870D53"/>
    <w:rsid w:val="008710AC"/>
    <w:rsid w:val="00871A94"/>
    <w:rsid w:val="0087333E"/>
    <w:rsid w:val="00873554"/>
    <w:rsid w:val="00873993"/>
    <w:rsid w:val="00873CD0"/>
    <w:rsid w:val="00874429"/>
    <w:rsid w:val="00874578"/>
    <w:rsid w:val="00874863"/>
    <w:rsid w:val="00874A72"/>
    <w:rsid w:val="00874DAA"/>
    <w:rsid w:val="00875056"/>
    <w:rsid w:val="00875364"/>
    <w:rsid w:val="00875376"/>
    <w:rsid w:val="00875D5F"/>
    <w:rsid w:val="00875F6A"/>
    <w:rsid w:val="008765FB"/>
    <w:rsid w:val="008768E8"/>
    <w:rsid w:val="00876D7B"/>
    <w:rsid w:val="00877B6C"/>
    <w:rsid w:val="00877DED"/>
    <w:rsid w:val="008803A5"/>
    <w:rsid w:val="008804E5"/>
    <w:rsid w:val="00880715"/>
    <w:rsid w:val="008808DB"/>
    <w:rsid w:val="00880B25"/>
    <w:rsid w:val="00880E32"/>
    <w:rsid w:val="00881037"/>
    <w:rsid w:val="0088282F"/>
    <w:rsid w:val="008829B6"/>
    <w:rsid w:val="00882B3E"/>
    <w:rsid w:val="00882B95"/>
    <w:rsid w:val="00882BD0"/>
    <w:rsid w:val="00883138"/>
    <w:rsid w:val="00883144"/>
    <w:rsid w:val="00883B52"/>
    <w:rsid w:val="00883BB0"/>
    <w:rsid w:val="00884280"/>
    <w:rsid w:val="00884B03"/>
    <w:rsid w:val="00884F14"/>
    <w:rsid w:val="008852F9"/>
    <w:rsid w:val="0088557D"/>
    <w:rsid w:val="00885B59"/>
    <w:rsid w:val="00885C2F"/>
    <w:rsid w:val="00885D99"/>
    <w:rsid w:val="00885FC0"/>
    <w:rsid w:val="008861E5"/>
    <w:rsid w:val="00886424"/>
    <w:rsid w:val="008868C7"/>
    <w:rsid w:val="00886D4D"/>
    <w:rsid w:val="008873E8"/>
    <w:rsid w:val="00887700"/>
    <w:rsid w:val="00890420"/>
    <w:rsid w:val="0089076A"/>
    <w:rsid w:val="008910AB"/>
    <w:rsid w:val="008915DB"/>
    <w:rsid w:val="00891D6C"/>
    <w:rsid w:val="0089249F"/>
    <w:rsid w:val="0089288A"/>
    <w:rsid w:val="00892E23"/>
    <w:rsid w:val="008930F3"/>
    <w:rsid w:val="00893293"/>
    <w:rsid w:val="00893A0B"/>
    <w:rsid w:val="00893AE0"/>
    <w:rsid w:val="00893B37"/>
    <w:rsid w:val="00893D9B"/>
    <w:rsid w:val="00893DEC"/>
    <w:rsid w:val="00893F9E"/>
    <w:rsid w:val="008942BD"/>
    <w:rsid w:val="00894463"/>
    <w:rsid w:val="00894525"/>
    <w:rsid w:val="008946AB"/>
    <w:rsid w:val="0089588A"/>
    <w:rsid w:val="00895DB2"/>
    <w:rsid w:val="00895FD1"/>
    <w:rsid w:val="008961E9"/>
    <w:rsid w:val="00896369"/>
    <w:rsid w:val="00896C6C"/>
    <w:rsid w:val="0089731A"/>
    <w:rsid w:val="00897968"/>
    <w:rsid w:val="008A1326"/>
    <w:rsid w:val="008A1443"/>
    <w:rsid w:val="008A1536"/>
    <w:rsid w:val="008A1DCE"/>
    <w:rsid w:val="008A2AC5"/>
    <w:rsid w:val="008A31E6"/>
    <w:rsid w:val="008A364C"/>
    <w:rsid w:val="008A3720"/>
    <w:rsid w:val="008A3CBD"/>
    <w:rsid w:val="008A3D4B"/>
    <w:rsid w:val="008A4363"/>
    <w:rsid w:val="008A4581"/>
    <w:rsid w:val="008A4955"/>
    <w:rsid w:val="008A522A"/>
    <w:rsid w:val="008A55FD"/>
    <w:rsid w:val="008A5F1F"/>
    <w:rsid w:val="008A6C33"/>
    <w:rsid w:val="008A7209"/>
    <w:rsid w:val="008A7279"/>
    <w:rsid w:val="008A7FF7"/>
    <w:rsid w:val="008B0E72"/>
    <w:rsid w:val="008B1110"/>
    <w:rsid w:val="008B1A00"/>
    <w:rsid w:val="008B3CF4"/>
    <w:rsid w:val="008B3F05"/>
    <w:rsid w:val="008B4052"/>
    <w:rsid w:val="008B41C6"/>
    <w:rsid w:val="008B561F"/>
    <w:rsid w:val="008B5892"/>
    <w:rsid w:val="008B5D0D"/>
    <w:rsid w:val="008B5D77"/>
    <w:rsid w:val="008B5E56"/>
    <w:rsid w:val="008B60B1"/>
    <w:rsid w:val="008B72A2"/>
    <w:rsid w:val="008B7374"/>
    <w:rsid w:val="008B77FF"/>
    <w:rsid w:val="008C0562"/>
    <w:rsid w:val="008C0749"/>
    <w:rsid w:val="008C09E4"/>
    <w:rsid w:val="008C1227"/>
    <w:rsid w:val="008C1358"/>
    <w:rsid w:val="008C1479"/>
    <w:rsid w:val="008C2955"/>
    <w:rsid w:val="008C297A"/>
    <w:rsid w:val="008C3D55"/>
    <w:rsid w:val="008C3DAF"/>
    <w:rsid w:val="008C4201"/>
    <w:rsid w:val="008C4316"/>
    <w:rsid w:val="008C433C"/>
    <w:rsid w:val="008C45D2"/>
    <w:rsid w:val="008C46D0"/>
    <w:rsid w:val="008C4868"/>
    <w:rsid w:val="008C4ABA"/>
    <w:rsid w:val="008C4DA2"/>
    <w:rsid w:val="008C5404"/>
    <w:rsid w:val="008C578E"/>
    <w:rsid w:val="008C57DD"/>
    <w:rsid w:val="008C6643"/>
    <w:rsid w:val="008C7479"/>
    <w:rsid w:val="008C79BF"/>
    <w:rsid w:val="008C7FDD"/>
    <w:rsid w:val="008D0260"/>
    <w:rsid w:val="008D03A5"/>
    <w:rsid w:val="008D0A3E"/>
    <w:rsid w:val="008D0E82"/>
    <w:rsid w:val="008D185E"/>
    <w:rsid w:val="008D1A3B"/>
    <w:rsid w:val="008D1DED"/>
    <w:rsid w:val="008D221D"/>
    <w:rsid w:val="008D24B3"/>
    <w:rsid w:val="008D25E2"/>
    <w:rsid w:val="008D26FE"/>
    <w:rsid w:val="008D37B2"/>
    <w:rsid w:val="008D4004"/>
    <w:rsid w:val="008D41DB"/>
    <w:rsid w:val="008D453A"/>
    <w:rsid w:val="008D4AF5"/>
    <w:rsid w:val="008D4C4A"/>
    <w:rsid w:val="008D4D63"/>
    <w:rsid w:val="008D4D70"/>
    <w:rsid w:val="008D5428"/>
    <w:rsid w:val="008D5457"/>
    <w:rsid w:val="008D54E7"/>
    <w:rsid w:val="008D55F7"/>
    <w:rsid w:val="008D5D74"/>
    <w:rsid w:val="008D6B10"/>
    <w:rsid w:val="008D6D33"/>
    <w:rsid w:val="008D7045"/>
    <w:rsid w:val="008D75D9"/>
    <w:rsid w:val="008D7BB5"/>
    <w:rsid w:val="008E0A04"/>
    <w:rsid w:val="008E0B21"/>
    <w:rsid w:val="008E13CC"/>
    <w:rsid w:val="008E1609"/>
    <w:rsid w:val="008E16C7"/>
    <w:rsid w:val="008E22C1"/>
    <w:rsid w:val="008E24DE"/>
    <w:rsid w:val="008E287F"/>
    <w:rsid w:val="008E2A47"/>
    <w:rsid w:val="008E33B2"/>
    <w:rsid w:val="008E3524"/>
    <w:rsid w:val="008E3A05"/>
    <w:rsid w:val="008E3C20"/>
    <w:rsid w:val="008E441C"/>
    <w:rsid w:val="008E48C2"/>
    <w:rsid w:val="008E4AA1"/>
    <w:rsid w:val="008E53B1"/>
    <w:rsid w:val="008E59DB"/>
    <w:rsid w:val="008E5A19"/>
    <w:rsid w:val="008E5C89"/>
    <w:rsid w:val="008E5E34"/>
    <w:rsid w:val="008E6562"/>
    <w:rsid w:val="008E67EB"/>
    <w:rsid w:val="008E6DEC"/>
    <w:rsid w:val="008E6E3E"/>
    <w:rsid w:val="008E71F9"/>
    <w:rsid w:val="008E7653"/>
    <w:rsid w:val="008E7E70"/>
    <w:rsid w:val="008F0157"/>
    <w:rsid w:val="008F07B6"/>
    <w:rsid w:val="008F0DFF"/>
    <w:rsid w:val="008F1C2E"/>
    <w:rsid w:val="008F1FCF"/>
    <w:rsid w:val="008F2213"/>
    <w:rsid w:val="008F27F9"/>
    <w:rsid w:val="008F31B8"/>
    <w:rsid w:val="008F3E99"/>
    <w:rsid w:val="008F4982"/>
    <w:rsid w:val="008F4B90"/>
    <w:rsid w:val="008F60C4"/>
    <w:rsid w:val="008F629B"/>
    <w:rsid w:val="008F6655"/>
    <w:rsid w:val="008F6968"/>
    <w:rsid w:val="008F71F7"/>
    <w:rsid w:val="008F7AF6"/>
    <w:rsid w:val="008F7C47"/>
    <w:rsid w:val="008F7F52"/>
    <w:rsid w:val="0090032A"/>
    <w:rsid w:val="0090036C"/>
    <w:rsid w:val="009008AD"/>
    <w:rsid w:val="009008EC"/>
    <w:rsid w:val="00900B5D"/>
    <w:rsid w:val="009010EA"/>
    <w:rsid w:val="009012A9"/>
    <w:rsid w:val="0090153A"/>
    <w:rsid w:val="009016C7"/>
    <w:rsid w:val="009017C7"/>
    <w:rsid w:val="009022A5"/>
    <w:rsid w:val="00902EF7"/>
    <w:rsid w:val="00903680"/>
    <w:rsid w:val="00903BE1"/>
    <w:rsid w:val="00903EB7"/>
    <w:rsid w:val="00904079"/>
    <w:rsid w:val="009042C1"/>
    <w:rsid w:val="00904E9E"/>
    <w:rsid w:val="00905900"/>
    <w:rsid w:val="00905E1E"/>
    <w:rsid w:val="00905F60"/>
    <w:rsid w:val="009067C9"/>
    <w:rsid w:val="00906C7F"/>
    <w:rsid w:val="0090705D"/>
    <w:rsid w:val="009071CD"/>
    <w:rsid w:val="00907238"/>
    <w:rsid w:val="00907774"/>
    <w:rsid w:val="00907FFE"/>
    <w:rsid w:val="009110EE"/>
    <w:rsid w:val="00911192"/>
    <w:rsid w:val="009114B2"/>
    <w:rsid w:val="0091174E"/>
    <w:rsid w:val="00911806"/>
    <w:rsid w:val="00911BE2"/>
    <w:rsid w:val="00911F9B"/>
    <w:rsid w:val="00913086"/>
    <w:rsid w:val="00913AFB"/>
    <w:rsid w:val="00913DAB"/>
    <w:rsid w:val="0091404D"/>
    <w:rsid w:val="009140E0"/>
    <w:rsid w:val="00914B14"/>
    <w:rsid w:val="00914F1A"/>
    <w:rsid w:val="00915026"/>
    <w:rsid w:val="009151A9"/>
    <w:rsid w:val="009152C8"/>
    <w:rsid w:val="00915A68"/>
    <w:rsid w:val="00915E62"/>
    <w:rsid w:val="009162E3"/>
    <w:rsid w:val="00916475"/>
    <w:rsid w:val="009164B5"/>
    <w:rsid w:val="0091656C"/>
    <w:rsid w:val="00917258"/>
    <w:rsid w:val="009175F9"/>
    <w:rsid w:val="009176CF"/>
    <w:rsid w:val="009179F8"/>
    <w:rsid w:val="009201EB"/>
    <w:rsid w:val="0092170C"/>
    <w:rsid w:val="0092212D"/>
    <w:rsid w:val="009225E5"/>
    <w:rsid w:val="009225FB"/>
    <w:rsid w:val="00923177"/>
    <w:rsid w:val="00923874"/>
    <w:rsid w:val="009251CF"/>
    <w:rsid w:val="00925A42"/>
    <w:rsid w:val="00925BF9"/>
    <w:rsid w:val="00926233"/>
    <w:rsid w:val="00926450"/>
    <w:rsid w:val="0092717A"/>
    <w:rsid w:val="00927340"/>
    <w:rsid w:val="00927676"/>
    <w:rsid w:val="00927716"/>
    <w:rsid w:val="009301F6"/>
    <w:rsid w:val="00930284"/>
    <w:rsid w:val="009306C5"/>
    <w:rsid w:val="00930F33"/>
    <w:rsid w:val="0093144C"/>
    <w:rsid w:val="009319AE"/>
    <w:rsid w:val="009319C2"/>
    <w:rsid w:val="009322D4"/>
    <w:rsid w:val="00932664"/>
    <w:rsid w:val="00932D65"/>
    <w:rsid w:val="00933C1A"/>
    <w:rsid w:val="00934A37"/>
    <w:rsid w:val="00934D9B"/>
    <w:rsid w:val="0093584A"/>
    <w:rsid w:val="00935E22"/>
    <w:rsid w:val="0093604C"/>
    <w:rsid w:val="009367D5"/>
    <w:rsid w:val="00936EDC"/>
    <w:rsid w:val="0093743A"/>
    <w:rsid w:val="009401D3"/>
    <w:rsid w:val="009408B4"/>
    <w:rsid w:val="009413C4"/>
    <w:rsid w:val="00941A4E"/>
    <w:rsid w:val="00942005"/>
    <w:rsid w:val="009433DD"/>
    <w:rsid w:val="0094360E"/>
    <w:rsid w:val="00943674"/>
    <w:rsid w:val="009436A7"/>
    <w:rsid w:val="009440C5"/>
    <w:rsid w:val="00944108"/>
    <w:rsid w:val="009442F4"/>
    <w:rsid w:val="009443FF"/>
    <w:rsid w:val="0094548E"/>
    <w:rsid w:val="00946312"/>
    <w:rsid w:val="00946D7F"/>
    <w:rsid w:val="00946DFC"/>
    <w:rsid w:val="009474D7"/>
    <w:rsid w:val="0095080E"/>
    <w:rsid w:val="00951FBE"/>
    <w:rsid w:val="009524AD"/>
    <w:rsid w:val="00952E21"/>
    <w:rsid w:val="0095309E"/>
    <w:rsid w:val="00953125"/>
    <w:rsid w:val="0095335F"/>
    <w:rsid w:val="00953400"/>
    <w:rsid w:val="009535D6"/>
    <w:rsid w:val="009538AE"/>
    <w:rsid w:val="00953A88"/>
    <w:rsid w:val="00953D27"/>
    <w:rsid w:val="009543C1"/>
    <w:rsid w:val="0095506C"/>
    <w:rsid w:val="0095531D"/>
    <w:rsid w:val="00955730"/>
    <w:rsid w:val="0095601A"/>
    <w:rsid w:val="0095611E"/>
    <w:rsid w:val="00957358"/>
    <w:rsid w:val="00957575"/>
    <w:rsid w:val="00957A52"/>
    <w:rsid w:val="00957DCD"/>
    <w:rsid w:val="00960509"/>
    <w:rsid w:val="00961100"/>
    <w:rsid w:val="00961509"/>
    <w:rsid w:val="00961537"/>
    <w:rsid w:val="009618B8"/>
    <w:rsid w:val="00961D6E"/>
    <w:rsid w:val="00961F90"/>
    <w:rsid w:val="00962793"/>
    <w:rsid w:val="009629EF"/>
    <w:rsid w:val="00962F52"/>
    <w:rsid w:val="0096371B"/>
    <w:rsid w:val="009638CB"/>
    <w:rsid w:val="00964847"/>
    <w:rsid w:val="00964A1C"/>
    <w:rsid w:val="00964B65"/>
    <w:rsid w:val="00965B44"/>
    <w:rsid w:val="00966015"/>
    <w:rsid w:val="009662AF"/>
    <w:rsid w:val="0096682F"/>
    <w:rsid w:val="00966F06"/>
    <w:rsid w:val="009676C6"/>
    <w:rsid w:val="00967875"/>
    <w:rsid w:val="009678A4"/>
    <w:rsid w:val="009709CD"/>
    <w:rsid w:val="00970DF2"/>
    <w:rsid w:val="00971109"/>
    <w:rsid w:val="009712F9"/>
    <w:rsid w:val="0097166C"/>
    <w:rsid w:val="0097168B"/>
    <w:rsid w:val="00971A0E"/>
    <w:rsid w:val="00971B42"/>
    <w:rsid w:val="00971BBF"/>
    <w:rsid w:val="009722BD"/>
    <w:rsid w:val="009724BF"/>
    <w:rsid w:val="0097354D"/>
    <w:rsid w:val="00973A5B"/>
    <w:rsid w:val="00974067"/>
    <w:rsid w:val="00974249"/>
    <w:rsid w:val="009745DA"/>
    <w:rsid w:val="009747B7"/>
    <w:rsid w:val="00974BD3"/>
    <w:rsid w:val="00975201"/>
    <w:rsid w:val="0097545C"/>
    <w:rsid w:val="00975640"/>
    <w:rsid w:val="0097599C"/>
    <w:rsid w:val="009759B7"/>
    <w:rsid w:val="00975F56"/>
    <w:rsid w:val="00976DBB"/>
    <w:rsid w:val="0097761A"/>
    <w:rsid w:val="009779DD"/>
    <w:rsid w:val="009805CB"/>
    <w:rsid w:val="00981A78"/>
    <w:rsid w:val="00981CCD"/>
    <w:rsid w:val="00982193"/>
    <w:rsid w:val="0098268F"/>
    <w:rsid w:val="00983308"/>
    <w:rsid w:val="00983F07"/>
    <w:rsid w:val="00984128"/>
    <w:rsid w:val="00984B4E"/>
    <w:rsid w:val="009851E3"/>
    <w:rsid w:val="00985A8E"/>
    <w:rsid w:val="00986499"/>
    <w:rsid w:val="009869FF"/>
    <w:rsid w:val="00987246"/>
    <w:rsid w:val="00987590"/>
    <w:rsid w:val="00987732"/>
    <w:rsid w:val="0098773E"/>
    <w:rsid w:val="009877D1"/>
    <w:rsid w:val="00987DC1"/>
    <w:rsid w:val="00990A79"/>
    <w:rsid w:val="009915EF"/>
    <w:rsid w:val="00991A00"/>
    <w:rsid w:val="00991C99"/>
    <w:rsid w:val="00991CFE"/>
    <w:rsid w:val="009937D2"/>
    <w:rsid w:val="00993BFD"/>
    <w:rsid w:val="00994ED8"/>
    <w:rsid w:val="009950EE"/>
    <w:rsid w:val="0099579E"/>
    <w:rsid w:val="00995EC0"/>
    <w:rsid w:val="0099654D"/>
    <w:rsid w:val="009969BA"/>
    <w:rsid w:val="00996EB3"/>
    <w:rsid w:val="009972A2"/>
    <w:rsid w:val="009973F5"/>
    <w:rsid w:val="009978A2"/>
    <w:rsid w:val="00997A4F"/>
    <w:rsid w:val="00997FE1"/>
    <w:rsid w:val="009A0549"/>
    <w:rsid w:val="009A0972"/>
    <w:rsid w:val="009A181B"/>
    <w:rsid w:val="009A1878"/>
    <w:rsid w:val="009A19F9"/>
    <w:rsid w:val="009A23BE"/>
    <w:rsid w:val="009A3000"/>
    <w:rsid w:val="009A3071"/>
    <w:rsid w:val="009A3541"/>
    <w:rsid w:val="009A3668"/>
    <w:rsid w:val="009A3844"/>
    <w:rsid w:val="009A3EC0"/>
    <w:rsid w:val="009A4C4D"/>
    <w:rsid w:val="009A4E6C"/>
    <w:rsid w:val="009A52AE"/>
    <w:rsid w:val="009A61DD"/>
    <w:rsid w:val="009A6266"/>
    <w:rsid w:val="009A6F41"/>
    <w:rsid w:val="009A7DC7"/>
    <w:rsid w:val="009B0018"/>
    <w:rsid w:val="009B00E4"/>
    <w:rsid w:val="009B0A5C"/>
    <w:rsid w:val="009B0AD0"/>
    <w:rsid w:val="009B0B67"/>
    <w:rsid w:val="009B0E3F"/>
    <w:rsid w:val="009B1248"/>
    <w:rsid w:val="009B234D"/>
    <w:rsid w:val="009B2719"/>
    <w:rsid w:val="009B2B45"/>
    <w:rsid w:val="009B2D05"/>
    <w:rsid w:val="009B2E94"/>
    <w:rsid w:val="009B2EDA"/>
    <w:rsid w:val="009B2EF8"/>
    <w:rsid w:val="009B467B"/>
    <w:rsid w:val="009B46CF"/>
    <w:rsid w:val="009B66DB"/>
    <w:rsid w:val="009B7ACA"/>
    <w:rsid w:val="009B7CB5"/>
    <w:rsid w:val="009C04FE"/>
    <w:rsid w:val="009C0784"/>
    <w:rsid w:val="009C085D"/>
    <w:rsid w:val="009C0B42"/>
    <w:rsid w:val="009C15B5"/>
    <w:rsid w:val="009C1B5C"/>
    <w:rsid w:val="009C2006"/>
    <w:rsid w:val="009C2344"/>
    <w:rsid w:val="009C27E4"/>
    <w:rsid w:val="009C2A3F"/>
    <w:rsid w:val="009C2BBD"/>
    <w:rsid w:val="009C35A8"/>
    <w:rsid w:val="009C37FB"/>
    <w:rsid w:val="009C3AC6"/>
    <w:rsid w:val="009C49F2"/>
    <w:rsid w:val="009C5E0E"/>
    <w:rsid w:val="009C64DA"/>
    <w:rsid w:val="009C67A0"/>
    <w:rsid w:val="009C6C9F"/>
    <w:rsid w:val="009C7B20"/>
    <w:rsid w:val="009C7BC5"/>
    <w:rsid w:val="009D0386"/>
    <w:rsid w:val="009D0641"/>
    <w:rsid w:val="009D06C5"/>
    <w:rsid w:val="009D073E"/>
    <w:rsid w:val="009D0B01"/>
    <w:rsid w:val="009D0EC4"/>
    <w:rsid w:val="009D1106"/>
    <w:rsid w:val="009D19A5"/>
    <w:rsid w:val="009D1B96"/>
    <w:rsid w:val="009D1C63"/>
    <w:rsid w:val="009D273F"/>
    <w:rsid w:val="009D2783"/>
    <w:rsid w:val="009D294B"/>
    <w:rsid w:val="009D30AF"/>
    <w:rsid w:val="009D3537"/>
    <w:rsid w:val="009D3B77"/>
    <w:rsid w:val="009D3C8D"/>
    <w:rsid w:val="009D3DF4"/>
    <w:rsid w:val="009D3E13"/>
    <w:rsid w:val="009D3FC6"/>
    <w:rsid w:val="009D4193"/>
    <w:rsid w:val="009D4545"/>
    <w:rsid w:val="009D4FD1"/>
    <w:rsid w:val="009D5021"/>
    <w:rsid w:val="009D533A"/>
    <w:rsid w:val="009D5AE6"/>
    <w:rsid w:val="009D5B31"/>
    <w:rsid w:val="009D6663"/>
    <w:rsid w:val="009D6E5A"/>
    <w:rsid w:val="009D72FC"/>
    <w:rsid w:val="009D760C"/>
    <w:rsid w:val="009D7FF0"/>
    <w:rsid w:val="009E0030"/>
    <w:rsid w:val="009E05AE"/>
    <w:rsid w:val="009E074A"/>
    <w:rsid w:val="009E0B53"/>
    <w:rsid w:val="009E0FBE"/>
    <w:rsid w:val="009E1DBA"/>
    <w:rsid w:val="009E1F51"/>
    <w:rsid w:val="009E3139"/>
    <w:rsid w:val="009E37E7"/>
    <w:rsid w:val="009E4421"/>
    <w:rsid w:val="009E44F6"/>
    <w:rsid w:val="009E47BA"/>
    <w:rsid w:val="009E496C"/>
    <w:rsid w:val="009E4AF6"/>
    <w:rsid w:val="009E5156"/>
    <w:rsid w:val="009E55A6"/>
    <w:rsid w:val="009E61D9"/>
    <w:rsid w:val="009E6891"/>
    <w:rsid w:val="009E6DBB"/>
    <w:rsid w:val="009E75BE"/>
    <w:rsid w:val="009E75E2"/>
    <w:rsid w:val="009E7C21"/>
    <w:rsid w:val="009E7D76"/>
    <w:rsid w:val="009F0160"/>
    <w:rsid w:val="009F018B"/>
    <w:rsid w:val="009F1101"/>
    <w:rsid w:val="009F11D3"/>
    <w:rsid w:val="009F1440"/>
    <w:rsid w:val="009F1F38"/>
    <w:rsid w:val="009F1FB1"/>
    <w:rsid w:val="009F26C1"/>
    <w:rsid w:val="009F2AD3"/>
    <w:rsid w:val="009F2BED"/>
    <w:rsid w:val="009F2FBD"/>
    <w:rsid w:val="009F352A"/>
    <w:rsid w:val="009F3B4C"/>
    <w:rsid w:val="009F44FC"/>
    <w:rsid w:val="009F4C6A"/>
    <w:rsid w:val="009F4F2C"/>
    <w:rsid w:val="009F5142"/>
    <w:rsid w:val="009F5ABF"/>
    <w:rsid w:val="009F5DB6"/>
    <w:rsid w:val="009F5E0C"/>
    <w:rsid w:val="009F61ED"/>
    <w:rsid w:val="009F6635"/>
    <w:rsid w:val="009F7AC6"/>
    <w:rsid w:val="009F7B4B"/>
    <w:rsid w:val="00A003D1"/>
    <w:rsid w:val="00A00C66"/>
    <w:rsid w:val="00A00D76"/>
    <w:rsid w:val="00A014F4"/>
    <w:rsid w:val="00A01B85"/>
    <w:rsid w:val="00A02266"/>
    <w:rsid w:val="00A02651"/>
    <w:rsid w:val="00A02F93"/>
    <w:rsid w:val="00A03C64"/>
    <w:rsid w:val="00A03D96"/>
    <w:rsid w:val="00A0400A"/>
    <w:rsid w:val="00A041CA"/>
    <w:rsid w:val="00A04829"/>
    <w:rsid w:val="00A049AD"/>
    <w:rsid w:val="00A04A6C"/>
    <w:rsid w:val="00A04B8A"/>
    <w:rsid w:val="00A0565A"/>
    <w:rsid w:val="00A05EBB"/>
    <w:rsid w:val="00A068B2"/>
    <w:rsid w:val="00A06F62"/>
    <w:rsid w:val="00A070C4"/>
    <w:rsid w:val="00A07794"/>
    <w:rsid w:val="00A07822"/>
    <w:rsid w:val="00A078BE"/>
    <w:rsid w:val="00A07EF2"/>
    <w:rsid w:val="00A10198"/>
    <w:rsid w:val="00A104C2"/>
    <w:rsid w:val="00A10965"/>
    <w:rsid w:val="00A11095"/>
    <w:rsid w:val="00A11E35"/>
    <w:rsid w:val="00A12A1C"/>
    <w:rsid w:val="00A130CA"/>
    <w:rsid w:val="00A13524"/>
    <w:rsid w:val="00A13B36"/>
    <w:rsid w:val="00A1488F"/>
    <w:rsid w:val="00A1565C"/>
    <w:rsid w:val="00A15B4A"/>
    <w:rsid w:val="00A15D2A"/>
    <w:rsid w:val="00A15E09"/>
    <w:rsid w:val="00A16F20"/>
    <w:rsid w:val="00A17DBE"/>
    <w:rsid w:val="00A17DC2"/>
    <w:rsid w:val="00A20013"/>
    <w:rsid w:val="00A207C0"/>
    <w:rsid w:val="00A21068"/>
    <w:rsid w:val="00A211A1"/>
    <w:rsid w:val="00A2123F"/>
    <w:rsid w:val="00A21B7D"/>
    <w:rsid w:val="00A2224F"/>
    <w:rsid w:val="00A22297"/>
    <w:rsid w:val="00A223F2"/>
    <w:rsid w:val="00A229C5"/>
    <w:rsid w:val="00A22A48"/>
    <w:rsid w:val="00A22C7F"/>
    <w:rsid w:val="00A2374A"/>
    <w:rsid w:val="00A24281"/>
    <w:rsid w:val="00A2438B"/>
    <w:rsid w:val="00A24FB5"/>
    <w:rsid w:val="00A25A8B"/>
    <w:rsid w:val="00A2600B"/>
    <w:rsid w:val="00A263FD"/>
    <w:rsid w:val="00A26437"/>
    <w:rsid w:val="00A266C6"/>
    <w:rsid w:val="00A26DF5"/>
    <w:rsid w:val="00A26FA5"/>
    <w:rsid w:val="00A27CC8"/>
    <w:rsid w:val="00A307D1"/>
    <w:rsid w:val="00A31194"/>
    <w:rsid w:val="00A3167F"/>
    <w:rsid w:val="00A31C41"/>
    <w:rsid w:val="00A3201A"/>
    <w:rsid w:val="00A32A45"/>
    <w:rsid w:val="00A330F5"/>
    <w:rsid w:val="00A331A8"/>
    <w:rsid w:val="00A332D3"/>
    <w:rsid w:val="00A33F9B"/>
    <w:rsid w:val="00A3471B"/>
    <w:rsid w:val="00A348AA"/>
    <w:rsid w:val="00A3558F"/>
    <w:rsid w:val="00A35855"/>
    <w:rsid w:val="00A35E0C"/>
    <w:rsid w:val="00A368CF"/>
    <w:rsid w:val="00A36B9F"/>
    <w:rsid w:val="00A37039"/>
    <w:rsid w:val="00A371B2"/>
    <w:rsid w:val="00A37A09"/>
    <w:rsid w:val="00A405E8"/>
    <w:rsid w:val="00A406BB"/>
    <w:rsid w:val="00A40FA4"/>
    <w:rsid w:val="00A4142B"/>
    <w:rsid w:val="00A41A0D"/>
    <w:rsid w:val="00A41CF4"/>
    <w:rsid w:val="00A4204D"/>
    <w:rsid w:val="00A42159"/>
    <w:rsid w:val="00A43070"/>
    <w:rsid w:val="00A43274"/>
    <w:rsid w:val="00A43367"/>
    <w:rsid w:val="00A436CF"/>
    <w:rsid w:val="00A436E0"/>
    <w:rsid w:val="00A43AC5"/>
    <w:rsid w:val="00A440EE"/>
    <w:rsid w:val="00A44A5F"/>
    <w:rsid w:val="00A44CCD"/>
    <w:rsid w:val="00A45663"/>
    <w:rsid w:val="00A45A19"/>
    <w:rsid w:val="00A45DC8"/>
    <w:rsid w:val="00A45FEF"/>
    <w:rsid w:val="00A464AC"/>
    <w:rsid w:val="00A47D43"/>
    <w:rsid w:val="00A47F69"/>
    <w:rsid w:val="00A501E0"/>
    <w:rsid w:val="00A5039F"/>
    <w:rsid w:val="00A506D1"/>
    <w:rsid w:val="00A5073A"/>
    <w:rsid w:val="00A5088E"/>
    <w:rsid w:val="00A50BEE"/>
    <w:rsid w:val="00A50E6E"/>
    <w:rsid w:val="00A50FEB"/>
    <w:rsid w:val="00A5182D"/>
    <w:rsid w:val="00A51905"/>
    <w:rsid w:val="00A51DE3"/>
    <w:rsid w:val="00A52075"/>
    <w:rsid w:val="00A5228A"/>
    <w:rsid w:val="00A524A2"/>
    <w:rsid w:val="00A525CE"/>
    <w:rsid w:val="00A526B5"/>
    <w:rsid w:val="00A52C5C"/>
    <w:rsid w:val="00A52C6F"/>
    <w:rsid w:val="00A53182"/>
    <w:rsid w:val="00A531D0"/>
    <w:rsid w:val="00A532EC"/>
    <w:rsid w:val="00A533A3"/>
    <w:rsid w:val="00A53A24"/>
    <w:rsid w:val="00A53C50"/>
    <w:rsid w:val="00A54BA8"/>
    <w:rsid w:val="00A54BC1"/>
    <w:rsid w:val="00A55403"/>
    <w:rsid w:val="00A55A4B"/>
    <w:rsid w:val="00A55E25"/>
    <w:rsid w:val="00A5645F"/>
    <w:rsid w:val="00A5706B"/>
    <w:rsid w:val="00A570F5"/>
    <w:rsid w:val="00A57BBC"/>
    <w:rsid w:val="00A60524"/>
    <w:rsid w:val="00A60DEA"/>
    <w:rsid w:val="00A616DD"/>
    <w:rsid w:val="00A61795"/>
    <w:rsid w:val="00A61C68"/>
    <w:rsid w:val="00A62269"/>
    <w:rsid w:val="00A62282"/>
    <w:rsid w:val="00A62E0C"/>
    <w:rsid w:val="00A63224"/>
    <w:rsid w:val="00A63CFC"/>
    <w:rsid w:val="00A63EED"/>
    <w:rsid w:val="00A643E6"/>
    <w:rsid w:val="00A644D7"/>
    <w:rsid w:val="00A65528"/>
    <w:rsid w:val="00A6558D"/>
    <w:rsid w:val="00A655A6"/>
    <w:rsid w:val="00A65EED"/>
    <w:rsid w:val="00A6694B"/>
    <w:rsid w:val="00A66BC0"/>
    <w:rsid w:val="00A6744B"/>
    <w:rsid w:val="00A67463"/>
    <w:rsid w:val="00A674A2"/>
    <w:rsid w:val="00A7071F"/>
    <w:rsid w:val="00A71E5C"/>
    <w:rsid w:val="00A728F0"/>
    <w:rsid w:val="00A72C3A"/>
    <w:rsid w:val="00A731AC"/>
    <w:rsid w:val="00A73210"/>
    <w:rsid w:val="00A7348D"/>
    <w:rsid w:val="00A736D2"/>
    <w:rsid w:val="00A73D8E"/>
    <w:rsid w:val="00A74B0D"/>
    <w:rsid w:val="00A74CDC"/>
    <w:rsid w:val="00A74D88"/>
    <w:rsid w:val="00A75333"/>
    <w:rsid w:val="00A7573F"/>
    <w:rsid w:val="00A75799"/>
    <w:rsid w:val="00A75D79"/>
    <w:rsid w:val="00A75EB1"/>
    <w:rsid w:val="00A76840"/>
    <w:rsid w:val="00A76940"/>
    <w:rsid w:val="00A76A1E"/>
    <w:rsid w:val="00A76AED"/>
    <w:rsid w:val="00A77397"/>
    <w:rsid w:val="00A773B7"/>
    <w:rsid w:val="00A7740F"/>
    <w:rsid w:val="00A77798"/>
    <w:rsid w:val="00A77EA7"/>
    <w:rsid w:val="00A80052"/>
    <w:rsid w:val="00A807D9"/>
    <w:rsid w:val="00A80F7E"/>
    <w:rsid w:val="00A81237"/>
    <w:rsid w:val="00A814FB"/>
    <w:rsid w:val="00A81C16"/>
    <w:rsid w:val="00A8274F"/>
    <w:rsid w:val="00A82782"/>
    <w:rsid w:val="00A82947"/>
    <w:rsid w:val="00A8309B"/>
    <w:rsid w:val="00A832A0"/>
    <w:rsid w:val="00A834CC"/>
    <w:rsid w:val="00A83A82"/>
    <w:rsid w:val="00A841A0"/>
    <w:rsid w:val="00A84310"/>
    <w:rsid w:val="00A843E0"/>
    <w:rsid w:val="00A845EF"/>
    <w:rsid w:val="00A848FC"/>
    <w:rsid w:val="00A85038"/>
    <w:rsid w:val="00A85F89"/>
    <w:rsid w:val="00A861B4"/>
    <w:rsid w:val="00A864F2"/>
    <w:rsid w:val="00A8685E"/>
    <w:rsid w:val="00A87243"/>
    <w:rsid w:val="00A874A5"/>
    <w:rsid w:val="00A87596"/>
    <w:rsid w:val="00A906CF"/>
    <w:rsid w:val="00A91AD9"/>
    <w:rsid w:val="00A9212C"/>
    <w:rsid w:val="00A92451"/>
    <w:rsid w:val="00A92530"/>
    <w:rsid w:val="00A92B1B"/>
    <w:rsid w:val="00A92FDA"/>
    <w:rsid w:val="00A93D08"/>
    <w:rsid w:val="00A94146"/>
    <w:rsid w:val="00A947B9"/>
    <w:rsid w:val="00A95707"/>
    <w:rsid w:val="00A96659"/>
    <w:rsid w:val="00A97B4A"/>
    <w:rsid w:val="00A97F7C"/>
    <w:rsid w:val="00AA01DB"/>
    <w:rsid w:val="00AA0ACE"/>
    <w:rsid w:val="00AA0CB0"/>
    <w:rsid w:val="00AA1696"/>
    <w:rsid w:val="00AA1A4B"/>
    <w:rsid w:val="00AA1F58"/>
    <w:rsid w:val="00AA232E"/>
    <w:rsid w:val="00AA25BB"/>
    <w:rsid w:val="00AA25CF"/>
    <w:rsid w:val="00AA29C8"/>
    <w:rsid w:val="00AA2CF2"/>
    <w:rsid w:val="00AA2DF0"/>
    <w:rsid w:val="00AA322B"/>
    <w:rsid w:val="00AA3262"/>
    <w:rsid w:val="00AA3398"/>
    <w:rsid w:val="00AA3B44"/>
    <w:rsid w:val="00AA5291"/>
    <w:rsid w:val="00AA5386"/>
    <w:rsid w:val="00AA5D88"/>
    <w:rsid w:val="00AA6009"/>
    <w:rsid w:val="00AA6490"/>
    <w:rsid w:val="00AA66FF"/>
    <w:rsid w:val="00AA72F0"/>
    <w:rsid w:val="00AA787B"/>
    <w:rsid w:val="00AB0327"/>
    <w:rsid w:val="00AB046F"/>
    <w:rsid w:val="00AB0755"/>
    <w:rsid w:val="00AB0843"/>
    <w:rsid w:val="00AB085D"/>
    <w:rsid w:val="00AB0D1A"/>
    <w:rsid w:val="00AB0E7F"/>
    <w:rsid w:val="00AB111C"/>
    <w:rsid w:val="00AB11F1"/>
    <w:rsid w:val="00AB138A"/>
    <w:rsid w:val="00AB2495"/>
    <w:rsid w:val="00AB2597"/>
    <w:rsid w:val="00AB2993"/>
    <w:rsid w:val="00AB2B22"/>
    <w:rsid w:val="00AB2DE4"/>
    <w:rsid w:val="00AB42B4"/>
    <w:rsid w:val="00AB4349"/>
    <w:rsid w:val="00AB472B"/>
    <w:rsid w:val="00AB47D3"/>
    <w:rsid w:val="00AB4C9E"/>
    <w:rsid w:val="00AB4ED2"/>
    <w:rsid w:val="00AB60F3"/>
    <w:rsid w:val="00AB6704"/>
    <w:rsid w:val="00AB689C"/>
    <w:rsid w:val="00AB74F0"/>
    <w:rsid w:val="00AB769E"/>
    <w:rsid w:val="00AB76AC"/>
    <w:rsid w:val="00AB7FD7"/>
    <w:rsid w:val="00AC0660"/>
    <w:rsid w:val="00AC0843"/>
    <w:rsid w:val="00AC247E"/>
    <w:rsid w:val="00AC2668"/>
    <w:rsid w:val="00AC2BBA"/>
    <w:rsid w:val="00AC2BEC"/>
    <w:rsid w:val="00AC331F"/>
    <w:rsid w:val="00AC354C"/>
    <w:rsid w:val="00AC3786"/>
    <w:rsid w:val="00AC3853"/>
    <w:rsid w:val="00AC3AB6"/>
    <w:rsid w:val="00AC44C5"/>
    <w:rsid w:val="00AC45E0"/>
    <w:rsid w:val="00AC4835"/>
    <w:rsid w:val="00AC4A2C"/>
    <w:rsid w:val="00AC4CC2"/>
    <w:rsid w:val="00AC59DA"/>
    <w:rsid w:val="00AC5DCB"/>
    <w:rsid w:val="00AC64AC"/>
    <w:rsid w:val="00AC6599"/>
    <w:rsid w:val="00AC6816"/>
    <w:rsid w:val="00AC6B66"/>
    <w:rsid w:val="00AC6FE3"/>
    <w:rsid w:val="00AC70E9"/>
    <w:rsid w:val="00AC750F"/>
    <w:rsid w:val="00AC781A"/>
    <w:rsid w:val="00AC78F3"/>
    <w:rsid w:val="00AD0229"/>
    <w:rsid w:val="00AD0610"/>
    <w:rsid w:val="00AD0AE9"/>
    <w:rsid w:val="00AD0DC9"/>
    <w:rsid w:val="00AD0F76"/>
    <w:rsid w:val="00AD1740"/>
    <w:rsid w:val="00AD1CF9"/>
    <w:rsid w:val="00AD2195"/>
    <w:rsid w:val="00AD298A"/>
    <w:rsid w:val="00AD2E3C"/>
    <w:rsid w:val="00AD304E"/>
    <w:rsid w:val="00AD35F6"/>
    <w:rsid w:val="00AD38FF"/>
    <w:rsid w:val="00AD4DA6"/>
    <w:rsid w:val="00AD5C30"/>
    <w:rsid w:val="00AD6628"/>
    <w:rsid w:val="00AD6876"/>
    <w:rsid w:val="00AD7783"/>
    <w:rsid w:val="00AD7B03"/>
    <w:rsid w:val="00AD7FF3"/>
    <w:rsid w:val="00AE137E"/>
    <w:rsid w:val="00AE18C2"/>
    <w:rsid w:val="00AE1902"/>
    <w:rsid w:val="00AE19E0"/>
    <w:rsid w:val="00AE21BB"/>
    <w:rsid w:val="00AE29F6"/>
    <w:rsid w:val="00AE2A21"/>
    <w:rsid w:val="00AE3022"/>
    <w:rsid w:val="00AE35A9"/>
    <w:rsid w:val="00AE3E00"/>
    <w:rsid w:val="00AE4365"/>
    <w:rsid w:val="00AE55E2"/>
    <w:rsid w:val="00AE573D"/>
    <w:rsid w:val="00AE59E7"/>
    <w:rsid w:val="00AE5D32"/>
    <w:rsid w:val="00AE5F6E"/>
    <w:rsid w:val="00AE63F1"/>
    <w:rsid w:val="00AE64D0"/>
    <w:rsid w:val="00AE7204"/>
    <w:rsid w:val="00AE7500"/>
    <w:rsid w:val="00AE78FF"/>
    <w:rsid w:val="00AE79D0"/>
    <w:rsid w:val="00AE7A24"/>
    <w:rsid w:val="00AF0157"/>
    <w:rsid w:val="00AF04D1"/>
    <w:rsid w:val="00AF063B"/>
    <w:rsid w:val="00AF0DF6"/>
    <w:rsid w:val="00AF1136"/>
    <w:rsid w:val="00AF1613"/>
    <w:rsid w:val="00AF1972"/>
    <w:rsid w:val="00AF1F30"/>
    <w:rsid w:val="00AF29C5"/>
    <w:rsid w:val="00AF29F3"/>
    <w:rsid w:val="00AF2DD6"/>
    <w:rsid w:val="00AF2F11"/>
    <w:rsid w:val="00AF3E15"/>
    <w:rsid w:val="00AF4246"/>
    <w:rsid w:val="00AF47E4"/>
    <w:rsid w:val="00AF4990"/>
    <w:rsid w:val="00AF5257"/>
    <w:rsid w:val="00AF593F"/>
    <w:rsid w:val="00AF5BDA"/>
    <w:rsid w:val="00AF63DC"/>
    <w:rsid w:val="00AF672D"/>
    <w:rsid w:val="00AF6D26"/>
    <w:rsid w:val="00AF6D7B"/>
    <w:rsid w:val="00AF7098"/>
    <w:rsid w:val="00AF7157"/>
    <w:rsid w:val="00AF742F"/>
    <w:rsid w:val="00AF7945"/>
    <w:rsid w:val="00B00137"/>
    <w:rsid w:val="00B00238"/>
    <w:rsid w:val="00B00FF1"/>
    <w:rsid w:val="00B013CA"/>
    <w:rsid w:val="00B01905"/>
    <w:rsid w:val="00B01A2B"/>
    <w:rsid w:val="00B028D5"/>
    <w:rsid w:val="00B02B0E"/>
    <w:rsid w:val="00B02C46"/>
    <w:rsid w:val="00B035D5"/>
    <w:rsid w:val="00B03B59"/>
    <w:rsid w:val="00B04290"/>
    <w:rsid w:val="00B04498"/>
    <w:rsid w:val="00B048F6"/>
    <w:rsid w:val="00B04B15"/>
    <w:rsid w:val="00B04B1C"/>
    <w:rsid w:val="00B04CDF"/>
    <w:rsid w:val="00B04E23"/>
    <w:rsid w:val="00B04EA2"/>
    <w:rsid w:val="00B0600A"/>
    <w:rsid w:val="00B06AE7"/>
    <w:rsid w:val="00B07620"/>
    <w:rsid w:val="00B07876"/>
    <w:rsid w:val="00B0792B"/>
    <w:rsid w:val="00B07951"/>
    <w:rsid w:val="00B07EA9"/>
    <w:rsid w:val="00B0DBAA"/>
    <w:rsid w:val="00B10549"/>
    <w:rsid w:val="00B10BD9"/>
    <w:rsid w:val="00B11DCD"/>
    <w:rsid w:val="00B12054"/>
    <w:rsid w:val="00B1212A"/>
    <w:rsid w:val="00B123AB"/>
    <w:rsid w:val="00B12FA3"/>
    <w:rsid w:val="00B13679"/>
    <w:rsid w:val="00B13C19"/>
    <w:rsid w:val="00B1541E"/>
    <w:rsid w:val="00B15CC1"/>
    <w:rsid w:val="00B16954"/>
    <w:rsid w:val="00B17522"/>
    <w:rsid w:val="00B176B8"/>
    <w:rsid w:val="00B177AF"/>
    <w:rsid w:val="00B177FF"/>
    <w:rsid w:val="00B17AE2"/>
    <w:rsid w:val="00B20D6D"/>
    <w:rsid w:val="00B213C5"/>
    <w:rsid w:val="00B21725"/>
    <w:rsid w:val="00B21875"/>
    <w:rsid w:val="00B219E6"/>
    <w:rsid w:val="00B219EC"/>
    <w:rsid w:val="00B22ABF"/>
    <w:rsid w:val="00B22FE5"/>
    <w:rsid w:val="00B2455E"/>
    <w:rsid w:val="00B24747"/>
    <w:rsid w:val="00B24DB6"/>
    <w:rsid w:val="00B2584B"/>
    <w:rsid w:val="00B25A31"/>
    <w:rsid w:val="00B26158"/>
    <w:rsid w:val="00B2624B"/>
    <w:rsid w:val="00B264A5"/>
    <w:rsid w:val="00B267A2"/>
    <w:rsid w:val="00B26A12"/>
    <w:rsid w:val="00B2782D"/>
    <w:rsid w:val="00B279F0"/>
    <w:rsid w:val="00B27BCB"/>
    <w:rsid w:val="00B27D4F"/>
    <w:rsid w:val="00B30140"/>
    <w:rsid w:val="00B30209"/>
    <w:rsid w:val="00B30247"/>
    <w:rsid w:val="00B30652"/>
    <w:rsid w:val="00B317DE"/>
    <w:rsid w:val="00B32625"/>
    <w:rsid w:val="00B32702"/>
    <w:rsid w:val="00B32D4A"/>
    <w:rsid w:val="00B32F2E"/>
    <w:rsid w:val="00B331B9"/>
    <w:rsid w:val="00B3342E"/>
    <w:rsid w:val="00B3404D"/>
    <w:rsid w:val="00B340BF"/>
    <w:rsid w:val="00B340D9"/>
    <w:rsid w:val="00B3420A"/>
    <w:rsid w:val="00B342C5"/>
    <w:rsid w:val="00B345BE"/>
    <w:rsid w:val="00B34CF3"/>
    <w:rsid w:val="00B34FB5"/>
    <w:rsid w:val="00B35369"/>
    <w:rsid w:val="00B3590B"/>
    <w:rsid w:val="00B359D9"/>
    <w:rsid w:val="00B35AFC"/>
    <w:rsid w:val="00B361BC"/>
    <w:rsid w:val="00B361ED"/>
    <w:rsid w:val="00B36235"/>
    <w:rsid w:val="00B367BB"/>
    <w:rsid w:val="00B36CC1"/>
    <w:rsid w:val="00B3727D"/>
    <w:rsid w:val="00B3758D"/>
    <w:rsid w:val="00B3766A"/>
    <w:rsid w:val="00B378DC"/>
    <w:rsid w:val="00B37DB0"/>
    <w:rsid w:val="00B403E7"/>
    <w:rsid w:val="00B40B69"/>
    <w:rsid w:val="00B4136A"/>
    <w:rsid w:val="00B413BA"/>
    <w:rsid w:val="00B418EB"/>
    <w:rsid w:val="00B41B61"/>
    <w:rsid w:val="00B41D62"/>
    <w:rsid w:val="00B421C3"/>
    <w:rsid w:val="00B427B2"/>
    <w:rsid w:val="00B429CD"/>
    <w:rsid w:val="00B42C15"/>
    <w:rsid w:val="00B42D32"/>
    <w:rsid w:val="00B43D4B"/>
    <w:rsid w:val="00B43EAE"/>
    <w:rsid w:val="00B44193"/>
    <w:rsid w:val="00B442EF"/>
    <w:rsid w:val="00B4477B"/>
    <w:rsid w:val="00B4485D"/>
    <w:rsid w:val="00B449B9"/>
    <w:rsid w:val="00B44A20"/>
    <w:rsid w:val="00B44BA1"/>
    <w:rsid w:val="00B4572B"/>
    <w:rsid w:val="00B4625B"/>
    <w:rsid w:val="00B46E84"/>
    <w:rsid w:val="00B47DEC"/>
    <w:rsid w:val="00B50045"/>
    <w:rsid w:val="00B50096"/>
    <w:rsid w:val="00B50DED"/>
    <w:rsid w:val="00B50EC1"/>
    <w:rsid w:val="00B50FFE"/>
    <w:rsid w:val="00B510E5"/>
    <w:rsid w:val="00B512E3"/>
    <w:rsid w:val="00B515F7"/>
    <w:rsid w:val="00B5170E"/>
    <w:rsid w:val="00B51A62"/>
    <w:rsid w:val="00B51C48"/>
    <w:rsid w:val="00B52075"/>
    <w:rsid w:val="00B522D5"/>
    <w:rsid w:val="00B52C5E"/>
    <w:rsid w:val="00B52F90"/>
    <w:rsid w:val="00B5363F"/>
    <w:rsid w:val="00B53AAD"/>
    <w:rsid w:val="00B54220"/>
    <w:rsid w:val="00B546CF"/>
    <w:rsid w:val="00B550AA"/>
    <w:rsid w:val="00B551F4"/>
    <w:rsid w:val="00B555FA"/>
    <w:rsid w:val="00B56478"/>
    <w:rsid w:val="00B56DB2"/>
    <w:rsid w:val="00B56F1C"/>
    <w:rsid w:val="00B570CE"/>
    <w:rsid w:val="00B5795C"/>
    <w:rsid w:val="00B57B0F"/>
    <w:rsid w:val="00B57CCB"/>
    <w:rsid w:val="00B61C08"/>
    <w:rsid w:val="00B61ED6"/>
    <w:rsid w:val="00B62D50"/>
    <w:rsid w:val="00B63756"/>
    <w:rsid w:val="00B63944"/>
    <w:rsid w:val="00B63D67"/>
    <w:rsid w:val="00B6407A"/>
    <w:rsid w:val="00B645EF"/>
    <w:rsid w:val="00B649C4"/>
    <w:rsid w:val="00B65318"/>
    <w:rsid w:val="00B6545D"/>
    <w:rsid w:val="00B65539"/>
    <w:rsid w:val="00B65580"/>
    <w:rsid w:val="00B667A9"/>
    <w:rsid w:val="00B67219"/>
    <w:rsid w:val="00B672CD"/>
    <w:rsid w:val="00B6737F"/>
    <w:rsid w:val="00B6777A"/>
    <w:rsid w:val="00B6798C"/>
    <w:rsid w:val="00B67C7B"/>
    <w:rsid w:val="00B70954"/>
    <w:rsid w:val="00B70995"/>
    <w:rsid w:val="00B71865"/>
    <w:rsid w:val="00B71B0E"/>
    <w:rsid w:val="00B72201"/>
    <w:rsid w:val="00B72B6B"/>
    <w:rsid w:val="00B72E1F"/>
    <w:rsid w:val="00B73734"/>
    <w:rsid w:val="00B73839"/>
    <w:rsid w:val="00B74374"/>
    <w:rsid w:val="00B744D7"/>
    <w:rsid w:val="00B747CE"/>
    <w:rsid w:val="00B74FF7"/>
    <w:rsid w:val="00B750C1"/>
    <w:rsid w:val="00B7559B"/>
    <w:rsid w:val="00B75A3A"/>
    <w:rsid w:val="00B75D47"/>
    <w:rsid w:val="00B76006"/>
    <w:rsid w:val="00B765E8"/>
    <w:rsid w:val="00B7715B"/>
    <w:rsid w:val="00B7718E"/>
    <w:rsid w:val="00B77363"/>
    <w:rsid w:val="00B77902"/>
    <w:rsid w:val="00B77993"/>
    <w:rsid w:val="00B80184"/>
    <w:rsid w:val="00B80EA1"/>
    <w:rsid w:val="00B81378"/>
    <w:rsid w:val="00B81BC8"/>
    <w:rsid w:val="00B81C99"/>
    <w:rsid w:val="00B81E6B"/>
    <w:rsid w:val="00B81F66"/>
    <w:rsid w:val="00B827F5"/>
    <w:rsid w:val="00B82905"/>
    <w:rsid w:val="00B82B7A"/>
    <w:rsid w:val="00B82B93"/>
    <w:rsid w:val="00B82D75"/>
    <w:rsid w:val="00B82F6D"/>
    <w:rsid w:val="00B8317F"/>
    <w:rsid w:val="00B83C65"/>
    <w:rsid w:val="00B8484E"/>
    <w:rsid w:val="00B84D32"/>
    <w:rsid w:val="00B84E2B"/>
    <w:rsid w:val="00B861B3"/>
    <w:rsid w:val="00B866AB"/>
    <w:rsid w:val="00B86BC0"/>
    <w:rsid w:val="00B86EAC"/>
    <w:rsid w:val="00B86F24"/>
    <w:rsid w:val="00B87566"/>
    <w:rsid w:val="00B87796"/>
    <w:rsid w:val="00B87929"/>
    <w:rsid w:val="00B9016D"/>
    <w:rsid w:val="00B90848"/>
    <w:rsid w:val="00B908EC"/>
    <w:rsid w:val="00B90CD3"/>
    <w:rsid w:val="00B9142D"/>
    <w:rsid w:val="00B91A82"/>
    <w:rsid w:val="00B91CE4"/>
    <w:rsid w:val="00B9239B"/>
    <w:rsid w:val="00B92515"/>
    <w:rsid w:val="00B9272D"/>
    <w:rsid w:val="00B9287E"/>
    <w:rsid w:val="00B92BE1"/>
    <w:rsid w:val="00B934C0"/>
    <w:rsid w:val="00B93573"/>
    <w:rsid w:val="00B93779"/>
    <w:rsid w:val="00B93805"/>
    <w:rsid w:val="00B93A33"/>
    <w:rsid w:val="00B93E20"/>
    <w:rsid w:val="00B93FB6"/>
    <w:rsid w:val="00B940A9"/>
    <w:rsid w:val="00B942EA"/>
    <w:rsid w:val="00B94732"/>
    <w:rsid w:val="00B948FE"/>
    <w:rsid w:val="00B94996"/>
    <w:rsid w:val="00B94A0A"/>
    <w:rsid w:val="00B95289"/>
    <w:rsid w:val="00B952FE"/>
    <w:rsid w:val="00B95D2B"/>
    <w:rsid w:val="00B95F09"/>
    <w:rsid w:val="00B96761"/>
    <w:rsid w:val="00B96A4F"/>
    <w:rsid w:val="00B976E4"/>
    <w:rsid w:val="00B9771D"/>
    <w:rsid w:val="00B9784D"/>
    <w:rsid w:val="00B97893"/>
    <w:rsid w:val="00BA0001"/>
    <w:rsid w:val="00BA0B39"/>
    <w:rsid w:val="00BA1000"/>
    <w:rsid w:val="00BA148F"/>
    <w:rsid w:val="00BA14CB"/>
    <w:rsid w:val="00BA18B5"/>
    <w:rsid w:val="00BA1E44"/>
    <w:rsid w:val="00BA203E"/>
    <w:rsid w:val="00BA27E4"/>
    <w:rsid w:val="00BA2D24"/>
    <w:rsid w:val="00BA3A1D"/>
    <w:rsid w:val="00BA485A"/>
    <w:rsid w:val="00BA4A18"/>
    <w:rsid w:val="00BA4A43"/>
    <w:rsid w:val="00BA569A"/>
    <w:rsid w:val="00BA56EA"/>
    <w:rsid w:val="00BA5954"/>
    <w:rsid w:val="00BA599B"/>
    <w:rsid w:val="00BA5A96"/>
    <w:rsid w:val="00BA5D57"/>
    <w:rsid w:val="00BA667C"/>
    <w:rsid w:val="00BA6C0D"/>
    <w:rsid w:val="00BA7548"/>
    <w:rsid w:val="00BB0B5F"/>
    <w:rsid w:val="00BB0FC1"/>
    <w:rsid w:val="00BB0FE4"/>
    <w:rsid w:val="00BB112D"/>
    <w:rsid w:val="00BB1568"/>
    <w:rsid w:val="00BB1E7C"/>
    <w:rsid w:val="00BB222A"/>
    <w:rsid w:val="00BB24DB"/>
    <w:rsid w:val="00BB2976"/>
    <w:rsid w:val="00BB31A0"/>
    <w:rsid w:val="00BB3397"/>
    <w:rsid w:val="00BB35B0"/>
    <w:rsid w:val="00BB395C"/>
    <w:rsid w:val="00BB4153"/>
    <w:rsid w:val="00BB4F9A"/>
    <w:rsid w:val="00BB57D8"/>
    <w:rsid w:val="00BB5F3B"/>
    <w:rsid w:val="00BB62DA"/>
    <w:rsid w:val="00BB6845"/>
    <w:rsid w:val="00BB6848"/>
    <w:rsid w:val="00BB6E93"/>
    <w:rsid w:val="00BB7124"/>
    <w:rsid w:val="00BB7501"/>
    <w:rsid w:val="00BB789B"/>
    <w:rsid w:val="00BB7E96"/>
    <w:rsid w:val="00BC05B4"/>
    <w:rsid w:val="00BC17B8"/>
    <w:rsid w:val="00BC1D87"/>
    <w:rsid w:val="00BC21BA"/>
    <w:rsid w:val="00BC21C7"/>
    <w:rsid w:val="00BC263C"/>
    <w:rsid w:val="00BC2914"/>
    <w:rsid w:val="00BC295C"/>
    <w:rsid w:val="00BC2AF4"/>
    <w:rsid w:val="00BC2CBA"/>
    <w:rsid w:val="00BC2FDF"/>
    <w:rsid w:val="00BC34BC"/>
    <w:rsid w:val="00BC34DD"/>
    <w:rsid w:val="00BC3DD7"/>
    <w:rsid w:val="00BC3FB0"/>
    <w:rsid w:val="00BC3FE7"/>
    <w:rsid w:val="00BC4724"/>
    <w:rsid w:val="00BC49F2"/>
    <w:rsid w:val="00BC54BC"/>
    <w:rsid w:val="00BC5CBF"/>
    <w:rsid w:val="00BC6999"/>
    <w:rsid w:val="00BC6BD3"/>
    <w:rsid w:val="00BC7399"/>
    <w:rsid w:val="00BC768D"/>
    <w:rsid w:val="00BC7B2C"/>
    <w:rsid w:val="00BD049D"/>
    <w:rsid w:val="00BD10E2"/>
    <w:rsid w:val="00BD116B"/>
    <w:rsid w:val="00BD14F9"/>
    <w:rsid w:val="00BD1653"/>
    <w:rsid w:val="00BD25EA"/>
    <w:rsid w:val="00BD2D1E"/>
    <w:rsid w:val="00BD3008"/>
    <w:rsid w:val="00BD31BE"/>
    <w:rsid w:val="00BD355E"/>
    <w:rsid w:val="00BD3973"/>
    <w:rsid w:val="00BD45C4"/>
    <w:rsid w:val="00BD49CC"/>
    <w:rsid w:val="00BD4A57"/>
    <w:rsid w:val="00BD4D64"/>
    <w:rsid w:val="00BD53E1"/>
    <w:rsid w:val="00BD5987"/>
    <w:rsid w:val="00BD5FA8"/>
    <w:rsid w:val="00BD5FD2"/>
    <w:rsid w:val="00BD65B5"/>
    <w:rsid w:val="00BD6B2A"/>
    <w:rsid w:val="00BD6DA1"/>
    <w:rsid w:val="00BD79E1"/>
    <w:rsid w:val="00BD7C21"/>
    <w:rsid w:val="00BE0418"/>
    <w:rsid w:val="00BE081C"/>
    <w:rsid w:val="00BE0896"/>
    <w:rsid w:val="00BE093C"/>
    <w:rsid w:val="00BE0B72"/>
    <w:rsid w:val="00BE11EC"/>
    <w:rsid w:val="00BE139E"/>
    <w:rsid w:val="00BE18D2"/>
    <w:rsid w:val="00BE1CFF"/>
    <w:rsid w:val="00BE24CB"/>
    <w:rsid w:val="00BE287B"/>
    <w:rsid w:val="00BE2CC7"/>
    <w:rsid w:val="00BE3595"/>
    <w:rsid w:val="00BE3673"/>
    <w:rsid w:val="00BE36AA"/>
    <w:rsid w:val="00BE459E"/>
    <w:rsid w:val="00BE4E4B"/>
    <w:rsid w:val="00BE4F80"/>
    <w:rsid w:val="00BE561C"/>
    <w:rsid w:val="00BE59E0"/>
    <w:rsid w:val="00BE5A11"/>
    <w:rsid w:val="00BE5B77"/>
    <w:rsid w:val="00BE63FB"/>
    <w:rsid w:val="00BE63FD"/>
    <w:rsid w:val="00BE69A2"/>
    <w:rsid w:val="00BE6E6C"/>
    <w:rsid w:val="00BE71CE"/>
    <w:rsid w:val="00BE732A"/>
    <w:rsid w:val="00BE7533"/>
    <w:rsid w:val="00BE7654"/>
    <w:rsid w:val="00BE77C2"/>
    <w:rsid w:val="00BE77D2"/>
    <w:rsid w:val="00BE7C52"/>
    <w:rsid w:val="00BF0B7C"/>
    <w:rsid w:val="00BF0CC2"/>
    <w:rsid w:val="00BF129E"/>
    <w:rsid w:val="00BF1895"/>
    <w:rsid w:val="00BF19D0"/>
    <w:rsid w:val="00BF23B4"/>
    <w:rsid w:val="00BF2CE6"/>
    <w:rsid w:val="00BF2F3C"/>
    <w:rsid w:val="00BF36BC"/>
    <w:rsid w:val="00BF3A69"/>
    <w:rsid w:val="00BF3C00"/>
    <w:rsid w:val="00BF3C45"/>
    <w:rsid w:val="00BF3EEC"/>
    <w:rsid w:val="00BF438D"/>
    <w:rsid w:val="00BF456C"/>
    <w:rsid w:val="00BF472C"/>
    <w:rsid w:val="00BF4A55"/>
    <w:rsid w:val="00BF4DCB"/>
    <w:rsid w:val="00BF50CD"/>
    <w:rsid w:val="00BF59D4"/>
    <w:rsid w:val="00BF6DC4"/>
    <w:rsid w:val="00BF6F25"/>
    <w:rsid w:val="00BF6F4B"/>
    <w:rsid w:val="00BF6FA9"/>
    <w:rsid w:val="00BF72CE"/>
    <w:rsid w:val="00BF7705"/>
    <w:rsid w:val="00BF7896"/>
    <w:rsid w:val="00BF7EA3"/>
    <w:rsid w:val="00C002FF"/>
    <w:rsid w:val="00C00558"/>
    <w:rsid w:val="00C007EC"/>
    <w:rsid w:val="00C01A40"/>
    <w:rsid w:val="00C01A7A"/>
    <w:rsid w:val="00C01B74"/>
    <w:rsid w:val="00C023AC"/>
    <w:rsid w:val="00C025AC"/>
    <w:rsid w:val="00C02DA0"/>
    <w:rsid w:val="00C03784"/>
    <w:rsid w:val="00C037CC"/>
    <w:rsid w:val="00C039EF"/>
    <w:rsid w:val="00C03D7F"/>
    <w:rsid w:val="00C043F7"/>
    <w:rsid w:val="00C047BC"/>
    <w:rsid w:val="00C05826"/>
    <w:rsid w:val="00C05AD7"/>
    <w:rsid w:val="00C05C4F"/>
    <w:rsid w:val="00C05F5B"/>
    <w:rsid w:val="00C05FF8"/>
    <w:rsid w:val="00C06651"/>
    <w:rsid w:val="00C06873"/>
    <w:rsid w:val="00C06951"/>
    <w:rsid w:val="00C06E85"/>
    <w:rsid w:val="00C06EFD"/>
    <w:rsid w:val="00C103DF"/>
    <w:rsid w:val="00C10CF4"/>
    <w:rsid w:val="00C12126"/>
    <w:rsid w:val="00C12276"/>
    <w:rsid w:val="00C122E6"/>
    <w:rsid w:val="00C12CB5"/>
    <w:rsid w:val="00C1334D"/>
    <w:rsid w:val="00C133BF"/>
    <w:rsid w:val="00C1348B"/>
    <w:rsid w:val="00C13AF6"/>
    <w:rsid w:val="00C1463F"/>
    <w:rsid w:val="00C1479D"/>
    <w:rsid w:val="00C14D4F"/>
    <w:rsid w:val="00C15602"/>
    <w:rsid w:val="00C157ED"/>
    <w:rsid w:val="00C16561"/>
    <w:rsid w:val="00C16A49"/>
    <w:rsid w:val="00C17197"/>
    <w:rsid w:val="00C17561"/>
    <w:rsid w:val="00C20657"/>
    <w:rsid w:val="00C2124E"/>
    <w:rsid w:val="00C21300"/>
    <w:rsid w:val="00C21893"/>
    <w:rsid w:val="00C2196E"/>
    <w:rsid w:val="00C22843"/>
    <w:rsid w:val="00C228B7"/>
    <w:rsid w:val="00C22AD6"/>
    <w:rsid w:val="00C22B31"/>
    <w:rsid w:val="00C2386B"/>
    <w:rsid w:val="00C23A68"/>
    <w:rsid w:val="00C23B36"/>
    <w:rsid w:val="00C23BA5"/>
    <w:rsid w:val="00C23CAB"/>
    <w:rsid w:val="00C24532"/>
    <w:rsid w:val="00C24A18"/>
    <w:rsid w:val="00C2567A"/>
    <w:rsid w:val="00C26435"/>
    <w:rsid w:val="00C26481"/>
    <w:rsid w:val="00C264F0"/>
    <w:rsid w:val="00C2671D"/>
    <w:rsid w:val="00C26E83"/>
    <w:rsid w:val="00C26FCD"/>
    <w:rsid w:val="00C271FA"/>
    <w:rsid w:val="00C309A4"/>
    <w:rsid w:val="00C30F13"/>
    <w:rsid w:val="00C314DA"/>
    <w:rsid w:val="00C316B7"/>
    <w:rsid w:val="00C3226D"/>
    <w:rsid w:val="00C32DDE"/>
    <w:rsid w:val="00C33C56"/>
    <w:rsid w:val="00C34263"/>
    <w:rsid w:val="00C3452B"/>
    <w:rsid w:val="00C34654"/>
    <w:rsid w:val="00C3588F"/>
    <w:rsid w:val="00C35940"/>
    <w:rsid w:val="00C35DA8"/>
    <w:rsid w:val="00C35DF1"/>
    <w:rsid w:val="00C36DA0"/>
    <w:rsid w:val="00C37090"/>
    <w:rsid w:val="00C371ED"/>
    <w:rsid w:val="00C37F19"/>
    <w:rsid w:val="00C40007"/>
    <w:rsid w:val="00C40077"/>
    <w:rsid w:val="00C40F3B"/>
    <w:rsid w:val="00C428E8"/>
    <w:rsid w:val="00C43517"/>
    <w:rsid w:val="00C43CD8"/>
    <w:rsid w:val="00C44D9D"/>
    <w:rsid w:val="00C45757"/>
    <w:rsid w:val="00C45CFD"/>
    <w:rsid w:val="00C45E86"/>
    <w:rsid w:val="00C46003"/>
    <w:rsid w:val="00C465BC"/>
    <w:rsid w:val="00C46F70"/>
    <w:rsid w:val="00C4705B"/>
    <w:rsid w:val="00C47183"/>
    <w:rsid w:val="00C478FF"/>
    <w:rsid w:val="00C47D1D"/>
    <w:rsid w:val="00C5045A"/>
    <w:rsid w:val="00C50F36"/>
    <w:rsid w:val="00C51417"/>
    <w:rsid w:val="00C5161D"/>
    <w:rsid w:val="00C51621"/>
    <w:rsid w:val="00C51910"/>
    <w:rsid w:val="00C51CBB"/>
    <w:rsid w:val="00C529BD"/>
    <w:rsid w:val="00C52C87"/>
    <w:rsid w:val="00C52FA3"/>
    <w:rsid w:val="00C530F8"/>
    <w:rsid w:val="00C53149"/>
    <w:rsid w:val="00C53165"/>
    <w:rsid w:val="00C5321A"/>
    <w:rsid w:val="00C53266"/>
    <w:rsid w:val="00C53EF8"/>
    <w:rsid w:val="00C5409D"/>
    <w:rsid w:val="00C544A5"/>
    <w:rsid w:val="00C546B5"/>
    <w:rsid w:val="00C5477C"/>
    <w:rsid w:val="00C54C47"/>
    <w:rsid w:val="00C54DE7"/>
    <w:rsid w:val="00C552D4"/>
    <w:rsid w:val="00C55496"/>
    <w:rsid w:val="00C554F2"/>
    <w:rsid w:val="00C556A7"/>
    <w:rsid w:val="00C55764"/>
    <w:rsid w:val="00C55F31"/>
    <w:rsid w:val="00C5738A"/>
    <w:rsid w:val="00C576B5"/>
    <w:rsid w:val="00C577D4"/>
    <w:rsid w:val="00C601D4"/>
    <w:rsid w:val="00C60540"/>
    <w:rsid w:val="00C60D2E"/>
    <w:rsid w:val="00C61A16"/>
    <w:rsid w:val="00C61E93"/>
    <w:rsid w:val="00C621DC"/>
    <w:rsid w:val="00C624B5"/>
    <w:rsid w:val="00C62CF5"/>
    <w:rsid w:val="00C62F17"/>
    <w:rsid w:val="00C63408"/>
    <w:rsid w:val="00C6369C"/>
    <w:rsid w:val="00C636CB"/>
    <w:rsid w:val="00C63867"/>
    <w:rsid w:val="00C63A0E"/>
    <w:rsid w:val="00C63F6B"/>
    <w:rsid w:val="00C645B4"/>
    <w:rsid w:val="00C649D7"/>
    <w:rsid w:val="00C651FE"/>
    <w:rsid w:val="00C65A35"/>
    <w:rsid w:val="00C66672"/>
    <w:rsid w:val="00C7050B"/>
    <w:rsid w:val="00C7089C"/>
    <w:rsid w:val="00C70DFE"/>
    <w:rsid w:val="00C71011"/>
    <w:rsid w:val="00C711A2"/>
    <w:rsid w:val="00C715C9"/>
    <w:rsid w:val="00C7165F"/>
    <w:rsid w:val="00C717AD"/>
    <w:rsid w:val="00C71990"/>
    <w:rsid w:val="00C721F7"/>
    <w:rsid w:val="00C721FC"/>
    <w:rsid w:val="00C7241B"/>
    <w:rsid w:val="00C72A24"/>
    <w:rsid w:val="00C72A9C"/>
    <w:rsid w:val="00C72DAD"/>
    <w:rsid w:val="00C72F64"/>
    <w:rsid w:val="00C7322E"/>
    <w:rsid w:val="00C73301"/>
    <w:rsid w:val="00C7362F"/>
    <w:rsid w:val="00C74484"/>
    <w:rsid w:val="00C745AB"/>
    <w:rsid w:val="00C74710"/>
    <w:rsid w:val="00C7532C"/>
    <w:rsid w:val="00C753DC"/>
    <w:rsid w:val="00C75617"/>
    <w:rsid w:val="00C76035"/>
    <w:rsid w:val="00C76066"/>
    <w:rsid w:val="00C76164"/>
    <w:rsid w:val="00C762CB"/>
    <w:rsid w:val="00C76509"/>
    <w:rsid w:val="00C76905"/>
    <w:rsid w:val="00C76F3D"/>
    <w:rsid w:val="00C77CF4"/>
    <w:rsid w:val="00C805C6"/>
    <w:rsid w:val="00C8064E"/>
    <w:rsid w:val="00C8099A"/>
    <w:rsid w:val="00C811BC"/>
    <w:rsid w:val="00C824DF"/>
    <w:rsid w:val="00C82AF8"/>
    <w:rsid w:val="00C82CE1"/>
    <w:rsid w:val="00C83642"/>
    <w:rsid w:val="00C839E1"/>
    <w:rsid w:val="00C83D70"/>
    <w:rsid w:val="00C84058"/>
    <w:rsid w:val="00C843DD"/>
    <w:rsid w:val="00C84D84"/>
    <w:rsid w:val="00C84EDE"/>
    <w:rsid w:val="00C8518A"/>
    <w:rsid w:val="00C858CD"/>
    <w:rsid w:val="00C85A56"/>
    <w:rsid w:val="00C85AA0"/>
    <w:rsid w:val="00C85B65"/>
    <w:rsid w:val="00C85CC4"/>
    <w:rsid w:val="00C85CCB"/>
    <w:rsid w:val="00C85F9F"/>
    <w:rsid w:val="00C8682F"/>
    <w:rsid w:val="00C8699B"/>
    <w:rsid w:val="00C87057"/>
    <w:rsid w:val="00C8710D"/>
    <w:rsid w:val="00C871EB"/>
    <w:rsid w:val="00C87FE4"/>
    <w:rsid w:val="00C903DC"/>
    <w:rsid w:val="00C90440"/>
    <w:rsid w:val="00C9062A"/>
    <w:rsid w:val="00C908F1"/>
    <w:rsid w:val="00C908FB"/>
    <w:rsid w:val="00C90B48"/>
    <w:rsid w:val="00C90B5E"/>
    <w:rsid w:val="00C90DBF"/>
    <w:rsid w:val="00C91846"/>
    <w:rsid w:val="00C9192E"/>
    <w:rsid w:val="00C91C5D"/>
    <w:rsid w:val="00C92258"/>
    <w:rsid w:val="00C92443"/>
    <w:rsid w:val="00C93192"/>
    <w:rsid w:val="00C93593"/>
    <w:rsid w:val="00C937F3"/>
    <w:rsid w:val="00C93AF9"/>
    <w:rsid w:val="00C94168"/>
    <w:rsid w:val="00C94241"/>
    <w:rsid w:val="00C9441B"/>
    <w:rsid w:val="00C949BF"/>
    <w:rsid w:val="00C95491"/>
    <w:rsid w:val="00C957A0"/>
    <w:rsid w:val="00C95944"/>
    <w:rsid w:val="00C95E3E"/>
    <w:rsid w:val="00C96013"/>
    <w:rsid w:val="00C96345"/>
    <w:rsid w:val="00C96429"/>
    <w:rsid w:val="00C9661B"/>
    <w:rsid w:val="00C96634"/>
    <w:rsid w:val="00C96870"/>
    <w:rsid w:val="00C9697C"/>
    <w:rsid w:val="00C96BB3"/>
    <w:rsid w:val="00C96C01"/>
    <w:rsid w:val="00C96CC8"/>
    <w:rsid w:val="00CA012C"/>
    <w:rsid w:val="00CA02ED"/>
    <w:rsid w:val="00CA0447"/>
    <w:rsid w:val="00CA04D1"/>
    <w:rsid w:val="00CA0669"/>
    <w:rsid w:val="00CA069D"/>
    <w:rsid w:val="00CA1577"/>
    <w:rsid w:val="00CA166C"/>
    <w:rsid w:val="00CA1AF5"/>
    <w:rsid w:val="00CA1B38"/>
    <w:rsid w:val="00CA1C33"/>
    <w:rsid w:val="00CA1DA4"/>
    <w:rsid w:val="00CA1FA5"/>
    <w:rsid w:val="00CA20F3"/>
    <w:rsid w:val="00CA253A"/>
    <w:rsid w:val="00CA25A1"/>
    <w:rsid w:val="00CA2E95"/>
    <w:rsid w:val="00CA2EFA"/>
    <w:rsid w:val="00CA344E"/>
    <w:rsid w:val="00CA350C"/>
    <w:rsid w:val="00CA376B"/>
    <w:rsid w:val="00CA3C1E"/>
    <w:rsid w:val="00CA3DDC"/>
    <w:rsid w:val="00CA440B"/>
    <w:rsid w:val="00CA4A6B"/>
    <w:rsid w:val="00CA4BF3"/>
    <w:rsid w:val="00CA4EFA"/>
    <w:rsid w:val="00CA57AB"/>
    <w:rsid w:val="00CA5981"/>
    <w:rsid w:val="00CA5EFF"/>
    <w:rsid w:val="00CA683A"/>
    <w:rsid w:val="00CA6CFC"/>
    <w:rsid w:val="00CA76F3"/>
    <w:rsid w:val="00CA782D"/>
    <w:rsid w:val="00CB0041"/>
    <w:rsid w:val="00CB0A1B"/>
    <w:rsid w:val="00CB0AE7"/>
    <w:rsid w:val="00CB0E18"/>
    <w:rsid w:val="00CB1936"/>
    <w:rsid w:val="00CB1EEA"/>
    <w:rsid w:val="00CB323A"/>
    <w:rsid w:val="00CB3290"/>
    <w:rsid w:val="00CB34DC"/>
    <w:rsid w:val="00CB3C69"/>
    <w:rsid w:val="00CB4B9B"/>
    <w:rsid w:val="00CB4BD6"/>
    <w:rsid w:val="00CB589B"/>
    <w:rsid w:val="00CB6409"/>
    <w:rsid w:val="00CB687C"/>
    <w:rsid w:val="00CB7E40"/>
    <w:rsid w:val="00CC0162"/>
    <w:rsid w:val="00CC01D1"/>
    <w:rsid w:val="00CC0886"/>
    <w:rsid w:val="00CC1935"/>
    <w:rsid w:val="00CC1C99"/>
    <w:rsid w:val="00CC218A"/>
    <w:rsid w:val="00CC2F5B"/>
    <w:rsid w:val="00CC3035"/>
    <w:rsid w:val="00CC34C0"/>
    <w:rsid w:val="00CC36EC"/>
    <w:rsid w:val="00CC40D4"/>
    <w:rsid w:val="00CC44C5"/>
    <w:rsid w:val="00CC4A37"/>
    <w:rsid w:val="00CC4CD1"/>
    <w:rsid w:val="00CC5145"/>
    <w:rsid w:val="00CC531E"/>
    <w:rsid w:val="00CC5793"/>
    <w:rsid w:val="00CC618A"/>
    <w:rsid w:val="00CC71E2"/>
    <w:rsid w:val="00CC7680"/>
    <w:rsid w:val="00CC7DB6"/>
    <w:rsid w:val="00CD00CE"/>
    <w:rsid w:val="00CD048E"/>
    <w:rsid w:val="00CD063C"/>
    <w:rsid w:val="00CD09E3"/>
    <w:rsid w:val="00CD108A"/>
    <w:rsid w:val="00CD181A"/>
    <w:rsid w:val="00CD192E"/>
    <w:rsid w:val="00CD1A8B"/>
    <w:rsid w:val="00CD1AF5"/>
    <w:rsid w:val="00CD22BE"/>
    <w:rsid w:val="00CD2EC5"/>
    <w:rsid w:val="00CD33A3"/>
    <w:rsid w:val="00CD3931"/>
    <w:rsid w:val="00CD4DFB"/>
    <w:rsid w:val="00CD4F84"/>
    <w:rsid w:val="00CD50BA"/>
    <w:rsid w:val="00CD542C"/>
    <w:rsid w:val="00CD5440"/>
    <w:rsid w:val="00CD5B23"/>
    <w:rsid w:val="00CD7341"/>
    <w:rsid w:val="00CD742C"/>
    <w:rsid w:val="00CD77DA"/>
    <w:rsid w:val="00CE09C9"/>
    <w:rsid w:val="00CE0D2A"/>
    <w:rsid w:val="00CE1274"/>
    <w:rsid w:val="00CE17F8"/>
    <w:rsid w:val="00CE1E6D"/>
    <w:rsid w:val="00CE1FD2"/>
    <w:rsid w:val="00CE2494"/>
    <w:rsid w:val="00CE281A"/>
    <w:rsid w:val="00CE361D"/>
    <w:rsid w:val="00CE3EF5"/>
    <w:rsid w:val="00CE412D"/>
    <w:rsid w:val="00CE4713"/>
    <w:rsid w:val="00CE4790"/>
    <w:rsid w:val="00CE5069"/>
    <w:rsid w:val="00CE5116"/>
    <w:rsid w:val="00CE582A"/>
    <w:rsid w:val="00CE5DC6"/>
    <w:rsid w:val="00CE6273"/>
    <w:rsid w:val="00CE6BF3"/>
    <w:rsid w:val="00CE6EE6"/>
    <w:rsid w:val="00CE73AB"/>
    <w:rsid w:val="00CF01DA"/>
    <w:rsid w:val="00CF09E7"/>
    <w:rsid w:val="00CF0CE2"/>
    <w:rsid w:val="00CF1016"/>
    <w:rsid w:val="00CF1A25"/>
    <w:rsid w:val="00CF1C05"/>
    <w:rsid w:val="00CF27A1"/>
    <w:rsid w:val="00CF2940"/>
    <w:rsid w:val="00CF2E3D"/>
    <w:rsid w:val="00CF2FF9"/>
    <w:rsid w:val="00CF317B"/>
    <w:rsid w:val="00CF343B"/>
    <w:rsid w:val="00CF3F9C"/>
    <w:rsid w:val="00CF4202"/>
    <w:rsid w:val="00CF54F0"/>
    <w:rsid w:val="00CF5A40"/>
    <w:rsid w:val="00CF5A57"/>
    <w:rsid w:val="00CF5F7A"/>
    <w:rsid w:val="00CF5F7C"/>
    <w:rsid w:val="00CF6004"/>
    <w:rsid w:val="00CF6087"/>
    <w:rsid w:val="00CF79EF"/>
    <w:rsid w:val="00D00280"/>
    <w:rsid w:val="00D004A2"/>
    <w:rsid w:val="00D005A4"/>
    <w:rsid w:val="00D010E0"/>
    <w:rsid w:val="00D01CC1"/>
    <w:rsid w:val="00D01CEE"/>
    <w:rsid w:val="00D01EE6"/>
    <w:rsid w:val="00D02627"/>
    <w:rsid w:val="00D02CC3"/>
    <w:rsid w:val="00D03105"/>
    <w:rsid w:val="00D03616"/>
    <w:rsid w:val="00D0363F"/>
    <w:rsid w:val="00D03796"/>
    <w:rsid w:val="00D03846"/>
    <w:rsid w:val="00D03FD1"/>
    <w:rsid w:val="00D044F9"/>
    <w:rsid w:val="00D04A93"/>
    <w:rsid w:val="00D04B7C"/>
    <w:rsid w:val="00D04BCD"/>
    <w:rsid w:val="00D05F16"/>
    <w:rsid w:val="00D06660"/>
    <w:rsid w:val="00D079EE"/>
    <w:rsid w:val="00D112ED"/>
    <w:rsid w:val="00D12128"/>
    <w:rsid w:val="00D137F9"/>
    <w:rsid w:val="00D13E51"/>
    <w:rsid w:val="00D14A99"/>
    <w:rsid w:val="00D14BF6"/>
    <w:rsid w:val="00D153E5"/>
    <w:rsid w:val="00D1557C"/>
    <w:rsid w:val="00D1597E"/>
    <w:rsid w:val="00D15F30"/>
    <w:rsid w:val="00D1604F"/>
    <w:rsid w:val="00D16216"/>
    <w:rsid w:val="00D166F5"/>
    <w:rsid w:val="00D16894"/>
    <w:rsid w:val="00D20677"/>
    <w:rsid w:val="00D207BD"/>
    <w:rsid w:val="00D207C4"/>
    <w:rsid w:val="00D20BC1"/>
    <w:rsid w:val="00D21ACE"/>
    <w:rsid w:val="00D21D62"/>
    <w:rsid w:val="00D2293D"/>
    <w:rsid w:val="00D2377B"/>
    <w:rsid w:val="00D23818"/>
    <w:rsid w:val="00D2393C"/>
    <w:rsid w:val="00D23CD4"/>
    <w:rsid w:val="00D23E24"/>
    <w:rsid w:val="00D2405C"/>
    <w:rsid w:val="00D24D9C"/>
    <w:rsid w:val="00D26C95"/>
    <w:rsid w:val="00D27206"/>
    <w:rsid w:val="00D27274"/>
    <w:rsid w:val="00D27A70"/>
    <w:rsid w:val="00D27B38"/>
    <w:rsid w:val="00D27E1E"/>
    <w:rsid w:val="00D30174"/>
    <w:rsid w:val="00D301C8"/>
    <w:rsid w:val="00D30324"/>
    <w:rsid w:val="00D30AEF"/>
    <w:rsid w:val="00D315C2"/>
    <w:rsid w:val="00D31A54"/>
    <w:rsid w:val="00D31D49"/>
    <w:rsid w:val="00D32041"/>
    <w:rsid w:val="00D326A8"/>
    <w:rsid w:val="00D326FE"/>
    <w:rsid w:val="00D32FBD"/>
    <w:rsid w:val="00D33015"/>
    <w:rsid w:val="00D33B65"/>
    <w:rsid w:val="00D345DF"/>
    <w:rsid w:val="00D354DE"/>
    <w:rsid w:val="00D3587A"/>
    <w:rsid w:val="00D366DE"/>
    <w:rsid w:val="00D368D2"/>
    <w:rsid w:val="00D37085"/>
    <w:rsid w:val="00D37309"/>
    <w:rsid w:val="00D37A7D"/>
    <w:rsid w:val="00D37B26"/>
    <w:rsid w:val="00D37CF7"/>
    <w:rsid w:val="00D37F27"/>
    <w:rsid w:val="00D40427"/>
    <w:rsid w:val="00D40451"/>
    <w:rsid w:val="00D4071A"/>
    <w:rsid w:val="00D410B3"/>
    <w:rsid w:val="00D410DB"/>
    <w:rsid w:val="00D41AA3"/>
    <w:rsid w:val="00D4208E"/>
    <w:rsid w:val="00D42676"/>
    <w:rsid w:val="00D42764"/>
    <w:rsid w:val="00D42D23"/>
    <w:rsid w:val="00D43134"/>
    <w:rsid w:val="00D43338"/>
    <w:rsid w:val="00D433E2"/>
    <w:rsid w:val="00D438F1"/>
    <w:rsid w:val="00D4399B"/>
    <w:rsid w:val="00D43B13"/>
    <w:rsid w:val="00D43BA4"/>
    <w:rsid w:val="00D43DE0"/>
    <w:rsid w:val="00D43F17"/>
    <w:rsid w:val="00D44308"/>
    <w:rsid w:val="00D44C1B"/>
    <w:rsid w:val="00D44FE3"/>
    <w:rsid w:val="00D450CE"/>
    <w:rsid w:val="00D4598E"/>
    <w:rsid w:val="00D45D51"/>
    <w:rsid w:val="00D45F63"/>
    <w:rsid w:val="00D46237"/>
    <w:rsid w:val="00D462AF"/>
    <w:rsid w:val="00D46F6F"/>
    <w:rsid w:val="00D4794A"/>
    <w:rsid w:val="00D50F33"/>
    <w:rsid w:val="00D50F72"/>
    <w:rsid w:val="00D517BB"/>
    <w:rsid w:val="00D51BA5"/>
    <w:rsid w:val="00D51C7D"/>
    <w:rsid w:val="00D51CE4"/>
    <w:rsid w:val="00D54F28"/>
    <w:rsid w:val="00D552CB"/>
    <w:rsid w:val="00D554B6"/>
    <w:rsid w:val="00D55FAF"/>
    <w:rsid w:val="00D57784"/>
    <w:rsid w:val="00D57E29"/>
    <w:rsid w:val="00D60EBC"/>
    <w:rsid w:val="00D612D2"/>
    <w:rsid w:val="00D6150F"/>
    <w:rsid w:val="00D61BAB"/>
    <w:rsid w:val="00D61D50"/>
    <w:rsid w:val="00D6235F"/>
    <w:rsid w:val="00D62B08"/>
    <w:rsid w:val="00D62B8D"/>
    <w:rsid w:val="00D62D86"/>
    <w:rsid w:val="00D63BB3"/>
    <w:rsid w:val="00D63C41"/>
    <w:rsid w:val="00D6436E"/>
    <w:rsid w:val="00D6467A"/>
    <w:rsid w:val="00D64CF1"/>
    <w:rsid w:val="00D652D0"/>
    <w:rsid w:val="00D6604D"/>
    <w:rsid w:val="00D663B2"/>
    <w:rsid w:val="00D66A78"/>
    <w:rsid w:val="00D67616"/>
    <w:rsid w:val="00D676F5"/>
    <w:rsid w:val="00D67863"/>
    <w:rsid w:val="00D67BB4"/>
    <w:rsid w:val="00D70184"/>
    <w:rsid w:val="00D7048B"/>
    <w:rsid w:val="00D71275"/>
    <w:rsid w:val="00D71390"/>
    <w:rsid w:val="00D71C21"/>
    <w:rsid w:val="00D71D54"/>
    <w:rsid w:val="00D72CDA"/>
    <w:rsid w:val="00D736A8"/>
    <w:rsid w:val="00D73702"/>
    <w:rsid w:val="00D73998"/>
    <w:rsid w:val="00D73EF0"/>
    <w:rsid w:val="00D73FDD"/>
    <w:rsid w:val="00D74A14"/>
    <w:rsid w:val="00D74A84"/>
    <w:rsid w:val="00D74AF7"/>
    <w:rsid w:val="00D74C88"/>
    <w:rsid w:val="00D74CC9"/>
    <w:rsid w:val="00D74E8C"/>
    <w:rsid w:val="00D7525A"/>
    <w:rsid w:val="00D75262"/>
    <w:rsid w:val="00D752ED"/>
    <w:rsid w:val="00D7577C"/>
    <w:rsid w:val="00D768BC"/>
    <w:rsid w:val="00D76CFE"/>
    <w:rsid w:val="00D772B3"/>
    <w:rsid w:val="00D774B5"/>
    <w:rsid w:val="00D80474"/>
    <w:rsid w:val="00D809CC"/>
    <w:rsid w:val="00D811EE"/>
    <w:rsid w:val="00D81BC8"/>
    <w:rsid w:val="00D81F3A"/>
    <w:rsid w:val="00D82087"/>
    <w:rsid w:val="00D82A3C"/>
    <w:rsid w:val="00D82A41"/>
    <w:rsid w:val="00D82DFA"/>
    <w:rsid w:val="00D836BB"/>
    <w:rsid w:val="00D8383C"/>
    <w:rsid w:val="00D83A85"/>
    <w:rsid w:val="00D83B58"/>
    <w:rsid w:val="00D8497B"/>
    <w:rsid w:val="00D84A3B"/>
    <w:rsid w:val="00D84B9C"/>
    <w:rsid w:val="00D85372"/>
    <w:rsid w:val="00D85B16"/>
    <w:rsid w:val="00D864FD"/>
    <w:rsid w:val="00D865E5"/>
    <w:rsid w:val="00D86C39"/>
    <w:rsid w:val="00D87AE5"/>
    <w:rsid w:val="00D91312"/>
    <w:rsid w:val="00D91E78"/>
    <w:rsid w:val="00D9236F"/>
    <w:rsid w:val="00D92698"/>
    <w:rsid w:val="00D92957"/>
    <w:rsid w:val="00D92A89"/>
    <w:rsid w:val="00D9327B"/>
    <w:rsid w:val="00D93741"/>
    <w:rsid w:val="00D937F1"/>
    <w:rsid w:val="00D93CD5"/>
    <w:rsid w:val="00D940B3"/>
    <w:rsid w:val="00D942CB"/>
    <w:rsid w:val="00D949FE"/>
    <w:rsid w:val="00D94C5C"/>
    <w:rsid w:val="00D94CDB"/>
    <w:rsid w:val="00D94F4B"/>
    <w:rsid w:val="00D950E8"/>
    <w:rsid w:val="00D9526E"/>
    <w:rsid w:val="00D95A17"/>
    <w:rsid w:val="00D96A17"/>
    <w:rsid w:val="00D96A22"/>
    <w:rsid w:val="00D97261"/>
    <w:rsid w:val="00D974E4"/>
    <w:rsid w:val="00D977EF"/>
    <w:rsid w:val="00D97B92"/>
    <w:rsid w:val="00D97E95"/>
    <w:rsid w:val="00DA0071"/>
    <w:rsid w:val="00DA079D"/>
    <w:rsid w:val="00DA087E"/>
    <w:rsid w:val="00DA10B9"/>
    <w:rsid w:val="00DA14C5"/>
    <w:rsid w:val="00DA15F7"/>
    <w:rsid w:val="00DA1A0A"/>
    <w:rsid w:val="00DA1F5B"/>
    <w:rsid w:val="00DA1F61"/>
    <w:rsid w:val="00DA20B8"/>
    <w:rsid w:val="00DA2FD8"/>
    <w:rsid w:val="00DA32EB"/>
    <w:rsid w:val="00DA3354"/>
    <w:rsid w:val="00DA3403"/>
    <w:rsid w:val="00DA36E3"/>
    <w:rsid w:val="00DA37CE"/>
    <w:rsid w:val="00DA3BC7"/>
    <w:rsid w:val="00DA4A91"/>
    <w:rsid w:val="00DA53B0"/>
    <w:rsid w:val="00DA54DB"/>
    <w:rsid w:val="00DA5831"/>
    <w:rsid w:val="00DA5D1C"/>
    <w:rsid w:val="00DA6C4F"/>
    <w:rsid w:val="00DA7905"/>
    <w:rsid w:val="00DA7B1D"/>
    <w:rsid w:val="00DB0E17"/>
    <w:rsid w:val="00DB1BE7"/>
    <w:rsid w:val="00DB3794"/>
    <w:rsid w:val="00DB3D38"/>
    <w:rsid w:val="00DB3F4B"/>
    <w:rsid w:val="00DB45BE"/>
    <w:rsid w:val="00DB4FAA"/>
    <w:rsid w:val="00DB53DD"/>
    <w:rsid w:val="00DB53DE"/>
    <w:rsid w:val="00DB62CD"/>
    <w:rsid w:val="00DB64DA"/>
    <w:rsid w:val="00DB6734"/>
    <w:rsid w:val="00DB6A1C"/>
    <w:rsid w:val="00DB6F5C"/>
    <w:rsid w:val="00DB7074"/>
    <w:rsid w:val="00DB7086"/>
    <w:rsid w:val="00DB7650"/>
    <w:rsid w:val="00DB789F"/>
    <w:rsid w:val="00DB7BC9"/>
    <w:rsid w:val="00DC0156"/>
    <w:rsid w:val="00DC038F"/>
    <w:rsid w:val="00DC081A"/>
    <w:rsid w:val="00DC0A05"/>
    <w:rsid w:val="00DC0C9E"/>
    <w:rsid w:val="00DC1DC3"/>
    <w:rsid w:val="00DC2225"/>
    <w:rsid w:val="00DC331D"/>
    <w:rsid w:val="00DC3340"/>
    <w:rsid w:val="00DC33D3"/>
    <w:rsid w:val="00DC3612"/>
    <w:rsid w:val="00DC3993"/>
    <w:rsid w:val="00DC4AC4"/>
    <w:rsid w:val="00DC54A2"/>
    <w:rsid w:val="00DC56DB"/>
    <w:rsid w:val="00DC5CBF"/>
    <w:rsid w:val="00DC6723"/>
    <w:rsid w:val="00DC69F3"/>
    <w:rsid w:val="00DC7836"/>
    <w:rsid w:val="00DC7856"/>
    <w:rsid w:val="00DD0141"/>
    <w:rsid w:val="00DD0838"/>
    <w:rsid w:val="00DD1203"/>
    <w:rsid w:val="00DD1561"/>
    <w:rsid w:val="00DD25F2"/>
    <w:rsid w:val="00DD2A0D"/>
    <w:rsid w:val="00DD374B"/>
    <w:rsid w:val="00DD378C"/>
    <w:rsid w:val="00DD3A46"/>
    <w:rsid w:val="00DD45C5"/>
    <w:rsid w:val="00DD4D35"/>
    <w:rsid w:val="00DD5CC7"/>
    <w:rsid w:val="00DD5D93"/>
    <w:rsid w:val="00DD7489"/>
    <w:rsid w:val="00DD75F5"/>
    <w:rsid w:val="00DD774C"/>
    <w:rsid w:val="00DD776D"/>
    <w:rsid w:val="00DD7CC1"/>
    <w:rsid w:val="00DE168B"/>
    <w:rsid w:val="00DE190A"/>
    <w:rsid w:val="00DE1FFB"/>
    <w:rsid w:val="00DE21AD"/>
    <w:rsid w:val="00DE29A7"/>
    <w:rsid w:val="00DE2DD2"/>
    <w:rsid w:val="00DE350F"/>
    <w:rsid w:val="00DE3A10"/>
    <w:rsid w:val="00DE4977"/>
    <w:rsid w:val="00DE4BE5"/>
    <w:rsid w:val="00DE4C20"/>
    <w:rsid w:val="00DE5282"/>
    <w:rsid w:val="00DE5DD1"/>
    <w:rsid w:val="00DE5FC6"/>
    <w:rsid w:val="00DE61EE"/>
    <w:rsid w:val="00DE61FB"/>
    <w:rsid w:val="00DE671D"/>
    <w:rsid w:val="00DE6AE0"/>
    <w:rsid w:val="00DE74EB"/>
    <w:rsid w:val="00DE7D20"/>
    <w:rsid w:val="00DF0318"/>
    <w:rsid w:val="00DF050E"/>
    <w:rsid w:val="00DF0734"/>
    <w:rsid w:val="00DF0979"/>
    <w:rsid w:val="00DF10A7"/>
    <w:rsid w:val="00DF13FC"/>
    <w:rsid w:val="00DF1FC3"/>
    <w:rsid w:val="00DF1FE2"/>
    <w:rsid w:val="00DF256F"/>
    <w:rsid w:val="00DF27ED"/>
    <w:rsid w:val="00DF2A45"/>
    <w:rsid w:val="00DF33AB"/>
    <w:rsid w:val="00DF3A13"/>
    <w:rsid w:val="00DF431D"/>
    <w:rsid w:val="00DF4639"/>
    <w:rsid w:val="00DF46AF"/>
    <w:rsid w:val="00DF4E55"/>
    <w:rsid w:val="00DF512B"/>
    <w:rsid w:val="00DF5424"/>
    <w:rsid w:val="00DF5691"/>
    <w:rsid w:val="00DF5790"/>
    <w:rsid w:val="00DF717E"/>
    <w:rsid w:val="00DF72AA"/>
    <w:rsid w:val="00DF731E"/>
    <w:rsid w:val="00DF7514"/>
    <w:rsid w:val="00E00BDB"/>
    <w:rsid w:val="00E00D70"/>
    <w:rsid w:val="00E010A6"/>
    <w:rsid w:val="00E01556"/>
    <w:rsid w:val="00E019C0"/>
    <w:rsid w:val="00E02C14"/>
    <w:rsid w:val="00E03678"/>
    <w:rsid w:val="00E0416B"/>
    <w:rsid w:val="00E04FC6"/>
    <w:rsid w:val="00E057F9"/>
    <w:rsid w:val="00E058BF"/>
    <w:rsid w:val="00E0618E"/>
    <w:rsid w:val="00E063E7"/>
    <w:rsid w:val="00E066E7"/>
    <w:rsid w:val="00E070CD"/>
    <w:rsid w:val="00E07132"/>
    <w:rsid w:val="00E072F2"/>
    <w:rsid w:val="00E0796C"/>
    <w:rsid w:val="00E07BBC"/>
    <w:rsid w:val="00E07F48"/>
    <w:rsid w:val="00E10014"/>
    <w:rsid w:val="00E100BB"/>
    <w:rsid w:val="00E1038E"/>
    <w:rsid w:val="00E10530"/>
    <w:rsid w:val="00E10591"/>
    <w:rsid w:val="00E1094B"/>
    <w:rsid w:val="00E10ED1"/>
    <w:rsid w:val="00E11A4A"/>
    <w:rsid w:val="00E11E10"/>
    <w:rsid w:val="00E120C6"/>
    <w:rsid w:val="00E1213D"/>
    <w:rsid w:val="00E12C2E"/>
    <w:rsid w:val="00E131B5"/>
    <w:rsid w:val="00E143FE"/>
    <w:rsid w:val="00E14589"/>
    <w:rsid w:val="00E145D8"/>
    <w:rsid w:val="00E1499C"/>
    <w:rsid w:val="00E14D30"/>
    <w:rsid w:val="00E15046"/>
    <w:rsid w:val="00E1576E"/>
    <w:rsid w:val="00E157CE"/>
    <w:rsid w:val="00E15888"/>
    <w:rsid w:val="00E15ACE"/>
    <w:rsid w:val="00E15C01"/>
    <w:rsid w:val="00E161BF"/>
    <w:rsid w:val="00E16795"/>
    <w:rsid w:val="00E16AFD"/>
    <w:rsid w:val="00E16E23"/>
    <w:rsid w:val="00E16E6F"/>
    <w:rsid w:val="00E1705A"/>
    <w:rsid w:val="00E1753A"/>
    <w:rsid w:val="00E17544"/>
    <w:rsid w:val="00E179E3"/>
    <w:rsid w:val="00E17C25"/>
    <w:rsid w:val="00E17D7E"/>
    <w:rsid w:val="00E20029"/>
    <w:rsid w:val="00E21507"/>
    <w:rsid w:val="00E21637"/>
    <w:rsid w:val="00E21D29"/>
    <w:rsid w:val="00E21D6E"/>
    <w:rsid w:val="00E21FBD"/>
    <w:rsid w:val="00E22B02"/>
    <w:rsid w:val="00E22B16"/>
    <w:rsid w:val="00E23334"/>
    <w:rsid w:val="00E237B1"/>
    <w:rsid w:val="00E244A5"/>
    <w:rsid w:val="00E24C73"/>
    <w:rsid w:val="00E24CD1"/>
    <w:rsid w:val="00E24F7A"/>
    <w:rsid w:val="00E252FD"/>
    <w:rsid w:val="00E25430"/>
    <w:rsid w:val="00E25479"/>
    <w:rsid w:val="00E25655"/>
    <w:rsid w:val="00E256EE"/>
    <w:rsid w:val="00E25A5D"/>
    <w:rsid w:val="00E273AC"/>
    <w:rsid w:val="00E278D6"/>
    <w:rsid w:val="00E3064E"/>
    <w:rsid w:val="00E3082E"/>
    <w:rsid w:val="00E3096D"/>
    <w:rsid w:val="00E30DF2"/>
    <w:rsid w:val="00E31363"/>
    <w:rsid w:val="00E31BF8"/>
    <w:rsid w:val="00E31D87"/>
    <w:rsid w:val="00E3228D"/>
    <w:rsid w:val="00E329B5"/>
    <w:rsid w:val="00E32C57"/>
    <w:rsid w:val="00E33566"/>
    <w:rsid w:val="00E3364A"/>
    <w:rsid w:val="00E337B3"/>
    <w:rsid w:val="00E34400"/>
    <w:rsid w:val="00E34650"/>
    <w:rsid w:val="00E35C42"/>
    <w:rsid w:val="00E35CD6"/>
    <w:rsid w:val="00E35F70"/>
    <w:rsid w:val="00E36018"/>
    <w:rsid w:val="00E364EC"/>
    <w:rsid w:val="00E36922"/>
    <w:rsid w:val="00E36D5B"/>
    <w:rsid w:val="00E370DB"/>
    <w:rsid w:val="00E3720A"/>
    <w:rsid w:val="00E377F3"/>
    <w:rsid w:val="00E37E5A"/>
    <w:rsid w:val="00E40FA7"/>
    <w:rsid w:val="00E41219"/>
    <w:rsid w:val="00E416B9"/>
    <w:rsid w:val="00E41E38"/>
    <w:rsid w:val="00E41FDE"/>
    <w:rsid w:val="00E438FB"/>
    <w:rsid w:val="00E439A1"/>
    <w:rsid w:val="00E43CB8"/>
    <w:rsid w:val="00E43EDD"/>
    <w:rsid w:val="00E4433D"/>
    <w:rsid w:val="00E4436B"/>
    <w:rsid w:val="00E44A45"/>
    <w:rsid w:val="00E44C26"/>
    <w:rsid w:val="00E44FEC"/>
    <w:rsid w:val="00E4515C"/>
    <w:rsid w:val="00E45E08"/>
    <w:rsid w:val="00E4601B"/>
    <w:rsid w:val="00E4619F"/>
    <w:rsid w:val="00E46681"/>
    <w:rsid w:val="00E46838"/>
    <w:rsid w:val="00E470A2"/>
    <w:rsid w:val="00E4710D"/>
    <w:rsid w:val="00E473DF"/>
    <w:rsid w:val="00E474F4"/>
    <w:rsid w:val="00E47733"/>
    <w:rsid w:val="00E47D0B"/>
    <w:rsid w:val="00E505F6"/>
    <w:rsid w:val="00E5120C"/>
    <w:rsid w:val="00E51A47"/>
    <w:rsid w:val="00E51E0C"/>
    <w:rsid w:val="00E520A4"/>
    <w:rsid w:val="00E5270B"/>
    <w:rsid w:val="00E5282C"/>
    <w:rsid w:val="00E538BD"/>
    <w:rsid w:val="00E53ADD"/>
    <w:rsid w:val="00E53B2F"/>
    <w:rsid w:val="00E53BE2"/>
    <w:rsid w:val="00E54035"/>
    <w:rsid w:val="00E54223"/>
    <w:rsid w:val="00E54296"/>
    <w:rsid w:val="00E545B0"/>
    <w:rsid w:val="00E54BE3"/>
    <w:rsid w:val="00E54F99"/>
    <w:rsid w:val="00E55C9C"/>
    <w:rsid w:val="00E56116"/>
    <w:rsid w:val="00E56713"/>
    <w:rsid w:val="00E571D3"/>
    <w:rsid w:val="00E57E3C"/>
    <w:rsid w:val="00E602D3"/>
    <w:rsid w:val="00E6079B"/>
    <w:rsid w:val="00E60F28"/>
    <w:rsid w:val="00E61904"/>
    <w:rsid w:val="00E62482"/>
    <w:rsid w:val="00E6266A"/>
    <w:rsid w:val="00E62D90"/>
    <w:rsid w:val="00E6326C"/>
    <w:rsid w:val="00E63342"/>
    <w:rsid w:val="00E635E0"/>
    <w:rsid w:val="00E63C1A"/>
    <w:rsid w:val="00E6427E"/>
    <w:rsid w:val="00E65278"/>
    <w:rsid w:val="00E6543F"/>
    <w:rsid w:val="00E6563E"/>
    <w:rsid w:val="00E6580B"/>
    <w:rsid w:val="00E664F2"/>
    <w:rsid w:val="00E665EB"/>
    <w:rsid w:val="00E6665F"/>
    <w:rsid w:val="00E669F9"/>
    <w:rsid w:val="00E66B92"/>
    <w:rsid w:val="00E67AA6"/>
    <w:rsid w:val="00E70240"/>
    <w:rsid w:val="00E70822"/>
    <w:rsid w:val="00E70EFC"/>
    <w:rsid w:val="00E71498"/>
    <w:rsid w:val="00E726D1"/>
    <w:rsid w:val="00E728C7"/>
    <w:rsid w:val="00E731DC"/>
    <w:rsid w:val="00E7355E"/>
    <w:rsid w:val="00E736F4"/>
    <w:rsid w:val="00E74305"/>
    <w:rsid w:val="00E75144"/>
    <w:rsid w:val="00E7589F"/>
    <w:rsid w:val="00E758E4"/>
    <w:rsid w:val="00E762C5"/>
    <w:rsid w:val="00E76571"/>
    <w:rsid w:val="00E768EB"/>
    <w:rsid w:val="00E7699C"/>
    <w:rsid w:val="00E769CC"/>
    <w:rsid w:val="00E76A93"/>
    <w:rsid w:val="00E7704F"/>
    <w:rsid w:val="00E777F3"/>
    <w:rsid w:val="00E8008B"/>
    <w:rsid w:val="00E80151"/>
    <w:rsid w:val="00E803EC"/>
    <w:rsid w:val="00E809C3"/>
    <w:rsid w:val="00E814DD"/>
    <w:rsid w:val="00E81C06"/>
    <w:rsid w:val="00E81CD6"/>
    <w:rsid w:val="00E81F2A"/>
    <w:rsid w:val="00E82D5D"/>
    <w:rsid w:val="00E83013"/>
    <w:rsid w:val="00E834F3"/>
    <w:rsid w:val="00E83D64"/>
    <w:rsid w:val="00E842CA"/>
    <w:rsid w:val="00E84D7A"/>
    <w:rsid w:val="00E85251"/>
    <w:rsid w:val="00E858E7"/>
    <w:rsid w:val="00E87018"/>
    <w:rsid w:val="00E87242"/>
    <w:rsid w:val="00E87769"/>
    <w:rsid w:val="00E8777A"/>
    <w:rsid w:val="00E87800"/>
    <w:rsid w:val="00E87B9E"/>
    <w:rsid w:val="00E87BEE"/>
    <w:rsid w:val="00E9017D"/>
    <w:rsid w:val="00E9019D"/>
    <w:rsid w:val="00E905EB"/>
    <w:rsid w:val="00E90F55"/>
    <w:rsid w:val="00E924DA"/>
    <w:rsid w:val="00E92698"/>
    <w:rsid w:val="00E9278D"/>
    <w:rsid w:val="00E92ECF"/>
    <w:rsid w:val="00E95819"/>
    <w:rsid w:val="00E959B0"/>
    <w:rsid w:val="00E95A0D"/>
    <w:rsid w:val="00E964FA"/>
    <w:rsid w:val="00E96695"/>
    <w:rsid w:val="00E9704D"/>
    <w:rsid w:val="00E977F1"/>
    <w:rsid w:val="00E97CBC"/>
    <w:rsid w:val="00E97E3A"/>
    <w:rsid w:val="00EA082B"/>
    <w:rsid w:val="00EA0D57"/>
    <w:rsid w:val="00EA0E74"/>
    <w:rsid w:val="00EA17FE"/>
    <w:rsid w:val="00EA1C2F"/>
    <w:rsid w:val="00EA2903"/>
    <w:rsid w:val="00EA3422"/>
    <w:rsid w:val="00EA44A4"/>
    <w:rsid w:val="00EA453C"/>
    <w:rsid w:val="00EA4576"/>
    <w:rsid w:val="00EA4BAB"/>
    <w:rsid w:val="00EA4FF2"/>
    <w:rsid w:val="00EA5226"/>
    <w:rsid w:val="00EA65F6"/>
    <w:rsid w:val="00EA7627"/>
    <w:rsid w:val="00EA775B"/>
    <w:rsid w:val="00EA7947"/>
    <w:rsid w:val="00EA7C2B"/>
    <w:rsid w:val="00EA7C5E"/>
    <w:rsid w:val="00EB02F3"/>
    <w:rsid w:val="00EB0DB1"/>
    <w:rsid w:val="00EB1158"/>
    <w:rsid w:val="00EB2125"/>
    <w:rsid w:val="00EB23BB"/>
    <w:rsid w:val="00EB2A46"/>
    <w:rsid w:val="00EB2E59"/>
    <w:rsid w:val="00EB3023"/>
    <w:rsid w:val="00EB327A"/>
    <w:rsid w:val="00EB344F"/>
    <w:rsid w:val="00EB3D0C"/>
    <w:rsid w:val="00EB40EC"/>
    <w:rsid w:val="00EB43E0"/>
    <w:rsid w:val="00EB44D4"/>
    <w:rsid w:val="00EB466C"/>
    <w:rsid w:val="00EB4CE5"/>
    <w:rsid w:val="00EB4D5B"/>
    <w:rsid w:val="00EB4ED4"/>
    <w:rsid w:val="00EB53EF"/>
    <w:rsid w:val="00EB6119"/>
    <w:rsid w:val="00EB65AE"/>
    <w:rsid w:val="00EB782C"/>
    <w:rsid w:val="00EB7A5C"/>
    <w:rsid w:val="00EB7F07"/>
    <w:rsid w:val="00EC007E"/>
    <w:rsid w:val="00EC0470"/>
    <w:rsid w:val="00EC06E3"/>
    <w:rsid w:val="00EC07EC"/>
    <w:rsid w:val="00EC086B"/>
    <w:rsid w:val="00EC09E2"/>
    <w:rsid w:val="00EC18CC"/>
    <w:rsid w:val="00EC1A85"/>
    <w:rsid w:val="00EC1AD4"/>
    <w:rsid w:val="00EC1D03"/>
    <w:rsid w:val="00EC1D28"/>
    <w:rsid w:val="00EC22BF"/>
    <w:rsid w:val="00EC23CE"/>
    <w:rsid w:val="00EC2584"/>
    <w:rsid w:val="00EC298A"/>
    <w:rsid w:val="00EC3532"/>
    <w:rsid w:val="00EC375B"/>
    <w:rsid w:val="00EC3828"/>
    <w:rsid w:val="00EC3BF7"/>
    <w:rsid w:val="00EC44A2"/>
    <w:rsid w:val="00EC454A"/>
    <w:rsid w:val="00EC46EA"/>
    <w:rsid w:val="00EC4C04"/>
    <w:rsid w:val="00EC4F01"/>
    <w:rsid w:val="00EC6257"/>
    <w:rsid w:val="00EC69A6"/>
    <w:rsid w:val="00EC719D"/>
    <w:rsid w:val="00EC7523"/>
    <w:rsid w:val="00EC774C"/>
    <w:rsid w:val="00ED0292"/>
    <w:rsid w:val="00ED043F"/>
    <w:rsid w:val="00ED12DA"/>
    <w:rsid w:val="00ED1592"/>
    <w:rsid w:val="00ED1F95"/>
    <w:rsid w:val="00ED31B3"/>
    <w:rsid w:val="00ED3919"/>
    <w:rsid w:val="00ED3D30"/>
    <w:rsid w:val="00ED3FE1"/>
    <w:rsid w:val="00ED410A"/>
    <w:rsid w:val="00ED412B"/>
    <w:rsid w:val="00ED4EC7"/>
    <w:rsid w:val="00ED5EE6"/>
    <w:rsid w:val="00ED60AA"/>
    <w:rsid w:val="00EE06E0"/>
    <w:rsid w:val="00EE0D54"/>
    <w:rsid w:val="00EE15AC"/>
    <w:rsid w:val="00EE1B6A"/>
    <w:rsid w:val="00EE1F7A"/>
    <w:rsid w:val="00EE263B"/>
    <w:rsid w:val="00EE383E"/>
    <w:rsid w:val="00EE3A77"/>
    <w:rsid w:val="00EE3CE1"/>
    <w:rsid w:val="00EE3EB8"/>
    <w:rsid w:val="00EE4D2E"/>
    <w:rsid w:val="00EE5916"/>
    <w:rsid w:val="00EE5D00"/>
    <w:rsid w:val="00EE6297"/>
    <w:rsid w:val="00EE6344"/>
    <w:rsid w:val="00EE6389"/>
    <w:rsid w:val="00EE6F1B"/>
    <w:rsid w:val="00EE6F80"/>
    <w:rsid w:val="00EE709F"/>
    <w:rsid w:val="00EE7444"/>
    <w:rsid w:val="00EF02CE"/>
    <w:rsid w:val="00EF0953"/>
    <w:rsid w:val="00EF1037"/>
    <w:rsid w:val="00EF1D96"/>
    <w:rsid w:val="00EF1EC4"/>
    <w:rsid w:val="00EF24A2"/>
    <w:rsid w:val="00EF2510"/>
    <w:rsid w:val="00EF2947"/>
    <w:rsid w:val="00EF2AFF"/>
    <w:rsid w:val="00EF2D5D"/>
    <w:rsid w:val="00EF2F80"/>
    <w:rsid w:val="00EF32F7"/>
    <w:rsid w:val="00EF3C57"/>
    <w:rsid w:val="00EF4785"/>
    <w:rsid w:val="00EF482F"/>
    <w:rsid w:val="00EF4A42"/>
    <w:rsid w:val="00EF53F8"/>
    <w:rsid w:val="00EF5B95"/>
    <w:rsid w:val="00EF632C"/>
    <w:rsid w:val="00EF75BA"/>
    <w:rsid w:val="00EF7A08"/>
    <w:rsid w:val="00F002EA"/>
    <w:rsid w:val="00F00EA7"/>
    <w:rsid w:val="00F00EAB"/>
    <w:rsid w:val="00F010A5"/>
    <w:rsid w:val="00F013C4"/>
    <w:rsid w:val="00F01D6D"/>
    <w:rsid w:val="00F01DB0"/>
    <w:rsid w:val="00F01FD8"/>
    <w:rsid w:val="00F023BE"/>
    <w:rsid w:val="00F023CE"/>
    <w:rsid w:val="00F026F5"/>
    <w:rsid w:val="00F02A30"/>
    <w:rsid w:val="00F02A69"/>
    <w:rsid w:val="00F02C0E"/>
    <w:rsid w:val="00F02D2F"/>
    <w:rsid w:val="00F03037"/>
    <w:rsid w:val="00F043F5"/>
    <w:rsid w:val="00F04506"/>
    <w:rsid w:val="00F04605"/>
    <w:rsid w:val="00F0527E"/>
    <w:rsid w:val="00F052DE"/>
    <w:rsid w:val="00F057E8"/>
    <w:rsid w:val="00F05C65"/>
    <w:rsid w:val="00F05E0B"/>
    <w:rsid w:val="00F05E79"/>
    <w:rsid w:val="00F0671C"/>
    <w:rsid w:val="00F06740"/>
    <w:rsid w:val="00F07B6B"/>
    <w:rsid w:val="00F1068F"/>
    <w:rsid w:val="00F10723"/>
    <w:rsid w:val="00F1080F"/>
    <w:rsid w:val="00F10FAF"/>
    <w:rsid w:val="00F11651"/>
    <w:rsid w:val="00F11A95"/>
    <w:rsid w:val="00F11BE5"/>
    <w:rsid w:val="00F13236"/>
    <w:rsid w:val="00F13EDC"/>
    <w:rsid w:val="00F145A1"/>
    <w:rsid w:val="00F14847"/>
    <w:rsid w:val="00F1508F"/>
    <w:rsid w:val="00F15213"/>
    <w:rsid w:val="00F15279"/>
    <w:rsid w:val="00F1563B"/>
    <w:rsid w:val="00F1626F"/>
    <w:rsid w:val="00F162A2"/>
    <w:rsid w:val="00F16603"/>
    <w:rsid w:val="00F16A93"/>
    <w:rsid w:val="00F16BB1"/>
    <w:rsid w:val="00F178AF"/>
    <w:rsid w:val="00F17A37"/>
    <w:rsid w:val="00F17B3B"/>
    <w:rsid w:val="00F17BDB"/>
    <w:rsid w:val="00F200A0"/>
    <w:rsid w:val="00F200F6"/>
    <w:rsid w:val="00F2052E"/>
    <w:rsid w:val="00F20CE8"/>
    <w:rsid w:val="00F21B9D"/>
    <w:rsid w:val="00F21C0F"/>
    <w:rsid w:val="00F22108"/>
    <w:rsid w:val="00F227A4"/>
    <w:rsid w:val="00F22F74"/>
    <w:rsid w:val="00F23377"/>
    <w:rsid w:val="00F23BB5"/>
    <w:rsid w:val="00F23D62"/>
    <w:rsid w:val="00F24039"/>
    <w:rsid w:val="00F243F5"/>
    <w:rsid w:val="00F24504"/>
    <w:rsid w:val="00F26506"/>
    <w:rsid w:val="00F2654D"/>
    <w:rsid w:val="00F27402"/>
    <w:rsid w:val="00F2763B"/>
    <w:rsid w:val="00F279B0"/>
    <w:rsid w:val="00F303E7"/>
    <w:rsid w:val="00F30421"/>
    <w:rsid w:val="00F30A37"/>
    <w:rsid w:val="00F30C96"/>
    <w:rsid w:val="00F318F4"/>
    <w:rsid w:val="00F31AA6"/>
    <w:rsid w:val="00F324D2"/>
    <w:rsid w:val="00F327D3"/>
    <w:rsid w:val="00F32C66"/>
    <w:rsid w:val="00F33001"/>
    <w:rsid w:val="00F33274"/>
    <w:rsid w:val="00F34192"/>
    <w:rsid w:val="00F34A6B"/>
    <w:rsid w:val="00F35680"/>
    <w:rsid w:val="00F35D5C"/>
    <w:rsid w:val="00F35DCD"/>
    <w:rsid w:val="00F362DB"/>
    <w:rsid w:val="00F377B2"/>
    <w:rsid w:val="00F379C5"/>
    <w:rsid w:val="00F37AC1"/>
    <w:rsid w:val="00F37B04"/>
    <w:rsid w:val="00F37CCF"/>
    <w:rsid w:val="00F400A7"/>
    <w:rsid w:val="00F402C7"/>
    <w:rsid w:val="00F4068C"/>
    <w:rsid w:val="00F40D01"/>
    <w:rsid w:val="00F40FB0"/>
    <w:rsid w:val="00F41AE7"/>
    <w:rsid w:val="00F41C83"/>
    <w:rsid w:val="00F4208B"/>
    <w:rsid w:val="00F420DD"/>
    <w:rsid w:val="00F42310"/>
    <w:rsid w:val="00F42A58"/>
    <w:rsid w:val="00F431D5"/>
    <w:rsid w:val="00F435D4"/>
    <w:rsid w:val="00F4390F"/>
    <w:rsid w:val="00F4449E"/>
    <w:rsid w:val="00F44518"/>
    <w:rsid w:val="00F44644"/>
    <w:rsid w:val="00F44797"/>
    <w:rsid w:val="00F44BCA"/>
    <w:rsid w:val="00F44CC6"/>
    <w:rsid w:val="00F44DDF"/>
    <w:rsid w:val="00F451A8"/>
    <w:rsid w:val="00F461EE"/>
    <w:rsid w:val="00F46219"/>
    <w:rsid w:val="00F46439"/>
    <w:rsid w:val="00F4677B"/>
    <w:rsid w:val="00F471A1"/>
    <w:rsid w:val="00F4774E"/>
    <w:rsid w:val="00F4793C"/>
    <w:rsid w:val="00F47A13"/>
    <w:rsid w:val="00F500A6"/>
    <w:rsid w:val="00F508DE"/>
    <w:rsid w:val="00F50B99"/>
    <w:rsid w:val="00F5121E"/>
    <w:rsid w:val="00F513E0"/>
    <w:rsid w:val="00F527F0"/>
    <w:rsid w:val="00F534F9"/>
    <w:rsid w:val="00F53610"/>
    <w:rsid w:val="00F53D31"/>
    <w:rsid w:val="00F54BC4"/>
    <w:rsid w:val="00F54D04"/>
    <w:rsid w:val="00F553D6"/>
    <w:rsid w:val="00F554CA"/>
    <w:rsid w:val="00F559BD"/>
    <w:rsid w:val="00F561C8"/>
    <w:rsid w:val="00F56681"/>
    <w:rsid w:val="00F56904"/>
    <w:rsid w:val="00F56B2E"/>
    <w:rsid w:val="00F56F49"/>
    <w:rsid w:val="00F56FFD"/>
    <w:rsid w:val="00F57BAA"/>
    <w:rsid w:val="00F57F17"/>
    <w:rsid w:val="00F602FB"/>
    <w:rsid w:val="00F60413"/>
    <w:rsid w:val="00F60877"/>
    <w:rsid w:val="00F60AA2"/>
    <w:rsid w:val="00F61490"/>
    <w:rsid w:val="00F615B0"/>
    <w:rsid w:val="00F62099"/>
    <w:rsid w:val="00F620DD"/>
    <w:rsid w:val="00F63AD8"/>
    <w:rsid w:val="00F63DCD"/>
    <w:rsid w:val="00F64A82"/>
    <w:rsid w:val="00F64E98"/>
    <w:rsid w:val="00F65091"/>
    <w:rsid w:val="00F6567D"/>
    <w:rsid w:val="00F65780"/>
    <w:rsid w:val="00F65ECF"/>
    <w:rsid w:val="00F660A4"/>
    <w:rsid w:val="00F66A03"/>
    <w:rsid w:val="00F67235"/>
    <w:rsid w:val="00F70036"/>
    <w:rsid w:val="00F70A38"/>
    <w:rsid w:val="00F70DE6"/>
    <w:rsid w:val="00F70F25"/>
    <w:rsid w:val="00F71909"/>
    <w:rsid w:val="00F7233F"/>
    <w:rsid w:val="00F727B3"/>
    <w:rsid w:val="00F730F1"/>
    <w:rsid w:val="00F731FD"/>
    <w:rsid w:val="00F73535"/>
    <w:rsid w:val="00F73658"/>
    <w:rsid w:val="00F73C8E"/>
    <w:rsid w:val="00F73E0D"/>
    <w:rsid w:val="00F73E1A"/>
    <w:rsid w:val="00F74F0C"/>
    <w:rsid w:val="00F74FF6"/>
    <w:rsid w:val="00F750B4"/>
    <w:rsid w:val="00F750E1"/>
    <w:rsid w:val="00F752AE"/>
    <w:rsid w:val="00F75481"/>
    <w:rsid w:val="00F758A5"/>
    <w:rsid w:val="00F75CE1"/>
    <w:rsid w:val="00F764E1"/>
    <w:rsid w:val="00F76768"/>
    <w:rsid w:val="00F76F0D"/>
    <w:rsid w:val="00F77214"/>
    <w:rsid w:val="00F772CD"/>
    <w:rsid w:val="00F778F4"/>
    <w:rsid w:val="00F80391"/>
    <w:rsid w:val="00F80928"/>
    <w:rsid w:val="00F81EC0"/>
    <w:rsid w:val="00F82C4A"/>
    <w:rsid w:val="00F831F5"/>
    <w:rsid w:val="00F839E4"/>
    <w:rsid w:val="00F8427E"/>
    <w:rsid w:val="00F84CA4"/>
    <w:rsid w:val="00F84D69"/>
    <w:rsid w:val="00F85FB8"/>
    <w:rsid w:val="00F860F7"/>
    <w:rsid w:val="00F8621D"/>
    <w:rsid w:val="00F86277"/>
    <w:rsid w:val="00F8658B"/>
    <w:rsid w:val="00F86E3B"/>
    <w:rsid w:val="00F86EBD"/>
    <w:rsid w:val="00F86F0B"/>
    <w:rsid w:val="00F86F5E"/>
    <w:rsid w:val="00F8723F"/>
    <w:rsid w:val="00F8774A"/>
    <w:rsid w:val="00F87DF5"/>
    <w:rsid w:val="00F87E55"/>
    <w:rsid w:val="00F90E5C"/>
    <w:rsid w:val="00F90FD0"/>
    <w:rsid w:val="00F91649"/>
    <w:rsid w:val="00F91D22"/>
    <w:rsid w:val="00F92B60"/>
    <w:rsid w:val="00F92CFA"/>
    <w:rsid w:val="00F93B88"/>
    <w:rsid w:val="00F93E7F"/>
    <w:rsid w:val="00F93F0D"/>
    <w:rsid w:val="00F94247"/>
    <w:rsid w:val="00F948A5"/>
    <w:rsid w:val="00F953A0"/>
    <w:rsid w:val="00F954E5"/>
    <w:rsid w:val="00F95F39"/>
    <w:rsid w:val="00F963D6"/>
    <w:rsid w:val="00F966E4"/>
    <w:rsid w:val="00F96B45"/>
    <w:rsid w:val="00F96E7C"/>
    <w:rsid w:val="00F970A5"/>
    <w:rsid w:val="00F973F2"/>
    <w:rsid w:val="00F97805"/>
    <w:rsid w:val="00FA00E4"/>
    <w:rsid w:val="00FA04B1"/>
    <w:rsid w:val="00FA04E1"/>
    <w:rsid w:val="00FA055D"/>
    <w:rsid w:val="00FA0798"/>
    <w:rsid w:val="00FA0933"/>
    <w:rsid w:val="00FA0B85"/>
    <w:rsid w:val="00FA0FFF"/>
    <w:rsid w:val="00FA1367"/>
    <w:rsid w:val="00FA19DA"/>
    <w:rsid w:val="00FA23D4"/>
    <w:rsid w:val="00FA2934"/>
    <w:rsid w:val="00FA2D6C"/>
    <w:rsid w:val="00FA2F8F"/>
    <w:rsid w:val="00FA38F2"/>
    <w:rsid w:val="00FA39DF"/>
    <w:rsid w:val="00FA3DA9"/>
    <w:rsid w:val="00FA4521"/>
    <w:rsid w:val="00FA492B"/>
    <w:rsid w:val="00FA54B8"/>
    <w:rsid w:val="00FA5DD3"/>
    <w:rsid w:val="00FA60C0"/>
    <w:rsid w:val="00FA6A21"/>
    <w:rsid w:val="00FA7611"/>
    <w:rsid w:val="00FB02B3"/>
    <w:rsid w:val="00FB032C"/>
    <w:rsid w:val="00FB0673"/>
    <w:rsid w:val="00FB067B"/>
    <w:rsid w:val="00FB0B87"/>
    <w:rsid w:val="00FB0FD0"/>
    <w:rsid w:val="00FB11F8"/>
    <w:rsid w:val="00FB13A1"/>
    <w:rsid w:val="00FB29A3"/>
    <w:rsid w:val="00FB2E6F"/>
    <w:rsid w:val="00FB31BA"/>
    <w:rsid w:val="00FB372F"/>
    <w:rsid w:val="00FB385C"/>
    <w:rsid w:val="00FB3E08"/>
    <w:rsid w:val="00FB43E7"/>
    <w:rsid w:val="00FB4805"/>
    <w:rsid w:val="00FB4813"/>
    <w:rsid w:val="00FB4C73"/>
    <w:rsid w:val="00FB501B"/>
    <w:rsid w:val="00FB6821"/>
    <w:rsid w:val="00FB7349"/>
    <w:rsid w:val="00FB76E4"/>
    <w:rsid w:val="00FB7A99"/>
    <w:rsid w:val="00FB7DE1"/>
    <w:rsid w:val="00FC14AB"/>
    <w:rsid w:val="00FC198C"/>
    <w:rsid w:val="00FC2D02"/>
    <w:rsid w:val="00FC41AC"/>
    <w:rsid w:val="00FC47EB"/>
    <w:rsid w:val="00FC51EE"/>
    <w:rsid w:val="00FC52B8"/>
    <w:rsid w:val="00FC5751"/>
    <w:rsid w:val="00FC5B67"/>
    <w:rsid w:val="00FC5C2C"/>
    <w:rsid w:val="00FC62EB"/>
    <w:rsid w:val="00FC6341"/>
    <w:rsid w:val="00FC63C6"/>
    <w:rsid w:val="00FC63EE"/>
    <w:rsid w:val="00FC6422"/>
    <w:rsid w:val="00FC68F5"/>
    <w:rsid w:val="00FC6AC0"/>
    <w:rsid w:val="00FC7106"/>
    <w:rsid w:val="00FC711F"/>
    <w:rsid w:val="00FD034E"/>
    <w:rsid w:val="00FD04F5"/>
    <w:rsid w:val="00FD065C"/>
    <w:rsid w:val="00FD06F9"/>
    <w:rsid w:val="00FD0715"/>
    <w:rsid w:val="00FD0A91"/>
    <w:rsid w:val="00FD0B8D"/>
    <w:rsid w:val="00FD0BC7"/>
    <w:rsid w:val="00FD143A"/>
    <w:rsid w:val="00FD1A61"/>
    <w:rsid w:val="00FD1A9F"/>
    <w:rsid w:val="00FD269D"/>
    <w:rsid w:val="00FD306F"/>
    <w:rsid w:val="00FD3782"/>
    <w:rsid w:val="00FD3B77"/>
    <w:rsid w:val="00FD3C0C"/>
    <w:rsid w:val="00FD4537"/>
    <w:rsid w:val="00FD4F89"/>
    <w:rsid w:val="00FD6227"/>
    <w:rsid w:val="00FD63FA"/>
    <w:rsid w:val="00FD6C4F"/>
    <w:rsid w:val="00FD6F41"/>
    <w:rsid w:val="00FD7B4C"/>
    <w:rsid w:val="00FE0D51"/>
    <w:rsid w:val="00FE1674"/>
    <w:rsid w:val="00FE1C78"/>
    <w:rsid w:val="00FE1C87"/>
    <w:rsid w:val="00FE2F6C"/>
    <w:rsid w:val="00FE326E"/>
    <w:rsid w:val="00FE3467"/>
    <w:rsid w:val="00FE38F1"/>
    <w:rsid w:val="00FE43A6"/>
    <w:rsid w:val="00FE4872"/>
    <w:rsid w:val="00FE4876"/>
    <w:rsid w:val="00FE48C0"/>
    <w:rsid w:val="00FE4A6B"/>
    <w:rsid w:val="00FE4C1C"/>
    <w:rsid w:val="00FE4E62"/>
    <w:rsid w:val="00FE4F1A"/>
    <w:rsid w:val="00FE4F83"/>
    <w:rsid w:val="00FE5B03"/>
    <w:rsid w:val="00FE6830"/>
    <w:rsid w:val="00FE68E8"/>
    <w:rsid w:val="00FE6A58"/>
    <w:rsid w:val="00FE6C28"/>
    <w:rsid w:val="00FE6E7C"/>
    <w:rsid w:val="00FE6FBD"/>
    <w:rsid w:val="00FE7618"/>
    <w:rsid w:val="00FE7734"/>
    <w:rsid w:val="00FE7E9B"/>
    <w:rsid w:val="00FF0506"/>
    <w:rsid w:val="00FF1129"/>
    <w:rsid w:val="00FF1137"/>
    <w:rsid w:val="00FF184C"/>
    <w:rsid w:val="00FF1EF3"/>
    <w:rsid w:val="00FF234F"/>
    <w:rsid w:val="00FF24B6"/>
    <w:rsid w:val="00FF26FE"/>
    <w:rsid w:val="00FF31E5"/>
    <w:rsid w:val="00FF3DCD"/>
    <w:rsid w:val="00FF3EEE"/>
    <w:rsid w:val="00FF4147"/>
    <w:rsid w:val="00FF41DE"/>
    <w:rsid w:val="00FF43BE"/>
    <w:rsid w:val="00FF48E2"/>
    <w:rsid w:val="00FF4A18"/>
    <w:rsid w:val="00FF4A1F"/>
    <w:rsid w:val="00FF4A53"/>
    <w:rsid w:val="00FF4E97"/>
    <w:rsid w:val="00FF543C"/>
    <w:rsid w:val="00FF583F"/>
    <w:rsid w:val="00FF5C0F"/>
    <w:rsid w:val="00FF5EDC"/>
    <w:rsid w:val="00FF6372"/>
    <w:rsid w:val="00FF679A"/>
    <w:rsid w:val="00FF69CC"/>
    <w:rsid w:val="00FF6A1C"/>
    <w:rsid w:val="00FF6A80"/>
    <w:rsid w:val="00FF7032"/>
    <w:rsid w:val="00FF735C"/>
    <w:rsid w:val="015C1D37"/>
    <w:rsid w:val="015DE251"/>
    <w:rsid w:val="017149FC"/>
    <w:rsid w:val="02057124"/>
    <w:rsid w:val="02182484"/>
    <w:rsid w:val="0295F995"/>
    <w:rsid w:val="02F5843F"/>
    <w:rsid w:val="02FAC6B3"/>
    <w:rsid w:val="032F8164"/>
    <w:rsid w:val="034671A0"/>
    <w:rsid w:val="03818819"/>
    <w:rsid w:val="038776A3"/>
    <w:rsid w:val="038A399F"/>
    <w:rsid w:val="04DA911F"/>
    <w:rsid w:val="0517E5E1"/>
    <w:rsid w:val="05457EF5"/>
    <w:rsid w:val="05712187"/>
    <w:rsid w:val="05AF6443"/>
    <w:rsid w:val="065E56A0"/>
    <w:rsid w:val="067E1262"/>
    <w:rsid w:val="074EACF7"/>
    <w:rsid w:val="07AC1611"/>
    <w:rsid w:val="08781161"/>
    <w:rsid w:val="092092B6"/>
    <w:rsid w:val="09290D57"/>
    <w:rsid w:val="09BA8319"/>
    <w:rsid w:val="09D62A7D"/>
    <w:rsid w:val="0A44665F"/>
    <w:rsid w:val="0A5DCB2A"/>
    <w:rsid w:val="0ABA0900"/>
    <w:rsid w:val="0B1A8FC9"/>
    <w:rsid w:val="0B1F00F5"/>
    <w:rsid w:val="0B59A7FB"/>
    <w:rsid w:val="0C02FCAD"/>
    <w:rsid w:val="0C2B5F65"/>
    <w:rsid w:val="0C5087B7"/>
    <w:rsid w:val="0C55D961"/>
    <w:rsid w:val="0C8B15A2"/>
    <w:rsid w:val="0CB6602A"/>
    <w:rsid w:val="0CE175CC"/>
    <w:rsid w:val="0CED53E6"/>
    <w:rsid w:val="0D16DEA6"/>
    <w:rsid w:val="0D3271E7"/>
    <w:rsid w:val="0DB5F032"/>
    <w:rsid w:val="0E345509"/>
    <w:rsid w:val="0E52308B"/>
    <w:rsid w:val="0E56A1B7"/>
    <w:rsid w:val="0F06039E"/>
    <w:rsid w:val="0F88840B"/>
    <w:rsid w:val="0F8D7A23"/>
    <w:rsid w:val="0FF593F1"/>
    <w:rsid w:val="104F944A"/>
    <w:rsid w:val="114D21C1"/>
    <w:rsid w:val="126A28BD"/>
    <w:rsid w:val="136CECA2"/>
    <w:rsid w:val="141DD5CD"/>
    <w:rsid w:val="14373000"/>
    <w:rsid w:val="15A3FAD0"/>
    <w:rsid w:val="15D6F4E5"/>
    <w:rsid w:val="15F84D69"/>
    <w:rsid w:val="16829E68"/>
    <w:rsid w:val="16ABA0D6"/>
    <w:rsid w:val="174B6AFF"/>
    <w:rsid w:val="18DF5993"/>
    <w:rsid w:val="191B340C"/>
    <w:rsid w:val="1928BA0E"/>
    <w:rsid w:val="194F50E4"/>
    <w:rsid w:val="19A88681"/>
    <w:rsid w:val="1A02E50C"/>
    <w:rsid w:val="1B278721"/>
    <w:rsid w:val="1B37375E"/>
    <w:rsid w:val="1B92151B"/>
    <w:rsid w:val="1BAE6DDE"/>
    <w:rsid w:val="1BD6D546"/>
    <w:rsid w:val="1BFF1F04"/>
    <w:rsid w:val="1C40DF88"/>
    <w:rsid w:val="1CACA6D2"/>
    <w:rsid w:val="1CD0F520"/>
    <w:rsid w:val="1CE8E13C"/>
    <w:rsid w:val="1D2D3594"/>
    <w:rsid w:val="1DDE1246"/>
    <w:rsid w:val="1E4BD48F"/>
    <w:rsid w:val="1E6CC581"/>
    <w:rsid w:val="1EEDF8C8"/>
    <w:rsid w:val="1F96DBD8"/>
    <w:rsid w:val="1FBAD7A9"/>
    <w:rsid w:val="1FDD1F9B"/>
    <w:rsid w:val="205314C1"/>
    <w:rsid w:val="20614C9B"/>
    <w:rsid w:val="2065B814"/>
    <w:rsid w:val="20944288"/>
    <w:rsid w:val="210CA225"/>
    <w:rsid w:val="21121A2C"/>
    <w:rsid w:val="2115B308"/>
    <w:rsid w:val="211AA396"/>
    <w:rsid w:val="213D69BA"/>
    <w:rsid w:val="21BD1888"/>
    <w:rsid w:val="22421F64"/>
    <w:rsid w:val="22B18369"/>
    <w:rsid w:val="22D257A8"/>
    <w:rsid w:val="232BA80E"/>
    <w:rsid w:val="2373F735"/>
    <w:rsid w:val="23B8335C"/>
    <w:rsid w:val="23FF6C71"/>
    <w:rsid w:val="24239FD1"/>
    <w:rsid w:val="245A26B2"/>
    <w:rsid w:val="25621CCA"/>
    <w:rsid w:val="257264C0"/>
    <w:rsid w:val="25E1DDAB"/>
    <w:rsid w:val="26B4FB1D"/>
    <w:rsid w:val="2754FE77"/>
    <w:rsid w:val="27E1DD48"/>
    <w:rsid w:val="27F92B9D"/>
    <w:rsid w:val="27F97CE9"/>
    <w:rsid w:val="28E31C6C"/>
    <w:rsid w:val="290F2F5B"/>
    <w:rsid w:val="294EAAF7"/>
    <w:rsid w:val="29697D7A"/>
    <w:rsid w:val="29A40F92"/>
    <w:rsid w:val="29F64E64"/>
    <w:rsid w:val="2A044535"/>
    <w:rsid w:val="2A38F785"/>
    <w:rsid w:val="2A65C470"/>
    <w:rsid w:val="2A920044"/>
    <w:rsid w:val="2B286903"/>
    <w:rsid w:val="2B3B94ED"/>
    <w:rsid w:val="2B4CD480"/>
    <w:rsid w:val="2B972FE4"/>
    <w:rsid w:val="2BA7DED6"/>
    <w:rsid w:val="2C1ABD2E"/>
    <w:rsid w:val="2D858DC6"/>
    <w:rsid w:val="2E133555"/>
    <w:rsid w:val="2E5C0F24"/>
    <w:rsid w:val="2EB57673"/>
    <w:rsid w:val="2EE655CF"/>
    <w:rsid w:val="2F393593"/>
    <w:rsid w:val="2F973660"/>
    <w:rsid w:val="30289314"/>
    <w:rsid w:val="310141C8"/>
    <w:rsid w:val="312E934B"/>
    <w:rsid w:val="31F888F0"/>
    <w:rsid w:val="33131A65"/>
    <w:rsid w:val="33A4138D"/>
    <w:rsid w:val="33B81ABF"/>
    <w:rsid w:val="33F6A1C6"/>
    <w:rsid w:val="34058EFC"/>
    <w:rsid w:val="344A4F37"/>
    <w:rsid w:val="348FE836"/>
    <w:rsid w:val="361EFCCD"/>
    <w:rsid w:val="3629E797"/>
    <w:rsid w:val="362BB897"/>
    <w:rsid w:val="36482A7D"/>
    <w:rsid w:val="36518837"/>
    <w:rsid w:val="36810058"/>
    <w:rsid w:val="36D2FEF4"/>
    <w:rsid w:val="36F982E6"/>
    <w:rsid w:val="374FF3A4"/>
    <w:rsid w:val="37575AEF"/>
    <w:rsid w:val="37903ACF"/>
    <w:rsid w:val="38061518"/>
    <w:rsid w:val="380A464D"/>
    <w:rsid w:val="38AB56CC"/>
    <w:rsid w:val="38DB4FA1"/>
    <w:rsid w:val="39CF156F"/>
    <w:rsid w:val="3A4AE871"/>
    <w:rsid w:val="3A9156CD"/>
    <w:rsid w:val="3AA03688"/>
    <w:rsid w:val="3B20274B"/>
    <w:rsid w:val="3B3287E5"/>
    <w:rsid w:val="3B867521"/>
    <w:rsid w:val="3BA4AB88"/>
    <w:rsid w:val="3BD51488"/>
    <w:rsid w:val="3BEBEDE6"/>
    <w:rsid w:val="3C325685"/>
    <w:rsid w:val="3CCCC9D5"/>
    <w:rsid w:val="3D7B13ED"/>
    <w:rsid w:val="3DB1251C"/>
    <w:rsid w:val="3DB59286"/>
    <w:rsid w:val="3F3AA5E8"/>
    <w:rsid w:val="3F890A15"/>
    <w:rsid w:val="3F900B6C"/>
    <w:rsid w:val="3FB5C3A3"/>
    <w:rsid w:val="408BD2A7"/>
    <w:rsid w:val="40F31744"/>
    <w:rsid w:val="41615EFC"/>
    <w:rsid w:val="4167239F"/>
    <w:rsid w:val="41884170"/>
    <w:rsid w:val="41AC9420"/>
    <w:rsid w:val="41B19CC0"/>
    <w:rsid w:val="427A0A96"/>
    <w:rsid w:val="429E3C76"/>
    <w:rsid w:val="42EE6084"/>
    <w:rsid w:val="42F72FC8"/>
    <w:rsid w:val="436C9A71"/>
    <w:rsid w:val="43A228E3"/>
    <w:rsid w:val="43AA7784"/>
    <w:rsid w:val="43EEFCCB"/>
    <w:rsid w:val="43FD87B3"/>
    <w:rsid w:val="444F0654"/>
    <w:rsid w:val="454B57E2"/>
    <w:rsid w:val="45559015"/>
    <w:rsid w:val="47DC2AA5"/>
    <w:rsid w:val="4819017A"/>
    <w:rsid w:val="4848194F"/>
    <w:rsid w:val="487F0CCA"/>
    <w:rsid w:val="49B8FECD"/>
    <w:rsid w:val="49C37AF1"/>
    <w:rsid w:val="4A1CFFA5"/>
    <w:rsid w:val="4A910E63"/>
    <w:rsid w:val="4AA3DBCB"/>
    <w:rsid w:val="4ABFD3CF"/>
    <w:rsid w:val="4ACFB18D"/>
    <w:rsid w:val="4AF53687"/>
    <w:rsid w:val="4B1CCF06"/>
    <w:rsid w:val="4B4B65E7"/>
    <w:rsid w:val="4B7FBA11"/>
    <w:rsid w:val="4BCDB220"/>
    <w:rsid w:val="4BD2D79B"/>
    <w:rsid w:val="4C3D1EFE"/>
    <w:rsid w:val="4C5BA430"/>
    <w:rsid w:val="4CA586FB"/>
    <w:rsid w:val="4D87C451"/>
    <w:rsid w:val="4E1BA9C1"/>
    <w:rsid w:val="4E37F631"/>
    <w:rsid w:val="4F0704B1"/>
    <w:rsid w:val="4F1398A9"/>
    <w:rsid w:val="4F639E3E"/>
    <w:rsid w:val="4FC44623"/>
    <w:rsid w:val="50349764"/>
    <w:rsid w:val="50D68737"/>
    <w:rsid w:val="50E6A221"/>
    <w:rsid w:val="50FA893D"/>
    <w:rsid w:val="51257E71"/>
    <w:rsid w:val="5151481A"/>
    <w:rsid w:val="5178083B"/>
    <w:rsid w:val="51AA9A89"/>
    <w:rsid w:val="51D7F06E"/>
    <w:rsid w:val="524B4A97"/>
    <w:rsid w:val="52707342"/>
    <w:rsid w:val="527F6464"/>
    <w:rsid w:val="52F99B3D"/>
    <w:rsid w:val="53398485"/>
    <w:rsid w:val="5351DF22"/>
    <w:rsid w:val="536B9E0F"/>
    <w:rsid w:val="53B89A9F"/>
    <w:rsid w:val="54222323"/>
    <w:rsid w:val="55B2A4CE"/>
    <w:rsid w:val="56C9508D"/>
    <w:rsid w:val="56F9DFD6"/>
    <w:rsid w:val="57199762"/>
    <w:rsid w:val="581D4241"/>
    <w:rsid w:val="58630371"/>
    <w:rsid w:val="58978824"/>
    <w:rsid w:val="58B1BE23"/>
    <w:rsid w:val="59218583"/>
    <w:rsid w:val="59951585"/>
    <w:rsid w:val="5A01FB00"/>
    <w:rsid w:val="5A372C48"/>
    <w:rsid w:val="5A6D3D77"/>
    <w:rsid w:val="5AFEC003"/>
    <w:rsid w:val="5B12EFDC"/>
    <w:rsid w:val="5B95DDDB"/>
    <w:rsid w:val="5BB124EB"/>
    <w:rsid w:val="5C3DBB3E"/>
    <w:rsid w:val="5C5E53C1"/>
    <w:rsid w:val="5C9A9064"/>
    <w:rsid w:val="5D9FC0FF"/>
    <w:rsid w:val="5E58B1AC"/>
    <w:rsid w:val="5ECD7E9D"/>
    <w:rsid w:val="5EED5DDA"/>
    <w:rsid w:val="5F94B87B"/>
    <w:rsid w:val="60A0C21C"/>
    <w:rsid w:val="60D2F6E0"/>
    <w:rsid w:val="60DD4423"/>
    <w:rsid w:val="6180391B"/>
    <w:rsid w:val="62051F5F"/>
    <w:rsid w:val="627AAC8B"/>
    <w:rsid w:val="62F78784"/>
    <w:rsid w:val="63E94465"/>
    <w:rsid w:val="64A53DA2"/>
    <w:rsid w:val="64AAC6B7"/>
    <w:rsid w:val="64F668BE"/>
    <w:rsid w:val="653CC021"/>
    <w:rsid w:val="658CD5E2"/>
    <w:rsid w:val="65B09540"/>
    <w:rsid w:val="664C96B2"/>
    <w:rsid w:val="665E6567"/>
    <w:rsid w:val="6667F632"/>
    <w:rsid w:val="668470C7"/>
    <w:rsid w:val="66CDE17F"/>
    <w:rsid w:val="66F344D6"/>
    <w:rsid w:val="68834A0E"/>
    <w:rsid w:val="689B3395"/>
    <w:rsid w:val="68A7BCFE"/>
    <w:rsid w:val="68D8081F"/>
    <w:rsid w:val="68FF1ACF"/>
    <w:rsid w:val="690EBC87"/>
    <w:rsid w:val="690F1DDE"/>
    <w:rsid w:val="69DAE514"/>
    <w:rsid w:val="69EBE2F6"/>
    <w:rsid w:val="6A103144"/>
    <w:rsid w:val="6A322C92"/>
    <w:rsid w:val="6A66D344"/>
    <w:rsid w:val="6A90A27E"/>
    <w:rsid w:val="6AAC1A93"/>
    <w:rsid w:val="6B556F45"/>
    <w:rsid w:val="6B8C5D8D"/>
    <w:rsid w:val="6B995C26"/>
    <w:rsid w:val="6BAC9453"/>
    <w:rsid w:val="6BB3EF2B"/>
    <w:rsid w:val="6C0BC2FD"/>
    <w:rsid w:val="6C1DC2AB"/>
    <w:rsid w:val="6C27D9AB"/>
    <w:rsid w:val="6C6374D7"/>
    <w:rsid w:val="6C8DD73B"/>
    <w:rsid w:val="6CB91ECB"/>
    <w:rsid w:val="6D2BDAC1"/>
    <w:rsid w:val="6D496492"/>
    <w:rsid w:val="6D9BE60F"/>
    <w:rsid w:val="6DD37EAC"/>
    <w:rsid w:val="6E29A79C"/>
    <w:rsid w:val="6E443238"/>
    <w:rsid w:val="6E8A930C"/>
    <w:rsid w:val="6EC6D894"/>
    <w:rsid w:val="6EE5B506"/>
    <w:rsid w:val="6EEE1F36"/>
    <w:rsid w:val="6F06D6FD"/>
    <w:rsid w:val="6F3EE6BC"/>
    <w:rsid w:val="6F53029D"/>
    <w:rsid w:val="6F83E414"/>
    <w:rsid w:val="6FD5AA9E"/>
    <w:rsid w:val="70226859"/>
    <w:rsid w:val="704AF7FA"/>
    <w:rsid w:val="70723400"/>
    <w:rsid w:val="70818567"/>
    <w:rsid w:val="70B26C85"/>
    <w:rsid w:val="717335BB"/>
    <w:rsid w:val="71F18801"/>
    <w:rsid w:val="72D5618B"/>
    <w:rsid w:val="72DBF2C6"/>
    <w:rsid w:val="7300BD11"/>
    <w:rsid w:val="73DAF134"/>
    <w:rsid w:val="74999BA6"/>
    <w:rsid w:val="749FB08C"/>
    <w:rsid w:val="7509DA6B"/>
    <w:rsid w:val="7555D511"/>
    <w:rsid w:val="756F5FED"/>
    <w:rsid w:val="75B46E40"/>
    <w:rsid w:val="7667F53A"/>
    <w:rsid w:val="76D5A3AF"/>
    <w:rsid w:val="76E53295"/>
    <w:rsid w:val="777341FD"/>
    <w:rsid w:val="782D7A3E"/>
    <w:rsid w:val="78946463"/>
    <w:rsid w:val="78A4B22C"/>
    <w:rsid w:val="78AAC4B4"/>
    <w:rsid w:val="78CD9CC4"/>
    <w:rsid w:val="78E4877A"/>
    <w:rsid w:val="78EF9465"/>
    <w:rsid w:val="793A3205"/>
    <w:rsid w:val="79C94A9F"/>
    <w:rsid w:val="79D1E7D9"/>
    <w:rsid w:val="79F13849"/>
    <w:rsid w:val="7A1BCF47"/>
    <w:rsid w:val="7AA97DB1"/>
    <w:rsid w:val="7AC2F828"/>
    <w:rsid w:val="7C1B04A4"/>
    <w:rsid w:val="7C1F49A0"/>
    <w:rsid w:val="7D5798E9"/>
    <w:rsid w:val="7D9323B3"/>
    <w:rsid w:val="7DFC6AAC"/>
    <w:rsid w:val="7E1CD46B"/>
    <w:rsid w:val="7E3F1089"/>
    <w:rsid w:val="7EE2D507"/>
    <w:rsid w:val="7F1ADF6F"/>
    <w:rsid w:val="7F3CDE48"/>
    <w:rsid w:val="7F675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6488F"/>
  <w14:defaultImageDpi w14:val="300"/>
  <w15:chartTrackingRefBased/>
  <w15:docId w15:val="{63EE0D93-E970-4D38-8E72-6DAD61E4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Grid Table 3" w:uiPriority="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CD"/>
    <w:pPr>
      <w:spacing w:before="120" w:after="120" w:line="360" w:lineRule="auto"/>
      <w:jc w:val="both"/>
    </w:pPr>
    <w:rPr>
      <w:rFonts w:ascii="TeXGyreTermes" w:hAnsi="TeXGyreTermes" w:cs="Times New Roman"/>
    </w:rPr>
  </w:style>
  <w:style w:type="paragraph" w:styleId="Heading1">
    <w:name w:val="heading 1"/>
    <w:basedOn w:val="Normal"/>
    <w:next w:val="Normal"/>
    <w:link w:val="Heading1Char"/>
    <w:uiPriority w:val="9"/>
    <w:qFormat/>
    <w:rsid w:val="006D4487"/>
    <w:pPr>
      <w:keepNext/>
      <w:keepLines/>
      <w:pageBreakBefore/>
      <w:numPr>
        <w:numId w:val="20"/>
      </w:numPr>
      <w:snapToGrid w:val="0"/>
      <w:spacing w:before="240" w:after="240" w:line="240" w:lineRule="auto"/>
      <w:outlineLvl w:val="0"/>
    </w:pPr>
    <w:rPr>
      <w:rFonts w:ascii="Arial" w:eastAsiaTheme="majorEastAsia" w:hAnsi="Arial" w:cs="Arial"/>
      <w:b/>
      <w:bCs/>
      <w:caps/>
      <w:sz w:val="28"/>
      <w:szCs w:val="32"/>
    </w:rPr>
  </w:style>
  <w:style w:type="paragraph" w:styleId="Heading2">
    <w:name w:val="heading 2"/>
    <w:basedOn w:val="Normal"/>
    <w:next w:val="Normal"/>
    <w:link w:val="Heading2Char"/>
    <w:qFormat/>
    <w:rsid w:val="006D4487"/>
    <w:pPr>
      <w:keepNext/>
      <w:keepLines/>
      <w:numPr>
        <w:ilvl w:val="1"/>
        <w:numId w:val="20"/>
      </w:numPr>
      <w:spacing w:before="0" w:line="240" w:lineRule="auto"/>
      <w:outlineLvl w:val="1"/>
    </w:pPr>
    <w:rPr>
      <w:rFonts w:ascii="Arial" w:eastAsiaTheme="majorEastAsia" w:hAnsi="Arial" w:cstheme="majorBidi"/>
      <w:b/>
      <w:szCs w:val="26"/>
    </w:rPr>
  </w:style>
  <w:style w:type="paragraph" w:styleId="Heading3">
    <w:name w:val="heading 3"/>
    <w:basedOn w:val="Heading2"/>
    <w:next w:val="Normal"/>
    <w:link w:val="Heading3Char"/>
    <w:qFormat/>
    <w:rsid w:val="006D4487"/>
    <w:pPr>
      <w:numPr>
        <w:ilvl w:val="2"/>
      </w:numPr>
      <w:spacing w:before="240" w:after="0"/>
      <w:outlineLvl w:val="2"/>
    </w:pPr>
    <w:rPr>
      <w:rFonts w:ascii="TeXGyreHeros" w:hAnsi="TeXGyreHeros" w:cs="Arial"/>
      <w:b w:val="0"/>
      <w:iCs/>
    </w:rPr>
  </w:style>
  <w:style w:type="paragraph" w:styleId="Heading4">
    <w:name w:val="heading 4"/>
    <w:basedOn w:val="Normal"/>
    <w:next w:val="Normal"/>
    <w:link w:val="Heading4Char"/>
    <w:uiPriority w:val="9"/>
    <w:unhideWhenUsed/>
    <w:rsid w:val="006D4487"/>
    <w:pPr>
      <w:keepNext/>
      <w:keepLines/>
      <w:numPr>
        <w:ilvl w:val="3"/>
        <w:numId w:val="20"/>
      </w:numPr>
      <w:spacing w:line="240" w:lineRule="auto"/>
      <w:outlineLvl w:val="3"/>
    </w:pPr>
    <w:rPr>
      <w:rFonts w:eastAsiaTheme="majorEastAsia" w:cs="Times New Roman (Headings CS)"/>
      <w:iCs/>
      <w:color w:val="000000" w:themeColor="text1"/>
      <w:u w:val="single"/>
    </w:rPr>
  </w:style>
  <w:style w:type="paragraph" w:styleId="Heading5">
    <w:name w:val="heading 5"/>
    <w:basedOn w:val="Normal"/>
    <w:next w:val="Normal"/>
    <w:link w:val="Heading5Char"/>
    <w:uiPriority w:val="9"/>
    <w:unhideWhenUsed/>
    <w:rsid w:val="006D4487"/>
    <w:pPr>
      <w:keepNext/>
      <w:keepLines/>
      <w:numPr>
        <w:ilvl w:val="4"/>
        <w:numId w:val="20"/>
      </w:numPr>
      <w:spacing w:before="220" w:after="40"/>
      <w:outlineLvl w:val="4"/>
    </w:pPr>
    <w:rPr>
      <w:szCs w:val="22"/>
    </w:rPr>
  </w:style>
  <w:style w:type="paragraph" w:styleId="Heading6">
    <w:name w:val="heading 6"/>
    <w:basedOn w:val="Normal"/>
    <w:next w:val="Normal"/>
    <w:link w:val="Heading6Char"/>
    <w:uiPriority w:val="9"/>
    <w:semiHidden/>
    <w:unhideWhenUsed/>
    <w:rsid w:val="006D4487"/>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3D4F"/>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3D4F"/>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3D4F"/>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2CD"/>
    <w:rPr>
      <w:rFonts w:ascii="Arial" w:eastAsiaTheme="majorEastAsia" w:hAnsi="Arial" w:cs="Arial"/>
      <w:b/>
      <w:bCs/>
      <w:caps/>
      <w:sz w:val="28"/>
      <w:szCs w:val="32"/>
    </w:rPr>
  </w:style>
  <w:style w:type="character" w:customStyle="1" w:styleId="Heading2Char">
    <w:name w:val="Heading 2 Char"/>
    <w:basedOn w:val="DefaultParagraphFont"/>
    <w:link w:val="Heading2"/>
    <w:rsid w:val="00DB62CD"/>
    <w:rPr>
      <w:rFonts w:ascii="Arial" w:eastAsiaTheme="majorEastAsia" w:hAnsi="Arial" w:cstheme="majorBidi"/>
      <w:b/>
      <w:szCs w:val="26"/>
    </w:rPr>
  </w:style>
  <w:style w:type="character" w:customStyle="1" w:styleId="Heading3Char">
    <w:name w:val="Heading 3 Char"/>
    <w:basedOn w:val="DefaultParagraphFont"/>
    <w:link w:val="Heading3"/>
    <w:rsid w:val="006D4487"/>
    <w:rPr>
      <w:rFonts w:ascii="TeXGyreHeros" w:eastAsiaTheme="majorEastAsia" w:hAnsi="TeXGyreHeros" w:cs="Arial"/>
      <w:iCs/>
      <w:szCs w:val="26"/>
    </w:rPr>
  </w:style>
  <w:style w:type="character" w:customStyle="1" w:styleId="Heading4Char">
    <w:name w:val="Heading 4 Char"/>
    <w:basedOn w:val="DefaultParagraphFont"/>
    <w:link w:val="Heading4"/>
    <w:uiPriority w:val="9"/>
    <w:rsid w:val="00DB62CD"/>
    <w:rPr>
      <w:rFonts w:ascii="TeXGyreTermes" w:eastAsiaTheme="majorEastAsia" w:hAnsi="TeXGyreTermes" w:cs="Times New Roman (Headings CS)"/>
      <w:iCs/>
      <w:color w:val="000000" w:themeColor="text1"/>
      <w:u w:val="single"/>
    </w:rPr>
  </w:style>
  <w:style w:type="character" w:customStyle="1" w:styleId="Heading5Char">
    <w:name w:val="Heading 5 Char"/>
    <w:basedOn w:val="DefaultParagraphFont"/>
    <w:link w:val="Heading5"/>
    <w:uiPriority w:val="9"/>
    <w:rsid w:val="00DB62CD"/>
    <w:rPr>
      <w:rFonts w:ascii="TeXGyreTermes" w:hAnsi="TeXGyreTermes" w:cs="Times New Roman"/>
      <w:szCs w:val="22"/>
    </w:rPr>
  </w:style>
  <w:style w:type="character" w:customStyle="1" w:styleId="Heading6Char">
    <w:name w:val="Heading 6 Char"/>
    <w:basedOn w:val="DefaultParagraphFont"/>
    <w:link w:val="Heading6"/>
    <w:uiPriority w:val="9"/>
    <w:semiHidden/>
    <w:rsid w:val="00DB62CD"/>
    <w:rPr>
      <w:rFonts w:asciiTheme="majorHAnsi" w:eastAsiaTheme="majorEastAsia" w:hAnsiTheme="majorHAnsi" w:cstheme="majorBidi"/>
      <w:color w:val="243F60" w:themeColor="accent1" w:themeShade="7F"/>
    </w:rPr>
  </w:style>
  <w:style w:type="paragraph" w:customStyle="1" w:styleId="comment">
    <w:name w:val="comment"/>
    <w:basedOn w:val="Normal"/>
    <w:next w:val="Normal"/>
    <w:autoRedefine/>
    <w:rsid w:val="00DB62CD"/>
    <w:rPr>
      <w:rFonts w:ascii="Chalkboard SE Bold" w:hAnsi="Chalkboard SE Bold"/>
      <w:color w:val="365F91" w:themeColor="accent1" w:themeShade="BF"/>
    </w:rPr>
  </w:style>
  <w:style w:type="paragraph" w:customStyle="1" w:styleId="references">
    <w:name w:val="references"/>
    <w:basedOn w:val="Normal"/>
    <w:uiPriority w:val="99"/>
    <w:rsid w:val="00DB62CD"/>
    <w:pPr>
      <w:ind w:left="426" w:hanging="426"/>
    </w:pPr>
    <w:rPr>
      <w:noProof/>
      <w:spacing w:val="-4"/>
      <w:w w:val="90"/>
    </w:rPr>
  </w:style>
  <w:style w:type="paragraph" w:styleId="FootnoteText">
    <w:name w:val="footnote text"/>
    <w:basedOn w:val="Normal"/>
    <w:link w:val="FootnoteTextChar"/>
    <w:rsid w:val="00DB62CD"/>
    <w:pPr>
      <w:keepLines/>
      <w:spacing w:before="0" w:after="0"/>
    </w:pPr>
    <w:rPr>
      <w:rFonts w:eastAsia="Calibri"/>
      <w:sz w:val="22"/>
    </w:rPr>
  </w:style>
  <w:style w:type="character" w:customStyle="1" w:styleId="FootnoteTextChar">
    <w:name w:val="Footnote Text Char"/>
    <w:basedOn w:val="DefaultParagraphFont"/>
    <w:link w:val="FootnoteText"/>
    <w:rsid w:val="00DB62CD"/>
    <w:rPr>
      <w:rFonts w:ascii="TeXGyreTermes" w:eastAsia="Calibri" w:hAnsi="TeXGyreTermes" w:cs="Times New Roman"/>
      <w:sz w:val="22"/>
    </w:rPr>
  </w:style>
  <w:style w:type="paragraph" w:styleId="Caption">
    <w:name w:val="caption"/>
    <w:aliases w:val="Char1"/>
    <w:basedOn w:val="Normal"/>
    <w:next w:val="Normal"/>
    <w:qFormat/>
    <w:rsid w:val="00DB62CD"/>
    <w:pPr>
      <w:keepNext/>
      <w:pBdr>
        <w:bottom w:val="single" w:sz="4" w:space="1" w:color="auto"/>
      </w:pBdr>
      <w:spacing w:before="0" w:line="240" w:lineRule="auto"/>
      <w:outlineLvl w:val="4"/>
    </w:pPr>
    <w:rPr>
      <w:rFonts w:ascii="Arial" w:eastAsia="Tahoma" w:hAnsi="Arial" w:cs="Arial"/>
      <w:b/>
      <w:bCs/>
      <w:iCs/>
      <w:color w:val="000000"/>
      <w:szCs w:val="20"/>
      <w:u w:color="000000"/>
    </w:rPr>
  </w:style>
  <w:style w:type="paragraph" w:customStyle="1" w:styleId="EndNoteBibliography">
    <w:name w:val="EndNote Bibliography"/>
    <w:basedOn w:val="Normal"/>
    <w:link w:val="EndNoteBibliographyChar"/>
    <w:rsid w:val="00DB62CD"/>
    <w:pPr>
      <w:spacing w:before="0" w:line="240" w:lineRule="auto"/>
      <w:ind w:left="284" w:hanging="284"/>
    </w:pPr>
    <w:rPr>
      <w:noProof/>
    </w:rPr>
  </w:style>
  <w:style w:type="paragraph" w:styleId="ListParagraph">
    <w:name w:val="List Paragraph"/>
    <w:basedOn w:val="Normal"/>
    <w:qFormat/>
    <w:rsid w:val="00DB62CD"/>
    <w:pPr>
      <w:numPr>
        <w:numId w:val="66"/>
      </w:numPr>
      <w:spacing w:after="240" w:line="240" w:lineRule="auto"/>
      <w:contextualSpacing/>
    </w:pPr>
  </w:style>
  <w:style w:type="character" w:styleId="Emphasis">
    <w:name w:val="Emphasis"/>
    <w:basedOn w:val="DefaultParagraphFont"/>
    <w:uiPriority w:val="20"/>
    <w:qFormat/>
    <w:rsid w:val="00DB62CD"/>
    <w:rPr>
      <w:i/>
      <w:iCs/>
    </w:rPr>
  </w:style>
  <w:style w:type="character" w:styleId="Strong">
    <w:name w:val="Strong"/>
    <w:basedOn w:val="DefaultParagraphFont"/>
    <w:uiPriority w:val="22"/>
    <w:qFormat/>
    <w:rsid w:val="00DB62CD"/>
    <w:rPr>
      <w:rFonts w:ascii="Verlag Book" w:hAnsi="Verlag Book"/>
      <w:b/>
      <w:bCs/>
      <w:i/>
    </w:rPr>
  </w:style>
  <w:style w:type="table" w:styleId="TableGridLight">
    <w:name w:val="Grid Table Light"/>
    <w:basedOn w:val="TableNormal"/>
    <w:uiPriority w:val="99"/>
    <w:rsid w:val="009E4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data">
    <w:name w:val="Table data"/>
    <w:basedOn w:val="Normal"/>
    <w:qFormat/>
    <w:rsid w:val="00DB62CD"/>
    <w:pPr>
      <w:spacing w:before="20" w:after="0" w:line="200" w:lineRule="exact"/>
    </w:pPr>
    <w:rPr>
      <w:rFonts w:ascii="TeXGyreHeros" w:hAnsi="TeXGyreHeros"/>
      <w:sz w:val="20"/>
      <w:szCs w:val="22"/>
    </w:rPr>
  </w:style>
  <w:style w:type="paragraph" w:customStyle="1" w:styleId="Listparagraphnumbered">
    <w:name w:val="List paragraph numbered"/>
    <w:basedOn w:val="ListParagraph"/>
    <w:qFormat/>
    <w:rsid w:val="00DB62CD"/>
    <w:pPr>
      <w:numPr>
        <w:numId w:val="7"/>
      </w:numPr>
      <w:tabs>
        <w:tab w:val="left" w:pos="851"/>
      </w:tabs>
      <w:spacing w:before="240" w:after="160" w:line="259" w:lineRule="auto"/>
    </w:pPr>
    <w:rPr>
      <w:rFonts w:eastAsiaTheme="minorHAnsi" w:cstheme="minorBidi"/>
      <w:szCs w:val="22"/>
    </w:rPr>
  </w:style>
  <w:style w:type="paragraph" w:styleId="Subtitle">
    <w:name w:val="Subtitle"/>
    <w:basedOn w:val="Normal"/>
    <w:next w:val="Normal"/>
    <w:link w:val="SubtitleChar"/>
    <w:uiPriority w:val="11"/>
    <w:qFormat/>
    <w:rsid w:val="00DB62CD"/>
    <w:pPr>
      <w:numPr>
        <w:ilvl w:val="1"/>
      </w:numPr>
    </w:pPr>
    <w:rPr>
      <w:rFonts w:ascii="Helvetica Neue" w:eastAsiaTheme="minorEastAsia" w:hAnsi="Helvetica Neue"/>
      <w:b/>
      <w:color w:val="799BA2"/>
      <w:spacing w:val="15"/>
      <w:sz w:val="28"/>
      <w:szCs w:val="28"/>
    </w:rPr>
  </w:style>
  <w:style w:type="character" w:customStyle="1" w:styleId="SubtitleChar">
    <w:name w:val="Subtitle Char"/>
    <w:basedOn w:val="DefaultParagraphFont"/>
    <w:link w:val="Subtitle"/>
    <w:uiPriority w:val="11"/>
    <w:rsid w:val="00DB62CD"/>
    <w:rPr>
      <w:rFonts w:ascii="Helvetica Neue" w:eastAsiaTheme="minorEastAsia" w:hAnsi="Helvetica Neue" w:cs="Times New Roman"/>
      <w:b/>
      <w:color w:val="799BA2"/>
      <w:spacing w:val="15"/>
      <w:sz w:val="28"/>
      <w:szCs w:val="28"/>
    </w:rPr>
  </w:style>
  <w:style w:type="paragraph" w:customStyle="1" w:styleId="Listparagraphindent">
    <w:name w:val="List paragraph indent"/>
    <w:basedOn w:val="Listparagraphnumbered"/>
    <w:rsid w:val="00DB62CD"/>
    <w:pPr>
      <w:numPr>
        <w:numId w:val="8"/>
      </w:numPr>
      <w:tabs>
        <w:tab w:val="left" w:pos="993"/>
        <w:tab w:val="left" w:pos="1134"/>
      </w:tabs>
      <w:spacing w:before="0" w:after="240"/>
    </w:pPr>
  </w:style>
  <w:style w:type="paragraph" w:customStyle="1" w:styleId="FigureFooter">
    <w:name w:val="Figure Footer"/>
    <w:basedOn w:val="Normal"/>
    <w:next w:val="Normal"/>
    <w:rsid w:val="00DB62CD"/>
    <w:pPr>
      <w:pBdr>
        <w:top w:val="single" w:sz="4" w:space="1" w:color="auto"/>
        <w:bottom w:val="single" w:sz="4" w:space="1" w:color="auto"/>
      </w:pBdr>
      <w:spacing w:before="0" w:line="240" w:lineRule="auto"/>
      <w:contextualSpacing/>
      <w:outlineLvl w:val="4"/>
    </w:pPr>
    <w:rPr>
      <w:sz w:val="20"/>
      <w:szCs w:val="20"/>
    </w:rPr>
  </w:style>
  <w:style w:type="paragraph" w:customStyle="1" w:styleId="TableHeadingsColumn">
    <w:name w:val="Table Headings Column"/>
    <w:basedOn w:val="Normal"/>
    <w:next w:val="Normal"/>
    <w:qFormat/>
    <w:rsid w:val="005D0AF8"/>
    <w:pPr>
      <w:keepNext/>
      <w:spacing w:before="60" w:after="60" w:line="220" w:lineRule="exact"/>
      <w:jc w:val="left"/>
    </w:pPr>
    <w:rPr>
      <w:rFonts w:ascii="TeXGyreHeros" w:hAnsi="TeXGyreHeros"/>
      <w:bCs/>
      <w:sz w:val="20"/>
      <w:szCs w:val="18"/>
      <w:lang w:eastAsia="en-AU"/>
    </w:rPr>
  </w:style>
  <w:style w:type="paragraph" w:customStyle="1" w:styleId="Summary">
    <w:name w:val="Summary"/>
    <w:basedOn w:val="Normal"/>
    <w:rsid w:val="00DB62CD"/>
  </w:style>
  <w:style w:type="paragraph" w:customStyle="1" w:styleId="FundingSummary">
    <w:name w:val="Funding Summary"/>
    <w:basedOn w:val="Normal"/>
    <w:next w:val="Normal"/>
    <w:rsid w:val="00DB62CD"/>
    <w:pPr>
      <w:outlineLvl w:val="5"/>
    </w:pPr>
    <w:rPr>
      <w:i/>
    </w:rPr>
  </w:style>
  <w:style w:type="paragraph" w:customStyle="1" w:styleId="Action">
    <w:name w:val="Action"/>
    <w:basedOn w:val="Normal"/>
    <w:next w:val="Normal"/>
    <w:qFormat/>
    <w:rsid w:val="00DB62CD"/>
    <w:pPr>
      <w:spacing w:line="240" w:lineRule="auto"/>
    </w:pPr>
    <w:rPr>
      <w:i/>
      <w:iCs/>
      <w:color w:val="C00000"/>
    </w:rPr>
  </w:style>
  <w:style w:type="paragraph" w:styleId="Quote">
    <w:name w:val="Quote"/>
    <w:basedOn w:val="Normal"/>
    <w:next w:val="Normal"/>
    <w:link w:val="QuoteChar"/>
    <w:rsid w:val="00DB62CD"/>
    <w:pPr>
      <w:spacing w:before="200" w:after="160"/>
      <w:ind w:left="864" w:right="864"/>
    </w:pPr>
    <w:rPr>
      <w:iCs/>
      <w:color w:val="404040" w:themeColor="text1" w:themeTint="BF"/>
      <w:sz w:val="20"/>
      <w:szCs w:val="20"/>
    </w:rPr>
  </w:style>
  <w:style w:type="character" w:customStyle="1" w:styleId="QuoteChar">
    <w:name w:val="Quote Char"/>
    <w:basedOn w:val="DefaultParagraphFont"/>
    <w:link w:val="Quote"/>
    <w:rsid w:val="00DB62CD"/>
    <w:rPr>
      <w:rFonts w:ascii="TeXGyreTermes" w:hAnsi="TeXGyreTermes" w:cs="Times New Roman"/>
      <w:iCs/>
      <w:color w:val="404040" w:themeColor="text1" w:themeTint="BF"/>
      <w:sz w:val="20"/>
      <w:szCs w:val="20"/>
    </w:rPr>
  </w:style>
  <w:style w:type="paragraph" w:customStyle="1" w:styleId="TableHeader2">
    <w:name w:val="Table Header 2"/>
    <w:basedOn w:val="Normal"/>
    <w:rsid w:val="00DB62CD"/>
    <w:pPr>
      <w:keepNext/>
      <w:spacing w:before="60" w:after="60" w:line="200" w:lineRule="exact"/>
      <w:jc w:val="center"/>
    </w:pPr>
    <w:rPr>
      <w:rFonts w:ascii="TeXGyreHeros" w:hAnsi="TeXGyreHeros"/>
      <w:bCs/>
      <w:i/>
      <w:iCs/>
      <w:sz w:val="20"/>
      <w:szCs w:val="22"/>
    </w:rPr>
  </w:style>
  <w:style w:type="character" w:styleId="FootnoteReference">
    <w:name w:val="footnote reference"/>
    <w:rsid w:val="00DB62CD"/>
    <w:rPr>
      <w:vertAlign w:val="superscript"/>
    </w:rPr>
  </w:style>
  <w:style w:type="paragraph" w:styleId="CommentText">
    <w:name w:val="annotation text"/>
    <w:basedOn w:val="Normal"/>
    <w:link w:val="CommentTextChar"/>
    <w:rsid w:val="00DB62CD"/>
    <w:pPr>
      <w:ind w:firstLine="720"/>
    </w:pPr>
    <w:rPr>
      <w:rFonts w:eastAsia="Times"/>
      <w:sz w:val="20"/>
      <w:szCs w:val="20"/>
      <w:lang w:val="x-none" w:eastAsia="x-none"/>
    </w:rPr>
  </w:style>
  <w:style w:type="character" w:customStyle="1" w:styleId="CommentTextChar">
    <w:name w:val="Comment Text Char"/>
    <w:basedOn w:val="DefaultParagraphFont"/>
    <w:link w:val="CommentText"/>
    <w:rsid w:val="00DB62CD"/>
    <w:rPr>
      <w:rFonts w:ascii="TeXGyreTermes" w:eastAsia="Times" w:hAnsi="TeXGyreTermes" w:cs="Times New Roman"/>
      <w:sz w:val="20"/>
      <w:szCs w:val="20"/>
      <w:lang w:val="x-none" w:eastAsia="x-none"/>
    </w:rPr>
  </w:style>
  <w:style w:type="paragraph" w:styleId="Header">
    <w:name w:val="header"/>
    <w:basedOn w:val="Normal"/>
    <w:link w:val="HeaderChar"/>
    <w:rsid w:val="00DB62CD"/>
    <w:pPr>
      <w:tabs>
        <w:tab w:val="center" w:pos="4320"/>
        <w:tab w:val="right" w:pos="8640"/>
      </w:tabs>
      <w:spacing w:before="0" w:after="0" w:line="240" w:lineRule="auto"/>
    </w:pPr>
  </w:style>
  <w:style w:type="character" w:customStyle="1" w:styleId="HeaderChar">
    <w:name w:val="Header Char"/>
    <w:basedOn w:val="DefaultParagraphFont"/>
    <w:link w:val="Header"/>
    <w:rsid w:val="00DB62CD"/>
    <w:rPr>
      <w:rFonts w:ascii="TeXGyreTermes" w:hAnsi="TeXGyreTermes" w:cs="Times New Roman"/>
    </w:rPr>
  </w:style>
  <w:style w:type="paragraph" w:styleId="Footer">
    <w:name w:val="footer"/>
    <w:basedOn w:val="Normal"/>
    <w:link w:val="FooterChar"/>
    <w:rsid w:val="00DB62CD"/>
    <w:pPr>
      <w:tabs>
        <w:tab w:val="center" w:pos="4320"/>
        <w:tab w:val="right" w:pos="8640"/>
      </w:tabs>
    </w:pPr>
  </w:style>
  <w:style w:type="character" w:customStyle="1" w:styleId="FooterChar">
    <w:name w:val="Footer Char"/>
    <w:basedOn w:val="DefaultParagraphFont"/>
    <w:link w:val="Footer"/>
    <w:rsid w:val="00DB62CD"/>
    <w:rPr>
      <w:rFonts w:ascii="TeXGyreTermes" w:hAnsi="TeXGyreTermes" w:cs="Times New Roman"/>
    </w:rPr>
  </w:style>
  <w:style w:type="table" w:styleId="TableGrid">
    <w:name w:val="Table Grid"/>
    <w:basedOn w:val="TableNormal"/>
    <w:uiPriority w:val="59"/>
    <w:rsid w:val="00DB62CD"/>
    <w:rPr>
      <w:rFonts w:ascii="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2CD"/>
    <w:rPr>
      <w:sz w:val="16"/>
    </w:rPr>
  </w:style>
  <w:style w:type="character" w:styleId="Mention">
    <w:name w:val="Mention"/>
    <w:basedOn w:val="DefaultParagraphFont"/>
    <w:uiPriority w:val="99"/>
    <w:unhideWhenUsed/>
    <w:rsid w:val="00DB62CD"/>
    <w:rPr>
      <w:color w:val="2B579A"/>
      <w:shd w:val="clear" w:color="auto" w:fill="E6E6E6"/>
    </w:rPr>
  </w:style>
  <w:style w:type="paragraph" w:customStyle="1" w:styleId="TableHeader1">
    <w:name w:val="Table Header 1"/>
    <w:basedOn w:val="TableHeader2"/>
    <w:qFormat/>
    <w:rsid w:val="00A00D76"/>
    <w:pPr>
      <w:spacing w:before="0" w:line="240" w:lineRule="exact"/>
    </w:pPr>
    <w:rPr>
      <w:i w:val="0"/>
      <w:spacing w:val="-4"/>
      <w:szCs w:val="24"/>
    </w:rPr>
  </w:style>
  <w:style w:type="character" w:styleId="EndnoteReference">
    <w:name w:val="endnote reference"/>
    <w:semiHidden/>
    <w:rsid w:val="00DB62CD"/>
    <w:rPr>
      <w:rFonts w:ascii="Times New Roman" w:hAnsi="Times New Roman"/>
      <w:sz w:val="20"/>
      <w:vertAlign w:val="superscript"/>
    </w:rPr>
  </w:style>
  <w:style w:type="paragraph" w:customStyle="1" w:styleId="Referencelist">
    <w:name w:val="Reference list"/>
    <w:basedOn w:val="Normal"/>
    <w:rsid w:val="00DB62CD"/>
    <w:pPr>
      <w:spacing w:before="0" w:after="0" w:line="240" w:lineRule="auto"/>
      <w:ind w:left="833" w:hanging="833"/>
    </w:pPr>
    <w:rPr>
      <w:spacing w:val="4"/>
    </w:rPr>
  </w:style>
  <w:style w:type="paragraph" w:styleId="TOC1">
    <w:name w:val="toc 1"/>
    <w:basedOn w:val="Normal"/>
    <w:next w:val="Normal"/>
    <w:autoRedefine/>
    <w:uiPriority w:val="39"/>
    <w:rsid w:val="00DB62CD"/>
    <w:pPr>
      <w:tabs>
        <w:tab w:val="left" w:pos="768"/>
        <w:tab w:val="right" w:leader="dot" w:pos="8297"/>
      </w:tabs>
      <w:spacing w:line="240" w:lineRule="auto"/>
    </w:pPr>
    <w:rPr>
      <w:rFonts w:ascii="Arial Rounded MT Bold" w:hAnsi="Arial Rounded MT Bold"/>
      <w:b/>
      <w:caps/>
      <w:sz w:val="20"/>
    </w:rPr>
  </w:style>
  <w:style w:type="paragraph" w:styleId="TOC2">
    <w:name w:val="toc 2"/>
    <w:basedOn w:val="TOC1"/>
    <w:next w:val="Normal"/>
    <w:autoRedefine/>
    <w:uiPriority w:val="39"/>
    <w:rsid w:val="00DB62CD"/>
    <w:pPr>
      <w:ind w:left="240"/>
    </w:pPr>
    <w:rPr>
      <w:rFonts w:eastAsiaTheme="majorEastAsia"/>
      <w:b w:val="0"/>
      <w:i/>
      <w:caps w:val="0"/>
      <w:noProof/>
    </w:rPr>
  </w:style>
  <w:style w:type="paragraph" w:styleId="Title">
    <w:name w:val="Title"/>
    <w:basedOn w:val="Normal"/>
    <w:link w:val="TitleChar"/>
    <w:qFormat/>
    <w:rsid w:val="00031CA0"/>
    <w:pPr>
      <w:spacing w:before="2400" w:after="1200" w:line="240" w:lineRule="auto"/>
      <w:contextualSpacing/>
      <w:jc w:val="center"/>
      <w:outlineLvl w:val="0"/>
    </w:pPr>
    <w:rPr>
      <w:rFonts w:ascii="TeXGyreHerosCn" w:hAnsi="TeXGyreHerosCn"/>
      <w:b/>
      <w:kern w:val="28"/>
      <w:sz w:val="48"/>
      <w:szCs w:val="32"/>
    </w:rPr>
  </w:style>
  <w:style w:type="character" w:customStyle="1" w:styleId="TitleChar">
    <w:name w:val="Title Char"/>
    <w:basedOn w:val="DefaultParagraphFont"/>
    <w:link w:val="Title"/>
    <w:rsid w:val="00031CA0"/>
    <w:rPr>
      <w:rFonts w:ascii="TeXGyreHerosCn" w:hAnsi="TeXGyreHerosCn" w:cs="Times New Roman"/>
      <w:b/>
      <w:kern w:val="28"/>
      <w:sz w:val="48"/>
      <w:szCs w:val="32"/>
    </w:rPr>
  </w:style>
  <w:style w:type="paragraph" w:customStyle="1" w:styleId="TableText">
    <w:name w:val="Table Text"/>
    <w:basedOn w:val="Normal"/>
    <w:next w:val="Normal"/>
    <w:rsid w:val="00DB62CD"/>
    <w:pPr>
      <w:keepNext/>
      <w:keepLines/>
      <w:spacing w:before="60" w:after="0" w:line="240" w:lineRule="auto"/>
      <w:jc w:val="center"/>
    </w:pPr>
    <w:rPr>
      <w:i/>
      <w:color w:val="000000"/>
      <w:spacing w:val="-6"/>
      <w:szCs w:val="20"/>
    </w:rPr>
  </w:style>
  <w:style w:type="paragraph" w:styleId="EndnoteText">
    <w:name w:val="endnote text"/>
    <w:basedOn w:val="Normal"/>
    <w:link w:val="EndnoteTextChar"/>
    <w:rsid w:val="00DB62CD"/>
    <w:rPr>
      <w:szCs w:val="20"/>
    </w:rPr>
  </w:style>
  <w:style w:type="character" w:customStyle="1" w:styleId="EndnoteTextChar">
    <w:name w:val="Endnote Text Char"/>
    <w:basedOn w:val="DefaultParagraphFont"/>
    <w:link w:val="EndnoteText"/>
    <w:rsid w:val="00DB62CD"/>
    <w:rPr>
      <w:rFonts w:ascii="TeXGyreTermes" w:hAnsi="TeXGyreTermes" w:cs="Times New Roman"/>
      <w:szCs w:val="20"/>
    </w:rPr>
  </w:style>
  <w:style w:type="character" w:styleId="PageNumber">
    <w:name w:val="page number"/>
    <w:basedOn w:val="DefaultParagraphFont"/>
    <w:rsid w:val="00DB62CD"/>
  </w:style>
  <w:style w:type="character" w:styleId="Hyperlink">
    <w:name w:val="Hyperlink"/>
    <w:uiPriority w:val="99"/>
    <w:rsid w:val="00DB62CD"/>
    <w:rPr>
      <w:color w:val="0000FF"/>
      <w:u w:val="single"/>
    </w:rPr>
  </w:style>
  <w:style w:type="paragraph" w:customStyle="1" w:styleId="Figure">
    <w:name w:val="Figure"/>
    <w:basedOn w:val="Normal"/>
    <w:next w:val="Normal"/>
    <w:rsid w:val="00DB62CD"/>
    <w:pPr>
      <w:keepNext/>
      <w:spacing w:before="0" w:line="240" w:lineRule="auto"/>
      <w:jc w:val="center"/>
    </w:pPr>
    <w:rPr>
      <w:szCs w:val="20"/>
    </w:rPr>
  </w:style>
  <w:style w:type="paragraph" w:styleId="CommentSubject">
    <w:name w:val="annotation subject"/>
    <w:basedOn w:val="CommentText"/>
    <w:next w:val="CommentText"/>
    <w:link w:val="CommentSubjectChar"/>
    <w:semiHidden/>
    <w:rsid w:val="00DB62CD"/>
    <w:pPr>
      <w:ind w:firstLine="0"/>
    </w:pPr>
    <w:rPr>
      <w:b/>
      <w:bCs/>
    </w:rPr>
  </w:style>
  <w:style w:type="character" w:customStyle="1" w:styleId="CommentSubjectChar">
    <w:name w:val="Comment Subject Char"/>
    <w:basedOn w:val="CommentTextChar"/>
    <w:link w:val="CommentSubject"/>
    <w:semiHidden/>
    <w:rsid w:val="00DB62CD"/>
    <w:rPr>
      <w:rFonts w:ascii="TeXGyreTermes" w:eastAsia="Times" w:hAnsi="TeXGyreTermes" w:cs="Times New Roman"/>
      <w:b/>
      <w:bCs/>
      <w:sz w:val="20"/>
      <w:szCs w:val="20"/>
      <w:lang w:val="x-none" w:eastAsia="x-none"/>
    </w:rPr>
  </w:style>
  <w:style w:type="paragraph" w:styleId="DocumentMap">
    <w:name w:val="Document Map"/>
    <w:basedOn w:val="Normal"/>
    <w:link w:val="DocumentMapChar"/>
    <w:semiHidden/>
    <w:rsid w:val="00DB62CD"/>
    <w:pPr>
      <w:shd w:val="clear" w:color="auto" w:fill="C6D5EC"/>
    </w:pPr>
    <w:rPr>
      <w:rFonts w:ascii="Lucida Grande" w:hAnsi="Lucida Grande"/>
      <w:lang w:val="x-none" w:eastAsia="x-none"/>
    </w:rPr>
  </w:style>
  <w:style w:type="character" w:customStyle="1" w:styleId="DocumentMapChar">
    <w:name w:val="Document Map Char"/>
    <w:basedOn w:val="DefaultParagraphFont"/>
    <w:link w:val="DocumentMap"/>
    <w:semiHidden/>
    <w:rsid w:val="00DB62CD"/>
    <w:rPr>
      <w:rFonts w:ascii="Lucida Grande" w:hAnsi="Lucida Grande" w:cs="Times New Roman"/>
      <w:shd w:val="clear" w:color="auto" w:fill="C6D5EC"/>
      <w:lang w:val="x-none" w:eastAsia="x-none"/>
    </w:rPr>
  </w:style>
  <w:style w:type="paragraph" w:customStyle="1" w:styleId="tabletextlist">
    <w:name w:val="table text (list)"/>
    <w:basedOn w:val="Normal"/>
    <w:rsid w:val="00DB62CD"/>
    <w:pPr>
      <w:keepNext/>
      <w:numPr>
        <w:numId w:val="9"/>
      </w:numPr>
      <w:spacing w:after="60"/>
    </w:pPr>
    <w:rPr>
      <w:rFonts w:ascii="Tahoma" w:eastAsia="Tahoma" w:hAnsi="Tahoma"/>
      <w:color w:val="000000"/>
      <w:sz w:val="18"/>
      <w:szCs w:val="18"/>
      <w:u w:color="000000"/>
    </w:rPr>
  </w:style>
  <w:style w:type="paragraph" w:customStyle="1" w:styleId="tabletexttight">
    <w:name w:val="table text (tight)"/>
    <w:basedOn w:val="Normal"/>
    <w:rsid w:val="005D0AF8"/>
    <w:pPr>
      <w:keepNext/>
      <w:spacing w:before="20" w:after="20" w:line="240" w:lineRule="exact"/>
      <w:ind w:left="-110" w:right="-103"/>
      <w:contextualSpacing/>
      <w:jc w:val="left"/>
    </w:pPr>
    <w:rPr>
      <w:rFonts w:ascii="TeXGyreHeros" w:eastAsia="Tahoma" w:hAnsi="TeXGyreHeros"/>
      <w:color w:val="000000"/>
      <w:spacing w:val="-4"/>
      <w:sz w:val="20"/>
      <w:szCs w:val="18"/>
      <w:u w:color="000000"/>
    </w:rPr>
  </w:style>
  <w:style w:type="paragraph" w:styleId="Revision">
    <w:name w:val="Revision"/>
    <w:hidden/>
    <w:rsid w:val="00DB62CD"/>
    <w:rPr>
      <w:rFonts w:ascii="Times New Roman" w:hAnsi="Times New Roman" w:cs="Times New Roman"/>
      <w:lang w:val="en-AU"/>
    </w:rPr>
  </w:style>
  <w:style w:type="paragraph" w:customStyle="1" w:styleId="EndNoteBibliographyTitle">
    <w:name w:val="EndNote Bibliography Title"/>
    <w:basedOn w:val="Normal"/>
    <w:rsid w:val="00DB62CD"/>
    <w:pPr>
      <w:jc w:val="center"/>
    </w:pPr>
  </w:style>
  <w:style w:type="paragraph" w:styleId="IntenseQuote">
    <w:name w:val="Intense Quote"/>
    <w:basedOn w:val="Normal"/>
    <w:next w:val="Normal"/>
    <w:link w:val="IntenseQuoteChar"/>
    <w:rsid w:val="00DB62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B62CD"/>
    <w:rPr>
      <w:rFonts w:ascii="TeXGyreTermes" w:hAnsi="TeXGyreTermes" w:cs="Times New Roman"/>
      <w:i/>
      <w:iCs/>
      <w:color w:val="4F81BD" w:themeColor="accent1"/>
    </w:rPr>
  </w:style>
  <w:style w:type="character" w:styleId="PlaceholderText">
    <w:name w:val="Placeholder Text"/>
    <w:basedOn w:val="DefaultParagraphFont"/>
    <w:semiHidden/>
    <w:rsid w:val="00DB62CD"/>
    <w:rPr>
      <w:color w:val="808080"/>
    </w:rPr>
  </w:style>
  <w:style w:type="paragraph" w:customStyle="1" w:styleId="Tabletext0">
    <w:name w:val="Table text"/>
    <w:basedOn w:val="Normal"/>
    <w:qFormat/>
    <w:rsid w:val="00DB62CD"/>
    <w:pPr>
      <w:keepNext/>
      <w:spacing w:before="20" w:after="0" w:line="240" w:lineRule="auto"/>
      <w:ind w:right="34"/>
      <w:jc w:val="left"/>
    </w:pPr>
    <w:rPr>
      <w:rFonts w:ascii="TeXGyreHeros" w:hAnsi="TeXGyreHeros" w:cs="Arial"/>
      <w:sz w:val="20"/>
      <w:szCs w:val="20"/>
    </w:rPr>
  </w:style>
  <w:style w:type="character" w:styleId="FollowedHyperlink">
    <w:name w:val="FollowedHyperlink"/>
    <w:basedOn w:val="DefaultParagraphFont"/>
    <w:semiHidden/>
    <w:unhideWhenUsed/>
    <w:rsid w:val="00DB62CD"/>
    <w:rPr>
      <w:color w:val="800080" w:themeColor="followedHyperlink"/>
      <w:u w:val="single"/>
    </w:rPr>
  </w:style>
  <w:style w:type="paragraph" w:customStyle="1" w:styleId="Abstract">
    <w:name w:val="Abstract"/>
    <w:basedOn w:val="Normal"/>
    <w:qFormat/>
    <w:rsid w:val="00DB62CD"/>
    <w:pPr>
      <w:spacing w:line="240" w:lineRule="auto"/>
      <w:ind w:left="567" w:right="567"/>
      <w:mirrorIndents/>
    </w:pPr>
  </w:style>
  <w:style w:type="character" w:styleId="SubtleReference">
    <w:name w:val="Subtle Reference"/>
    <w:basedOn w:val="DefaultParagraphFont"/>
    <w:uiPriority w:val="31"/>
    <w:qFormat/>
    <w:rsid w:val="00DB62CD"/>
    <w:rPr>
      <w:smallCaps/>
      <w:color w:val="5A5A5A" w:themeColor="text1" w:themeTint="A5"/>
    </w:rPr>
  </w:style>
  <w:style w:type="character" w:styleId="IntenseReference">
    <w:name w:val="Intense Reference"/>
    <w:basedOn w:val="DefaultParagraphFont"/>
    <w:uiPriority w:val="32"/>
    <w:rsid w:val="00DB62CD"/>
    <w:rPr>
      <w:b/>
      <w:bCs/>
      <w:smallCaps/>
      <w:color w:val="4F81BD" w:themeColor="accent1"/>
      <w:spacing w:val="5"/>
    </w:rPr>
  </w:style>
  <w:style w:type="paragraph" w:customStyle="1" w:styleId="TableDataCentred">
    <w:name w:val="Table Data (Centred)"/>
    <w:basedOn w:val="Tabledata"/>
    <w:qFormat/>
    <w:rsid w:val="00DB62CD"/>
    <w:pPr>
      <w:spacing w:before="0" w:line="220" w:lineRule="exact"/>
      <w:contextualSpacing/>
      <w:jc w:val="center"/>
    </w:pPr>
  </w:style>
  <w:style w:type="paragraph" w:customStyle="1" w:styleId="tableheader">
    <w:name w:val="table header"/>
    <w:basedOn w:val="Normal"/>
    <w:qFormat/>
    <w:rsid w:val="00DB62CD"/>
    <w:pPr>
      <w:keepNext/>
      <w:spacing w:before="60" w:after="60" w:line="240" w:lineRule="auto"/>
      <w:ind w:right="51"/>
      <w:jc w:val="center"/>
    </w:pPr>
    <w:rPr>
      <w:b/>
      <w:sz w:val="20"/>
      <w:szCs w:val="20"/>
    </w:rPr>
  </w:style>
  <w:style w:type="paragraph" w:customStyle="1" w:styleId="paragraph">
    <w:name w:val="paragraph"/>
    <w:basedOn w:val="Normal"/>
    <w:rsid w:val="00DB62CD"/>
    <w:pPr>
      <w:ind w:firstLine="567"/>
    </w:pPr>
    <w:rPr>
      <w:lang w:eastAsia="de-DE"/>
    </w:rPr>
  </w:style>
  <w:style w:type="paragraph" w:customStyle="1" w:styleId="TableTextNumberedList">
    <w:name w:val="Table Text Numbered List"/>
    <w:basedOn w:val="Normal"/>
    <w:qFormat/>
    <w:rsid w:val="00DB62CD"/>
    <w:pPr>
      <w:numPr>
        <w:numId w:val="10"/>
      </w:numPr>
    </w:pPr>
    <w:rPr>
      <w:i/>
      <w:iCs/>
      <w:lang w:val="en-AU"/>
    </w:rPr>
  </w:style>
  <w:style w:type="paragraph" w:customStyle="1" w:styleId="TableFooternoborder">
    <w:name w:val="Table Footer no border"/>
    <w:basedOn w:val="TableFooter"/>
    <w:qFormat/>
    <w:rsid w:val="00DB62CD"/>
    <w:pPr>
      <w:pBdr>
        <w:bottom w:val="none" w:sz="0" w:space="0" w:color="auto"/>
      </w:pBdr>
      <w:spacing w:after="360"/>
    </w:pPr>
  </w:style>
  <w:style w:type="character" w:customStyle="1" w:styleId="Name">
    <w:name w:val="Name"/>
    <w:basedOn w:val="DefaultParagraphFont"/>
    <w:uiPriority w:val="1"/>
    <w:qFormat/>
    <w:rsid w:val="00DB62CD"/>
    <w:rPr>
      <w:caps/>
    </w:rPr>
  </w:style>
  <w:style w:type="paragraph" w:customStyle="1" w:styleId="OnlineAppendixH1">
    <w:name w:val="Online Appendix H1"/>
    <w:basedOn w:val="AppendixHeading1"/>
    <w:next w:val="Normal"/>
    <w:rsid w:val="00DB62CD"/>
    <w:pPr>
      <w:numPr>
        <w:numId w:val="18"/>
      </w:numPr>
    </w:pPr>
    <w:rPr>
      <w:caps/>
      <w:sz w:val="24"/>
      <w:szCs w:val="24"/>
    </w:rPr>
  </w:style>
  <w:style w:type="paragraph" w:styleId="TOC3">
    <w:name w:val="toc 3"/>
    <w:basedOn w:val="TOC2"/>
    <w:next w:val="Normal"/>
    <w:autoRedefine/>
    <w:uiPriority w:val="39"/>
    <w:unhideWhenUsed/>
    <w:rsid w:val="00DB62CD"/>
    <w:pPr>
      <w:tabs>
        <w:tab w:val="clear" w:pos="8297"/>
        <w:tab w:val="left" w:pos="1200"/>
        <w:tab w:val="right" w:leader="dot" w:pos="8290"/>
      </w:tabs>
      <w:spacing w:after="100"/>
      <w:ind w:left="440"/>
    </w:pPr>
    <w:rPr>
      <w:rFonts w:ascii="Arial" w:hAnsi="Arial" w:cs="Arial"/>
      <w:iCs/>
    </w:rPr>
  </w:style>
  <w:style w:type="paragraph" w:customStyle="1" w:styleId="OnlineAppendixH2">
    <w:name w:val="Online Appendix H2"/>
    <w:basedOn w:val="Heading2"/>
    <w:next w:val="Normal"/>
    <w:qFormat/>
    <w:rsid w:val="00DB62CD"/>
    <w:pPr>
      <w:numPr>
        <w:numId w:val="18"/>
      </w:numPr>
      <w:ind w:left="720" w:firstLine="0"/>
    </w:pPr>
  </w:style>
  <w:style w:type="paragraph" w:customStyle="1" w:styleId="OnlineAppendixHeading1">
    <w:name w:val="Online Appendix Heading 1"/>
    <w:basedOn w:val="AppendixHeading1"/>
    <w:next w:val="Normal"/>
    <w:rsid w:val="00DB62CD"/>
    <w:pPr>
      <w:numPr>
        <w:numId w:val="14"/>
      </w:numPr>
    </w:pPr>
    <w:rPr>
      <w:sz w:val="24"/>
      <w:szCs w:val="24"/>
    </w:rPr>
  </w:style>
  <w:style w:type="character" w:styleId="UnresolvedMention">
    <w:name w:val="Unresolved Mention"/>
    <w:basedOn w:val="DefaultParagraphFont"/>
    <w:uiPriority w:val="99"/>
    <w:unhideWhenUsed/>
    <w:rsid w:val="00DB62CD"/>
    <w:rPr>
      <w:color w:val="605E5C"/>
      <w:shd w:val="clear" w:color="auto" w:fill="E1DFDD"/>
    </w:rPr>
  </w:style>
  <w:style w:type="paragraph" w:styleId="NoSpacing">
    <w:name w:val="No Spacing"/>
    <w:basedOn w:val="Normal"/>
    <w:qFormat/>
    <w:rsid w:val="00DB62CD"/>
    <w:pPr>
      <w:spacing w:before="0" w:after="0" w:line="240" w:lineRule="auto"/>
    </w:pPr>
    <w:rPr>
      <w:rFonts w:eastAsia="MS Gothic"/>
    </w:rPr>
  </w:style>
  <w:style w:type="paragraph" w:customStyle="1" w:styleId="ReviewResponse">
    <w:name w:val="Review Response"/>
    <w:basedOn w:val="Normal"/>
    <w:next w:val="Normal"/>
    <w:qFormat/>
    <w:rsid w:val="00DB62CD"/>
    <w:pPr>
      <w:spacing w:before="0" w:after="0" w:line="240" w:lineRule="auto"/>
      <w:jc w:val="left"/>
    </w:pPr>
    <w:rPr>
      <w:rFonts w:ascii="Times New Roman" w:hAnsi="Times New Roman"/>
      <w:i/>
      <w:iCs/>
      <w:color w:val="244061" w:themeColor="accent1" w:themeShade="80"/>
    </w:rPr>
  </w:style>
  <w:style w:type="table" w:customStyle="1" w:styleId="Table10">
    <w:name w:val="Table10"/>
    <w:basedOn w:val="TableNormal"/>
    <w:next w:val="TableNormal"/>
    <w:uiPriority w:val="99"/>
    <w:rsid w:val="00C645B4"/>
    <w:rPr>
      <w:rFonts w:ascii="Verlag Book" w:eastAsiaTheme="minorHAnsi" w:hAnsi="Verlag Book"/>
      <w:sz w:val="20"/>
      <w:szCs w:val="22"/>
      <w:lang w:val="en-AU"/>
    </w:rPr>
    <w:tblPr>
      <w:tblStyleRowBandSize w:val="1"/>
      <w:tblBorders>
        <w:bottom w:val="single" w:sz="4" w:space="0" w:color="000000" w:themeColor="text1"/>
      </w:tblBorders>
    </w:tblPr>
    <w:tblStylePr w:type="firstRow">
      <w:pPr>
        <w:jc w:val="center"/>
      </w:pPr>
      <w:rPr>
        <w:rFonts w:ascii="Lucida Grande" w:hAnsi="Lucida Grande"/>
        <w:b w:val="0"/>
        <w:i/>
        <w:sz w:val="22"/>
      </w:rPr>
      <w:tblPr/>
      <w:tcPr>
        <w:tcBorders>
          <w:top w:val="nil"/>
        </w:tcBorders>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C7DAEA"/>
      </w:tcPr>
    </w:tblStylePr>
    <w:tblStylePr w:type="band2Horz">
      <w:tblPr/>
      <w:tcPr>
        <w:tcBorders>
          <w:top w:val="nil"/>
          <w:left w:val="nil"/>
          <w:bottom w:val="nil"/>
          <w:right w:val="nil"/>
          <w:insideH w:val="nil"/>
          <w:insideV w:val="nil"/>
          <w:tl2br w:val="nil"/>
          <w:tr2bl w:val="nil"/>
        </w:tcBorders>
      </w:tcPr>
    </w:tblStylePr>
  </w:style>
  <w:style w:type="paragraph" w:customStyle="1" w:styleId="AppendixHeading1">
    <w:name w:val="Appendix Heading 1"/>
    <w:basedOn w:val="Heading1"/>
    <w:rsid w:val="00DB62CD"/>
    <w:pPr>
      <w:numPr>
        <w:numId w:val="5"/>
      </w:numPr>
    </w:pPr>
    <w:rPr>
      <w:bCs w:val="0"/>
      <w:caps w:val="0"/>
      <w:szCs w:val="28"/>
      <w:lang w:val="en-AU"/>
    </w:rPr>
  </w:style>
  <w:style w:type="paragraph" w:styleId="BalloonText">
    <w:name w:val="Balloon Text"/>
    <w:basedOn w:val="Normal"/>
    <w:link w:val="BalloonTextChar"/>
    <w:semiHidden/>
    <w:unhideWhenUsed/>
    <w:rsid w:val="00DB62CD"/>
    <w:rPr>
      <w:sz w:val="18"/>
      <w:szCs w:val="18"/>
    </w:rPr>
  </w:style>
  <w:style w:type="character" w:customStyle="1" w:styleId="BalloonTextChar">
    <w:name w:val="Balloon Text Char"/>
    <w:basedOn w:val="DefaultParagraphFont"/>
    <w:link w:val="BalloonText"/>
    <w:semiHidden/>
    <w:rsid w:val="00DB62CD"/>
    <w:rPr>
      <w:rFonts w:ascii="TeXGyreTermes" w:hAnsi="TeXGyreTermes" w:cs="Times New Roman"/>
      <w:sz w:val="18"/>
      <w:szCs w:val="18"/>
    </w:rPr>
  </w:style>
  <w:style w:type="paragraph" w:customStyle="1" w:styleId="Appendix">
    <w:name w:val="Appendix"/>
    <w:basedOn w:val="Heading1"/>
    <w:next w:val="Normal"/>
    <w:rsid w:val="00DB62CD"/>
    <w:pPr>
      <w:numPr>
        <w:numId w:val="4"/>
      </w:numPr>
      <w:tabs>
        <w:tab w:val="num" w:pos="360"/>
      </w:tabs>
      <w:spacing w:after="160"/>
    </w:pPr>
    <w:rPr>
      <w:b w:val="0"/>
      <w:bCs w:val="0"/>
      <w:caps w:val="0"/>
      <w:color w:val="244061" w:themeColor="accent1" w:themeShade="80"/>
      <w:szCs w:val="28"/>
    </w:rPr>
  </w:style>
  <w:style w:type="paragraph" w:customStyle="1" w:styleId="AppendixH2">
    <w:name w:val="Appendix H2"/>
    <w:basedOn w:val="Appendix"/>
    <w:rsid w:val="00DB62CD"/>
    <w:pPr>
      <w:numPr>
        <w:numId w:val="0"/>
      </w:numPr>
      <w:ind w:left="720"/>
    </w:pPr>
    <w:rPr>
      <w:rFonts w:cs="Times New Roman (Headings CS)"/>
      <w:b/>
      <w:caps/>
      <w:sz w:val="24"/>
    </w:rPr>
  </w:style>
  <w:style w:type="paragraph" w:customStyle="1" w:styleId="Headingnonnumbered">
    <w:name w:val="Heading (non numbered)"/>
    <w:basedOn w:val="Heading1"/>
    <w:qFormat/>
    <w:rsid w:val="00DB62CD"/>
    <w:rPr>
      <w:b w:val="0"/>
      <w:bCs w:val="0"/>
      <w:caps w:val="0"/>
    </w:rPr>
  </w:style>
  <w:style w:type="paragraph" w:customStyle="1" w:styleId="Highlightrequest">
    <w:name w:val="Highlight request"/>
    <w:basedOn w:val="Normal"/>
    <w:rsid w:val="00DB62CD"/>
    <w:pPr>
      <w:pBdr>
        <w:top w:val="nil"/>
        <w:left w:val="nil"/>
        <w:bottom w:val="nil"/>
        <w:right w:val="nil"/>
        <w:between w:val="nil"/>
      </w:pBdr>
    </w:pPr>
    <w:rPr>
      <w:i/>
    </w:rPr>
  </w:style>
  <w:style w:type="character" w:customStyle="1" w:styleId="ProjectTitle">
    <w:name w:val="Project Title"/>
    <w:basedOn w:val="DefaultParagraphFont"/>
    <w:uiPriority w:val="1"/>
    <w:rsid w:val="00DB62CD"/>
    <w:rPr>
      <w:b/>
      <w:color w:val="1F497D" w:themeColor="text2"/>
    </w:rPr>
  </w:style>
  <w:style w:type="character" w:customStyle="1" w:styleId="apple-converted-space">
    <w:name w:val="apple-converted-space"/>
    <w:basedOn w:val="DefaultParagraphFont"/>
    <w:rsid w:val="00DB62CD"/>
  </w:style>
  <w:style w:type="paragraph" w:customStyle="1" w:styleId="AppendixHeading2">
    <w:name w:val="Appendix Heading 2"/>
    <w:basedOn w:val="AppendixHeading1"/>
    <w:rsid w:val="00DB62CD"/>
    <w:pPr>
      <w:numPr>
        <w:numId w:val="0"/>
      </w:numPr>
      <w:spacing w:after="0"/>
      <w:outlineLvl w:val="1"/>
    </w:pPr>
    <w:rPr>
      <w:rFonts w:cs="Times New Roman (Headings CS)"/>
      <w:b w:val="0"/>
      <w:sz w:val="24"/>
    </w:rPr>
  </w:style>
  <w:style w:type="paragraph" w:styleId="BodyText">
    <w:name w:val="Body Text"/>
    <w:basedOn w:val="Normal"/>
    <w:link w:val="BodyTextChar"/>
    <w:rsid w:val="00DB62CD"/>
    <w:rPr>
      <w:szCs w:val="20"/>
      <w:lang w:val="en-GB"/>
    </w:rPr>
  </w:style>
  <w:style w:type="character" w:customStyle="1" w:styleId="BodyTextChar">
    <w:name w:val="Body Text Char"/>
    <w:basedOn w:val="DefaultParagraphFont"/>
    <w:link w:val="BodyText"/>
    <w:rsid w:val="00DB62CD"/>
    <w:rPr>
      <w:rFonts w:ascii="TeXGyreTermes" w:hAnsi="TeXGyreTermes" w:cs="Times New Roman"/>
      <w:szCs w:val="20"/>
      <w:lang w:val="en-GB"/>
    </w:rPr>
  </w:style>
  <w:style w:type="character" w:customStyle="1" w:styleId="UnresolvedMention1">
    <w:name w:val="Unresolved Mention1"/>
    <w:basedOn w:val="DefaultParagraphFont"/>
    <w:uiPriority w:val="99"/>
    <w:semiHidden/>
    <w:unhideWhenUsed/>
    <w:rsid w:val="00DB62CD"/>
    <w:rPr>
      <w:color w:val="605E5C"/>
      <w:shd w:val="clear" w:color="auto" w:fill="E1DFDD"/>
    </w:rPr>
  </w:style>
  <w:style w:type="character" w:customStyle="1" w:styleId="UnresolvedMention11">
    <w:name w:val="Unresolved Mention11"/>
    <w:basedOn w:val="DefaultParagraphFont"/>
    <w:uiPriority w:val="99"/>
    <w:semiHidden/>
    <w:unhideWhenUsed/>
    <w:rsid w:val="00DB62CD"/>
    <w:rPr>
      <w:color w:val="605E5C"/>
      <w:shd w:val="clear" w:color="auto" w:fill="E1DFDD"/>
    </w:rPr>
  </w:style>
  <w:style w:type="table" w:styleId="GridTable3">
    <w:name w:val="Grid Table 3"/>
    <w:basedOn w:val="TableNormal"/>
    <w:rsid w:val="00DB62CD"/>
    <w:rPr>
      <w:rFonts w:ascii="Times New Roman" w:hAnsi="Times New Roman" w:cs="Times New Roman"/>
      <w:sz w:val="20"/>
      <w:szCs w:val="20"/>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BookTitle">
    <w:name w:val="Book Title"/>
    <w:basedOn w:val="DefaultParagraphFont"/>
    <w:uiPriority w:val="33"/>
    <w:rsid w:val="00DB62CD"/>
    <w:rPr>
      <w:b/>
      <w:bCs/>
      <w:i/>
      <w:iCs/>
      <w:spacing w:val="5"/>
    </w:rPr>
  </w:style>
  <w:style w:type="character" w:customStyle="1" w:styleId="NameInstitution">
    <w:name w:val="Name Institution"/>
    <w:basedOn w:val="DefaultParagraphFont"/>
    <w:uiPriority w:val="1"/>
    <w:qFormat/>
    <w:rsid w:val="00DB62CD"/>
    <w:rPr>
      <w:i/>
      <w:iCs/>
    </w:rPr>
  </w:style>
  <w:style w:type="paragraph" w:customStyle="1" w:styleId="Reviewer">
    <w:name w:val="Reviewer"/>
    <w:basedOn w:val="Normal"/>
    <w:qFormat/>
    <w:rsid w:val="00DB62CD"/>
    <w:pPr>
      <w:spacing w:line="240" w:lineRule="auto"/>
    </w:pPr>
    <w:rPr>
      <w:rFonts w:asciiTheme="majorHAnsi" w:hAnsiTheme="majorHAnsi" w:cstheme="majorHAnsi"/>
      <w:i/>
      <w:iCs/>
      <w:color w:val="365F91" w:themeColor="accent1" w:themeShade="BF"/>
      <w:sz w:val="23"/>
      <w:szCs w:val="23"/>
      <w:shd w:val="clear" w:color="auto" w:fill="FFFFFF"/>
      <w:lang w:eastAsia="en-GB"/>
    </w:rPr>
  </w:style>
  <w:style w:type="paragraph" w:customStyle="1" w:styleId="Reviewer0">
    <w:name w:val="Reviewer 0"/>
    <w:basedOn w:val="Reviewer"/>
    <w:qFormat/>
    <w:rsid w:val="00DB62CD"/>
    <w:rPr>
      <w:color w:val="auto"/>
    </w:rPr>
  </w:style>
  <w:style w:type="paragraph" w:customStyle="1" w:styleId="RHead1">
    <w:name w:val="RHead1"/>
    <w:basedOn w:val="Heading1"/>
    <w:next w:val="Normal"/>
    <w:qFormat/>
    <w:rsid w:val="00DB62CD"/>
  </w:style>
  <w:style w:type="paragraph" w:customStyle="1" w:styleId="RHEAD20">
    <w:name w:val="RHEAD 2"/>
    <w:basedOn w:val="Heading2"/>
    <w:qFormat/>
    <w:rsid w:val="00DB62CD"/>
  </w:style>
  <w:style w:type="paragraph" w:customStyle="1" w:styleId="RHEAD3">
    <w:name w:val="RHEAD3"/>
    <w:basedOn w:val="Heading3"/>
    <w:qFormat/>
    <w:rsid w:val="00DB62CD"/>
    <w:pPr>
      <w:ind w:left="432" w:hanging="432"/>
    </w:pPr>
    <w:rPr>
      <w:rFonts w:ascii="Arial" w:hAnsi="Arial"/>
      <w:shd w:val="clear" w:color="auto" w:fill="FFFFFF"/>
      <w:lang w:eastAsia="en-GB"/>
    </w:rPr>
  </w:style>
  <w:style w:type="paragraph" w:customStyle="1" w:styleId="RHEAD2">
    <w:name w:val="RHEAD2"/>
    <w:basedOn w:val="Heading2"/>
    <w:qFormat/>
    <w:rsid w:val="00DB62CD"/>
    <w:pPr>
      <w:numPr>
        <w:numId w:val="16"/>
      </w:numPr>
      <w:spacing w:before="360"/>
    </w:pPr>
  </w:style>
  <w:style w:type="paragraph" w:customStyle="1" w:styleId="RevisionA">
    <w:name w:val="Revision A"/>
    <w:basedOn w:val="Normal"/>
    <w:qFormat/>
    <w:rsid w:val="00DB62CD"/>
    <w:pPr>
      <w:numPr>
        <w:numId w:val="15"/>
      </w:numPr>
      <w:spacing w:line="240" w:lineRule="auto"/>
      <w:outlineLvl w:val="4"/>
      <w15:collapsed/>
    </w:pPr>
    <w:rPr>
      <w:i/>
      <w:color w:val="E36C0A" w:themeColor="accent6" w:themeShade="BF"/>
    </w:rPr>
  </w:style>
  <w:style w:type="paragraph" w:customStyle="1" w:styleId="RevisionToDo">
    <w:name w:val="Revision To Do"/>
    <w:basedOn w:val="RevisionA"/>
    <w:qFormat/>
    <w:rsid w:val="00DB62CD"/>
    <w:pPr>
      <w:numPr>
        <w:numId w:val="0"/>
      </w:numPr>
      <w:ind w:left="720"/>
    </w:pPr>
    <w:rPr>
      <w:i w:val="0"/>
      <w:iCs/>
      <w:color w:val="C00000"/>
    </w:rPr>
  </w:style>
  <w:style w:type="paragraph" w:customStyle="1" w:styleId="RHEAD4Revision">
    <w:name w:val="RHEAD4 Revision"/>
    <w:basedOn w:val="RHEAD3"/>
    <w:qFormat/>
    <w:rsid w:val="00DB62CD"/>
    <w:pPr>
      <w:numPr>
        <w:numId w:val="17"/>
      </w:numPr>
      <w:outlineLvl w:val="3"/>
    </w:pPr>
    <w:rPr>
      <w:color w:val="984806" w:themeColor="accent6" w:themeShade="80"/>
    </w:rPr>
  </w:style>
  <w:style w:type="paragraph" w:customStyle="1" w:styleId="Style1">
    <w:name w:val="Style1"/>
    <w:basedOn w:val="Heading2"/>
    <w:next w:val="Normal"/>
    <w:qFormat/>
    <w:rsid w:val="00DB62CD"/>
  </w:style>
  <w:style w:type="paragraph" w:customStyle="1" w:styleId="msonormal0">
    <w:name w:val="msonormal"/>
    <w:basedOn w:val="Normal"/>
    <w:rsid w:val="00DB62CD"/>
    <w:pPr>
      <w:spacing w:before="100" w:beforeAutospacing="1" w:after="100" w:afterAutospacing="1"/>
    </w:pPr>
    <w:rPr>
      <w:lang w:eastAsia="en-GB"/>
    </w:rPr>
  </w:style>
  <w:style w:type="paragraph" w:customStyle="1" w:styleId="xl63">
    <w:name w:val="xl63"/>
    <w:basedOn w:val="Normal"/>
    <w:rsid w:val="00DB62CD"/>
    <w:pPr>
      <w:spacing w:before="100" w:beforeAutospacing="1" w:after="100" w:afterAutospacing="1"/>
      <w:jc w:val="center"/>
      <w:textAlignment w:val="top"/>
    </w:pPr>
    <w:rPr>
      <w:b/>
      <w:bCs/>
      <w:lang w:eastAsia="en-GB"/>
    </w:rPr>
  </w:style>
  <w:style w:type="paragraph" w:customStyle="1" w:styleId="xl64">
    <w:name w:val="xl64"/>
    <w:basedOn w:val="Normal"/>
    <w:rsid w:val="00DB62CD"/>
    <w:pPr>
      <w:spacing w:before="100" w:beforeAutospacing="1" w:after="100" w:afterAutospacing="1"/>
      <w:textAlignment w:val="top"/>
    </w:pPr>
    <w:rPr>
      <w:lang w:eastAsia="en-GB"/>
    </w:rPr>
  </w:style>
  <w:style w:type="paragraph" w:customStyle="1" w:styleId="xl65">
    <w:name w:val="xl65"/>
    <w:basedOn w:val="Normal"/>
    <w:rsid w:val="00DB62CD"/>
    <w:pPr>
      <w:spacing w:before="100" w:beforeAutospacing="1" w:after="100" w:afterAutospacing="1"/>
      <w:textAlignment w:val="top"/>
    </w:pPr>
    <w:rPr>
      <w:lang w:eastAsia="en-GB"/>
    </w:rPr>
  </w:style>
  <w:style w:type="paragraph" w:customStyle="1" w:styleId="xl66">
    <w:name w:val="xl66"/>
    <w:basedOn w:val="Normal"/>
    <w:rsid w:val="00DB62CD"/>
    <w:pPr>
      <w:spacing w:before="100" w:beforeAutospacing="1" w:after="100" w:afterAutospacing="1"/>
      <w:textAlignment w:val="top"/>
    </w:pPr>
    <w:rPr>
      <w:lang w:eastAsia="en-GB"/>
    </w:rPr>
  </w:style>
  <w:style w:type="paragraph" w:customStyle="1" w:styleId="xl67">
    <w:name w:val="xl67"/>
    <w:basedOn w:val="Normal"/>
    <w:rsid w:val="00DB62CD"/>
    <w:pPr>
      <w:spacing w:before="100" w:beforeAutospacing="1" w:after="100" w:afterAutospacing="1"/>
      <w:textAlignment w:val="top"/>
    </w:pPr>
    <w:rPr>
      <w:lang w:eastAsia="en-GB"/>
    </w:rPr>
  </w:style>
  <w:style w:type="paragraph" w:customStyle="1" w:styleId="xl68">
    <w:name w:val="xl68"/>
    <w:basedOn w:val="Normal"/>
    <w:rsid w:val="00DB62CD"/>
    <w:pPr>
      <w:spacing w:before="100" w:beforeAutospacing="1" w:after="100" w:afterAutospacing="1"/>
      <w:textAlignment w:val="top"/>
    </w:pPr>
    <w:rPr>
      <w:color w:val="000000"/>
      <w:lang w:eastAsia="en-GB"/>
    </w:rPr>
  </w:style>
  <w:style w:type="paragraph" w:customStyle="1" w:styleId="xl69">
    <w:name w:val="xl69"/>
    <w:basedOn w:val="Normal"/>
    <w:rsid w:val="00DB62CD"/>
    <w:pPr>
      <w:spacing w:before="100" w:beforeAutospacing="1" w:after="100" w:afterAutospacing="1"/>
      <w:textAlignment w:val="top"/>
    </w:pPr>
    <w:rPr>
      <w:color w:val="000000"/>
      <w:lang w:eastAsia="en-GB"/>
    </w:rPr>
  </w:style>
  <w:style w:type="paragraph" w:customStyle="1" w:styleId="xl70">
    <w:name w:val="xl70"/>
    <w:basedOn w:val="Normal"/>
    <w:rsid w:val="00DB62CD"/>
    <w:pPr>
      <w:spacing w:before="100" w:beforeAutospacing="1" w:after="100" w:afterAutospacing="1"/>
      <w:textAlignment w:val="top"/>
    </w:pPr>
    <w:rPr>
      <w:color w:val="000000"/>
      <w:lang w:eastAsia="en-GB"/>
    </w:rPr>
  </w:style>
  <w:style w:type="paragraph" w:styleId="NormalWeb">
    <w:name w:val="Normal (Web)"/>
    <w:basedOn w:val="Normal"/>
    <w:uiPriority w:val="99"/>
    <w:semiHidden/>
    <w:unhideWhenUsed/>
    <w:rsid w:val="00DB62CD"/>
    <w:pPr>
      <w:spacing w:before="100" w:beforeAutospacing="1" w:after="100" w:afterAutospacing="1"/>
    </w:pPr>
    <w:rPr>
      <w:lang w:eastAsia="en-GB"/>
    </w:rPr>
  </w:style>
  <w:style w:type="table" w:customStyle="1" w:styleId="Table10000000000">
    <w:name w:val="Table10000000000"/>
    <w:basedOn w:val="TableNormal"/>
    <w:next w:val="TableNormal"/>
    <w:uiPriority w:val="99"/>
    <w:rsid w:val="00DB62CD"/>
    <w:rPr>
      <w:rFonts w:ascii="Verlag Book" w:eastAsiaTheme="minorHAnsi" w:hAnsi="Verlag Book"/>
      <w:sz w:val="20"/>
      <w:szCs w:val="22"/>
      <w:lang w:val="en-AU"/>
    </w:rPr>
    <w:tblPr>
      <w:tblStyleRowBandSize w:val="1"/>
      <w:tblBorders>
        <w:bottom w:val="single" w:sz="4" w:space="0" w:color="000000" w:themeColor="text1"/>
      </w:tblBorders>
    </w:tblPr>
    <w:tblStylePr w:type="firstRow">
      <w:pPr>
        <w:jc w:val="center"/>
      </w:pPr>
      <w:rPr>
        <w:rFonts w:ascii="Lucida Grande" w:hAnsi="Lucida Grande"/>
        <w:b w:val="0"/>
        <w:i/>
        <w:sz w:val="22"/>
      </w:rPr>
      <w:tblPr/>
      <w:tcPr>
        <w:tcBorders>
          <w:top w:val="nil"/>
        </w:tcBorders>
      </w:tcPr>
    </w:tblStylePr>
    <w:tblStylePr w:type="firstCol">
      <w:tblPr/>
      <w:tcPr>
        <w:tcBorders>
          <w:top w:val="nil"/>
          <w:left w:val="nil"/>
          <w:bottom w:val="nil"/>
          <w:right w:val="nil"/>
          <w:insideH w:val="nil"/>
          <w:insideV w:val="nil"/>
          <w:tl2br w:val="nil"/>
          <w:tr2bl w:val="nil"/>
        </w:tcBorders>
      </w:tcPr>
    </w:tblStylePr>
    <w:tblStylePr w:type="band1Horz">
      <w:tblPr/>
      <w:tcPr>
        <w:shd w:val="clear" w:color="auto" w:fill="C7DAEA"/>
      </w:tcPr>
    </w:tblStylePr>
    <w:tblStylePr w:type="band2Horz">
      <w:tblPr/>
      <w:tcPr>
        <w:tcBorders>
          <w:top w:val="nil"/>
          <w:left w:val="nil"/>
          <w:bottom w:val="nil"/>
          <w:right w:val="nil"/>
          <w:insideH w:val="nil"/>
          <w:insideV w:val="nil"/>
          <w:tl2br w:val="nil"/>
          <w:tr2bl w:val="nil"/>
        </w:tcBorders>
      </w:tcPr>
    </w:tblStylePr>
  </w:style>
  <w:style w:type="paragraph" w:customStyle="1" w:styleId="Heading1Review">
    <w:name w:val="Heading 1 Review"/>
    <w:basedOn w:val="Heading1"/>
    <w:next w:val="Normal"/>
    <w:qFormat/>
    <w:rsid w:val="00DB62CD"/>
    <w:pPr>
      <w:numPr>
        <w:numId w:val="16"/>
      </w:numPr>
    </w:pPr>
  </w:style>
  <w:style w:type="paragraph" w:customStyle="1" w:styleId="ListParagraphbullet">
    <w:name w:val="List Paragraph (bullet)"/>
    <w:basedOn w:val="ListParagraph"/>
    <w:qFormat/>
    <w:rsid w:val="009C0B42"/>
    <w:pPr>
      <w:numPr>
        <w:numId w:val="1"/>
      </w:numPr>
    </w:pPr>
  </w:style>
  <w:style w:type="paragraph" w:customStyle="1" w:styleId="Reviewer1">
    <w:name w:val="Reviewer 1"/>
    <w:basedOn w:val="Normal"/>
    <w:qFormat/>
    <w:rsid w:val="003C6E58"/>
    <w:rPr>
      <w:rFonts w:asciiTheme="majorHAnsi" w:hAnsiTheme="majorHAnsi" w:cstheme="majorHAnsi"/>
      <w:i/>
      <w:iCs/>
      <w:color w:val="365F91" w:themeColor="accent1" w:themeShade="BF"/>
      <w:sz w:val="23"/>
      <w:szCs w:val="23"/>
      <w:shd w:val="clear" w:color="auto" w:fill="FFFFFF"/>
      <w:lang w:eastAsia="en-GB"/>
    </w:rPr>
  </w:style>
  <w:style w:type="paragraph" w:customStyle="1" w:styleId="Reviewer3">
    <w:name w:val="Reviewer 3"/>
    <w:basedOn w:val="Reviewer1"/>
    <w:qFormat/>
    <w:rsid w:val="003C6E58"/>
    <w:rPr>
      <w:color w:val="4F6228" w:themeColor="accent3" w:themeShade="80"/>
    </w:rPr>
  </w:style>
  <w:style w:type="paragraph" w:customStyle="1" w:styleId="Reviewer2">
    <w:name w:val="Reviewer 2"/>
    <w:basedOn w:val="Reviewer1"/>
    <w:qFormat/>
    <w:rsid w:val="003C6E58"/>
    <w:rPr>
      <w:color w:val="5F497A" w:themeColor="accent4" w:themeShade="BF"/>
    </w:rPr>
  </w:style>
  <w:style w:type="paragraph" w:customStyle="1" w:styleId="ResponseDocumentText">
    <w:name w:val="Response Document Text"/>
    <w:basedOn w:val="paragraph"/>
    <w:qFormat/>
    <w:rsid w:val="009C0B42"/>
    <w:pPr>
      <w:shd w:val="clear" w:color="auto" w:fill="F2DBDB" w:themeFill="accent2" w:themeFillTint="33"/>
      <w:ind w:left="113" w:firstLine="0"/>
      <w:contextualSpacing/>
    </w:pPr>
    <w:rPr>
      <w:color w:val="943634" w:themeColor="accent2" w:themeShade="BF"/>
      <w:sz w:val="20"/>
      <w:szCs w:val="20"/>
    </w:rPr>
  </w:style>
  <w:style w:type="paragraph" w:customStyle="1" w:styleId="ResponseTextHead">
    <w:name w:val="Response Text Head"/>
    <w:basedOn w:val="ResponseDocumentText"/>
    <w:qFormat/>
    <w:rsid w:val="009C0B42"/>
    <w:pPr>
      <w:ind w:left="0"/>
    </w:pPr>
    <w:rPr>
      <w:b/>
      <w:bCs/>
      <w:sz w:val="24"/>
      <w:szCs w:val="24"/>
    </w:rPr>
  </w:style>
  <w:style w:type="paragraph" w:styleId="Index1">
    <w:name w:val="index 1"/>
    <w:basedOn w:val="Normal"/>
    <w:next w:val="Normal"/>
    <w:autoRedefine/>
    <w:uiPriority w:val="99"/>
    <w:semiHidden/>
    <w:unhideWhenUsed/>
    <w:rsid w:val="00534C4D"/>
    <w:pPr>
      <w:ind w:left="240" w:hanging="240"/>
    </w:pPr>
  </w:style>
  <w:style w:type="paragraph" w:customStyle="1" w:styleId="TableFooter">
    <w:name w:val="Table Footer"/>
    <w:basedOn w:val="Normal"/>
    <w:qFormat/>
    <w:rsid w:val="00DB62CD"/>
    <w:pPr>
      <w:pBdr>
        <w:bottom w:val="single" w:sz="4" w:space="1" w:color="auto"/>
      </w:pBdr>
      <w:spacing w:before="0" w:after="240" w:line="240" w:lineRule="auto"/>
      <w:contextualSpacing/>
    </w:pPr>
    <w:rPr>
      <w:rFonts w:ascii="TeXGyreHeros" w:hAnsi="TeXGyreHeros"/>
      <w:sz w:val="20"/>
      <w:szCs w:val="20"/>
    </w:rPr>
  </w:style>
  <w:style w:type="table" w:styleId="PlainTable1">
    <w:name w:val="Plain Table 1"/>
    <w:basedOn w:val="TableNormal"/>
    <w:uiPriority w:val="41"/>
    <w:rsid w:val="00494485"/>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datapositioned">
    <w:name w:val="Table data (positioned)"/>
    <w:basedOn w:val="Tabledata"/>
    <w:qFormat/>
    <w:rsid w:val="000F53D6"/>
    <w:pPr>
      <w:ind w:left="2585"/>
    </w:pPr>
  </w:style>
  <w:style w:type="paragraph" w:styleId="PlainText">
    <w:name w:val="Plain Text"/>
    <w:basedOn w:val="Normal"/>
    <w:link w:val="PlainTextChar"/>
    <w:uiPriority w:val="99"/>
    <w:unhideWhenUsed/>
    <w:rsid w:val="00DB62CD"/>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DB62CD"/>
    <w:rPr>
      <w:rFonts w:ascii="Calibri" w:hAnsi="Calibri"/>
      <w:szCs w:val="21"/>
    </w:rPr>
  </w:style>
  <w:style w:type="paragraph" w:customStyle="1" w:styleId="ReviewCompleted">
    <w:name w:val="_Review Completed"/>
    <w:basedOn w:val="PlainText"/>
    <w:qFormat/>
    <w:rsid w:val="00B86EAC"/>
    <w:pPr>
      <w:shd w:val="clear" w:color="auto" w:fill="92CDDC" w:themeFill="accent5" w:themeFillTint="99"/>
    </w:pPr>
    <w:rPr>
      <w:rFonts w:ascii="Calibri Light" w:hAnsi="Calibri Light" w:cs="Calibri Light"/>
      <w:i/>
      <w:iCs/>
      <w:lang w:val="en-GB"/>
    </w:rPr>
  </w:style>
  <w:style w:type="character" w:customStyle="1" w:styleId="ReviewCompletedChar">
    <w:name w:val="_Review Completed Char"/>
    <w:basedOn w:val="DefaultParagraphFont"/>
    <w:uiPriority w:val="1"/>
    <w:qFormat/>
    <w:rsid w:val="00B86EAC"/>
    <w:rPr>
      <w:rFonts w:asciiTheme="majorHAnsi" w:hAnsiTheme="majorHAnsi"/>
      <w:b w:val="0"/>
      <w:i/>
      <w:bdr w:val="none" w:sz="0" w:space="0" w:color="auto"/>
      <w:shd w:val="clear" w:color="auto" w:fill="92CDDC" w:themeFill="accent5" w:themeFillTint="99"/>
    </w:rPr>
  </w:style>
  <w:style w:type="paragraph" w:customStyle="1" w:styleId="ReviewerComment">
    <w:name w:val="_Reviewer Comment"/>
    <w:basedOn w:val="PlainText"/>
    <w:qFormat/>
    <w:rsid w:val="00B86EAC"/>
    <w:pPr>
      <w:ind w:left="284" w:hanging="284"/>
    </w:pPr>
    <w:rPr>
      <w:lang w:val="en-GB"/>
    </w:rPr>
  </w:style>
  <w:style w:type="character" w:styleId="IntenseEmphasis">
    <w:name w:val="Intense Emphasis"/>
    <w:basedOn w:val="DefaultParagraphFont"/>
    <w:uiPriority w:val="21"/>
    <w:qFormat/>
    <w:rsid w:val="00B86EAC"/>
    <w:rPr>
      <w:b/>
      <w:i/>
      <w:iCs/>
      <w:color w:val="244061" w:themeColor="accent1" w:themeShade="80"/>
    </w:rPr>
  </w:style>
  <w:style w:type="paragraph" w:customStyle="1" w:styleId="Statement">
    <w:name w:val="Statement"/>
    <w:basedOn w:val="Normal"/>
    <w:qFormat/>
    <w:rsid w:val="00B86EAC"/>
    <w:pPr>
      <w:spacing w:before="0" w:after="60" w:line="240" w:lineRule="auto"/>
      <w:ind w:left="1559" w:hanging="1559"/>
    </w:pPr>
  </w:style>
  <w:style w:type="paragraph" w:customStyle="1" w:styleId="Tabledatanospace">
    <w:name w:val="Table data no space"/>
    <w:basedOn w:val="Tabledata"/>
    <w:qFormat/>
    <w:rsid w:val="00DB62CD"/>
    <w:pPr>
      <w:spacing w:before="0" w:after="20"/>
    </w:pPr>
    <w:rPr>
      <w:lang w:val="en-AU"/>
    </w:rPr>
  </w:style>
  <w:style w:type="table" w:styleId="PlainTable4">
    <w:name w:val="Plain Table 4"/>
    <w:basedOn w:val="TableNormal"/>
    <w:uiPriority w:val="99"/>
    <w:rsid w:val="002C1A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first">
    <w:name w:val="Paragraph (first)"/>
    <w:basedOn w:val="Normal"/>
    <w:qFormat/>
    <w:rsid w:val="00DB62CD"/>
  </w:style>
  <w:style w:type="character" w:customStyle="1" w:styleId="Heading7Char">
    <w:name w:val="Heading 7 Char"/>
    <w:basedOn w:val="DefaultParagraphFont"/>
    <w:link w:val="Heading7"/>
    <w:uiPriority w:val="9"/>
    <w:semiHidden/>
    <w:rsid w:val="00633D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33D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3D4F"/>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447E56"/>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PSROnlineAppendix">
    <w:name w:val="APSR Online Appendix"/>
    <w:basedOn w:val="TableNormal"/>
    <w:uiPriority w:val="99"/>
    <w:rsid w:val="005D0AF8"/>
    <w:rPr>
      <w:rFonts w:ascii="TeXGyreHeros" w:hAnsi="TeXGyreHeros"/>
    </w:rPr>
    <w:tblPr>
      <w:tblStyleRowBandSize w:val="1"/>
      <w:jc w:val="center"/>
      <w:tblBorders>
        <w:top w:val="single" w:sz="18" w:space="0" w:color="auto"/>
        <w:bottom w:val="single" w:sz="18" w:space="0" w:color="auto"/>
      </w:tblBorders>
    </w:tblPr>
    <w:trPr>
      <w:tblHeader/>
      <w:jc w:val="center"/>
    </w:trPr>
    <w:tcPr>
      <w:vAlign w:val="center"/>
    </w:tcPr>
    <w:tblStylePr w:type="firstRow">
      <w:pPr>
        <w:wordWrap/>
        <w:spacing w:afterLines="10" w:after="10" w:afterAutospacing="0" w:line="240" w:lineRule="auto"/>
        <w:contextualSpacing/>
      </w:pPr>
      <w:rPr>
        <w:rFonts w:ascii="Lucida Grande" w:hAnsi="Lucida Grande"/>
        <w:b w:val="0"/>
        <w:i w:val="0"/>
      </w:rPr>
      <w:tblPr>
        <w:jc w:val="center"/>
      </w:tblPr>
      <w:trPr>
        <w:tblHeader/>
        <w:jc w:val="center"/>
      </w:trPr>
      <w:tcPr>
        <w:tcBorders>
          <w:bottom w:val="single" w:sz="4" w:space="0" w:color="auto"/>
        </w:tcBorders>
        <w:noWrap/>
        <w:vAlign w:val="bottom"/>
      </w:tcPr>
    </w:tblStylePr>
    <w:tblStylePr w:type="lastRow">
      <w:rPr>
        <w:rFonts w:ascii="Lucida Grande" w:hAnsi="Lucida Grande"/>
        <w:b w:val="0"/>
        <w:i/>
      </w:rPr>
      <w:tblPr/>
      <w:tcPr>
        <w:tcBorders>
          <w:top w:val="single" w:sz="4" w:space="0" w:color="auto"/>
        </w:tcBorders>
      </w:tcPr>
    </w:tblStylePr>
    <w:tblStylePr w:type="firstCol">
      <w:pPr>
        <w:wordWrap/>
        <w:spacing w:beforeLines="60" w:before="60" w:beforeAutospacing="0" w:afterLines="60" w:after="60" w:afterAutospacing="0" w:line="240" w:lineRule="auto"/>
        <w:contextualSpacing/>
      </w:pPr>
      <w:rPr>
        <w:rFonts w:ascii="Lucida Grande" w:hAnsi="Lucida Grande"/>
        <w:b w:val="0"/>
        <w:i w:val="0"/>
      </w:rPr>
    </w:tblStylePr>
    <w:tblStylePr w:type="band2Horz">
      <w:tblPr/>
      <w:tcPr>
        <w:shd w:val="clear" w:color="auto" w:fill="C6D9F1" w:themeFill="text2" w:themeFillTint="33"/>
      </w:tcPr>
    </w:tblStylePr>
  </w:style>
  <w:style w:type="table" w:styleId="PlainTable5">
    <w:name w:val="Plain Table 5"/>
    <w:basedOn w:val="TableNormal"/>
    <w:uiPriority w:val="99"/>
    <w:rsid w:val="009E47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onditionalEffects">
    <w:name w:val="Conditional Effects"/>
    <w:basedOn w:val="TableNormal"/>
    <w:uiPriority w:val="99"/>
    <w:rsid w:val="00BA1E44"/>
    <w:tblPr/>
  </w:style>
  <w:style w:type="table" w:customStyle="1" w:styleId="APSROnlineAppndix">
    <w:name w:val="APSR Online Appndix"/>
    <w:basedOn w:val="TableNormal"/>
    <w:uiPriority w:val="99"/>
    <w:rsid w:val="00951FBE"/>
    <w:tblPr/>
  </w:style>
  <w:style w:type="table" w:customStyle="1" w:styleId="RegressionTable">
    <w:name w:val="Regression Table"/>
    <w:basedOn w:val="TableNormal"/>
    <w:next w:val="TableNormal"/>
    <w:uiPriority w:val="99"/>
    <w:rsid w:val="00DB62CD"/>
    <w:rPr>
      <w:sz w:val="22"/>
      <w:szCs w:val="22"/>
      <w:lang w:val="en-AU"/>
    </w:rPr>
    <w:tblPr>
      <w:tblStyleRowBandSize w:val="1"/>
      <w:tblBorders>
        <w:top w:val="single" w:sz="4" w:space="0" w:color="000000" w:themeColor="text1"/>
      </w:tblBorders>
    </w:tblPr>
    <w:tblStylePr w:type="firstRow">
      <w:pPr>
        <w:jc w:val="center"/>
      </w:pPr>
      <w:rPr>
        <w:rFonts w:ascii="Lucida Grande" w:hAnsi="Lucida Grande"/>
        <w:b w:val="0"/>
        <w:i/>
      </w:rPr>
      <w:tblPr/>
      <w:tcPr>
        <w:tcBorders>
          <w:top w:val="single" w:sz="8" w:space="0" w:color="1F497D" w:themeColor="text2"/>
          <w:left w:val="nil"/>
          <w:bottom w:val="single" w:sz="12" w:space="0" w:color="1F497D" w:themeColor="text2"/>
          <w:right w:val="nil"/>
          <w:insideH w:val="nil"/>
          <w:insideV w:val="nil"/>
          <w:tl2br w:val="nil"/>
          <w:tr2bl w:val="nil"/>
        </w:tcBorders>
      </w:tcPr>
    </w:tblStylePr>
    <w:tblStylePr w:type="lastRow">
      <w:tblPr/>
      <w:tcPr>
        <w:tcBorders>
          <w:bottom w:val="dotted" w:sz="4" w:space="0" w:color="auto"/>
        </w:tcBorders>
      </w:tcPr>
    </w:tblStylePr>
    <w:tblStylePr w:type="firstCol">
      <w:tblPr/>
      <w:tcPr>
        <w:tcBorders>
          <w:top w:val="nil"/>
          <w:left w:val="nil"/>
          <w:bottom w:val="nil"/>
          <w:right w:val="single" w:sz="8" w:space="0" w:color="auto"/>
          <w:insideH w:val="nil"/>
          <w:insideV w:val="nil"/>
          <w:tl2br w:val="nil"/>
          <w:tr2bl w:val="nil"/>
        </w:tcBorders>
        <w:shd w:val="clear" w:color="auto" w:fill="FFFFFF" w:themeFill="background1"/>
      </w:tcPr>
    </w:tblStylePr>
    <w:tblStylePr w:type="band1Horz">
      <w:tblPr/>
      <w:tcPr>
        <w:shd w:val="clear" w:color="auto" w:fill="C7DAEA"/>
      </w:tcPr>
    </w:tblStylePr>
  </w:style>
  <w:style w:type="character" w:customStyle="1" w:styleId="EndNoteBibliographyChar">
    <w:name w:val="EndNote Bibliography Char"/>
    <w:basedOn w:val="DefaultParagraphFont"/>
    <w:link w:val="EndNoteBibliography"/>
    <w:rsid w:val="00B86EAC"/>
    <w:rPr>
      <w:rFonts w:ascii="TeXGyreTermes" w:hAnsi="TeXGyreTermes" w:cs="Times New Roman"/>
      <w:noProof/>
    </w:rPr>
  </w:style>
  <w:style w:type="character" w:customStyle="1" w:styleId="Author">
    <w:name w:val="Author"/>
    <w:basedOn w:val="DefaultParagraphFont"/>
    <w:uiPriority w:val="1"/>
    <w:qFormat/>
    <w:rsid w:val="00B86EAC"/>
    <w:rPr>
      <w:rFonts w:ascii="TeXGyreTermes" w:hAnsi="TeXGyreTermes"/>
      <w:b w:val="0"/>
      <w:i w:val="0"/>
      <w:caps/>
      <w:sz w:val="36"/>
      <w:szCs w:val="36"/>
    </w:rPr>
  </w:style>
  <w:style w:type="paragraph" w:customStyle="1" w:styleId="AuthorName">
    <w:name w:val="Author Name"/>
    <w:basedOn w:val="Normal"/>
    <w:qFormat/>
    <w:rsid w:val="00B86EAC"/>
    <w:pPr>
      <w:tabs>
        <w:tab w:val="left" w:pos="2552"/>
      </w:tabs>
      <w:spacing w:before="0" w:line="240" w:lineRule="auto"/>
    </w:pPr>
    <w:rPr>
      <w:caps/>
      <w:sz w:val="36"/>
      <w:szCs w:val="36"/>
    </w:rPr>
  </w:style>
  <w:style w:type="character" w:customStyle="1" w:styleId="AuthorOrganisation">
    <w:name w:val="Author Organisation"/>
    <w:basedOn w:val="DefaultParagraphFont"/>
    <w:uiPriority w:val="1"/>
    <w:qFormat/>
    <w:rsid w:val="00B86EAC"/>
    <w:rPr>
      <w:rFonts w:ascii="TeXGyreTermes" w:hAnsi="TeXGyreTermes"/>
      <w:i/>
      <w:iCs/>
      <w:sz w:val="28"/>
      <w:szCs w:val="28"/>
    </w:rPr>
  </w:style>
  <w:style w:type="paragraph" w:customStyle="1" w:styleId="Paragraphnoindent">
    <w:name w:val="Paragraph (no indent)"/>
    <w:basedOn w:val="paragraph"/>
    <w:next w:val="paragraph"/>
    <w:qFormat/>
    <w:rsid w:val="00B86EAC"/>
    <w:pPr>
      <w:keepLines/>
      <w:ind w:firstLine="0"/>
    </w:pPr>
  </w:style>
  <w:style w:type="character" w:customStyle="1" w:styleId="Variable">
    <w:name w:val="Variable"/>
    <w:basedOn w:val="DefaultParagraphFont"/>
    <w:uiPriority w:val="1"/>
    <w:qFormat/>
    <w:rsid w:val="00B86EAC"/>
    <w:rPr>
      <w:i/>
      <w:iCs/>
    </w:rPr>
  </w:style>
  <w:style w:type="numbering" w:customStyle="1" w:styleId="CurrentList1">
    <w:name w:val="Current List1"/>
    <w:uiPriority w:val="99"/>
    <w:rsid w:val="00554F0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1793">
      <w:bodyDiv w:val="1"/>
      <w:marLeft w:val="0"/>
      <w:marRight w:val="0"/>
      <w:marTop w:val="0"/>
      <w:marBottom w:val="0"/>
      <w:divBdr>
        <w:top w:val="none" w:sz="0" w:space="0" w:color="auto"/>
        <w:left w:val="none" w:sz="0" w:space="0" w:color="auto"/>
        <w:bottom w:val="none" w:sz="0" w:space="0" w:color="auto"/>
        <w:right w:val="none" w:sz="0" w:space="0" w:color="auto"/>
      </w:divBdr>
    </w:div>
    <w:div w:id="78213680">
      <w:bodyDiv w:val="1"/>
      <w:marLeft w:val="0"/>
      <w:marRight w:val="0"/>
      <w:marTop w:val="0"/>
      <w:marBottom w:val="0"/>
      <w:divBdr>
        <w:top w:val="none" w:sz="0" w:space="0" w:color="auto"/>
        <w:left w:val="none" w:sz="0" w:space="0" w:color="auto"/>
        <w:bottom w:val="none" w:sz="0" w:space="0" w:color="auto"/>
        <w:right w:val="none" w:sz="0" w:space="0" w:color="auto"/>
      </w:divBdr>
    </w:div>
    <w:div w:id="127629285">
      <w:bodyDiv w:val="1"/>
      <w:marLeft w:val="0"/>
      <w:marRight w:val="0"/>
      <w:marTop w:val="0"/>
      <w:marBottom w:val="0"/>
      <w:divBdr>
        <w:top w:val="none" w:sz="0" w:space="0" w:color="auto"/>
        <w:left w:val="none" w:sz="0" w:space="0" w:color="auto"/>
        <w:bottom w:val="none" w:sz="0" w:space="0" w:color="auto"/>
        <w:right w:val="none" w:sz="0" w:space="0" w:color="auto"/>
      </w:divBdr>
    </w:div>
    <w:div w:id="344791150">
      <w:bodyDiv w:val="1"/>
      <w:marLeft w:val="0"/>
      <w:marRight w:val="0"/>
      <w:marTop w:val="0"/>
      <w:marBottom w:val="0"/>
      <w:divBdr>
        <w:top w:val="none" w:sz="0" w:space="0" w:color="auto"/>
        <w:left w:val="none" w:sz="0" w:space="0" w:color="auto"/>
        <w:bottom w:val="none" w:sz="0" w:space="0" w:color="auto"/>
        <w:right w:val="none" w:sz="0" w:space="0" w:color="auto"/>
      </w:divBdr>
    </w:div>
    <w:div w:id="392703096">
      <w:bodyDiv w:val="1"/>
      <w:marLeft w:val="0"/>
      <w:marRight w:val="0"/>
      <w:marTop w:val="0"/>
      <w:marBottom w:val="0"/>
      <w:divBdr>
        <w:top w:val="none" w:sz="0" w:space="0" w:color="auto"/>
        <w:left w:val="none" w:sz="0" w:space="0" w:color="auto"/>
        <w:bottom w:val="none" w:sz="0" w:space="0" w:color="auto"/>
        <w:right w:val="none" w:sz="0" w:space="0" w:color="auto"/>
      </w:divBdr>
    </w:div>
    <w:div w:id="398870683">
      <w:bodyDiv w:val="1"/>
      <w:marLeft w:val="0"/>
      <w:marRight w:val="0"/>
      <w:marTop w:val="0"/>
      <w:marBottom w:val="0"/>
      <w:divBdr>
        <w:top w:val="none" w:sz="0" w:space="0" w:color="auto"/>
        <w:left w:val="none" w:sz="0" w:space="0" w:color="auto"/>
        <w:bottom w:val="none" w:sz="0" w:space="0" w:color="auto"/>
        <w:right w:val="none" w:sz="0" w:space="0" w:color="auto"/>
      </w:divBdr>
    </w:div>
    <w:div w:id="517424279">
      <w:bodyDiv w:val="1"/>
      <w:marLeft w:val="0"/>
      <w:marRight w:val="0"/>
      <w:marTop w:val="0"/>
      <w:marBottom w:val="0"/>
      <w:divBdr>
        <w:top w:val="none" w:sz="0" w:space="0" w:color="auto"/>
        <w:left w:val="none" w:sz="0" w:space="0" w:color="auto"/>
        <w:bottom w:val="none" w:sz="0" w:space="0" w:color="auto"/>
        <w:right w:val="none" w:sz="0" w:space="0" w:color="auto"/>
      </w:divBdr>
    </w:div>
    <w:div w:id="568924461">
      <w:bodyDiv w:val="1"/>
      <w:marLeft w:val="0"/>
      <w:marRight w:val="0"/>
      <w:marTop w:val="0"/>
      <w:marBottom w:val="0"/>
      <w:divBdr>
        <w:top w:val="none" w:sz="0" w:space="0" w:color="auto"/>
        <w:left w:val="none" w:sz="0" w:space="0" w:color="auto"/>
        <w:bottom w:val="none" w:sz="0" w:space="0" w:color="auto"/>
        <w:right w:val="none" w:sz="0" w:space="0" w:color="auto"/>
      </w:divBdr>
    </w:div>
    <w:div w:id="606814085">
      <w:bodyDiv w:val="1"/>
      <w:marLeft w:val="0"/>
      <w:marRight w:val="0"/>
      <w:marTop w:val="0"/>
      <w:marBottom w:val="0"/>
      <w:divBdr>
        <w:top w:val="none" w:sz="0" w:space="0" w:color="auto"/>
        <w:left w:val="none" w:sz="0" w:space="0" w:color="auto"/>
        <w:bottom w:val="none" w:sz="0" w:space="0" w:color="auto"/>
        <w:right w:val="none" w:sz="0" w:space="0" w:color="auto"/>
      </w:divBdr>
      <w:divsChild>
        <w:div w:id="1074930268">
          <w:marLeft w:val="0"/>
          <w:marRight w:val="0"/>
          <w:marTop w:val="0"/>
          <w:marBottom w:val="0"/>
          <w:divBdr>
            <w:top w:val="none" w:sz="0" w:space="0" w:color="auto"/>
            <w:left w:val="none" w:sz="0" w:space="0" w:color="auto"/>
            <w:bottom w:val="none" w:sz="0" w:space="0" w:color="auto"/>
            <w:right w:val="none" w:sz="0" w:space="0" w:color="auto"/>
          </w:divBdr>
          <w:divsChild>
            <w:div w:id="1133524997">
              <w:marLeft w:val="0"/>
              <w:marRight w:val="0"/>
              <w:marTop w:val="0"/>
              <w:marBottom w:val="0"/>
              <w:divBdr>
                <w:top w:val="none" w:sz="0" w:space="0" w:color="auto"/>
                <w:left w:val="none" w:sz="0" w:space="0" w:color="auto"/>
                <w:bottom w:val="none" w:sz="0" w:space="0" w:color="auto"/>
                <w:right w:val="none" w:sz="0" w:space="0" w:color="auto"/>
              </w:divBdr>
              <w:divsChild>
                <w:div w:id="133253986">
                  <w:marLeft w:val="0"/>
                  <w:marRight w:val="0"/>
                  <w:marTop w:val="0"/>
                  <w:marBottom w:val="0"/>
                  <w:divBdr>
                    <w:top w:val="none" w:sz="0" w:space="0" w:color="auto"/>
                    <w:left w:val="none" w:sz="0" w:space="0" w:color="auto"/>
                    <w:bottom w:val="none" w:sz="0" w:space="0" w:color="auto"/>
                    <w:right w:val="none" w:sz="0" w:space="0" w:color="auto"/>
                  </w:divBdr>
                  <w:divsChild>
                    <w:div w:id="1481579772">
                      <w:marLeft w:val="0"/>
                      <w:marRight w:val="0"/>
                      <w:marTop w:val="0"/>
                      <w:marBottom w:val="0"/>
                      <w:divBdr>
                        <w:top w:val="none" w:sz="0" w:space="0" w:color="auto"/>
                        <w:left w:val="none" w:sz="0" w:space="0" w:color="auto"/>
                        <w:bottom w:val="none" w:sz="0" w:space="0" w:color="auto"/>
                        <w:right w:val="none" w:sz="0" w:space="0" w:color="auto"/>
                      </w:divBdr>
                    </w:div>
                  </w:divsChild>
                </w:div>
                <w:div w:id="979503927">
                  <w:marLeft w:val="0"/>
                  <w:marRight w:val="0"/>
                  <w:marTop w:val="0"/>
                  <w:marBottom w:val="0"/>
                  <w:divBdr>
                    <w:top w:val="none" w:sz="0" w:space="0" w:color="auto"/>
                    <w:left w:val="none" w:sz="0" w:space="0" w:color="auto"/>
                    <w:bottom w:val="none" w:sz="0" w:space="0" w:color="auto"/>
                    <w:right w:val="none" w:sz="0" w:space="0" w:color="auto"/>
                  </w:divBdr>
                  <w:divsChild>
                    <w:div w:id="21096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774458">
      <w:bodyDiv w:val="1"/>
      <w:marLeft w:val="0"/>
      <w:marRight w:val="0"/>
      <w:marTop w:val="0"/>
      <w:marBottom w:val="0"/>
      <w:divBdr>
        <w:top w:val="none" w:sz="0" w:space="0" w:color="auto"/>
        <w:left w:val="none" w:sz="0" w:space="0" w:color="auto"/>
        <w:bottom w:val="none" w:sz="0" w:space="0" w:color="auto"/>
        <w:right w:val="none" w:sz="0" w:space="0" w:color="auto"/>
      </w:divBdr>
    </w:div>
    <w:div w:id="905186252">
      <w:bodyDiv w:val="1"/>
      <w:marLeft w:val="0"/>
      <w:marRight w:val="0"/>
      <w:marTop w:val="0"/>
      <w:marBottom w:val="0"/>
      <w:divBdr>
        <w:top w:val="none" w:sz="0" w:space="0" w:color="auto"/>
        <w:left w:val="none" w:sz="0" w:space="0" w:color="auto"/>
        <w:bottom w:val="none" w:sz="0" w:space="0" w:color="auto"/>
        <w:right w:val="none" w:sz="0" w:space="0" w:color="auto"/>
      </w:divBdr>
    </w:div>
    <w:div w:id="1015614071">
      <w:bodyDiv w:val="1"/>
      <w:marLeft w:val="0"/>
      <w:marRight w:val="0"/>
      <w:marTop w:val="0"/>
      <w:marBottom w:val="0"/>
      <w:divBdr>
        <w:top w:val="none" w:sz="0" w:space="0" w:color="auto"/>
        <w:left w:val="none" w:sz="0" w:space="0" w:color="auto"/>
        <w:bottom w:val="none" w:sz="0" w:space="0" w:color="auto"/>
        <w:right w:val="none" w:sz="0" w:space="0" w:color="auto"/>
      </w:divBdr>
    </w:div>
    <w:div w:id="1015695481">
      <w:bodyDiv w:val="1"/>
      <w:marLeft w:val="0"/>
      <w:marRight w:val="0"/>
      <w:marTop w:val="0"/>
      <w:marBottom w:val="0"/>
      <w:divBdr>
        <w:top w:val="none" w:sz="0" w:space="0" w:color="auto"/>
        <w:left w:val="none" w:sz="0" w:space="0" w:color="auto"/>
        <w:bottom w:val="none" w:sz="0" w:space="0" w:color="auto"/>
        <w:right w:val="none" w:sz="0" w:space="0" w:color="auto"/>
      </w:divBdr>
    </w:div>
    <w:div w:id="10860710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923">
          <w:marLeft w:val="0"/>
          <w:marRight w:val="0"/>
          <w:marTop w:val="0"/>
          <w:marBottom w:val="0"/>
          <w:divBdr>
            <w:top w:val="none" w:sz="0" w:space="0" w:color="auto"/>
            <w:left w:val="none" w:sz="0" w:space="0" w:color="auto"/>
            <w:bottom w:val="none" w:sz="0" w:space="0" w:color="auto"/>
            <w:right w:val="none" w:sz="0" w:space="0" w:color="auto"/>
          </w:divBdr>
          <w:divsChild>
            <w:div w:id="578487089">
              <w:marLeft w:val="0"/>
              <w:marRight w:val="0"/>
              <w:marTop w:val="0"/>
              <w:marBottom w:val="0"/>
              <w:divBdr>
                <w:top w:val="none" w:sz="0" w:space="0" w:color="auto"/>
                <w:left w:val="none" w:sz="0" w:space="0" w:color="auto"/>
                <w:bottom w:val="none" w:sz="0" w:space="0" w:color="auto"/>
                <w:right w:val="none" w:sz="0" w:space="0" w:color="auto"/>
              </w:divBdr>
              <w:divsChild>
                <w:div w:id="381558727">
                  <w:marLeft w:val="0"/>
                  <w:marRight w:val="0"/>
                  <w:marTop w:val="0"/>
                  <w:marBottom w:val="0"/>
                  <w:divBdr>
                    <w:top w:val="none" w:sz="0" w:space="0" w:color="auto"/>
                    <w:left w:val="none" w:sz="0" w:space="0" w:color="auto"/>
                    <w:bottom w:val="none" w:sz="0" w:space="0" w:color="auto"/>
                    <w:right w:val="none" w:sz="0" w:space="0" w:color="auto"/>
                  </w:divBdr>
                  <w:divsChild>
                    <w:div w:id="387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23600">
      <w:bodyDiv w:val="1"/>
      <w:marLeft w:val="0"/>
      <w:marRight w:val="0"/>
      <w:marTop w:val="0"/>
      <w:marBottom w:val="0"/>
      <w:divBdr>
        <w:top w:val="none" w:sz="0" w:space="0" w:color="auto"/>
        <w:left w:val="none" w:sz="0" w:space="0" w:color="auto"/>
        <w:bottom w:val="none" w:sz="0" w:space="0" w:color="auto"/>
        <w:right w:val="none" w:sz="0" w:space="0" w:color="auto"/>
      </w:divBdr>
    </w:div>
    <w:div w:id="1279994751">
      <w:bodyDiv w:val="1"/>
      <w:marLeft w:val="0"/>
      <w:marRight w:val="0"/>
      <w:marTop w:val="0"/>
      <w:marBottom w:val="0"/>
      <w:divBdr>
        <w:top w:val="none" w:sz="0" w:space="0" w:color="auto"/>
        <w:left w:val="none" w:sz="0" w:space="0" w:color="auto"/>
        <w:bottom w:val="none" w:sz="0" w:space="0" w:color="auto"/>
        <w:right w:val="none" w:sz="0" w:space="0" w:color="auto"/>
      </w:divBdr>
    </w:div>
    <w:div w:id="1283539282">
      <w:bodyDiv w:val="1"/>
      <w:marLeft w:val="0"/>
      <w:marRight w:val="0"/>
      <w:marTop w:val="0"/>
      <w:marBottom w:val="0"/>
      <w:divBdr>
        <w:top w:val="none" w:sz="0" w:space="0" w:color="auto"/>
        <w:left w:val="none" w:sz="0" w:space="0" w:color="auto"/>
        <w:bottom w:val="none" w:sz="0" w:space="0" w:color="auto"/>
        <w:right w:val="none" w:sz="0" w:space="0" w:color="auto"/>
      </w:divBdr>
      <w:divsChild>
        <w:div w:id="1391886310">
          <w:marLeft w:val="0"/>
          <w:marRight w:val="0"/>
          <w:marTop w:val="0"/>
          <w:marBottom w:val="0"/>
          <w:divBdr>
            <w:top w:val="none" w:sz="0" w:space="0" w:color="auto"/>
            <w:left w:val="none" w:sz="0" w:space="0" w:color="auto"/>
            <w:bottom w:val="none" w:sz="0" w:space="0" w:color="auto"/>
            <w:right w:val="none" w:sz="0" w:space="0" w:color="auto"/>
          </w:divBdr>
          <w:divsChild>
            <w:div w:id="227156786">
              <w:marLeft w:val="0"/>
              <w:marRight w:val="0"/>
              <w:marTop w:val="0"/>
              <w:marBottom w:val="0"/>
              <w:divBdr>
                <w:top w:val="none" w:sz="0" w:space="0" w:color="auto"/>
                <w:left w:val="none" w:sz="0" w:space="0" w:color="auto"/>
                <w:bottom w:val="none" w:sz="0" w:space="0" w:color="auto"/>
                <w:right w:val="none" w:sz="0" w:space="0" w:color="auto"/>
              </w:divBdr>
              <w:divsChild>
                <w:div w:id="1064794568">
                  <w:marLeft w:val="0"/>
                  <w:marRight w:val="0"/>
                  <w:marTop w:val="0"/>
                  <w:marBottom w:val="0"/>
                  <w:divBdr>
                    <w:top w:val="none" w:sz="0" w:space="0" w:color="auto"/>
                    <w:left w:val="none" w:sz="0" w:space="0" w:color="auto"/>
                    <w:bottom w:val="none" w:sz="0" w:space="0" w:color="auto"/>
                    <w:right w:val="none" w:sz="0" w:space="0" w:color="auto"/>
                  </w:divBdr>
                  <w:divsChild>
                    <w:div w:id="1573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655">
      <w:bodyDiv w:val="1"/>
      <w:marLeft w:val="0"/>
      <w:marRight w:val="0"/>
      <w:marTop w:val="0"/>
      <w:marBottom w:val="0"/>
      <w:divBdr>
        <w:top w:val="none" w:sz="0" w:space="0" w:color="auto"/>
        <w:left w:val="none" w:sz="0" w:space="0" w:color="auto"/>
        <w:bottom w:val="none" w:sz="0" w:space="0" w:color="auto"/>
        <w:right w:val="none" w:sz="0" w:space="0" w:color="auto"/>
      </w:divBdr>
      <w:divsChild>
        <w:div w:id="745036732">
          <w:marLeft w:val="0"/>
          <w:marRight w:val="0"/>
          <w:marTop w:val="0"/>
          <w:marBottom w:val="0"/>
          <w:divBdr>
            <w:top w:val="none" w:sz="0" w:space="0" w:color="auto"/>
            <w:left w:val="none" w:sz="0" w:space="0" w:color="auto"/>
            <w:bottom w:val="none" w:sz="0" w:space="0" w:color="auto"/>
            <w:right w:val="none" w:sz="0" w:space="0" w:color="auto"/>
          </w:divBdr>
          <w:divsChild>
            <w:div w:id="1268536367">
              <w:marLeft w:val="0"/>
              <w:marRight w:val="0"/>
              <w:marTop w:val="0"/>
              <w:marBottom w:val="0"/>
              <w:divBdr>
                <w:top w:val="none" w:sz="0" w:space="0" w:color="auto"/>
                <w:left w:val="none" w:sz="0" w:space="0" w:color="auto"/>
                <w:bottom w:val="none" w:sz="0" w:space="0" w:color="auto"/>
                <w:right w:val="none" w:sz="0" w:space="0" w:color="auto"/>
              </w:divBdr>
              <w:divsChild>
                <w:div w:id="74398616">
                  <w:marLeft w:val="0"/>
                  <w:marRight w:val="0"/>
                  <w:marTop w:val="0"/>
                  <w:marBottom w:val="0"/>
                  <w:divBdr>
                    <w:top w:val="none" w:sz="0" w:space="0" w:color="auto"/>
                    <w:left w:val="none" w:sz="0" w:space="0" w:color="auto"/>
                    <w:bottom w:val="none" w:sz="0" w:space="0" w:color="auto"/>
                    <w:right w:val="none" w:sz="0" w:space="0" w:color="auto"/>
                  </w:divBdr>
                  <w:divsChild>
                    <w:div w:id="1847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sChild>
        <w:div w:id="2146921708">
          <w:marLeft w:val="0"/>
          <w:marRight w:val="0"/>
          <w:marTop w:val="0"/>
          <w:marBottom w:val="0"/>
          <w:divBdr>
            <w:top w:val="none" w:sz="0" w:space="0" w:color="auto"/>
            <w:left w:val="none" w:sz="0" w:space="0" w:color="auto"/>
            <w:bottom w:val="none" w:sz="0" w:space="0" w:color="auto"/>
            <w:right w:val="none" w:sz="0" w:space="0" w:color="auto"/>
          </w:divBdr>
          <w:divsChild>
            <w:div w:id="1537933592">
              <w:marLeft w:val="0"/>
              <w:marRight w:val="0"/>
              <w:marTop w:val="0"/>
              <w:marBottom w:val="0"/>
              <w:divBdr>
                <w:top w:val="none" w:sz="0" w:space="0" w:color="auto"/>
                <w:left w:val="none" w:sz="0" w:space="0" w:color="auto"/>
                <w:bottom w:val="none" w:sz="0" w:space="0" w:color="auto"/>
                <w:right w:val="none" w:sz="0" w:space="0" w:color="auto"/>
              </w:divBdr>
              <w:divsChild>
                <w:div w:id="1341615564">
                  <w:marLeft w:val="0"/>
                  <w:marRight w:val="0"/>
                  <w:marTop w:val="0"/>
                  <w:marBottom w:val="0"/>
                  <w:divBdr>
                    <w:top w:val="none" w:sz="0" w:space="0" w:color="auto"/>
                    <w:left w:val="none" w:sz="0" w:space="0" w:color="auto"/>
                    <w:bottom w:val="none" w:sz="0" w:space="0" w:color="auto"/>
                    <w:right w:val="none" w:sz="0" w:space="0" w:color="auto"/>
                  </w:divBdr>
                  <w:divsChild>
                    <w:div w:id="717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2342">
      <w:bodyDiv w:val="1"/>
      <w:marLeft w:val="0"/>
      <w:marRight w:val="0"/>
      <w:marTop w:val="0"/>
      <w:marBottom w:val="0"/>
      <w:divBdr>
        <w:top w:val="none" w:sz="0" w:space="0" w:color="auto"/>
        <w:left w:val="none" w:sz="0" w:space="0" w:color="auto"/>
        <w:bottom w:val="none" w:sz="0" w:space="0" w:color="auto"/>
        <w:right w:val="none" w:sz="0" w:space="0" w:color="auto"/>
      </w:divBdr>
    </w:div>
    <w:div w:id="1490289257">
      <w:bodyDiv w:val="1"/>
      <w:marLeft w:val="0"/>
      <w:marRight w:val="0"/>
      <w:marTop w:val="0"/>
      <w:marBottom w:val="0"/>
      <w:divBdr>
        <w:top w:val="none" w:sz="0" w:space="0" w:color="auto"/>
        <w:left w:val="none" w:sz="0" w:space="0" w:color="auto"/>
        <w:bottom w:val="none" w:sz="0" w:space="0" w:color="auto"/>
        <w:right w:val="none" w:sz="0" w:space="0" w:color="auto"/>
      </w:divBdr>
    </w:div>
    <w:div w:id="1593584853">
      <w:bodyDiv w:val="1"/>
      <w:marLeft w:val="0"/>
      <w:marRight w:val="0"/>
      <w:marTop w:val="0"/>
      <w:marBottom w:val="0"/>
      <w:divBdr>
        <w:top w:val="none" w:sz="0" w:space="0" w:color="auto"/>
        <w:left w:val="none" w:sz="0" w:space="0" w:color="auto"/>
        <w:bottom w:val="none" w:sz="0" w:space="0" w:color="auto"/>
        <w:right w:val="none" w:sz="0" w:space="0" w:color="auto"/>
      </w:divBdr>
    </w:div>
    <w:div w:id="1988363525">
      <w:bodyDiv w:val="1"/>
      <w:marLeft w:val="0"/>
      <w:marRight w:val="0"/>
      <w:marTop w:val="0"/>
      <w:marBottom w:val="0"/>
      <w:divBdr>
        <w:top w:val="none" w:sz="0" w:space="0" w:color="auto"/>
        <w:left w:val="none" w:sz="0" w:space="0" w:color="auto"/>
        <w:bottom w:val="none" w:sz="0" w:space="0" w:color="auto"/>
        <w:right w:val="none" w:sz="0" w:space="0" w:color="auto"/>
      </w:divBdr>
    </w:div>
    <w:div w:id="2004970587">
      <w:bodyDiv w:val="1"/>
      <w:marLeft w:val="0"/>
      <w:marRight w:val="0"/>
      <w:marTop w:val="0"/>
      <w:marBottom w:val="0"/>
      <w:divBdr>
        <w:top w:val="none" w:sz="0" w:space="0" w:color="auto"/>
        <w:left w:val="none" w:sz="0" w:space="0" w:color="auto"/>
        <w:bottom w:val="none" w:sz="0" w:space="0" w:color="auto"/>
        <w:right w:val="none" w:sz="0" w:space="0" w:color="auto"/>
      </w:divBdr>
    </w:div>
    <w:div w:id="2019847460">
      <w:bodyDiv w:val="1"/>
      <w:marLeft w:val="0"/>
      <w:marRight w:val="0"/>
      <w:marTop w:val="0"/>
      <w:marBottom w:val="0"/>
      <w:divBdr>
        <w:top w:val="none" w:sz="0" w:space="0" w:color="auto"/>
        <w:left w:val="none" w:sz="0" w:space="0" w:color="auto"/>
        <w:bottom w:val="none" w:sz="0" w:space="0" w:color="auto"/>
        <w:right w:val="none" w:sz="0" w:space="0" w:color="auto"/>
      </w:divBdr>
      <w:divsChild>
        <w:div w:id="448597417">
          <w:marLeft w:val="0"/>
          <w:marRight w:val="0"/>
          <w:marTop w:val="0"/>
          <w:marBottom w:val="0"/>
          <w:divBdr>
            <w:top w:val="none" w:sz="0" w:space="0" w:color="auto"/>
            <w:left w:val="none" w:sz="0" w:space="0" w:color="auto"/>
            <w:bottom w:val="none" w:sz="0" w:space="0" w:color="auto"/>
            <w:right w:val="none" w:sz="0" w:space="0" w:color="auto"/>
          </w:divBdr>
        </w:div>
        <w:div w:id="455831575">
          <w:marLeft w:val="0"/>
          <w:marRight w:val="0"/>
          <w:marTop w:val="0"/>
          <w:marBottom w:val="0"/>
          <w:divBdr>
            <w:top w:val="none" w:sz="0" w:space="0" w:color="auto"/>
            <w:left w:val="none" w:sz="0" w:space="0" w:color="auto"/>
            <w:bottom w:val="none" w:sz="0" w:space="0" w:color="auto"/>
            <w:right w:val="none" w:sz="0" w:space="0" w:color="auto"/>
          </w:divBdr>
        </w:div>
        <w:div w:id="1269894682">
          <w:marLeft w:val="0"/>
          <w:marRight w:val="0"/>
          <w:marTop w:val="0"/>
          <w:marBottom w:val="0"/>
          <w:divBdr>
            <w:top w:val="none" w:sz="0" w:space="0" w:color="auto"/>
            <w:left w:val="none" w:sz="0" w:space="0" w:color="auto"/>
            <w:bottom w:val="none" w:sz="0" w:space="0" w:color="auto"/>
            <w:right w:val="none" w:sz="0" w:space="0" w:color="auto"/>
          </w:divBdr>
        </w:div>
      </w:divsChild>
    </w:div>
    <w:div w:id="2101414878">
      <w:bodyDiv w:val="1"/>
      <w:marLeft w:val="0"/>
      <w:marRight w:val="0"/>
      <w:marTop w:val="0"/>
      <w:marBottom w:val="0"/>
      <w:divBdr>
        <w:top w:val="none" w:sz="0" w:space="0" w:color="auto"/>
        <w:left w:val="none" w:sz="0" w:space="0" w:color="auto"/>
        <w:bottom w:val="none" w:sz="0" w:space="0" w:color="auto"/>
        <w:right w:val="none" w:sz="0" w:space="0" w:color="auto"/>
      </w:divBdr>
      <w:divsChild>
        <w:div w:id="291139575">
          <w:marLeft w:val="0"/>
          <w:marRight w:val="0"/>
          <w:marTop w:val="0"/>
          <w:marBottom w:val="0"/>
          <w:divBdr>
            <w:top w:val="none" w:sz="0" w:space="0" w:color="auto"/>
            <w:left w:val="none" w:sz="0" w:space="0" w:color="auto"/>
            <w:bottom w:val="none" w:sz="0" w:space="0" w:color="auto"/>
            <w:right w:val="none" w:sz="0" w:space="0" w:color="auto"/>
          </w:divBdr>
          <w:divsChild>
            <w:div w:id="517699923">
              <w:marLeft w:val="0"/>
              <w:marRight w:val="0"/>
              <w:marTop w:val="0"/>
              <w:marBottom w:val="0"/>
              <w:divBdr>
                <w:top w:val="none" w:sz="0" w:space="0" w:color="auto"/>
                <w:left w:val="none" w:sz="0" w:space="0" w:color="auto"/>
                <w:bottom w:val="none" w:sz="0" w:space="0" w:color="auto"/>
                <w:right w:val="none" w:sz="0" w:space="0" w:color="auto"/>
              </w:divBdr>
              <w:divsChild>
                <w:div w:id="1908346715">
                  <w:marLeft w:val="0"/>
                  <w:marRight w:val="0"/>
                  <w:marTop w:val="0"/>
                  <w:marBottom w:val="0"/>
                  <w:divBdr>
                    <w:top w:val="none" w:sz="0" w:space="0" w:color="auto"/>
                    <w:left w:val="none" w:sz="0" w:space="0" w:color="auto"/>
                    <w:bottom w:val="none" w:sz="0" w:space="0" w:color="auto"/>
                    <w:right w:val="none" w:sz="0" w:space="0" w:color="auto"/>
                  </w:divBdr>
                  <w:divsChild>
                    <w:div w:id="1186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edia.net/case/5923" TargetMode="External"/><Relationship Id="rId13" Type="http://schemas.openxmlformats.org/officeDocument/2006/relationships/hyperlink" Target="https://participedia.net/case/5" TargetMode="External"/><Relationship Id="rId18" Type="http://schemas.openxmlformats.org/officeDocument/2006/relationships/hyperlink" Target="https://participedia.net/case/5937"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doi.org/10.7910/DVN/6OKNOY" TargetMode="External"/><Relationship Id="rId7" Type="http://schemas.openxmlformats.org/officeDocument/2006/relationships/endnotes" Target="endnotes.xml"/><Relationship Id="rId12" Type="http://schemas.openxmlformats.org/officeDocument/2006/relationships/hyperlink" Target="https://participedia.net/case/5968" TargetMode="External"/><Relationship Id="rId17" Type="http://schemas.openxmlformats.org/officeDocument/2006/relationships/hyperlink" Target="https://participedia.net/case/5928"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participedia.net/case/5924" TargetMode="External"/><Relationship Id="rId20" Type="http://schemas.openxmlformats.org/officeDocument/2006/relationships/hyperlink" Target="https://participedia.net/case/76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ticipedia.net/case/5970"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participedia.net/case/4429" TargetMode="Externa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hyperlink" Target="https://participedia.net/case/27" TargetMode="External"/><Relationship Id="rId19" Type="http://schemas.openxmlformats.org/officeDocument/2006/relationships/hyperlink" Target="https://participedia.net/case/8017" TargetMode="External"/><Relationship Id="rId4" Type="http://schemas.openxmlformats.org/officeDocument/2006/relationships/settings" Target="settings.xml"/><Relationship Id="rId9" Type="http://schemas.openxmlformats.org/officeDocument/2006/relationships/hyperlink" Target="https://participedia.net/case/38" TargetMode="External"/><Relationship Id="rId14" Type="http://schemas.openxmlformats.org/officeDocument/2006/relationships/hyperlink" Target="https://participedia.net/case/5975" TargetMode="External"/><Relationship Id="rId22" Type="http://schemas.openxmlformats.org/officeDocument/2006/relationships/hyperlink" Target="https://doi.org/10.7910/DVN/6OKNOY"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2_1\OneDrive%20-%20University%20of%20Canberra\Deliberative%20Reasoning1\Papers\3.%20DRI%20Findings%20Paper\Online%20Appendi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21F9-96A7-4F35-B7BE-35234BDE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C:\Users\Simon2_1\OneDrive - University of Canberra\Deliberative Reasoning1\Papers\3. DRI Findings Paper\Online Appendix TEMPLATE.dotx</Template>
  <TotalTime>0</TotalTime>
  <Pages>27</Pages>
  <Words>6497</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43444</CharactersWithSpaces>
  <SharedDoc>false</SharedDoc>
  <HLinks>
    <vt:vector size="96" baseType="variant">
      <vt:variant>
        <vt:i4>3080313</vt:i4>
      </vt:variant>
      <vt:variant>
        <vt:i4>267</vt:i4>
      </vt:variant>
      <vt:variant>
        <vt:i4>0</vt:i4>
      </vt:variant>
      <vt:variant>
        <vt:i4>5</vt:i4>
      </vt:variant>
      <vt:variant>
        <vt:lpwstr>about:blank</vt:lpwstr>
      </vt:variant>
      <vt:variant>
        <vt:lpwstr/>
      </vt:variant>
      <vt:variant>
        <vt:i4>3473515</vt:i4>
      </vt:variant>
      <vt:variant>
        <vt:i4>78</vt:i4>
      </vt:variant>
      <vt:variant>
        <vt:i4>0</vt:i4>
      </vt:variant>
      <vt:variant>
        <vt:i4>5</vt:i4>
      </vt:variant>
      <vt:variant>
        <vt:lpwstr>https://doi.org/10.7910/DVN/6OKNOY</vt:lpwstr>
      </vt:variant>
      <vt:variant>
        <vt:lpwstr/>
      </vt:variant>
      <vt:variant>
        <vt:i4>3473515</vt:i4>
      </vt:variant>
      <vt:variant>
        <vt:i4>60</vt:i4>
      </vt:variant>
      <vt:variant>
        <vt:i4>0</vt:i4>
      </vt:variant>
      <vt:variant>
        <vt:i4>5</vt:i4>
      </vt:variant>
      <vt:variant>
        <vt:lpwstr>https://doi.org/10.7910/DVN/6OKNOY</vt:lpwstr>
      </vt:variant>
      <vt:variant>
        <vt:lpwstr/>
      </vt:variant>
      <vt:variant>
        <vt:i4>3211311</vt:i4>
      </vt:variant>
      <vt:variant>
        <vt:i4>57</vt:i4>
      </vt:variant>
      <vt:variant>
        <vt:i4>0</vt:i4>
      </vt:variant>
      <vt:variant>
        <vt:i4>5</vt:i4>
      </vt:variant>
      <vt:variant>
        <vt:lpwstr>https://participedia.net/case/7660</vt:lpwstr>
      </vt:variant>
      <vt:variant>
        <vt:lpwstr/>
      </vt:variant>
      <vt:variant>
        <vt:i4>3145767</vt:i4>
      </vt:variant>
      <vt:variant>
        <vt:i4>54</vt:i4>
      </vt:variant>
      <vt:variant>
        <vt:i4>0</vt:i4>
      </vt:variant>
      <vt:variant>
        <vt:i4>5</vt:i4>
      </vt:variant>
      <vt:variant>
        <vt:lpwstr>https://participedia.net/case/8017</vt:lpwstr>
      </vt:variant>
      <vt:variant>
        <vt:lpwstr/>
      </vt:variant>
      <vt:variant>
        <vt:i4>3735592</vt:i4>
      </vt:variant>
      <vt:variant>
        <vt:i4>51</vt:i4>
      </vt:variant>
      <vt:variant>
        <vt:i4>0</vt:i4>
      </vt:variant>
      <vt:variant>
        <vt:i4>5</vt:i4>
      </vt:variant>
      <vt:variant>
        <vt:lpwstr>https://participedia.net/case/5937</vt:lpwstr>
      </vt:variant>
      <vt:variant>
        <vt:lpwstr/>
      </vt:variant>
      <vt:variant>
        <vt:i4>3538985</vt:i4>
      </vt:variant>
      <vt:variant>
        <vt:i4>48</vt:i4>
      </vt:variant>
      <vt:variant>
        <vt:i4>0</vt:i4>
      </vt:variant>
      <vt:variant>
        <vt:i4>5</vt:i4>
      </vt:variant>
      <vt:variant>
        <vt:lpwstr>https://participedia.net/case/5928</vt:lpwstr>
      </vt:variant>
      <vt:variant>
        <vt:lpwstr/>
      </vt:variant>
      <vt:variant>
        <vt:i4>3801129</vt:i4>
      </vt:variant>
      <vt:variant>
        <vt:i4>45</vt:i4>
      </vt:variant>
      <vt:variant>
        <vt:i4>0</vt:i4>
      </vt:variant>
      <vt:variant>
        <vt:i4>5</vt:i4>
      </vt:variant>
      <vt:variant>
        <vt:lpwstr>https://participedia.net/case/5924</vt:lpwstr>
      </vt:variant>
      <vt:variant>
        <vt:lpwstr/>
      </vt:variant>
      <vt:variant>
        <vt:i4>3801128</vt:i4>
      </vt:variant>
      <vt:variant>
        <vt:i4>42</vt:i4>
      </vt:variant>
      <vt:variant>
        <vt:i4>0</vt:i4>
      </vt:variant>
      <vt:variant>
        <vt:i4>5</vt:i4>
      </vt:variant>
      <vt:variant>
        <vt:lpwstr>https://participedia.net/case/4429</vt:lpwstr>
      </vt:variant>
      <vt:variant>
        <vt:lpwstr/>
      </vt:variant>
      <vt:variant>
        <vt:i4>3866668</vt:i4>
      </vt:variant>
      <vt:variant>
        <vt:i4>39</vt:i4>
      </vt:variant>
      <vt:variant>
        <vt:i4>0</vt:i4>
      </vt:variant>
      <vt:variant>
        <vt:i4>5</vt:i4>
      </vt:variant>
      <vt:variant>
        <vt:lpwstr>https://participedia.net/case/5975</vt:lpwstr>
      </vt:variant>
      <vt:variant>
        <vt:lpwstr/>
      </vt:variant>
      <vt:variant>
        <vt:i4>3604526</vt:i4>
      </vt:variant>
      <vt:variant>
        <vt:i4>36</vt:i4>
      </vt:variant>
      <vt:variant>
        <vt:i4>0</vt:i4>
      </vt:variant>
      <vt:variant>
        <vt:i4>5</vt:i4>
      </vt:variant>
      <vt:variant>
        <vt:lpwstr>https://participedia.net/case/5</vt:lpwstr>
      </vt:variant>
      <vt:variant>
        <vt:lpwstr/>
      </vt:variant>
      <vt:variant>
        <vt:i4>3538989</vt:i4>
      </vt:variant>
      <vt:variant>
        <vt:i4>33</vt:i4>
      </vt:variant>
      <vt:variant>
        <vt:i4>0</vt:i4>
      </vt:variant>
      <vt:variant>
        <vt:i4>5</vt:i4>
      </vt:variant>
      <vt:variant>
        <vt:lpwstr>https://participedia.net/case/5968</vt:lpwstr>
      </vt:variant>
      <vt:variant>
        <vt:lpwstr/>
      </vt:variant>
      <vt:variant>
        <vt:i4>4063276</vt:i4>
      </vt:variant>
      <vt:variant>
        <vt:i4>30</vt:i4>
      </vt:variant>
      <vt:variant>
        <vt:i4>0</vt:i4>
      </vt:variant>
      <vt:variant>
        <vt:i4>5</vt:i4>
      </vt:variant>
      <vt:variant>
        <vt:lpwstr>https://participedia.net/case/5970</vt:lpwstr>
      </vt:variant>
      <vt:variant>
        <vt:lpwstr/>
      </vt:variant>
      <vt:variant>
        <vt:i4>28</vt:i4>
      </vt:variant>
      <vt:variant>
        <vt:i4>27</vt:i4>
      </vt:variant>
      <vt:variant>
        <vt:i4>0</vt:i4>
      </vt:variant>
      <vt:variant>
        <vt:i4>5</vt:i4>
      </vt:variant>
      <vt:variant>
        <vt:lpwstr>https://participedia.net/case/27</vt:lpwstr>
      </vt:variant>
      <vt:variant>
        <vt:lpwstr/>
      </vt:variant>
      <vt:variant>
        <vt:i4>983069</vt:i4>
      </vt:variant>
      <vt:variant>
        <vt:i4>24</vt:i4>
      </vt:variant>
      <vt:variant>
        <vt:i4>0</vt:i4>
      </vt:variant>
      <vt:variant>
        <vt:i4>5</vt:i4>
      </vt:variant>
      <vt:variant>
        <vt:lpwstr>https://participedia.net/case/38</vt:lpwstr>
      </vt:variant>
      <vt:variant>
        <vt:lpwstr/>
      </vt:variant>
      <vt:variant>
        <vt:i4>3997737</vt:i4>
      </vt:variant>
      <vt:variant>
        <vt:i4>21</vt:i4>
      </vt:variant>
      <vt:variant>
        <vt:i4>0</vt:i4>
      </vt:variant>
      <vt:variant>
        <vt:i4>5</vt:i4>
      </vt:variant>
      <vt:variant>
        <vt:lpwstr>https://participedia.net/case/5923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Simon.Niemeyer</dc:creator>
  <cp:keywords/>
  <dc:description/>
  <cp:lastModifiedBy>Simon.Niemeyer</cp:lastModifiedBy>
  <cp:revision>2</cp:revision>
  <cp:lastPrinted>2022-10-20T05:12:00Z</cp:lastPrinted>
  <dcterms:created xsi:type="dcterms:W3CDTF">2023-01-09T07:39:00Z</dcterms:created>
  <dcterms:modified xsi:type="dcterms:W3CDTF">2023-01-09T07:39:00Z</dcterms:modified>
</cp:coreProperties>
</file>