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19" w:rsidRPr="008B1919" w:rsidRDefault="008B1919" w:rsidP="008B191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bien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arqueología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diáspora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 </w:t>
      </w:r>
      <w:proofErr w:type="gram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gram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siglo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diecinueve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un campo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consolidado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aún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carece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estudios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sobre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las villas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migrantes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chinos.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prospección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realizada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sz w:val="24"/>
          <w:szCs w:val="24"/>
        </w:rPr>
        <w:t>qiaoxiang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(villa de </w:t>
      </w:r>
      <w:proofErr w:type="spellStart"/>
      <w:proofErr w:type="gram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origen</w:t>
      </w:r>
      <w:proofErr w:type="spellEnd"/>
      <w:proofErr w:type="gram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ubicada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desembocadura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del Río de 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Perlas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proporciona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primera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vez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evidencia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arqueológica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procedente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villa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originaria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migrantes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chinos.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Análisis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comparativos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transnacionales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colecciones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recuperadas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asentamientos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producto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diáspora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revelan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diferencias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muy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marcadas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entre las villas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originarias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asentamientos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chinos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el exterior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cuanto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proofErr w:type="gram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uso</w:t>
      </w:r>
      <w:proofErr w:type="spellEnd"/>
      <w:proofErr w:type="gram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bienes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manufacturados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China. Los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residentes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sz w:val="24"/>
          <w:szCs w:val="24"/>
        </w:rPr>
        <w:t>qiaoxiang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usaban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principalmente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cerámica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producida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localmente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mientras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residentes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asentamientos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diáspora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utilizaban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cerámica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producida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Gaobei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y Jingdezhen,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centros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principales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cerámica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localizados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noreste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provincia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Guangdong y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provincia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Jiangxi,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cientos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kilómetros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norte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Adicionalmente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pobladores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sz w:val="24"/>
          <w:szCs w:val="24"/>
        </w:rPr>
        <w:t>qiaoxiang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estuvieron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involucrados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redes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globales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consumo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utilizar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lozas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refinadas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británicas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otros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proofErr w:type="gram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origen</w:t>
      </w:r>
      <w:proofErr w:type="spellEnd"/>
      <w:proofErr w:type="gram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europeo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norteamericano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Estos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hallazgos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contraponen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creencia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común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investigaciones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referentes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diáspora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china, que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aquellos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productos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elaborados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las villas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migrantes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son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evidencia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tradición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mientras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aquellos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manufacturados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países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adoptados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bookmarkStart w:id="0" w:name="_GoBack"/>
      <w:bookmarkEnd w:id="0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igrantes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son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evidencia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cambio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cultural.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contrario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resultados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investigación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arqueológica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sz w:val="24"/>
          <w:szCs w:val="24"/>
        </w:rPr>
        <w:t>qiaoxiang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muestran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importancia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actores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estatales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especial de 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compañías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importación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exportación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transformación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gram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mundo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material,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tanto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las villas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originarias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como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comunidades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producto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diáspora</w:t>
      </w:r>
      <w:proofErr w:type="spellEnd"/>
      <w:r w:rsidRPr="008B191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733B0" w:rsidRDefault="008B1919"/>
    <w:sectPr w:rsidR="006733B0" w:rsidSect="0091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B"/>
    <w:rsid w:val="00343451"/>
    <w:rsid w:val="004F6156"/>
    <w:rsid w:val="0055767B"/>
    <w:rsid w:val="008B1919"/>
    <w:rsid w:val="009117C1"/>
    <w:rsid w:val="00C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838"/>
  <w15:chartTrackingRefBased/>
  <w15:docId w15:val="{87B87E9D-2605-A34E-A293-3E86209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7B"/>
    <w:pPr>
      <w:spacing w:after="160" w:line="259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L. Kelly</dc:creator>
  <cp:keywords/>
  <dc:description/>
  <cp:lastModifiedBy>Julia Musha</cp:lastModifiedBy>
  <cp:revision>2</cp:revision>
  <dcterms:created xsi:type="dcterms:W3CDTF">2018-02-20T14:17:00Z</dcterms:created>
  <dcterms:modified xsi:type="dcterms:W3CDTF">2018-04-03T12:55:00Z</dcterms:modified>
</cp:coreProperties>
</file>