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1046" w14:textId="483806CA" w:rsidR="00AD67E7" w:rsidRPr="00C206EE" w:rsidRDefault="00D468F1" w:rsidP="00D468F1">
      <w:pPr>
        <w:spacing w:after="240" w:line="360" w:lineRule="auto"/>
        <w:rPr>
          <w:rFonts w:asciiTheme="majorBidi" w:hAnsiTheme="majorBidi" w:cstheme="majorBidi"/>
          <w:color w:val="000000"/>
          <w:sz w:val="24"/>
          <w:szCs w:val="24"/>
          <w:lang w:val="pt-PT"/>
        </w:rPr>
      </w:pPr>
      <w:r w:rsidRPr="00C206EE">
        <w:rPr>
          <w:rFonts w:ascii="Times New Roman" w:hAnsi="Times New Roman" w:cs="Times New Roman"/>
          <w:color w:val="000000"/>
          <w:sz w:val="24"/>
          <w:szCs w:val="24"/>
          <w:lang w:val="en-GB"/>
        </w:rPr>
        <w:t>Erin Pettigrew</w:t>
      </w:r>
      <w:r w:rsidRPr="00C206EE">
        <w:rPr>
          <w:rFonts w:ascii="Times New Roman" w:hAnsi="Times New Roman" w:cs="Times New Roman"/>
          <w:smallCaps/>
          <w:color w:val="000000"/>
          <w:sz w:val="24"/>
          <w:szCs w:val="24"/>
          <w:lang w:val="en-GB"/>
        </w:rPr>
        <w:t xml:space="preserve">, </w:t>
      </w:r>
      <w:r w:rsidRPr="00C206EE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Invoking the Invisible in the Sahara: Islam, Spiritual Mediation, and Social Change</w:t>
      </w:r>
      <w:r w:rsidRPr="00C206EE">
        <w:rPr>
          <w:rFonts w:ascii="Times New Roman" w:hAnsi="Times New Roman" w:cs="Times New Roman"/>
          <w:color w:val="000000"/>
          <w:sz w:val="24"/>
          <w:szCs w:val="24"/>
          <w:lang w:val="en-GB"/>
        </w:rPr>
        <w:t>. Cambridge: Cambridge University Press (hb £9</w:t>
      </w:r>
      <w:r w:rsidRPr="00C206EE" w:rsidDel="00885829">
        <w:rPr>
          <w:rFonts w:ascii="Times New Roman" w:hAnsi="Times New Roman" w:cs="Times New Roman"/>
          <w:color w:val="000000"/>
          <w:sz w:val="24"/>
          <w:szCs w:val="24"/>
          <w:lang w:val="en-GB"/>
        </w:rPr>
        <w:t>0</w:t>
      </w:r>
      <w:r w:rsidRPr="00C206E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978 </w:t>
      </w:r>
      <w:r w:rsidRPr="00C206EE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  <w:lang w:val="en-GB"/>
        </w:rPr>
        <w:t>1 009 22461 1</w:t>
      </w:r>
      <w:r w:rsidRPr="00C206EE">
        <w:rPr>
          <w:rFonts w:ascii="Times New Roman" w:hAnsi="Times New Roman" w:cs="Times New Roman"/>
          <w:color w:val="000000"/>
          <w:sz w:val="24"/>
          <w:szCs w:val="24"/>
          <w:lang w:val="en-GB"/>
        </w:rPr>
        <w:t>). 2023, ccclxviii + 368 pp.</w:t>
      </w:r>
    </w:p>
    <w:p w14:paraId="79E98354" w14:textId="6DFC6140" w:rsidR="00AD67E7" w:rsidRPr="00C206EE" w:rsidRDefault="00AD67E7" w:rsidP="00D468F1">
      <w:pPr>
        <w:spacing w:after="240" w:line="360" w:lineRule="auto"/>
        <w:rPr>
          <w:rFonts w:asciiTheme="majorBidi" w:hAnsiTheme="majorBidi" w:cstheme="majorBidi"/>
          <w:sz w:val="24"/>
          <w:szCs w:val="24"/>
          <w:lang w:val="pt-PT"/>
        </w:rPr>
      </w:pP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Este livro da historiadora Erin Pettigrew é um contributo bem-vindo para a compreensão das práticas esotéricas </w:t>
      </w:r>
      <w:r w:rsidR="00132003" w:rsidRPr="00C206EE">
        <w:rPr>
          <w:rFonts w:asciiTheme="majorBidi" w:hAnsiTheme="majorBidi" w:cstheme="majorBidi"/>
          <w:sz w:val="24"/>
          <w:szCs w:val="24"/>
          <w:lang w:val="pt-PT"/>
        </w:rPr>
        <w:t>–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autorizadas (</w:t>
      </w:r>
      <w:r w:rsidRPr="00C206EE">
        <w:rPr>
          <w:rFonts w:asciiTheme="majorBidi" w:hAnsiTheme="majorBidi" w:cstheme="majorBidi"/>
          <w:i/>
          <w:iCs/>
          <w:sz w:val="24"/>
          <w:szCs w:val="24"/>
          <w:lang w:val="pt-PT"/>
        </w:rPr>
        <w:t>ḥjāb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) e 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‘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ilícitas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’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(</w:t>
      </w:r>
      <w:r w:rsidRPr="00C206EE">
        <w:rPr>
          <w:rFonts w:asciiTheme="majorBidi" w:hAnsiTheme="majorBidi" w:cstheme="majorBidi"/>
          <w:i/>
          <w:iCs/>
          <w:sz w:val="24"/>
          <w:szCs w:val="24"/>
          <w:lang w:val="pt-PT"/>
        </w:rPr>
        <w:t>siḥr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 xml:space="preserve">) </w:t>
      </w:r>
      <w:r w:rsidR="00132003" w:rsidRPr="00C206EE">
        <w:rPr>
          <w:rFonts w:asciiTheme="majorBidi" w:hAnsiTheme="majorBidi" w:cstheme="majorBidi"/>
          <w:sz w:val="24"/>
          <w:szCs w:val="24"/>
          <w:lang w:val="pt-PT"/>
        </w:rPr>
        <w:t>–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 xml:space="preserve"> d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o Ocidente saariano, aqui identificadas em estreita associação com as tradições islâmicas profundamente enraizadas nesta região. Devido à complexidade da tessitura social e história multifacetada da região, este estudo baseia-se principalmente em métodos etnográficos. 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>A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aproximação entre antropologia e história, já testada por outros autores, é digna de nota. Embora a região seja muitas vezes descrita como um importante centro de fontes escritas em língua árabe, muitos dos interlocutores não têm educação formal e o acesso a fontes escritas, num contexto maioritariamente pós-nómada, é 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 xml:space="preserve">bastante 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limitado. O trabalho de E. Pettigrew procura 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 xml:space="preserve">assim 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ultrapassar divisões disciplinares, a fim de considerar analiticamente um cenário africano complexo, fazendo, ao mesmo tempo, uma importante afirmação em termos metodológicos.</w:t>
      </w:r>
    </w:p>
    <w:p w14:paraId="0E601B4A" w14:textId="7C952616" w:rsidR="00AD67E7" w:rsidRPr="00C206EE" w:rsidRDefault="00AD67E7" w:rsidP="00D468F1">
      <w:pPr>
        <w:spacing w:after="240" w:line="360" w:lineRule="auto"/>
        <w:rPr>
          <w:rFonts w:asciiTheme="majorBidi" w:hAnsiTheme="majorBidi" w:cstheme="majorBidi"/>
          <w:sz w:val="24"/>
          <w:szCs w:val="24"/>
          <w:lang w:val="pt-PT"/>
        </w:rPr>
      </w:pP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O livro cobre eficazmente os temas centrais da cultura islâmica neste contexto: as escolas de jurisprudência islâmica (nomeadamente a escola Maliquita), o sufismo, as tendências reformistas e a multiplicidade de sábios religiosos e outros autores que definiram a ampla incorporação 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>do Sara no mundo muçulmano. Contudo,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adesão a tradições islâmicas 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‘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legítimas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’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é aqui debatida através de um outro corpus de conhecimento que também influenciou significativamente as experiências quotidianas no Sara, um corpus que, segundo a autora, tem sido frequentemente ignorado e visto o seu lugar negado na escrita académica associada à história da região: 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‘“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the unbelieved,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”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the 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“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unseen,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”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the 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“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unknown,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”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’ the 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“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‘supernatural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”’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(p.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 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4). Ao incorporar estes aspectos no seu projeto, Pettigrew defende a utilização de conhecimentos esotéricos como um marcador fundamental na definição de certas identidades de grupo, nomeadamente entre os </w:t>
      </w:r>
      <w:r w:rsidRPr="00C206EE">
        <w:rPr>
          <w:rFonts w:asciiTheme="majorBidi" w:hAnsiTheme="majorBidi" w:cstheme="majorBidi"/>
          <w:i/>
          <w:iCs/>
          <w:sz w:val="24"/>
          <w:szCs w:val="24"/>
          <w:lang w:val="pt-PT"/>
        </w:rPr>
        <w:t>zwāya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(grupos de estatuto clerical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>) d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a margem norte do rio Senegal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>,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e os seus homólogos Fulbe, os </w:t>
      </w:r>
      <w:r w:rsidRPr="00C206EE">
        <w:rPr>
          <w:rFonts w:asciiTheme="majorBidi" w:hAnsiTheme="majorBidi" w:cstheme="majorBidi"/>
          <w:i/>
          <w:iCs/>
          <w:sz w:val="24"/>
          <w:szCs w:val="24"/>
          <w:lang w:val="pt-PT"/>
        </w:rPr>
        <w:t>torodbe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, dispersos ao longo de todo o Sahel ocidental. O papel desempenhado por estes actores nos processos educativos e na gestão quotidiana dos rituais islâmicos, aliados a um domínio do saber esotérico, marcou profundamente a vida das populações do Sara. De acordo com a autora, só no século XIX é que a licitude destes domínios esotéricos foi efetivamente questionada e criticamente examinada (pp.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 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94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–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106), assim como os critérios que justificavam os papéis sociais 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lastRenderedPageBreak/>
        <w:t>heredit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 xml:space="preserve">ariamente reconhecidos a 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certos grupos (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 xml:space="preserve">precisamente 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através da sua familiaridade com estas 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‘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ciências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’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).</w:t>
      </w:r>
    </w:p>
    <w:p w14:paraId="18039D68" w14:textId="6D6796A5" w:rsidR="00AD67E7" w:rsidRPr="00C206EE" w:rsidRDefault="00AD67E7" w:rsidP="00D468F1">
      <w:pPr>
        <w:spacing w:after="240" w:line="360" w:lineRule="auto"/>
        <w:rPr>
          <w:rFonts w:asciiTheme="majorBidi" w:hAnsiTheme="majorBidi" w:cstheme="majorBidi"/>
          <w:sz w:val="24"/>
          <w:szCs w:val="24"/>
          <w:lang w:val="pt-PT"/>
        </w:rPr>
      </w:pP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O livro divide-se em três partes principais, cada uma composta por dois capítulos. Na primeira parte, </w:t>
      </w:r>
      <w:r w:rsidR="00D468F1"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>‘</w:t>
      </w:r>
      <w:r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 xml:space="preserve">Knowledge and </w:t>
      </w:r>
      <w:r w:rsidR="004E70D9"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>authority in precolonial contexts’</w:t>
      </w:r>
      <w:r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>,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a autora começa por contextualizar a história pré-colonial da região. Uma importante segunda parte, </w:t>
      </w:r>
      <w:r w:rsidR="00D468F1"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>‘</w:t>
      </w:r>
      <w:r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 xml:space="preserve">Rupture, </w:t>
      </w:r>
      <w:r w:rsidR="004E70D9"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 xml:space="preserve">consonance, and innovation in colonial and postcolonial </w:t>
      </w:r>
      <w:r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>Mauritania</w:t>
      </w:r>
      <w:r w:rsidR="00D468F1"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>’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, centra-se nos modernos períodos colonial e pós-colonial (século XX), debatendo o significado das práticas islâmicas relacionadas com o </w:t>
      </w:r>
      <w:r w:rsidRPr="00C206EE">
        <w:rPr>
          <w:rFonts w:asciiTheme="majorBidi" w:hAnsiTheme="majorBidi" w:cstheme="majorBidi"/>
          <w:i/>
          <w:iCs/>
          <w:sz w:val="24"/>
          <w:szCs w:val="24"/>
          <w:lang w:val="pt-PT"/>
        </w:rPr>
        <w:t>ḥjāb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para diferentes lideranças políticas (desde os governantes ou emires tradicionais, aos administradores coloniais franceses e aos líderes da Mauritânia independente). Esta segunda parte do livro conclui-se com a análise de um vívido debate televisivo em Nouakchott sobre os méritos e a legalidade do </w:t>
      </w:r>
      <w:r w:rsidRPr="00C206EE">
        <w:rPr>
          <w:rFonts w:asciiTheme="majorBidi" w:hAnsiTheme="majorBidi" w:cstheme="majorBidi"/>
          <w:i/>
          <w:iCs/>
          <w:sz w:val="24"/>
          <w:szCs w:val="24"/>
          <w:lang w:val="pt-PT"/>
        </w:rPr>
        <w:t>ḥjāb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. Na terceira parte, </w:t>
      </w:r>
      <w:r w:rsidR="00D468F1"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>‘</w:t>
      </w:r>
      <w:r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 xml:space="preserve">Articulating </w:t>
      </w:r>
      <w:r w:rsidR="004E70D9"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>race, gender, and social difference through the esoteric sciences’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, a autora oferece-nos um capítulo sobre a prática exclusivamente sariana do </w:t>
      </w:r>
      <w:r w:rsidRPr="00C206EE">
        <w:rPr>
          <w:rFonts w:asciiTheme="majorBidi" w:hAnsiTheme="majorBidi" w:cstheme="majorBidi"/>
          <w:i/>
          <w:iCs/>
          <w:sz w:val="24"/>
          <w:szCs w:val="24"/>
          <w:lang w:val="pt-PT"/>
        </w:rPr>
        <w:t>sell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(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‘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bloodsucking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’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), considerada como particularmente nefasta, </w:t>
      </w:r>
      <w:r w:rsidR="00C32FD6" w:rsidRPr="00C206EE">
        <w:rPr>
          <w:rFonts w:asciiTheme="majorBidi" w:hAnsiTheme="majorBidi" w:cstheme="majorBidi"/>
          <w:sz w:val="24"/>
          <w:szCs w:val="24"/>
          <w:lang w:val="pt-PT"/>
        </w:rPr>
        <w:t xml:space="preserve">e 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só podendo ser combatida através do mais benigno </w:t>
      </w:r>
      <w:r w:rsidRPr="00C206EE">
        <w:rPr>
          <w:rFonts w:asciiTheme="majorBidi" w:hAnsiTheme="majorBidi" w:cstheme="majorBidi"/>
          <w:i/>
          <w:iCs/>
          <w:sz w:val="24"/>
          <w:szCs w:val="24"/>
          <w:lang w:val="pt-PT"/>
        </w:rPr>
        <w:t>ḥjāb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(rotulado como 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‘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islâmico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’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). Através da análise desta prática, Pettigrew argumenta sobre as noções de 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‘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raça, hierarquia social e pertença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’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(p.</w:t>
      </w:r>
      <w:r w:rsidR="004E70D9" w:rsidRPr="00C206EE">
        <w:rPr>
          <w:rFonts w:asciiTheme="majorBidi" w:hAnsiTheme="majorBidi" w:cstheme="majorBidi"/>
          <w:sz w:val="24"/>
          <w:szCs w:val="24"/>
          <w:lang w:val="pt-PT"/>
        </w:rPr>
        <w:t> 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197), ligando diferentes práticas esotéricas ao complexo ordenamento social da região. Esta secção, particularmente bem construída e pesquisada (pp.</w:t>
      </w:r>
      <w:r w:rsidR="004E70D9" w:rsidRPr="00C206EE">
        <w:rPr>
          <w:rFonts w:asciiTheme="majorBidi" w:hAnsiTheme="majorBidi" w:cstheme="majorBidi"/>
          <w:sz w:val="24"/>
          <w:szCs w:val="24"/>
          <w:lang w:val="pt-PT"/>
        </w:rPr>
        <w:t> 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187</w:t>
      </w:r>
      <w:r w:rsidR="00C86992" w:rsidRPr="00C206EE">
        <w:rPr>
          <w:rFonts w:asciiTheme="majorBidi" w:hAnsiTheme="majorBidi" w:cstheme="majorBidi"/>
          <w:sz w:val="24"/>
          <w:szCs w:val="24"/>
          <w:lang w:val="pt-PT"/>
        </w:rPr>
        <w:t>–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221), associa história com as biografias de várias figuras políticas e actores islâmicos da região, recorrendo a fontes escritas e orais. E. Pettigrew conclui o livro com o interessante estudo de caso da comunidade Ahl Guennar do sudoeste da Mauritânia. Contrariamente às dicotomias geralmente utilizadas para descrever as diferentes populações da região (p.</w:t>
      </w:r>
      <w:r w:rsidR="004E70D9" w:rsidRPr="00C206EE">
        <w:rPr>
          <w:rFonts w:asciiTheme="majorBidi" w:hAnsiTheme="majorBidi" w:cstheme="majorBidi"/>
          <w:sz w:val="24"/>
          <w:szCs w:val="24"/>
          <w:lang w:val="pt-PT"/>
        </w:rPr>
        <w:t> 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279), os Ahl Guennar validam a adopção de um quadro bastante mais matizado (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‘</w:t>
      </w:r>
      <w:r w:rsidRPr="00C206EE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pt-PT"/>
        </w:rPr>
        <w:t>in-between</w:t>
      </w:r>
      <w:r w:rsidR="00C86992" w:rsidRPr="00C206EE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pt-PT"/>
        </w:rPr>
        <w:t>n</w:t>
      </w:r>
      <w:r w:rsidRPr="00C206EE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pt-PT"/>
        </w:rPr>
        <w:t>ess</w:t>
      </w:r>
      <w:r w:rsidR="00D468F1"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>’</w:t>
      </w:r>
      <w:r w:rsidRPr="00C206E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t-PT"/>
        </w:rPr>
        <w:t>)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às noções de raça, ao conhecimento islâmico e aos saberes esotéricos no Sara.</w:t>
      </w:r>
    </w:p>
    <w:p w14:paraId="5DBA691C" w14:textId="48F176D9" w:rsidR="00AD67E7" w:rsidRPr="00C206EE" w:rsidRDefault="00AD67E7" w:rsidP="00D468F1">
      <w:pPr>
        <w:spacing w:after="240" w:line="360" w:lineRule="auto"/>
        <w:rPr>
          <w:rFonts w:asciiTheme="majorBidi" w:hAnsiTheme="majorBidi" w:cstheme="majorBidi"/>
          <w:sz w:val="24"/>
          <w:szCs w:val="24"/>
          <w:lang w:val="pt-PT"/>
        </w:rPr>
      </w:pP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Uma outra importante opção teórica da autora tem de ver com o facto de esta não debater, e praticamente não mencionar, os mecanismos associados à </w:t>
      </w:r>
      <w:r w:rsidRPr="00C206EE">
        <w:rPr>
          <w:rFonts w:asciiTheme="majorBidi" w:hAnsiTheme="majorBidi" w:cstheme="majorBidi"/>
          <w:i/>
          <w:iCs/>
          <w:sz w:val="24"/>
          <w:szCs w:val="24"/>
          <w:lang w:val="pt-PT"/>
        </w:rPr>
        <w:t>qabīla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(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‘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>tribo</w:t>
      </w:r>
      <w:r w:rsidR="00D468F1" w:rsidRPr="00C206EE">
        <w:rPr>
          <w:rFonts w:asciiTheme="majorBidi" w:hAnsiTheme="majorBidi" w:cstheme="majorBidi"/>
          <w:sz w:val="24"/>
          <w:szCs w:val="24"/>
          <w:lang w:val="pt-PT"/>
        </w:rPr>
        <w:t>’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), que muito frequentemente definem as identidades sociais na região (nomeadamente entre os seus grupos de língua Hassaniyya). São compreensíveis os desafios colocados à abordagem deste tema num quadro pós-orientalista, na sequência da prolongada leitura da </w:t>
      </w:r>
      <w:r w:rsidRPr="00C206EE">
        <w:rPr>
          <w:rFonts w:asciiTheme="majorBidi" w:hAnsiTheme="majorBidi" w:cstheme="majorBidi"/>
          <w:i/>
          <w:iCs/>
          <w:sz w:val="24"/>
          <w:szCs w:val="24"/>
          <w:lang w:val="pt-PT"/>
        </w:rPr>
        <w:t>qabīla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t xml:space="preserve"> como o idioma mais adequado para fornecer nexos sociais e profundidade histórica às populações do Sara. No entanto, a abordagem da autora assinala não só o que pode ser interpretado como uma </w:t>
      </w:r>
      <w:r w:rsidRPr="00C206EE">
        <w:rPr>
          <w:rFonts w:asciiTheme="majorBidi" w:hAnsiTheme="majorBidi" w:cstheme="majorBidi"/>
          <w:sz w:val="24"/>
          <w:szCs w:val="24"/>
          <w:lang w:val="pt-PT"/>
        </w:rPr>
        <w:lastRenderedPageBreak/>
        <w:t>escolha académica prudente, mas também, possivelmente, como o anúncio de mudanças significativas no tipo de estudos realizados sobre esta região.</w:t>
      </w:r>
    </w:p>
    <w:p w14:paraId="535F3834" w14:textId="77777777" w:rsidR="00AD67E7" w:rsidRPr="00C206EE" w:rsidRDefault="00AD67E7" w:rsidP="00D468F1">
      <w:pPr>
        <w:spacing w:after="240" w:line="360" w:lineRule="auto"/>
        <w:jc w:val="right"/>
        <w:rPr>
          <w:rFonts w:asciiTheme="majorBidi" w:hAnsiTheme="majorBidi" w:cstheme="majorBidi"/>
          <w:sz w:val="24"/>
          <w:szCs w:val="24"/>
          <w:lang w:val="pt-PT"/>
        </w:rPr>
      </w:pPr>
      <w:r w:rsidRPr="00C206EE">
        <w:rPr>
          <w:rFonts w:asciiTheme="majorBidi" w:hAnsiTheme="majorBidi" w:cstheme="majorBidi"/>
          <w:sz w:val="24"/>
          <w:szCs w:val="24"/>
          <w:lang w:val="pt-PT"/>
        </w:rPr>
        <w:t>Francisco Freire</w:t>
      </w:r>
    </w:p>
    <w:p w14:paraId="0D65F4BD" w14:textId="57ED7309" w:rsidR="00AD67E7" w:rsidRPr="00C206EE" w:rsidRDefault="00AD67E7" w:rsidP="00D468F1">
      <w:pPr>
        <w:spacing w:after="240" w:line="360" w:lineRule="auto"/>
        <w:jc w:val="right"/>
        <w:rPr>
          <w:rFonts w:asciiTheme="majorBidi" w:hAnsiTheme="majorBidi" w:cstheme="majorBidi"/>
          <w:sz w:val="24"/>
          <w:szCs w:val="24"/>
          <w:lang w:val="pt-PT"/>
        </w:rPr>
      </w:pPr>
      <w:r w:rsidRPr="00C206EE">
        <w:rPr>
          <w:rFonts w:asciiTheme="majorBidi" w:hAnsiTheme="majorBidi" w:cstheme="majorBidi"/>
          <w:sz w:val="24"/>
          <w:szCs w:val="24"/>
          <w:lang w:val="pt-PT"/>
        </w:rPr>
        <w:t>Faculdade de Ciências Sociais e Humanas da Universidade Nova de Lisboa, Lisbon, Portugal</w:t>
      </w:r>
    </w:p>
    <w:p w14:paraId="1B6A9C20" w14:textId="5EB4C4C4" w:rsidR="00AD67E7" w:rsidRPr="00C206EE" w:rsidRDefault="00AD67E7" w:rsidP="00D468F1">
      <w:pPr>
        <w:spacing w:after="240" w:line="36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C206EE">
        <w:rPr>
          <w:rFonts w:asciiTheme="majorBidi" w:hAnsiTheme="majorBidi" w:cstheme="majorBidi"/>
          <w:sz w:val="24"/>
          <w:szCs w:val="24"/>
          <w:lang w:val="fr-FR"/>
        </w:rPr>
        <w:t xml:space="preserve">Email: </w:t>
      </w:r>
      <w:hyperlink r:id="rId4" w:history="1">
        <w:r w:rsidRPr="00C206EE">
          <w:rPr>
            <w:rStyle w:val="Hyperlink"/>
            <w:rFonts w:asciiTheme="majorBidi" w:hAnsiTheme="majorBidi" w:cstheme="majorBidi"/>
            <w:sz w:val="24"/>
            <w:szCs w:val="24"/>
            <w:u w:val="none"/>
            <w:shd w:val="clear" w:color="auto" w:fill="FFFFFF"/>
            <w:lang w:val="fr-FR"/>
          </w:rPr>
          <w:t>freire.francisco@fcsh.unl.pt</w:t>
        </w:r>
      </w:hyperlink>
    </w:p>
    <w:p w14:paraId="2DDD9FCD" w14:textId="77777777" w:rsidR="00657CD0" w:rsidRPr="00C206EE" w:rsidRDefault="00657CD0" w:rsidP="00D468F1">
      <w:pPr>
        <w:spacing w:after="240" w:line="360" w:lineRule="auto"/>
        <w:rPr>
          <w:rFonts w:asciiTheme="majorBidi" w:hAnsiTheme="majorBidi" w:cstheme="majorBidi"/>
          <w:sz w:val="24"/>
          <w:szCs w:val="24"/>
          <w:lang w:val="fr-FR"/>
        </w:rPr>
      </w:pPr>
    </w:p>
    <w:sectPr w:rsidR="00657CD0" w:rsidRPr="00C206EE" w:rsidSect="00D468F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E7"/>
    <w:rsid w:val="000B7CC5"/>
    <w:rsid w:val="00132003"/>
    <w:rsid w:val="004E70D9"/>
    <w:rsid w:val="00657CD0"/>
    <w:rsid w:val="006A47BA"/>
    <w:rsid w:val="006F4E82"/>
    <w:rsid w:val="009B1924"/>
    <w:rsid w:val="00AD67E7"/>
    <w:rsid w:val="00C206EE"/>
    <w:rsid w:val="00C32FD6"/>
    <w:rsid w:val="00C86992"/>
    <w:rsid w:val="00D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4BE7"/>
  <w15:chartTrackingRefBased/>
  <w15:docId w15:val="{D9C17E20-6190-4639-811C-6CD9CD85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6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7E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67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eire.francisco@fcsh.unl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Judith Forshaw</cp:lastModifiedBy>
  <cp:revision>6</cp:revision>
  <dcterms:created xsi:type="dcterms:W3CDTF">2024-04-12T16:53:00Z</dcterms:created>
  <dcterms:modified xsi:type="dcterms:W3CDTF">2024-04-13T11:49:00Z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8fac97-8d33-4425-95a4-f76d2cce012e_Enabled">
    <vt:lpwstr>true</vt:lpwstr>
  </property>
  <property fmtid="{D5CDD505-2E9C-101B-9397-08002B2CF9AE}" pid="3" name="MSIP_Label_b98fac97-8d33-4425-95a4-f76d2cce012e_SetDate">
    <vt:lpwstr>2024-03-04T14:46:47Z</vt:lpwstr>
  </property>
  <property fmtid="{D5CDD505-2E9C-101B-9397-08002B2CF9AE}" pid="4" name="MSIP_Label_b98fac97-8d33-4425-95a4-f76d2cce012e_Method">
    <vt:lpwstr>Standard</vt:lpwstr>
  </property>
  <property fmtid="{D5CDD505-2E9C-101B-9397-08002B2CF9AE}" pid="5" name="MSIP_Label_b98fac97-8d33-4425-95a4-f76d2cce012e_Name">
    <vt:lpwstr>defa4170-0d19-0005-0004-bc88714345d2</vt:lpwstr>
  </property>
  <property fmtid="{D5CDD505-2E9C-101B-9397-08002B2CF9AE}" pid="6" name="MSIP_Label_b98fac97-8d33-4425-95a4-f76d2cce012e_SiteId">
    <vt:lpwstr>674dd0a1-ae62-42c7-a39f-69ee199537a8</vt:lpwstr>
  </property>
  <property fmtid="{D5CDD505-2E9C-101B-9397-08002B2CF9AE}" pid="7" name="MSIP_Label_b98fac97-8d33-4425-95a4-f76d2cce012e_ActionId">
    <vt:lpwstr>41ace9dd-0dfb-431e-b03e-a67da9980497</vt:lpwstr>
  </property>
  <property fmtid="{D5CDD505-2E9C-101B-9397-08002B2CF9AE}" pid="8" name="MSIP_Label_b98fac97-8d33-4425-95a4-f76d2cce012e_ContentBits">
    <vt:lpwstr>0</vt:lpwstr>
  </property>
</Properties>
</file>