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1046" w14:textId="483806CA" w:rsidR="00AD67E7" w:rsidRPr="00C206EE" w:rsidRDefault="00D468F1" w:rsidP="00D468F1">
      <w:pPr>
        <w:spacing w:after="240" w:line="360" w:lineRule="auto"/>
        <w:rPr>
          <w:rFonts w:asciiTheme="majorBidi" w:hAnsiTheme="majorBidi" w:cstheme="majorBidi"/>
          <w:color w:val="000000"/>
          <w:sz w:val="24"/>
          <w:szCs w:val="24"/>
          <w:lang w:val="pt-PT"/>
        </w:rPr>
      </w:pPr>
      <w:r w:rsidRPr="00C206EE">
        <w:rPr>
          <w:rFonts w:ascii="Times New Roman" w:hAnsi="Times New Roman" w:cs="Times New Roman"/>
          <w:color w:val="000000"/>
          <w:sz w:val="24"/>
          <w:szCs w:val="24"/>
          <w:lang w:val="en-GB"/>
        </w:rPr>
        <w:t>Erin Pettigrew</w:t>
      </w:r>
      <w:r w:rsidRPr="00C206EE">
        <w:rPr>
          <w:rFonts w:ascii="Times New Roman" w:hAnsi="Times New Roman" w:cs="Times New Roman"/>
          <w:smallCaps/>
          <w:color w:val="000000"/>
          <w:sz w:val="24"/>
          <w:szCs w:val="24"/>
          <w:lang w:val="en-GB"/>
        </w:rPr>
        <w:t xml:space="preserve">, </w:t>
      </w:r>
      <w:r w:rsidRPr="00C206EE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Invoking the Invisible in the Sahara: Islam, Spiritual Mediation, and Social Change</w:t>
      </w:r>
      <w:r w:rsidRPr="00C206EE">
        <w:rPr>
          <w:rFonts w:ascii="Times New Roman" w:hAnsi="Times New Roman" w:cs="Times New Roman"/>
          <w:color w:val="000000"/>
          <w:sz w:val="24"/>
          <w:szCs w:val="24"/>
          <w:lang w:val="en-GB"/>
        </w:rPr>
        <w:t>. Cambridge: Cambridge University Press (hb £9</w:t>
      </w:r>
      <w:r w:rsidRPr="00C206EE" w:rsidDel="00885829">
        <w:rPr>
          <w:rFonts w:ascii="Times New Roman" w:hAnsi="Times New Roman" w:cs="Times New Roman"/>
          <w:color w:val="000000"/>
          <w:sz w:val="24"/>
          <w:szCs w:val="24"/>
          <w:lang w:val="en-GB"/>
        </w:rPr>
        <w:t>0</w:t>
      </w:r>
      <w:r w:rsidRPr="00C206E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– 978 </w:t>
      </w:r>
      <w:r w:rsidRPr="00C206EE">
        <w:rPr>
          <w:rFonts w:ascii="Times New Roman" w:hAnsi="Times New Roman" w:cs="Times New Roman"/>
          <w:color w:val="0F1111"/>
          <w:sz w:val="24"/>
          <w:szCs w:val="24"/>
          <w:shd w:val="clear" w:color="auto" w:fill="FFFFFF"/>
          <w:lang w:val="en-GB"/>
        </w:rPr>
        <w:t>1 009 22461 1</w:t>
      </w:r>
      <w:r w:rsidRPr="00C206EE">
        <w:rPr>
          <w:rFonts w:ascii="Times New Roman" w:hAnsi="Times New Roman" w:cs="Times New Roman"/>
          <w:color w:val="000000"/>
          <w:sz w:val="24"/>
          <w:szCs w:val="24"/>
          <w:lang w:val="en-GB"/>
        </w:rPr>
        <w:t>). 2023, ccclxviii + 368 pp.</w:t>
      </w:r>
    </w:p>
    <w:p w14:paraId="79E98354" w14:textId="6DFC6140" w:rsidR="00AD67E7" w:rsidRPr="00C206EE" w:rsidRDefault="00AD67E7" w:rsidP="00D468F1">
      <w:pPr>
        <w:spacing w:after="240" w:line="360" w:lineRule="auto"/>
        <w:rPr>
          <w:rFonts w:asciiTheme="majorBidi" w:hAnsiTheme="majorBidi" w:cstheme="majorBidi"/>
          <w:sz w:val="24"/>
          <w:szCs w:val="24"/>
          <w:lang w:val="pt-PT"/>
        </w:rPr>
      </w:pP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Este livro da historiadora Erin Pettigrew é um contributo bem-vindo para a compreensão das práticas esotéricas </w:t>
      </w:r>
      <w:r w:rsidR="00132003" w:rsidRPr="00C206EE">
        <w:rPr>
          <w:rFonts w:asciiTheme="majorBidi" w:hAnsiTheme="majorBidi" w:cstheme="majorBidi"/>
          <w:sz w:val="24"/>
          <w:szCs w:val="24"/>
          <w:lang w:val="pt-PT"/>
        </w:rPr>
        <w:t>–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 autorizadas (</w:t>
      </w:r>
      <w:r w:rsidRPr="00C206EE">
        <w:rPr>
          <w:rFonts w:asciiTheme="majorBidi" w:hAnsiTheme="majorBidi" w:cstheme="majorBidi"/>
          <w:i/>
          <w:iCs/>
          <w:sz w:val="24"/>
          <w:szCs w:val="24"/>
          <w:lang w:val="pt-PT"/>
        </w:rPr>
        <w:t>ḥjāb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) e </w:t>
      </w:r>
      <w:r w:rsidR="00D468F1" w:rsidRPr="00C206EE">
        <w:rPr>
          <w:rFonts w:asciiTheme="majorBidi" w:hAnsiTheme="majorBidi" w:cstheme="majorBidi"/>
          <w:sz w:val="24"/>
          <w:szCs w:val="24"/>
          <w:lang w:val="pt-PT"/>
        </w:rPr>
        <w:t>‘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>ilícitas</w:t>
      </w:r>
      <w:r w:rsidR="00D468F1" w:rsidRPr="00C206EE">
        <w:rPr>
          <w:rFonts w:asciiTheme="majorBidi" w:hAnsiTheme="majorBidi" w:cstheme="majorBidi"/>
          <w:sz w:val="24"/>
          <w:szCs w:val="24"/>
          <w:lang w:val="pt-PT"/>
        </w:rPr>
        <w:t>’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 (</w:t>
      </w:r>
      <w:r w:rsidRPr="00C206EE">
        <w:rPr>
          <w:rFonts w:asciiTheme="majorBidi" w:hAnsiTheme="majorBidi" w:cstheme="majorBidi"/>
          <w:i/>
          <w:iCs/>
          <w:sz w:val="24"/>
          <w:szCs w:val="24"/>
          <w:lang w:val="pt-PT"/>
        </w:rPr>
        <w:t>siḥr</w:t>
      </w:r>
      <w:r w:rsidR="00C32FD6" w:rsidRPr="00C206EE">
        <w:rPr>
          <w:rFonts w:asciiTheme="majorBidi" w:hAnsiTheme="majorBidi" w:cstheme="majorBidi"/>
          <w:sz w:val="24"/>
          <w:szCs w:val="24"/>
          <w:lang w:val="pt-PT"/>
        </w:rPr>
        <w:t xml:space="preserve">) </w:t>
      </w:r>
      <w:r w:rsidR="00132003" w:rsidRPr="00C206EE">
        <w:rPr>
          <w:rFonts w:asciiTheme="majorBidi" w:hAnsiTheme="majorBidi" w:cstheme="majorBidi"/>
          <w:sz w:val="24"/>
          <w:szCs w:val="24"/>
          <w:lang w:val="pt-PT"/>
        </w:rPr>
        <w:t>–</w:t>
      </w:r>
      <w:r w:rsidR="00C32FD6" w:rsidRPr="00C206EE">
        <w:rPr>
          <w:rFonts w:asciiTheme="majorBidi" w:hAnsiTheme="majorBidi" w:cstheme="majorBidi"/>
          <w:sz w:val="24"/>
          <w:szCs w:val="24"/>
          <w:lang w:val="pt-PT"/>
        </w:rPr>
        <w:t xml:space="preserve"> d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o Ocidente saariano, aqui identificadas em estreita associação com as tradições islâmicas profundamente enraizadas nesta região. Devido à complexidade da tessitura social e história multifacetada da região, este estudo baseia-se principalmente em métodos etnográficos. </w:t>
      </w:r>
      <w:r w:rsidR="00C32FD6" w:rsidRPr="00C206EE">
        <w:rPr>
          <w:rFonts w:asciiTheme="majorBidi" w:hAnsiTheme="majorBidi" w:cstheme="majorBidi"/>
          <w:sz w:val="24"/>
          <w:szCs w:val="24"/>
          <w:lang w:val="pt-PT"/>
        </w:rPr>
        <w:t>A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 aproximação entre antropologia e história, já testada por outros autores, é digna de nota. Embora a região seja muitas vezes descrita como um importante centro de fontes escritas em língua árabe, muitos dos interlocutores não têm educação formal e o acesso a fontes escritas, num contexto maioritariamente pós-nómada, é </w:t>
      </w:r>
      <w:r w:rsidR="00C32FD6" w:rsidRPr="00C206EE">
        <w:rPr>
          <w:rFonts w:asciiTheme="majorBidi" w:hAnsiTheme="majorBidi" w:cstheme="majorBidi"/>
          <w:sz w:val="24"/>
          <w:szCs w:val="24"/>
          <w:lang w:val="pt-PT"/>
        </w:rPr>
        <w:t xml:space="preserve">bastante 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limitado. O trabalho de E. Pettigrew procura </w:t>
      </w:r>
      <w:r w:rsidR="00C32FD6" w:rsidRPr="00C206EE">
        <w:rPr>
          <w:rFonts w:asciiTheme="majorBidi" w:hAnsiTheme="majorBidi" w:cstheme="majorBidi"/>
          <w:sz w:val="24"/>
          <w:szCs w:val="24"/>
          <w:lang w:val="pt-PT"/>
        </w:rPr>
        <w:t xml:space="preserve">assim 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>ultrapassar divisões disciplinares, a fim de considerar analiticamente um cenário africano complexo, fazendo, ao mesmo tempo, uma importante afirmação em termos metodológicos.</w:t>
      </w:r>
    </w:p>
    <w:p w14:paraId="0E601B4A" w14:textId="7C952616" w:rsidR="00AD67E7" w:rsidRPr="00C206EE" w:rsidRDefault="00AD67E7" w:rsidP="00D468F1">
      <w:pPr>
        <w:spacing w:after="240" w:line="360" w:lineRule="auto"/>
        <w:rPr>
          <w:rFonts w:asciiTheme="majorBidi" w:hAnsiTheme="majorBidi" w:cstheme="majorBidi"/>
          <w:sz w:val="24"/>
          <w:szCs w:val="24"/>
          <w:lang w:val="pt-PT"/>
        </w:rPr>
      </w:pP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O livro cobre eficazmente os temas centrais da cultura islâmica neste contexto: as escolas de jurisprudência islâmica (nomeadamente a escola Maliquita), o sufismo, as tendências reformistas e a multiplicidade de sábios religiosos e outros autores que definiram a ampla incorporação </w:t>
      </w:r>
      <w:r w:rsidR="00C32FD6" w:rsidRPr="00C206EE">
        <w:rPr>
          <w:rFonts w:asciiTheme="majorBidi" w:hAnsiTheme="majorBidi" w:cstheme="majorBidi"/>
          <w:sz w:val="24"/>
          <w:szCs w:val="24"/>
          <w:lang w:val="pt-PT"/>
        </w:rPr>
        <w:t>do Sara no mundo muçulmano. Contudo,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 adesão a tradições islâmicas </w:t>
      </w:r>
      <w:r w:rsidR="00D468F1" w:rsidRPr="00C206EE">
        <w:rPr>
          <w:rFonts w:asciiTheme="majorBidi" w:hAnsiTheme="majorBidi" w:cstheme="majorBidi"/>
          <w:sz w:val="24"/>
          <w:szCs w:val="24"/>
          <w:lang w:val="pt-PT"/>
        </w:rPr>
        <w:t>‘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>legítimas</w:t>
      </w:r>
      <w:r w:rsidR="00D468F1" w:rsidRPr="00C206EE">
        <w:rPr>
          <w:rFonts w:asciiTheme="majorBidi" w:hAnsiTheme="majorBidi" w:cstheme="majorBidi"/>
          <w:sz w:val="24"/>
          <w:szCs w:val="24"/>
          <w:lang w:val="pt-PT"/>
        </w:rPr>
        <w:t>’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 é aqui debatida através de um outro corpus de conhecimento que também influenciou significativamente as experiências quotidianas no Sara, um corpus que, segundo a autora, tem sido frequentemente ignorado e visto o seu lugar negado na escrita académica associada à história da região: </w:t>
      </w:r>
      <w:r w:rsidR="00D468F1" w:rsidRPr="00C206EE">
        <w:rPr>
          <w:rFonts w:asciiTheme="majorBidi" w:hAnsiTheme="majorBidi" w:cstheme="majorBidi"/>
          <w:sz w:val="24"/>
          <w:szCs w:val="24"/>
          <w:lang w:val="pt-PT"/>
        </w:rPr>
        <w:t>‘“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>the unbelieved,</w:t>
      </w:r>
      <w:r w:rsidR="00D468F1" w:rsidRPr="00C206EE">
        <w:rPr>
          <w:rFonts w:asciiTheme="majorBidi" w:hAnsiTheme="majorBidi" w:cstheme="majorBidi"/>
          <w:sz w:val="24"/>
          <w:szCs w:val="24"/>
          <w:lang w:val="pt-PT"/>
        </w:rPr>
        <w:t>”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 the </w:t>
      </w:r>
      <w:r w:rsidR="00D468F1" w:rsidRPr="00C206EE">
        <w:rPr>
          <w:rFonts w:asciiTheme="majorBidi" w:hAnsiTheme="majorBidi" w:cstheme="majorBidi"/>
          <w:sz w:val="24"/>
          <w:szCs w:val="24"/>
          <w:lang w:val="pt-PT"/>
        </w:rPr>
        <w:t>“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>unseen,</w:t>
      </w:r>
      <w:r w:rsidR="00D468F1" w:rsidRPr="00C206EE">
        <w:rPr>
          <w:rFonts w:asciiTheme="majorBidi" w:hAnsiTheme="majorBidi" w:cstheme="majorBidi"/>
          <w:sz w:val="24"/>
          <w:szCs w:val="24"/>
          <w:lang w:val="pt-PT"/>
        </w:rPr>
        <w:t>”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 the </w:t>
      </w:r>
      <w:r w:rsidR="00D468F1" w:rsidRPr="00C206EE">
        <w:rPr>
          <w:rFonts w:asciiTheme="majorBidi" w:hAnsiTheme="majorBidi" w:cstheme="majorBidi"/>
          <w:sz w:val="24"/>
          <w:szCs w:val="24"/>
          <w:lang w:val="pt-PT"/>
        </w:rPr>
        <w:t>“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>unknown,</w:t>
      </w:r>
      <w:r w:rsidR="00D468F1" w:rsidRPr="00C206EE">
        <w:rPr>
          <w:rFonts w:asciiTheme="majorBidi" w:hAnsiTheme="majorBidi" w:cstheme="majorBidi"/>
          <w:sz w:val="24"/>
          <w:szCs w:val="24"/>
          <w:lang w:val="pt-PT"/>
        </w:rPr>
        <w:t>”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’ the </w:t>
      </w:r>
      <w:r w:rsidR="00D468F1" w:rsidRPr="00C206EE">
        <w:rPr>
          <w:rFonts w:asciiTheme="majorBidi" w:hAnsiTheme="majorBidi" w:cstheme="majorBidi"/>
          <w:sz w:val="24"/>
          <w:szCs w:val="24"/>
          <w:lang w:val="pt-PT"/>
        </w:rPr>
        <w:t>“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>‘supernatural</w:t>
      </w:r>
      <w:r w:rsidR="00D468F1" w:rsidRPr="00C206EE">
        <w:rPr>
          <w:rFonts w:asciiTheme="majorBidi" w:hAnsiTheme="majorBidi" w:cstheme="majorBidi"/>
          <w:sz w:val="24"/>
          <w:szCs w:val="24"/>
          <w:lang w:val="pt-PT"/>
        </w:rPr>
        <w:t>”’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 (p.</w:t>
      </w:r>
      <w:r w:rsidR="00D468F1" w:rsidRPr="00C206EE">
        <w:rPr>
          <w:rFonts w:asciiTheme="majorBidi" w:hAnsiTheme="majorBidi" w:cstheme="majorBidi"/>
          <w:sz w:val="24"/>
          <w:szCs w:val="24"/>
          <w:lang w:val="pt-PT"/>
        </w:rPr>
        <w:t> 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4). Ao incorporar estes aspectos no seu projeto, Pettigrew defende a utilização de conhecimentos esotéricos como um marcador fundamental na definição de certas identidades de grupo, nomeadamente entre os </w:t>
      </w:r>
      <w:r w:rsidRPr="00C206EE">
        <w:rPr>
          <w:rFonts w:asciiTheme="majorBidi" w:hAnsiTheme="majorBidi" w:cstheme="majorBidi"/>
          <w:i/>
          <w:iCs/>
          <w:sz w:val="24"/>
          <w:szCs w:val="24"/>
          <w:lang w:val="pt-PT"/>
        </w:rPr>
        <w:t>zwāya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 (grupos de estatuto clerical</w:t>
      </w:r>
      <w:r w:rsidR="00C32FD6" w:rsidRPr="00C206EE">
        <w:rPr>
          <w:rFonts w:asciiTheme="majorBidi" w:hAnsiTheme="majorBidi" w:cstheme="majorBidi"/>
          <w:sz w:val="24"/>
          <w:szCs w:val="24"/>
          <w:lang w:val="pt-PT"/>
        </w:rPr>
        <w:t>) d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>a margem norte do rio Senegal</w:t>
      </w:r>
      <w:r w:rsidR="00C32FD6" w:rsidRPr="00C206EE">
        <w:rPr>
          <w:rFonts w:asciiTheme="majorBidi" w:hAnsiTheme="majorBidi" w:cstheme="majorBidi"/>
          <w:sz w:val="24"/>
          <w:szCs w:val="24"/>
          <w:lang w:val="pt-PT"/>
        </w:rPr>
        <w:t>,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 e os seus homólogos Fulbe, os </w:t>
      </w:r>
      <w:r w:rsidRPr="00C206EE">
        <w:rPr>
          <w:rFonts w:asciiTheme="majorBidi" w:hAnsiTheme="majorBidi" w:cstheme="majorBidi"/>
          <w:i/>
          <w:iCs/>
          <w:sz w:val="24"/>
          <w:szCs w:val="24"/>
          <w:lang w:val="pt-PT"/>
        </w:rPr>
        <w:t>torodbe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>, dispersos ao longo de todo o Sahel ocidental. O papel desempenhado por estes actores nos processos educativos e na gestão quotidiana dos rituais islâmicos, aliados a um domínio do saber esotérico, marcou profundamente a vida das populações do Sara. De acordo com a autora, só no século XIX é que a licitude destes domínios esotéricos foi efetivamente questionada e criticamente examinada (pp.</w:t>
      </w:r>
      <w:r w:rsidR="00D468F1" w:rsidRPr="00C206EE">
        <w:rPr>
          <w:rFonts w:asciiTheme="majorBidi" w:hAnsiTheme="majorBidi" w:cstheme="majorBidi"/>
          <w:sz w:val="24"/>
          <w:szCs w:val="24"/>
          <w:lang w:val="pt-PT"/>
        </w:rPr>
        <w:t> 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>94</w:t>
      </w:r>
      <w:r w:rsidR="00D468F1" w:rsidRPr="00C206EE">
        <w:rPr>
          <w:rFonts w:asciiTheme="majorBidi" w:hAnsiTheme="majorBidi" w:cstheme="majorBidi"/>
          <w:sz w:val="24"/>
          <w:szCs w:val="24"/>
          <w:lang w:val="pt-PT"/>
        </w:rPr>
        <w:t>–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106), assim como os critérios que justificavam os papéis sociais 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lastRenderedPageBreak/>
        <w:t>heredit</w:t>
      </w:r>
      <w:r w:rsidR="00C32FD6" w:rsidRPr="00C206EE">
        <w:rPr>
          <w:rFonts w:asciiTheme="majorBidi" w:hAnsiTheme="majorBidi" w:cstheme="majorBidi"/>
          <w:sz w:val="24"/>
          <w:szCs w:val="24"/>
          <w:lang w:val="pt-PT"/>
        </w:rPr>
        <w:t xml:space="preserve">ariamente reconhecidos a 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>certos grupos (</w:t>
      </w:r>
      <w:r w:rsidR="00C32FD6" w:rsidRPr="00C206EE">
        <w:rPr>
          <w:rFonts w:asciiTheme="majorBidi" w:hAnsiTheme="majorBidi" w:cstheme="majorBidi"/>
          <w:sz w:val="24"/>
          <w:szCs w:val="24"/>
          <w:lang w:val="pt-PT"/>
        </w:rPr>
        <w:t xml:space="preserve">precisamente 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através da sua familiaridade com estas </w:t>
      </w:r>
      <w:r w:rsidR="00D468F1" w:rsidRPr="00C206EE">
        <w:rPr>
          <w:rFonts w:asciiTheme="majorBidi" w:hAnsiTheme="majorBidi" w:cstheme="majorBidi"/>
          <w:sz w:val="24"/>
          <w:szCs w:val="24"/>
          <w:lang w:val="pt-PT"/>
        </w:rPr>
        <w:t>‘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>ciências</w:t>
      </w:r>
      <w:r w:rsidR="00D468F1" w:rsidRPr="00C206EE">
        <w:rPr>
          <w:rFonts w:asciiTheme="majorBidi" w:hAnsiTheme="majorBidi" w:cstheme="majorBidi"/>
          <w:sz w:val="24"/>
          <w:szCs w:val="24"/>
          <w:lang w:val="pt-PT"/>
        </w:rPr>
        <w:t>’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>).</w:t>
      </w:r>
    </w:p>
    <w:p w14:paraId="18039D68" w14:textId="6D6796A5" w:rsidR="00AD67E7" w:rsidRPr="00C206EE" w:rsidRDefault="00AD67E7" w:rsidP="00D468F1">
      <w:pPr>
        <w:spacing w:after="240" w:line="360" w:lineRule="auto"/>
        <w:rPr>
          <w:rFonts w:asciiTheme="majorBidi" w:hAnsiTheme="majorBidi" w:cstheme="majorBidi"/>
          <w:sz w:val="24"/>
          <w:szCs w:val="24"/>
          <w:lang w:val="pt-PT"/>
        </w:rPr>
      </w:pP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O livro divide-se em três partes principais, cada uma composta por dois capítulos. Na primeira parte, </w:t>
      </w:r>
      <w:r w:rsidR="00D468F1" w:rsidRPr="00C206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pt-PT"/>
        </w:rPr>
        <w:t>‘</w:t>
      </w:r>
      <w:r w:rsidRPr="00C206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pt-PT"/>
        </w:rPr>
        <w:t xml:space="preserve">Knowledge and </w:t>
      </w:r>
      <w:r w:rsidR="004E70D9" w:rsidRPr="00C206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pt-PT"/>
        </w:rPr>
        <w:t>authority in precolonial contexts’</w:t>
      </w:r>
      <w:r w:rsidRPr="00C206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pt-PT"/>
        </w:rPr>
        <w:t>,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 a autora começa por contextualizar a história pré-colonial da região. Uma importante segunda parte, </w:t>
      </w:r>
      <w:r w:rsidR="00D468F1" w:rsidRPr="00C206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pt-PT"/>
        </w:rPr>
        <w:t>‘</w:t>
      </w:r>
      <w:r w:rsidRPr="00C206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pt-PT"/>
        </w:rPr>
        <w:t xml:space="preserve">Rupture, </w:t>
      </w:r>
      <w:r w:rsidR="004E70D9" w:rsidRPr="00C206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pt-PT"/>
        </w:rPr>
        <w:t xml:space="preserve">consonance, and innovation in colonial and postcolonial </w:t>
      </w:r>
      <w:r w:rsidRPr="00C206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pt-PT"/>
        </w:rPr>
        <w:t>Mauritania</w:t>
      </w:r>
      <w:r w:rsidR="00D468F1" w:rsidRPr="00C206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pt-PT"/>
        </w:rPr>
        <w:t>’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, centra-se nos modernos períodos colonial e pós-colonial (século XX), debatendo o significado das práticas islâmicas relacionadas com o </w:t>
      </w:r>
      <w:r w:rsidRPr="00C206EE">
        <w:rPr>
          <w:rFonts w:asciiTheme="majorBidi" w:hAnsiTheme="majorBidi" w:cstheme="majorBidi"/>
          <w:i/>
          <w:iCs/>
          <w:sz w:val="24"/>
          <w:szCs w:val="24"/>
          <w:lang w:val="pt-PT"/>
        </w:rPr>
        <w:t>ḥjāb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 para diferentes lideranças políticas (desde os governantes ou emires tradicionais, aos administradores coloniais franceses e aos líderes da Mauritânia independente). Esta segunda parte do livro conclui-se com a análise de um vívido debate televisivo em Nouakchott sobre os méritos e a legalidade do </w:t>
      </w:r>
      <w:r w:rsidRPr="00C206EE">
        <w:rPr>
          <w:rFonts w:asciiTheme="majorBidi" w:hAnsiTheme="majorBidi" w:cstheme="majorBidi"/>
          <w:i/>
          <w:iCs/>
          <w:sz w:val="24"/>
          <w:szCs w:val="24"/>
          <w:lang w:val="pt-PT"/>
        </w:rPr>
        <w:t>ḥjāb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. Na terceira parte, </w:t>
      </w:r>
      <w:r w:rsidR="00D468F1" w:rsidRPr="00C206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pt-PT"/>
        </w:rPr>
        <w:t>‘</w:t>
      </w:r>
      <w:r w:rsidRPr="00C206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pt-PT"/>
        </w:rPr>
        <w:t xml:space="preserve">Articulating </w:t>
      </w:r>
      <w:r w:rsidR="004E70D9" w:rsidRPr="00C206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pt-PT"/>
        </w:rPr>
        <w:t>race, gender, and social difference through the esoteric sciences’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, a autora oferece-nos um capítulo sobre a prática exclusivamente sariana do </w:t>
      </w:r>
      <w:r w:rsidRPr="00C206EE">
        <w:rPr>
          <w:rFonts w:asciiTheme="majorBidi" w:hAnsiTheme="majorBidi" w:cstheme="majorBidi"/>
          <w:i/>
          <w:iCs/>
          <w:sz w:val="24"/>
          <w:szCs w:val="24"/>
          <w:lang w:val="pt-PT"/>
        </w:rPr>
        <w:t>sell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 (</w:t>
      </w:r>
      <w:r w:rsidR="00D468F1" w:rsidRPr="00C206EE">
        <w:rPr>
          <w:rFonts w:asciiTheme="majorBidi" w:hAnsiTheme="majorBidi" w:cstheme="majorBidi"/>
          <w:sz w:val="24"/>
          <w:szCs w:val="24"/>
          <w:lang w:val="pt-PT"/>
        </w:rPr>
        <w:t>‘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>bloodsucking</w:t>
      </w:r>
      <w:r w:rsidR="00D468F1" w:rsidRPr="00C206EE">
        <w:rPr>
          <w:rFonts w:asciiTheme="majorBidi" w:hAnsiTheme="majorBidi" w:cstheme="majorBidi"/>
          <w:sz w:val="24"/>
          <w:szCs w:val="24"/>
          <w:lang w:val="pt-PT"/>
        </w:rPr>
        <w:t>’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), considerada como particularmente nefasta, </w:t>
      </w:r>
      <w:r w:rsidR="00C32FD6" w:rsidRPr="00C206EE">
        <w:rPr>
          <w:rFonts w:asciiTheme="majorBidi" w:hAnsiTheme="majorBidi" w:cstheme="majorBidi"/>
          <w:sz w:val="24"/>
          <w:szCs w:val="24"/>
          <w:lang w:val="pt-PT"/>
        </w:rPr>
        <w:t xml:space="preserve">e 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só podendo ser combatida através do mais benigno </w:t>
      </w:r>
      <w:r w:rsidRPr="00C206EE">
        <w:rPr>
          <w:rFonts w:asciiTheme="majorBidi" w:hAnsiTheme="majorBidi" w:cstheme="majorBidi"/>
          <w:i/>
          <w:iCs/>
          <w:sz w:val="24"/>
          <w:szCs w:val="24"/>
          <w:lang w:val="pt-PT"/>
        </w:rPr>
        <w:t>ḥjāb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 (rotulado como </w:t>
      </w:r>
      <w:r w:rsidR="00D468F1" w:rsidRPr="00C206EE">
        <w:rPr>
          <w:rFonts w:asciiTheme="majorBidi" w:hAnsiTheme="majorBidi" w:cstheme="majorBidi"/>
          <w:sz w:val="24"/>
          <w:szCs w:val="24"/>
          <w:lang w:val="pt-PT"/>
        </w:rPr>
        <w:t>‘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>islâmico</w:t>
      </w:r>
      <w:r w:rsidR="00D468F1" w:rsidRPr="00C206EE">
        <w:rPr>
          <w:rFonts w:asciiTheme="majorBidi" w:hAnsiTheme="majorBidi" w:cstheme="majorBidi"/>
          <w:sz w:val="24"/>
          <w:szCs w:val="24"/>
          <w:lang w:val="pt-PT"/>
        </w:rPr>
        <w:t>’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). Através da análise desta prática, Pettigrew argumenta sobre as noções de </w:t>
      </w:r>
      <w:r w:rsidR="00D468F1" w:rsidRPr="00C206EE">
        <w:rPr>
          <w:rFonts w:asciiTheme="majorBidi" w:hAnsiTheme="majorBidi" w:cstheme="majorBidi"/>
          <w:sz w:val="24"/>
          <w:szCs w:val="24"/>
          <w:lang w:val="pt-PT"/>
        </w:rPr>
        <w:t>‘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>raça, hierarquia social e pertença</w:t>
      </w:r>
      <w:r w:rsidR="00D468F1" w:rsidRPr="00C206EE">
        <w:rPr>
          <w:rFonts w:asciiTheme="majorBidi" w:hAnsiTheme="majorBidi" w:cstheme="majorBidi"/>
          <w:sz w:val="24"/>
          <w:szCs w:val="24"/>
          <w:lang w:val="pt-PT"/>
        </w:rPr>
        <w:t>’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 (p.</w:t>
      </w:r>
      <w:r w:rsidR="004E70D9" w:rsidRPr="00C206EE">
        <w:rPr>
          <w:rFonts w:asciiTheme="majorBidi" w:hAnsiTheme="majorBidi" w:cstheme="majorBidi"/>
          <w:sz w:val="24"/>
          <w:szCs w:val="24"/>
          <w:lang w:val="pt-PT"/>
        </w:rPr>
        <w:t> 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>197), ligando diferentes práticas esotéricas ao complexo ordenamento social da região. Esta secção, particularmente bem construída e pesquisada (pp.</w:t>
      </w:r>
      <w:r w:rsidR="004E70D9" w:rsidRPr="00C206EE">
        <w:rPr>
          <w:rFonts w:asciiTheme="majorBidi" w:hAnsiTheme="majorBidi" w:cstheme="majorBidi"/>
          <w:sz w:val="24"/>
          <w:szCs w:val="24"/>
          <w:lang w:val="pt-PT"/>
        </w:rPr>
        <w:t> 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>187</w:t>
      </w:r>
      <w:r w:rsidR="00C86992" w:rsidRPr="00C206EE">
        <w:rPr>
          <w:rFonts w:asciiTheme="majorBidi" w:hAnsiTheme="majorBidi" w:cstheme="majorBidi"/>
          <w:sz w:val="24"/>
          <w:szCs w:val="24"/>
          <w:lang w:val="pt-PT"/>
        </w:rPr>
        <w:t>–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>221), associa história com as biografias de várias figuras políticas e actores islâmicos da região, recorrendo a fontes escritas e orais. E. Pettigrew conclui o livro com o interessante estudo de caso da comunidade Ahl Guennar do sudoeste da Mauritânia. Contrariamente às dicotomias geralmente utilizadas para descrever as diferentes populações da região (p.</w:t>
      </w:r>
      <w:r w:rsidR="004E70D9" w:rsidRPr="00C206EE">
        <w:rPr>
          <w:rFonts w:asciiTheme="majorBidi" w:hAnsiTheme="majorBidi" w:cstheme="majorBidi"/>
          <w:sz w:val="24"/>
          <w:szCs w:val="24"/>
          <w:lang w:val="pt-PT"/>
        </w:rPr>
        <w:t> 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>279), os Ahl Guennar validam a adopção de um quadro bastante mais matizado (</w:t>
      </w:r>
      <w:r w:rsidR="00D468F1" w:rsidRPr="00C206EE">
        <w:rPr>
          <w:rFonts w:asciiTheme="majorBidi" w:hAnsiTheme="majorBidi" w:cstheme="majorBidi"/>
          <w:sz w:val="24"/>
          <w:szCs w:val="24"/>
          <w:lang w:val="pt-PT"/>
        </w:rPr>
        <w:t>‘</w:t>
      </w:r>
      <w:r w:rsidRPr="00C206EE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pt-PT"/>
        </w:rPr>
        <w:t>in-between</w:t>
      </w:r>
      <w:r w:rsidR="00C86992" w:rsidRPr="00C206EE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pt-PT"/>
        </w:rPr>
        <w:t>n</w:t>
      </w:r>
      <w:r w:rsidRPr="00C206EE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pt-PT"/>
        </w:rPr>
        <w:t>ess</w:t>
      </w:r>
      <w:r w:rsidR="00D468F1" w:rsidRPr="00C206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pt-PT"/>
        </w:rPr>
        <w:t>’</w:t>
      </w:r>
      <w:r w:rsidRPr="00C206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pt-PT"/>
        </w:rPr>
        <w:t>)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 às noções de raça, ao conhecimento islâmico e aos saberes esotéricos no Sara.</w:t>
      </w:r>
    </w:p>
    <w:p w14:paraId="5DBA691C" w14:textId="48F176D9" w:rsidR="00AD67E7" w:rsidRPr="00C206EE" w:rsidRDefault="00AD67E7" w:rsidP="00D468F1">
      <w:pPr>
        <w:spacing w:after="240" w:line="360" w:lineRule="auto"/>
        <w:rPr>
          <w:rFonts w:asciiTheme="majorBidi" w:hAnsiTheme="majorBidi" w:cstheme="majorBidi"/>
          <w:sz w:val="24"/>
          <w:szCs w:val="24"/>
          <w:lang w:val="pt-PT"/>
        </w:rPr>
      </w:pP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Uma outra importante opção teórica da autora tem de ver com o facto de esta não debater, e praticamente não mencionar, os mecanismos associados à </w:t>
      </w:r>
      <w:r w:rsidRPr="00C206EE">
        <w:rPr>
          <w:rFonts w:asciiTheme="majorBidi" w:hAnsiTheme="majorBidi" w:cstheme="majorBidi"/>
          <w:i/>
          <w:iCs/>
          <w:sz w:val="24"/>
          <w:szCs w:val="24"/>
          <w:lang w:val="pt-PT"/>
        </w:rPr>
        <w:t>qabīla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 (</w:t>
      </w:r>
      <w:r w:rsidR="00D468F1" w:rsidRPr="00C206EE">
        <w:rPr>
          <w:rFonts w:asciiTheme="majorBidi" w:hAnsiTheme="majorBidi" w:cstheme="majorBidi"/>
          <w:sz w:val="24"/>
          <w:szCs w:val="24"/>
          <w:lang w:val="pt-PT"/>
        </w:rPr>
        <w:t>‘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>tribo</w:t>
      </w:r>
      <w:r w:rsidR="00D468F1" w:rsidRPr="00C206EE">
        <w:rPr>
          <w:rFonts w:asciiTheme="majorBidi" w:hAnsiTheme="majorBidi" w:cstheme="majorBidi"/>
          <w:sz w:val="24"/>
          <w:szCs w:val="24"/>
          <w:lang w:val="pt-PT"/>
        </w:rPr>
        <w:t>’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), que muito frequentemente definem as identidades sociais na região (nomeadamente entre os seus grupos de língua Hassaniyya). São compreensíveis os desafios colocados à abordagem deste tema num quadro pós-orientalista, na sequência da prolongada leitura da </w:t>
      </w:r>
      <w:r w:rsidRPr="00C206EE">
        <w:rPr>
          <w:rFonts w:asciiTheme="majorBidi" w:hAnsiTheme="majorBidi" w:cstheme="majorBidi"/>
          <w:i/>
          <w:iCs/>
          <w:sz w:val="24"/>
          <w:szCs w:val="24"/>
          <w:lang w:val="pt-PT"/>
        </w:rPr>
        <w:t>qabīla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t xml:space="preserve"> como o idioma mais adequado para fornecer nexos sociais e profundidade histórica às populações do Sara. No entanto, a abordagem da autora assinala não só o que pode ser interpretado como uma </w:t>
      </w:r>
      <w:r w:rsidRPr="00C206EE">
        <w:rPr>
          <w:rFonts w:asciiTheme="majorBidi" w:hAnsiTheme="majorBidi" w:cstheme="majorBidi"/>
          <w:sz w:val="24"/>
          <w:szCs w:val="24"/>
          <w:lang w:val="pt-PT"/>
        </w:rPr>
        <w:lastRenderedPageBreak/>
        <w:t>escolha académica prudente, mas também, possivelmente, como o anúncio de mudanças significativas no tipo de estudos realizados sobre esta região.</w:t>
      </w:r>
    </w:p>
    <w:p w14:paraId="535F3834" w14:textId="77777777" w:rsidR="00AD67E7" w:rsidRPr="00C206EE" w:rsidRDefault="00AD67E7" w:rsidP="00D468F1">
      <w:pPr>
        <w:spacing w:after="240" w:line="360" w:lineRule="auto"/>
        <w:jc w:val="right"/>
        <w:rPr>
          <w:rFonts w:asciiTheme="majorBidi" w:hAnsiTheme="majorBidi" w:cstheme="majorBidi"/>
          <w:sz w:val="24"/>
          <w:szCs w:val="24"/>
          <w:lang w:val="pt-PT"/>
        </w:rPr>
      </w:pPr>
      <w:r w:rsidRPr="00C206EE">
        <w:rPr>
          <w:rFonts w:asciiTheme="majorBidi" w:hAnsiTheme="majorBidi" w:cstheme="majorBidi"/>
          <w:sz w:val="24"/>
          <w:szCs w:val="24"/>
          <w:lang w:val="pt-PT"/>
        </w:rPr>
        <w:t>Francisco Freire</w:t>
      </w:r>
    </w:p>
    <w:p w14:paraId="0D65F4BD" w14:textId="57ED7309" w:rsidR="00AD67E7" w:rsidRPr="00C206EE" w:rsidRDefault="00AD67E7" w:rsidP="00D468F1">
      <w:pPr>
        <w:spacing w:after="240" w:line="360" w:lineRule="auto"/>
        <w:jc w:val="right"/>
        <w:rPr>
          <w:rFonts w:asciiTheme="majorBidi" w:hAnsiTheme="majorBidi" w:cstheme="majorBidi"/>
          <w:sz w:val="24"/>
          <w:szCs w:val="24"/>
          <w:lang w:val="pt-PT"/>
        </w:rPr>
      </w:pPr>
      <w:r w:rsidRPr="00C206EE">
        <w:rPr>
          <w:rFonts w:asciiTheme="majorBidi" w:hAnsiTheme="majorBidi" w:cstheme="majorBidi"/>
          <w:sz w:val="24"/>
          <w:szCs w:val="24"/>
          <w:lang w:val="pt-PT"/>
        </w:rPr>
        <w:t>Faculdade de Ciências Sociais e Humanas da Universidade Nova de Lisboa, Lisbon, Portugal</w:t>
      </w:r>
    </w:p>
    <w:p w14:paraId="1B6A9C20" w14:textId="5EB4C4C4" w:rsidR="00AD67E7" w:rsidRPr="00C206EE" w:rsidRDefault="00AD67E7" w:rsidP="00D468F1">
      <w:pPr>
        <w:spacing w:after="240" w:line="36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C206EE">
        <w:rPr>
          <w:rFonts w:asciiTheme="majorBidi" w:hAnsiTheme="majorBidi" w:cstheme="majorBidi"/>
          <w:sz w:val="24"/>
          <w:szCs w:val="24"/>
          <w:lang w:val="fr-FR"/>
        </w:rPr>
        <w:t xml:space="preserve">Email: </w:t>
      </w:r>
      <w:hyperlink r:id="rId4" w:history="1">
        <w:r w:rsidRPr="00C206EE">
          <w:rPr>
            <w:rStyle w:val="Hyperlink"/>
            <w:rFonts w:asciiTheme="majorBidi" w:hAnsiTheme="majorBidi" w:cstheme="majorBidi"/>
            <w:sz w:val="24"/>
            <w:szCs w:val="24"/>
            <w:u w:val="none"/>
            <w:shd w:val="clear" w:color="auto" w:fill="FFFFFF"/>
            <w:lang w:val="fr-FR"/>
          </w:rPr>
          <w:t>freire.francisco@fcsh.unl.pt</w:t>
        </w:r>
      </w:hyperlink>
    </w:p>
    <w:p w14:paraId="2DDD9FCD" w14:textId="77777777" w:rsidR="00657CD0" w:rsidRPr="00C206EE" w:rsidRDefault="00657CD0" w:rsidP="00D468F1">
      <w:pPr>
        <w:spacing w:after="240" w:line="360" w:lineRule="auto"/>
        <w:rPr>
          <w:rFonts w:asciiTheme="majorBidi" w:hAnsiTheme="majorBidi" w:cstheme="majorBidi"/>
          <w:sz w:val="24"/>
          <w:szCs w:val="24"/>
          <w:lang w:val="fr-FR"/>
        </w:rPr>
      </w:pPr>
    </w:p>
    <w:sectPr w:rsidR="00657CD0" w:rsidRPr="00C206EE" w:rsidSect="00D468F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E7"/>
    <w:rsid w:val="000B7CC5"/>
    <w:rsid w:val="00132003"/>
    <w:rsid w:val="004E70D9"/>
    <w:rsid w:val="00657CD0"/>
    <w:rsid w:val="006A47BA"/>
    <w:rsid w:val="006F4E82"/>
    <w:rsid w:val="009B1924"/>
    <w:rsid w:val="00AD67E7"/>
    <w:rsid w:val="00C206EE"/>
    <w:rsid w:val="00C32FD6"/>
    <w:rsid w:val="00C86992"/>
    <w:rsid w:val="00D4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44BE7"/>
  <w15:chartTrackingRefBased/>
  <w15:docId w15:val="{D9C17E20-6190-4639-811C-6CD9CD85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6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7E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67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eire.francisco@fcsh.unl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Judith Forshaw</cp:lastModifiedBy>
  <cp:revision>6</cp:revision>
  <dcterms:created xsi:type="dcterms:W3CDTF">2024-04-12T16:53:00Z</dcterms:created>
  <dcterms:modified xsi:type="dcterms:W3CDTF">2024-04-13T11:49:00Z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8fac97-8d33-4425-95a4-f76d2cce012e_Enabled">
    <vt:lpwstr>true</vt:lpwstr>
  </property>
  <property fmtid="{D5CDD505-2E9C-101B-9397-08002B2CF9AE}" pid="3" name="MSIP_Label_b98fac97-8d33-4425-95a4-f76d2cce012e_SetDate">
    <vt:lpwstr>2024-03-04T14:46:47Z</vt:lpwstr>
  </property>
  <property fmtid="{D5CDD505-2E9C-101B-9397-08002B2CF9AE}" pid="4" name="MSIP_Label_b98fac97-8d33-4425-95a4-f76d2cce012e_Method">
    <vt:lpwstr>Standard</vt:lpwstr>
  </property>
  <property fmtid="{D5CDD505-2E9C-101B-9397-08002B2CF9AE}" pid="5" name="MSIP_Label_b98fac97-8d33-4425-95a4-f76d2cce012e_Name">
    <vt:lpwstr>defa4170-0d19-0005-0004-bc88714345d2</vt:lpwstr>
  </property>
  <property fmtid="{D5CDD505-2E9C-101B-9397-08002B2CF9AE}" pid="6" name="MSIP_Label_b98fac97-8d33-4425-95a4-f76d2cce012e_SiteId">
    <vt:lpwstr>674dd0a1-ae62-42c7-a39f-69ee199537a8</vt:lpwstr>
  </property>
  <property fmtid="{D5CDD505-2E9C-101B-9397-08002B2CF9AE}" pid="7" name="MSIP_Label_b98fac97-8d33-4425-95a4-f76d2cce012e_ActionId">
    <vt:lpwstr>41ace9dd-0dfb-431e-b03e-a67da9980497</vt:lpwstr>
  </property>
  <property fmtid="{D5CDD505-2E9C-101B-9397-08002B2CF9AE}" pid="8" name="MSIP_Label_b98fac97-8d33-4425-95a4-f76d2cce012e_ContentBits">
    <vt:lpwstr>0</vt:lpwstr>
  </property>
</Properties>
</file>