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96239">
      <w:pPr>
        <w:jc w:val="center"/>
        <w:rPr>
          <w:rFonts w:ascii="Arial" w:hAnsi="Arial" w:cs="Arial"/>
        </w:rPr>
      </w:pPr>
      <w:r>
        <w:rPr>
          <w:rFonts w:hint="eastAsia" w:ascii="Arial" w:hAnsi="Arial" w:cs="Arial"/>
        </w:rPr>
        <w:t xml:space="preserve">Table S1. </w:t>
      </w:r>
      <w:r>
        <w:rPr>
          <w:rFonts w:hint="eastAsia" w:ascii="Arial" w:hAnsi="Arial" w:cs="Arial"/>
          <w:lang w:val="en-US" w:eastAsia="zh-CN"/>
        </w:rPr>
        <w:t>R</w:t>
      </w:r>
      <w:r>
        <w:rPr>
          <w:rFonts w:hint="eastAsia" w:ascii="Arial" w:hAnsi="Arial" w:cs="Arial"/>
        </w:rPr>
        <w:t xml:space="preserve">umen amplicon sequences in 121 </w:t>
      </w:r>
      <w:r>
        <w:rPr>
          <w:rFonts w:ascii="Arial" w:hAnsi="Arial" w:cs="Arial"/>
        </w:rPr>
        <w:t>l</w:t>
      </w:r>
      <w:r>
        <w:rPr>
          <w:rFonts w:hint="eastAsia" w:ascii="Arial" w:hAnsi="Arial" w:cs="Arial"/>
        </w:rPr>
        <w:t>ambs</w:t>
      </w:r>
    </w:p>
    <w:tbl>
      <w:tblPr>
        <w:tblStyle w:val="2"/>
        <w:tblW w:w="5440" w:type="dxa"/>
        <w:jc w:val="center"/>
        <w:tblLayout w:type="autofit"/>
        <w:tblCellMar>
          <w:top w:w="0" w:type="dxa"/>
          <w:left w:w="108" w:type="dxa"/>
          <w:bottom w:w="0" w:type="dxa"/>
          <w:right w:w="108" w:type="dxa"/>
        </w:tblCellMar>
      </w:tblPr>
      <w:tblGrid>
        <w:gridCol w:w="1080"/>
        <w:gridCol w:w="1149"/>
        <w:gridCol w:w="2200"/>
        <w:gridCol w:w="1080"/>
      </w:tblGrid>
      <w:tr w14:paraId="067782F4">
        <w:tblPrEx>
          <w:tblCellMar>
            <w:top w:w="0" w:type="dxa"/>
            <w:left w:w="108" w:type="dxa"/>
            <w:bottom w:w="0" w:type="dxa"/>
            <w:right w:w="108" w:type="dxa"/>
          </w:tblCellMar>
        </w:tblPrEx>
        <w:trPr>
          <w:trHeight w:val="285" w:hRule="atLeast"/>
          <w:jc w:val="center"/>
        </w:trPr>
        <w:tc>
          <w:tcPr>
            <w:tcW w:w="1080" w:type="dxa"/>
            <w:tcBorders>
              <w:top w:val="single" w:color="000000" w:sz="12" w:space="0"/>
              <w:left w:val="nil"/>
              <w:bottom w:val="single" w:color="000000" w:sz="4" w:space="0"/>
              <w:right w:val="nil"/>
              <w:tl2br w:val="nil"/>
            </w:tcBorders>
            <w:shd w:val="clear" w:color="auto" w:fill="FFFFFF"/>
            <w:noWrap/>
            <w:vAlign w:val="center"/>
          </w:tcPr>
          <w:p w14:paraId="0FD9F8DB">
            <w:pPr>
              <w:jc w:val="left"/>
              <w:rPr>
                <w:rFonts w:ascii="Arial" w:hAnsi="Arial" w:eastAsia="等线" w:cs="Arial"/>
                <w:color w:val="000000"/>
                <w:sz w:val="22"/>
                <w:szCs w:val="22"/>
              </w:rPr>
            </w:pPr>
            <w:r>
              <w:rPr>
                <w:rFonts w:ascii="Arial" w:hAnsi="Arial" w:eastAsia="等线" w:cs="Arial"/>
                <w:color w:val="000000"/>
                <w:sz w:val="22"/>
                <w:szCs w:val="22"/>
              </w:rPr>
              <w:t>Item</w:t>
            </w:r>
          </w:p>
        </w:tc>
        <w:tc>
          <w:tcPr>
            <w:tcW w:w="1080" w:type="dxa"/>
            <w:tcBorders>
              <w:top w:val="single" w:color="000000" w:sz="12" w:space="0"/>
              <w:left w:val="nil"/>
              <w:bottom w:val="single" w:color="000000" w:sz="4" w:space="0"/>
              <w:right w:val="nil"/>
            </w:tcBorders>
            <w:shd w:val="clear" w:color="auto" w:fill="FFFFFF"/>
            <w:noWrap/>
            <w:vAlign w:val="center"/>
          </w:tcPr>
          <w:p w14:paraId="382C9C5C">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BM</w:t>
            </w:r>
          </w:p>
        </w:tc>
        <w:tc>
          <w:tcPr>
            <w:tcW w:w="2200" w:type="dxa"/>
            <w:tcBorders>
              <w:top w:val="single" w:color="000000" w:sz="12" w:space="0"/>
              <w:left w:val="nil"/>
              <w:bottom w:val="single" w:color="000000" w:sz="4" w:space="0"/>
              <w:right w:val="nil"/>
            </w:tcBorders>
            <w:shd w:val="clear" w:color="auto" w:fill="FFFFFF"/>
            <w:noWrap/>
            <w:vAlign w:val="center"/>
          </w:tcPr>
          <w:p w14:paraId="2277551C">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Clean amplicons</w:t>
            </w:r>
          </w:p>
        </w:tc>
        <w:tc>
          <w:tcPr>
            <w:tcW w:w="1080" w:type="dxa"/>
            <w:tcBorders>
              <w:top w:val="single" w:color="000000" w:sz="12" w:space="0"/>
              <w:left w:val="nil"/>
              <w:bottom w:val="single" w:color="000000" w:sz="4" w:space="0"/>
              <w:right w:val="nil"/>
            </w:tcBorders>
            <w:shd w:val="clear" w:color="auto" w:fill="FFFFFF"/>
            <w:noWrap/>
            <w:vAlign w:val="center"/>
          </w:tcPr>
          <w:p w14:paraId="5708C4EC">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ZOTU</w:t>
            </w:r>
          </w:p>
        </w:tc>
      </w:tr>
      <w:tr w14:paraId="3A760AE8">
        <w:tblPrEx>
          <w:tblCellMar>
            <w:top w:w="0" w:type="dxa"/>
            <w:left w:w="108" w:type="dxa"/>
            <w:bottom w:w="0" w:type="dxa"/>
            <w:right w:w="108" w:type="dxa"/>
          </w:tblCellMar>
        </w:tblPrEx>
        <w:trPr>
          <w:trHeight w:val="285" w:hRule="atLeast"/>
          <w:jc w:val="center"/>
        </w:trPr>
        <w:tc>
          <w:tcPr>
            <w:tcW w:w="0" w:type="auto"/>
            <w:tcBorders>
              <w:top w:val="single" w:color="000000" w:sz="4" w:space="0"/>
              <w:left w:val="nil"/>
              <w:bottom w:val="nil"/>
              <w:right w:val="nil"/>
            </w:tcBorders>
            <w:shd w:val="clear" w:color="auto" w:fill="FFFFFF"/>
            <w:noWrap/>
            <w:vAlign w:val="center"/>
          </w:tcPr>
          <w:p w14:paraId="31E78FBA">
            <w:pPr>
              <w:widowControl/>
              <w:jc w:val="left"/>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Mean</w:t>
            </w:r>
          </w:p>
        </w:tc>
        <w:tc>
          <w:tcPr>
            <w:tcW w:w="0" w:type="auto"/>
            <w:tcBorders>
              <w:top w:val="single" w:color="000000" w:sz="4" w:space="0"/>
              <w:left w:val="nil"/>
              <w:bottom w:val="nil"/>
              <w:right w:val="nil"/>
            </w:tcBorders>
            <w:shd w:val="clear" w:color="auto" w:fill="FFFFFF"/>
            <w:noWrap/>
            <w:vAlign w:val="center"/>
          </w:tcPr>
          <w:p w14:paraId="1B81982E">
            <w:pPr>
              <w:widowControl/>
              <w:jc w:val="center"/>
              <w:textAlignment w:val="center"/>
              <w:rPr>
                <w:rFonts w:ascii="Arial" w:hAnsi="Arial" w:eastAsia="等线" w:cs="Arial"/>
                <w:color w:val="000000"/>
                <w:szCs w:val="21"/>
              </w:rPr>
            </w:pPr>
            <w:r>
              <w:rPr>
                <w:rFonts w:ascii="Arial" w:hAnsi="Arial" w:eastAsia="等线" w:cs="Arial"/>
                <w:color w:val="000000"/>
                <w:kern w:val="0"/>
                <w:szCs w:val="21"/>
                <w:lang w:bidi="ar"/>
              </w:rPr>
              <w:t>41.0±3.80</w:t>
            </w:r>
          </w:p>
        </w:tc>
        <w:tc>
          <w:tcPr>
            <w:tcW w:w="0" w:type="auto"/>
            <w:tcBorders>
              <w:top w:val="single" w:color="000000" w:sz="4" w:space="0"/>
              <w:left w:val="nil"/>
              <w:bottom w:val="nil"/>
              <w:right w:val="nil"/>
            </w:tcBorders>
            <w:shd w:val="clear" w:color="auto" w:fill="FFFFFF"/>
            <w:noWrap/>
            <w:vAlign w:val="center"/>
          </w:tcPr>
          <w:p w14:paraId="55B7ECBC">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47905±10491</w:t>
            </w:r>
          </w:p>
        </w:tc>
        <w:tc>
          <w:tcPr>
            <w:tcW w:w="0" w:type="auto"/>
            <w:tcBorders>
              <w:top w:val="single" w:color="000000" w:sz="4" w:space="0"/>
              <w:left w:val="nil"/>
              <w:bottom w:val="nil"/>
              <w:right w:val="nil"/>
            </w:tcBorders>
            <w:shd w:val="clear" w:color="auto" w:fill="FFFFFF"/>
            <w:noWrap/>
            <w:vAlign w:val="center"/>
          </w:tcPr>
          <w:p w14:paraId="0C01C1D7">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6470</w:t>
            </w:r>
          </w:p>
        </w:tc>
      </w:tr>
      <w:tr w14:paraId="19976D0C">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FFFFFF"/>
            <w:noWrap/>
            <w:vAlign w:val="center"/>
          </w:tcPr>
          <w:p w14:paraId="5D8D29CA">
            <w:pPr>
              <w:widowControl/>
              <w:jc w:val="left"/>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Max</w:t>
            </w:r>
          </w:p>
        </w:tc>
        <w:tc>
          <w:tcPr>
            <w:tcW w:w="0" w:type="auto"/>
            <w:tcBorders>
              <w:top w:val="nil"/>
              <w:left w:val="nil"/>
              <w:bottom w:val="nil"/>
              <w:right w:val="nil"/>
            </w:tcBorders>
            <w:shd w:val="clear" w:color="auto" w:fill="FFFFFF"/>
            <w:noWrap/>
            <w:vAlign w:val="center"/>
          </w:tcPr>
          <w:p w14:paraId="0B891D7A">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48.0</w:t>
            </w:r>
          </w:p>
        </w:tc>
        <w:tc>
          <w:tcPr>
            <w:tcW w:w="0" w:type="auto"/>
            <w:tcBorders>
              <w:top w:val="nil"/>
              <w:left w:val="nil"/>
              <w:bottom w:val="nil"/>
              <w:right w:val="nil"/>
            </w:tcBorders>
            <w:shd w:val="clear" w:color="auto" w:fill="FFFFFF"/>
            <w:noWrap/>
            <w:vAlign w:val="center"/>
          </w:tcPr>
          <w:p w14:paraId="263C84CC">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67812</w:t>
            </w:r>
          </w:p>
        </w:tc>
        <w:tc>
          <w:tcPr>
            <w:tcW w:w="0" w:type="auto"/>
            <w:tcBorders>
              <w:top w:val="nil"/>
              <w:left w:val="nil"/>
              <w:bottom w:val="nil"/>
              <w:right w:val="nil"/>
            </w:tcBorders>
            <w:shd w:val="clear" w:color="auto" w:fill="FFFFFF"/>
            <w:noWrap/>
            <w:vAlign w:val="center"/>
          </w:tcPr>
          <w:p w14:paraId="7ABF57C7">
            <w:pPr>
              <w:jc w:val="center"/>
              <w:rPr>
                <w:rFonts w:ascii="Arial" w:hAnsi="Arial" w:eastAsia="等线" w:cs="Arial"/>
                <w:color w:val="000000"/>
                <w:sz w:val="22"/>
                <w:szCs w:val="22"/>
              </w:rPr>
            </w:pPr>
            <w:r>
              <w:rPr>
                <w:rFonts w:ascii="Arial" w:hAnsi="Arial" w:eastAsia="等线" w:cs="Arial"/>
                <w:color w:val="000000"/>
                <w:sz w:val="22"/>
                <w:szCs w:val="22"/>
              </w:rPr>
              <w:t>-</w:t>
            </w:r>
          </w:p>
        </w:tc>
      </w:tr>
      <w:tr w14:paraId="4282DD82">
        <w:tblPrEx>
          <w:tblCellMar>
            <w:top w:w="0" w:type="dxa"/>
            <w:left w:w="108" w:type="dxa"/>
            <w:bottom w:w="0" w:type="dxa"/>
            <w:right w:w="108" w:type="dxa"/>
          </w:tblCellMar>
        </w:tblPrEx>
        <w:trPr>
          <w:trHeight w:val="285" w:hRule="atLeast"/>
          <w:jc w:val="center"/>
        </w:trPr>
        <w:tc>
          <w:tcPr>
            <w:tcW w:w="0" w:type="auto"/>
            <w:tcBorders>
              <w:top w:val="nil"/>
              <w:left w:val="nil"/>
              <w:bottom w:val="single" w:color="000000" w:sz="12" w:space="0"/>
              <w:right w:val="nil"/>
            </w:tcBorders>
            <w:shd w:val="clear" w:color="auto" w:fill="FFFFFF"/>
            <w:noWrap/>
            <w:vAlign w:val="center"/>
          </w:tcPr>
          <w:p w14:paraId="613F33A8">
            <w:pPr>
              <w:widowControl/>
              <w:jc w:val="left"/>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Min</w:t>
            </w:r>
          </w:p>
        </w:tc>
        <w:tc>
          <w:tcPr>
            <w:tcW w:w="0" w:type="auto"/>
            <w:tcBorders>
              <w:top w:val="nil"/>
              <w:left w:val="nil"/>
              <w:bottom w:val="single" w:color="000000" w:sz="12" w:space="0"/>
              <w:right w:val="nil"/>
            </w:tcBorders>
            <w:shd w:val="clear" w:color="auto" w:fill="FFFFFF"/>
            <w:noWrap/>
            <w:vAlign w:val="center"/>
          </w:tcPr>
          <w:p w14:paraId="50ADAD1D">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35.1</w:t>
            </w:r>
          </w:p>
        </w:tc>
        <w:tc>
          <w:tcPr>
            <w:tcW w:w="0" w:type="auto"/>
            <w:tcBorders>
              <w:top w:val="nil"/>
              <w:left w:val="nil"/>
              <w:bottom w:val="single" w:color="000000" w:sz="12" w:space="0"/>
              <w:right w:val="nil"/>
            </w:tcBorders>
            <w:shd w:val="clear" w:color="auto" w:fill="FFFFFF"/>
            <w:noWrap/>
            <w:vAlign w:val="center"/>
          </w:tcPr>
          <w:p w14:paraId="31D71FC2">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18021</w:t>
            </w:r>
          </w:p>
        </w:tc>
        <w:tc>
          <w:tcPr>
            <w:tcW w:w="0" w:type="auto"/>
            <w:tcBorders>
              <w:top w:val="nil"/>
              <w:left w:val="nil"/>
              <w:bottom w:val="single" w:color="000000" w:sz="12" w:space="0"/>
              <w:right w:val="nil"/>
            </w:tcBorders>
            <w:shd w:val="clear" w:color="auto" w:fill="FFFFFF"/>
            <w:noWrap/>
            <w:vAlign w:val="center"/>
          </w:tcPr>
          <w:p w14:paraId="24EA105F">
            <w:pPr>
              <w:jc w:val="center"/>
              <w:rPr>
                <w:rFonts w:ascii="Arial" w:hAnsi="Arial" w:eastAsia="等线" w:cs="Arial"/>
                <w:color w:val="000000"/>
                <w:sz w:val="22"/>
                <w:szCs w:val="22"/>
              </w:rPr>
            </w:pPr>
            <w:r>
              <w:rPr>
                <w:rFonts w:ascii="Arial" w:hAnsi="Arial" w:eastAsia="等线" w:cs="Arial"/>
                <w:color w:val="000000"/>
                <w:sz w:val="22"/>
                <w:szCs w:val="22"/>
              </w:rPr>
              <w:t>-</w:t>
            </w:r>
          </w:p>
        </w:tc>
      </w:tr>
    </w:tbl>
    <w:p w14:paraId="3178ABA1">
      <w:pPr>
        <w:rPr>
          <w:rFonts w:ascii="Arial" w:hAnsi="Arial" w:cs="Arial"/>
        </w:rPr>
      </w:pPr>
      <w:r>
        <w:rPr>
          <w:rFonts w:ascii="Arial" w:hAnsi="Arial" w:cs="Arial"/>
        </w:rPr>
        <w:br w:type="page"/>
      </w:r>
    </w:p>
    <w:p w14:paraId="7D5D0C70">
      <w:pPr>
        <w:jc w:val="center"/>
        <w:rPr>
          <w:rFonts w:ascii="Arial" w:hAnsi="Arial" w:cs="Arial"/>
        </w:rPr>
      </w:pPr>
      <w:r>
        <w:rPr>
          <w:rFonts w:hint="eastAsia" w:ascii="Arial" w:hAnsi="Arial" w:cs="Arial"/>
        </w:rPr>
        <w:t xml:space="preserve">Table S2. Rumen metagenomic sequences in the rumen of lambs with low (LLDH) and high (HLDH) </w:t>
      </w:r>
      <w:r>
        <w:rPr>
          <w:rFonts w:hint="eastAsia" w:ascii="Arial" w:hAnsi="Arial" w:cs="Arial"/>
          <w:i/>
          <w:iCs/>
        </w:rPr>
        <w:t xml:space="preserve">ldh </w:t>
      </w:r>
      <w:r>
        <w:rPr>
          <w:rFonts w:hint="eastAsia" w:ascii="Arial" w:hAnsi="Arial" w:cs="Arial"/>
        </w:rPr>
        <w:t>gene abundance (mean±SE, n = 6)</w:t>
      </w:r>
    </w:p>
    <w:tbl>
      <w:tblPr>
        <w:tblStyle w:val="2"/>
        <w:tblW w:w="7988" w:type="dxa"/>
        <w:jc w:val="center"/>
        <w:tblLayout w:type="autofit"/>
        <w:tblCellMar>
          <w:top w:w="0" w:type="dxa"/>
          <w:left w:w="108" w:type="dxa"/>
          <w:bottom w:w="0" w:type="dxa"/>
          <w:right w:w="108" w:type="dxa"/>
        </w:tblCellMar>
      </w:tblPr>
      <w:tblGrid>
        <w:gridCol w:w="2357"/>
        <w:gridCol w:w="2367"/>
        <w:gridCol w:w="2367"/>
        <w:gridCol w:w="1080"/>
      </w:tblGrid>
      <w:tr w14:paraId="266B0E08">
        <w:tblPrEx>
          <w:tblCellMar>
            <w:top w:w="0" w:type="dxa"/>
            <w:left w:w="108" w:type="dxa"/>
            <w:bottom w:w="0" w:type="dxa"/>
            <w:right w:w="108" w:type="dxa"/>
          </w:tblCellMar>
        </w:tblPrEx>
        <w:trPr>
          <w:trHeight w:val="285" w:hRule="atLeast"/>
          <w:jc w:val="center"/>
        </w:trPr>
        <w:tc>
          <w:tcPr>
            <w:tcW w:w="2357" w:type="dxa"/>
            <w:tcBorders>
              <w:top w:val="single" w:color="000000" w:sz="12" w:space="0"/>
              <w:left w:val="nil"/>
              <w:bottom w:val="single" w:color="000000" w:sz="4" w:space="0"/>
              <w:right w:val="nil"/>
              <w:tl2br w:val="nil"/>
            </w:tcBorders>
            <w:shd w:val="clear" w:color="auto" w:fill="FFFFFF"/>
            <w:noWrap/>
            <w:vAlign w:val="center"/>
          </w:tcPr>
          <w:p w14:paraId="75B3136E">
            <w:pPr>
              <w:jc w:val="left"/>
              <w:rPr>
                <w:rFonts w:ascii="Arial" w:hAnsi="Arial" w:eastAsia="等线" w:cs="Arial"/>
                <w:color w:val="000000"/>
                <w:sz w:val="22"/>
                <w:szCs w:val="22"/>
              </w:rPr>
            </w:pPr>
            <w:r>
              <w:rPr>
                <w:rFonts w:ascii="Arial" w:hAnsi="Arial" w:eastAsia="等线" w:cs="Arial"/>
                <w:color w:val="000000"/>
                <w:sz w:val="22"/>
                <w:szCs w:val="22"/>
              </w:rPr>
              <w:t>Item</w:t>
            </w:r>
          </w:p>
        </w:tc>
        <w:tc>
          <w:tcPr>
            <w:tcW w:w="2317" w:type="dxa"/>
            <w:tcBorders>
              <w:top w:val="single" w:color="000000" w:sz="12" w:space="0"/>
              <w:left w:val="nil"/>
              <w:bottom w:val="single" w:color="000000" w:sz="4" w:space="0"/>
              <w:right w:val="nil"/>
            </w:tcBorders>
            <w:shd w:val="clear" w:color="auto" w:fill="FFFFFF"/>
            <w:noWrap/>
            <w:vAlign w:val="center"/>
          </w:tcPr>
          <w:p w14:paraId="71FD4EC8">
            <w:pPr>
              <w:widowControl/>
              <w:jc w:val="center"/>
              <w:textAlignment w:val="center"/>
              <w:rPr>
                <w:rFonts w:ascii="Arial" w:hAnsi="Arial" w:eastAsia="等线" w:cs="Arial"/>
                <w:color w:val="000000"/>
                <w:sz w:val="22"/>
                <w:szCs w:val="22"/>
              </w:rPr>
            </w:pPr>
            <w:r>
              <w:rPr>
                <w:rFonts w:hint="eastAsia" w:ascii="Arial" w:hAnsi="Arial" w:eastAsia="等线" w:cs="Arial"/>
                <w:color w:val="000000"/>
                <w:kern w:val="0"/>
                <w:sz w:val="22"/>
                <w:szCs w:val="22"/>
                <w:lang w:bidi="ar"/>
              </w:rPr>
              <w:t>LLDH</w:t>
            </w:r>
          </w:p>
        </w:tc>
        <w:tc>
          <w:tcPr>
            <w:tcW w:w="2234" w:type="dxa"/>
            <w:tcBorders>
              <w:top w:val="single" w:color="000000" w:sz="12" w:space="0"/>
              <w:left w:val="nil"/>
              <w:bottom w:val="single" w:color="000000" w:sz="4" w:space="0"/>
              <w:right w:val="nil"/>
            </w:tcBorders>
            <w:shd w:val="clear" w:color="auto" w:fill="FFFFFF"/>
            <w:noWrap/>
            <w:vAlign w:val="center"/>
          </w:tcPr>
          <w:p w14:paraId="1DC4372F">
            <w:pPr>
              <w:widowControl/>
              <w:jc w:val="center"/>
              <w:textAlignment w:val="center"/>
              <w:rPr>
                <w:rFonts w:ascii="Arial" w:hAnsi="Arial" w:eastAsia="等线" w:cs="Arial"/>
                <w:color w:val="000000"/>
                <w:sz w:val="22"/>
                <w:szCs w:val="22"/>
              </w:rPr>
            </w:pPr>
            <w:r>
              <w:rPr>
                <w:rFonts w:hint="eastAsia" w:ascii="Arial" w:hAnsi="Arial" w:eastAsia="等线" w:cs="Arial"/>
                <w:color w:val="000000"/>
                <w:kern w:val="0"/>
                <w:sz w:val="22"/>
                <w:szCs w:val="22"/>
                <w:lang w:bidi="ar"/>
              </w:rPr>
              <w:t>HLDH</w:t>
            </w:r>
          </w:p>
        </w:tc>
        <w:tc>
          <w:tcPr>
            <w:tcW w:w="1080" w:type="dxa"/>
            <w:tcBorders>
              <w:top w:val="single" w:color="000000" w:sz="12" w:space="0"/>
              <w:left w:val="nil"/>
              <w:bottom w:val="single" w:color="000000" w:sz="4" w:space="0"/>
              <w:right w:val="nil"/>
            </w:tcBorders>
            <w:shd w:val="clear" w:color="auto" w:fill="FFFFFF"/>
            <w:noWrap/>
            <w:vAlign w:val="center"/>
          </w:tcPr>
          <w:p w14:paraId="0B85C88A">
            <w:pPr>
              <w:widowControl/>
              <w:jc w:val="center"/>
              <w:textAlignment w:val="center"/>
              <w:rPr>
                <w:rFonts w:ascii="Arial" w:hAnsi="Arial" w:eastAsia="等线" w:cs="Arial"/>
                <w:color w:val="000000"/>
                <w:sz w:val="22"/>
                <w:szCs w:val="22"/>
              </w:rPr>
            </w:pPr>
            <w:r>
              <w:rPr>
                <w:rFonts w:ascii="Arial" w:hAnsi="Arial" w:eastAsia="等线" w:cs="Arial"/>
                <w:i/>
                <w:iCs/>
                <w:color w:val="000000"/>
                <w:kern w:val="0"/>
                <w:sz w:val="22"/>
                <w:szCs w:val="22"/>
                <w:lang w:bidi="ar"/>
              </w:rPr>
              <w:t>P</w:t>
            </w:r>
            <w:r>
              <w:rPr>
                <w:rFonts w:ascii="Arial" w:hAnsi="Arial" w:eastAsia="等线" w:cs="Arial"/>
                <w:color w:val="000000"/>
                <w:kern w:val="0"/>
                <w:sz w:val="22"/>
                <w:szCs w:val="22"/>
                <w:lang w:bidi="ar"/>
              </w:rPr>
              <w:t>-value</w:t>
            </w:r>
          </w:p>
        </w:tc>
      </w:tr>
      <w:tr w14:paraId="37268DD4">
        <w:tblPrEx>
          <w:tblCellMar>
            <w:top w:w="0" w:type="dxa"/>
            <w:left w:w="108" w:type="dxa"/>
            <w:bottom w:w="0" w:type="dxa"/>
            <w:right w:w="108" w:type="dxa"/>
          </w:tblCellMar>
        </w:tblPrEx>
        <w:trPr>
          <w:trHeight w:val="285" w:hRule="atLeast"/>
          <w:jc w:val="center"/>
        </w:trPr>
        <w:tc>
          <w:tcPr>
            <w:tcW w:w="4674" w:type="dxa"/>
            <w:gridSpan w:val="2"/>
            <w:tcBorders>
              <w:top w:val="single" w:color="000000" w:sz="4" w:space="0"/>
              <w:left w:val="nil"/>
              <w:bottom w:val="nil"/>
              <w:right w:val="nil"/>
            </w:tcBorders>
            <w:shd w:val="clear" w:color="auto" w:fill="FFFFFF"/>
            <w:noWrap/>
            <w:vAlign w:val="center"/>
          </w:tcPr>
          <w:p w14:paraId="74060FB6">
            <w:pPr>
              <w:widowControl/>
              <w:textAlignment w:val="center"/>
              <w:rPr>
                <w:rFonts w:ascii="Arial" w:hAnsi="Arial" w:eastAsia="等线" w:cs="Arial"/>
                <w:color w:val="000000"/>
                <w:szCs w:val="21"/>
              </w:rPr>
            </w:pPr>
            <w:r>
              <w:rPr>
                <w:rFonts w:hint="eastAsia" w:ascii="Arial" w:hAnsi="Arial" w:eastAsia="等线" w:cs="Arial"/>
                <w:color w:val="000000"/>
                <w:sz w:val="22"/>
                <w:szCs w:val="22"/>
              </w:rPr>
              <w:t>Total short sequences</w:t>
            </w:r>
          </w:p>
        </w:tc>
        <w:tc>
          <w:tcPr>
            <w:tcW w:w="0" w:type="auto"/>
            <w:tcBorders>
              <w:top w:val="single" w:color="000000" w:sz="4" w:space="0"/>
              <w:left w:val="nil"/>
              <w:bottom w:val="nil"/>
              <w:right w:val="nil"/>
            </w:tcBorders>
            <w:shd w:val="clear" w:color="auto" w:fill="FFFFFF"/>
            <w:noWrap/>
            <w:vAlign w:val="center"/>
          </w:tcPr>
          <w:p w14:paraId="2795ABE9">
            <w:pPr>
              <w:widowControl/>
              <w:jc w:val="center"/>
              <w:textAlignment w:val="center"/>
              <w:rPr>
                <w:rFonts w:ascii="Arial" w:hAnsi="Arial" w:eastAsia="等线" w:cs="Arial"/>
                <w:color w:val="000000"/>
                <w:sz w:val="22"/>
                <w:szCs w:val="22"/>
              </w:rPr>
            </w:pPr>
          </w:p>
        </w:tc>
        <w:tc>
          <w:tcPr>
            <w:tcW w:w="0" w:type="auto"/>
            <w:tcBorders>
              <w:top w:val="single" w:color="000000" w:sz="4" w:space="0"/>
              <w:left w:val="nil"/>
              <w:bottom w:val="nil"/>
              <w:right w:val="nil"/>
            </w:tcBorders>
            <w:shd w:val="clear" w:color="auto" w:fill="FFFFFF"/>
            <w:noWrap/>
            <w:vAlign w:val="center"/>
          </w:tcPr>
          <w:p w14:paraId="33F0C79C">
            <w:pPr>
              <w:widowControl/>
              <w:jc w:val="center"/>
              <w:textAlignment w:val="center"/>
              <w:rPr>
                <w:rFonts w:ascii="Arial" w:hAnsi="Arial" w:eastAsia="等线" w:cs="Arial"/>
                <w:color w:val="000000"/>
                <w:sz w:val="22"/>
                <w:szCs w:val="22"/>
              </w:rPr>
            </w:pPr>
          </w:p>
        </w:tc>
      </w:tr>
      <w:tr w14:paraId="1C72C5E6">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l2br w:val="nil"/>
            </w:tcBorders>
            <w:shd w:val="clear" w:color="auto" w:fill="FFFFFF"/>
            <w:noWrap/>
            <w:vAlign w:val="center"/>
          </w:tcPr>
          <w:p w14:paraId="5D1BD5E8">
            <w:pPr>
              <w:widowControl/>
              <w:ind w:firstLine="220" w:firstLineChars="100"/>
              <w:jc w:val="left"/>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Mean</w:t>
            </w:r>
          </w:p>
        </w:tc>
        <w:tc>
          <w:tcPr>
            <w:tcW w:w="0" w:type="auto"/>
            <w:tcBorders>
              <w:top w:val="nil"/>
              <w:left w:val="nil"/>
              <w:bottom w:val="nil"/>
              <w:right w:val="nil"/>
            </w:tcBorders>
            <w:shd w:val="clear" w:color="auto" w:fill="FFFFFF"/>
            <w:noWrap/>
            <w:vAlign w:val="center"/>
          </w:tcPr>
          <w:p w14:paraId="0FEA0199">
            <w:pPr>
              <w:widowControl/>
              <w:jc w:val="center"/>
              <w:textAlignment w:val="center"/>
              <w:rPr>
                <w:rFonts w:ascii="Arial" w:hAnsi="Arial" w:eastAsia="等线" w:cs="Arial"/>
                <w:color w:val="000000"/>
                <w:szCs w:val="21"/>
              </w:rPr>
            </w:pPr>
            <w:r>
              <w:rPr>
                <w:rFonts w:ascii="Arial" w:hAnsi="Arial" w:eastAsia="等线" w:cs="Arial"/>
                <w:color w:val="000000"/>
                <w:kern w:val="0"/>
                <w:szCs w:val="21"/>
                <w:lang w:bidi="ar"/>
              </w:rPr>
              <w:t>50,913,323±6,870,447</w:t>
            </w:r>
          </w:p>
        </w:tc>
        <w:tc>
          <w:tcPr>
            <w:tcW w:w="0" w:type="auto"/>
            <w:tcBorders>
              <w:top w:val="nil"/>
              <w:left w:val="nil"/>
              <w:bottom w:val="nil"/>
              <w:right w:val="nil"/>
            </w:tcBorders>
            <w:shd w:val="clear" w:color="auto" w:fill="FFFFFF"/>
            <w:noWrap/>
            <w:vAlign w:val="center"/>
          </w:tcPr>
          <w:p w14:paraId="1F4BF5AB">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35,048,383±275,364</w:t>
            </w:r>
          </w:p>
        </w:tc>
        <w:tc>
          <w:tcPr>
            <w:tcW w:w="0" w:type="auto"/>
            <w:tcBorders>
              <w:top w:val="nil"/>
              <w:left w:val="nil"/>
              <w:bottom w:val="nil"/>
              <w:right w:val="nil"/>
            </w:tcBorders>
            <w:shd w:val="clear" w:color="auto" w:fill="FFFFFF"/>
            <w:noWrap/>
            <w:vAlign w:val="center"/>
          </w:tcPr>
          <w:p w14:paraId="401C659B">
            <w:pPr>
              <w:widowControl/>
              <w:jc w:val="center"/>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0.055</w:t>
            </w:r>
          </w:p>
        </w:tc>
      </w:tr>
      <w:tr w14:paraId="647D684A">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FFFFFF"/>
            <w:noWrap/>
            <w:vAlign w:val="center"/>
          </w:tcPr>
          <w:p w14:paraId="7A1ED32E">
            <w:pPr>
              <w:widowControl/>
              <w:ind w:firstLine="220" w:firstLineChars="100"/>
              <w:jc w:val="left"/>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Max</w:t>
            </w:r>
          </w:p>
        </w:tc>
        <w:tc>
          <w:tcPr>
            <w:tcW w:w="0" w:type="auto"/>
            <w:tcBorders>
              <w:top w:val="nil"/>
              <w:left w:val="nil"/>
              <w:bottom w:val="nil"/>
              <w:right w:val="nil"/>
            </w:tcBorders>
            <w:shd w:val="clear" w:color="auto" w:fill="FFFFFF"/>
            <w:noWrap/>
            <w:vAlign w:val="center"/>
          </w:tcPr>
          <w:p w14:paraId="0B98889F">
            <w:pPr>
              <w:widowControl/>
              <w:jc w:val="center"/>
              <w:textAlignment w:val="center"/>
              <w:rPr>
                <w:rFonts w:ascii="Arial" w:hAnsi="Arial" w:eastAsia="等线" w:cs="Arial"/>
                <w:color w:val="000000"/>
                <w:sz w:val="22"/>
                <w:szCs w:val="22"/>
              </w:rPr>
            </w:pPr>
            <w:r>
              <w:rPr>
                <w:rFonts w:hint="eastAsia" w:ascii="Arial" w:hAnsi="Arial" w:eastAsia="等线" w:cs="Arial"/>
                <w:color w:val="000000"/>
                <w:kern w:val="0"/>
                <w:sz w:val="22"/>
                <w:szCs w:val="22"/>
                <w:lang w:bidi="ar"/>
              </w:rPr>
              <w:t>83,147,122</w:t>
            </w:r>
          </w:p>
        </w:tc>
        <w:tc>
          <w:tcPr>
            <w:tcW w:w="0" w:type="auto"/>
            <w:tcBorders>
              <w:top w:val="nil"/>
              <w:left w:val="nil"/>
              <w:bottom w:val="nil"/>
              <w:right w:val="nil"/>
            </w:tcBorders>
            <w:shd w:val="clear" w:color="auto" w:fill="FFFFFF"/>
            <w:noWrap/>
            <w:vAlign w:val="center"/>
          </w:tcPr>
          <w:p w14:paraId="75BDE771">
            <w:pPr>
              <w:widowControl/>
              <w:jc w:val="center"/>
              <w:textAlignment w:val="center"/>
              <w:rPr>
                <w:rFonts w:ascii="Arial" w:hAnsi="Arial" w:eastAsia="等线" w:cs="Arial"/>
                <w:color w:val="000000"/>
                <w:sz w:val="22"/>
                <w:szCs w:val="22"/>
              </w:rPr>
            </w:pPr>
            <w:r>
              <w:rPr>
                <w:rFonts w:hint="eastAsia" w:ascii="Arial" w:hAnsi="Arial" w:eastAsia="等线" w:cs="Arial"/>
                <w:color w:val="000000"/>
                <w:kern w:val="0"/>
                <w:sz w:val="22"/>
                <w:szCs w:val="22"/>
                <w:lang w:bidi="ar"/>
              </w:rPr>
              <w:t>41,938,644</w:t>
            </w:r>
          </w:p>
        </w:tc>
        <w:tc>
          <w:tcPr>
            <w:tcW w:w="0" w:type="auto"/>
            <w:tcBorders>
              <w:top w:val="nil"/>
              <w:left w:val="nil"/>
              <w:bottom w:val="nil"/>
              <w:right w:val="nil"/>
            </w:tcBorders>
            <w:shd w:val="clear" w:color="auto" w:fill="FFFFFF"/>
            <w:noWrap/>
            <w:vAlign w:val="center"/>
          </w:tcPr>
          <w:p w14:paraId="1164D649">
            <w:pPr>
              <w:jc w:val="center"/>
              <w:rPr>
                <w:rFonts w:ascii="Arial" w:hAnsi="Arial" w:eastAsia="等线" w:cs="Arial"/>
                <w:color w:val="000000"/>
                <w:sz w:val="22"/>
                <w:szCs w:val="22"/>
              </w:rPr>
            </w:pPr>
            <w:r>
              <w:rPr>
                <w:rFonts w:hint="eastAsia" w:ascii="Arial" w:hAnsi="Arial" w:eastAsia="等线" w:cs="Arial"/>
                <w:color w:val="000000"/>
                <w:sz w:val="22"/>
                <w:szCs w:val="22"/>
              </w:rPr>
              <w:t>-</w:t>
            </w:r>
          </w:p>
        </w:tc>
      </w:tr>
      <w:tr w14:paraId="1546E639">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FFFFFF"/>
            <w:noWrap/>
            <w:vAlign w:val="center"/>
          </w:tcPr>
          <w:p w14:paraId="3A16BA72">
            <w:pPr>
              <w:widowControl/>
              <w:ind w:firstLine="220" w:firstLineChars="100"/>
              <w:jc w:val="left"/>
              <w:textAlignment w:val="center"/>
              <w:rPr>
                <w:rFonts w:ascii="Arial" w:hAnsi="Arial" w:eastAsia="等线" w:cs="Arial"/>
                <w:color w:val="000000"/>
                <w:sz w:val="22"/>
                <w:szCs w:val="22"/>
              </w:rPr>
            </w:pPr>
            <w:r>
              <w:rPr>
                <w:rFonts w:ascii="Arial" w:hAnsi="Arial" w:eastAsia="等线" w:cs="Arial"/>
                <w:color w:val="000000"/>
                <w:kern w:val="0"/>
                <w:sz w:val="22"/>
                <w:szCs w:val="22"/>
                <w:lang w:bidi="ar"/>
              </w:rPr>
              <w:t>Min</w:t>
            </w:r>
          </w:p>
        </w:tc>
        <w:tc>
          <w:tcPr>
            <w:tcW w:w="0" w:type="auto"/>
            <w:tcBorders>
              <w:top w:val="nil"/>
              <w:left w:val="nil"/>
              <w:bottom w:val="nil"/>
              <w:right w:val="nil"/>
            </w:tcBorders>
            <w:shd w:val="clear" w:color="auto" w:fill="FFFFFF"/>
            <w:noWrap/>
            <w:vAlign w:val="center"/>
          </w:tcPr>
          <w:p w14:paraId="14FB7FE8">
            <w:pPr>
              <w:widowControl/>
              <w:jc w:val="center"/>
              <w:textAlignment w:val="center"/>
              <w:rPr>
                <w:rFonts w:ascii="Arial" w:hAnsi="Arial" w:eastAsia="等线" w:cs="Arial"/>
                <w:color w:val="000000"/>
                <w:sz w:val="22"/>
                <w:szCs w:val="22"/>
              </w:rPr>
            </w:pPr>
            <w:r>
              <w:rPr>
                <w:rFonts w:hint="eastAsia" w:ascii="Arial" w:hAnsi="Arial" w:eastAsia="等线" w:cs="Arial"/>
                <w:color w:val="000000"/>
                <w:kern w:val="0"/>
                <w:sz w:val="22"/>
                <w:szCs w:val="22"/>
                <w:lang w:bidi="ar"/>
              </w:rPr>
              <w:t>26,328,568</w:t>
            </w:r>
          </w:p>
        </w:tc>
        <w:tc>
          <w:tcPr>
            <w:tcW w:w="0" w:type="auto"/>
            <w:tcBorders>
              <w:top w:val="nil"/>
              <w:left w:val="nil"/>
              <w:bottom w:val="nil"/>
              <w:right w:val="nil"/>
            </w:tcBorders>
            <w:shd w:val="clear" w:color="auto" w:fill="FFFFFF"/>
            <w:noWrap/>
            <w:vAlign w:val="center"/>
          </w:tcPr>
          <w:p w14:paraId="0F66AE9E">
            <w:pPr>
              <w:widowControl/>
              <w:jc w:val="center"/>
              <w:textAlignment w:val="center"/>
              <w:rPr>
                <w:rFonts w:ascii="Arial" w:hAnsi="Arial" w:eastAsia="等线" w:cs="Arial"/>
                <w:color w:val="000000"/>
                <w:sz w:val="22"/>
                <w:szCs w:val="22"/>
              </w:rPr>
            </w:pPr>
            <w:r>
              <w:rPr>
                <w:rFonts w:hint="eastAsia" w:ascii="Arial" w:hAnsi="Arial" w:eastAsia="等线" w:cs="Arial"/>
                <w:color w:val="000000"/>
                <w:kern w:val="0"/>
                <w:sz w:val="22"/>
                <w:szCs w:val="22"/>
                <w:lang w:bidi="ar"/>
              </w:rPr>
              <w:t>37,117,202</w:t>
            </w:r>
          </w:p>
        </w:tc>
        <w:tc>
          <w:tcPr>
            <w:tcW w:w="0" w:type="auto"/>
            <w:tcBorders>
              <w:top w:val="nil"/>
              <w:left w:val="nil"/>
              <w:bottom w:val="nil"/>
              <w:right w:val="nil"/>
            </w:tcBorders>
            <w:shd w:val="clear" w:color="auto" w:fill="FFFFFF"/>
            <w:noWrap/>
            <w:vAlign w:val="center"/>
          </w:tcPr>
          <w:p w14:paraId="714593E0">
            <w:pPr>
              <w:jc w:val="center"/>
              <w:rPr>
                <w:rFonts w:ascii="Arial" w:hAnsi="Arial" w:eastAsia="等线" w:cs="Arial"/>
                <w:color w:val="000000"/>
                <w:sz w:val="22"/>
                <w:szCs w:val="22"/>
              </w:rPr>
            </w:pPr>
            <w:r>
              <w:rPr>
                <w:rFonts w:hint="eastAsia" w:ascii="Arial" w:hAnsi="Arial" w:eastAsia="等线" w:cs="Arial"/>
                <w:color w:val="000000"/>
                <w:sz w:val="22"/>
                <w:szCs w:val="22"/>
              </w:rPr>
              <w:t>-</w:t>
            </w:r>
          </w:p>
        </w:tc>
      </w:tr>
      <w:tr w14:paraId="78734E86">
        <w:tblPrEx>
          <w:tblCellMar>
            <w:top w:w="0" w:type="dxa"/>
            <w:left w:w="108" w:type="dxa"/>
            <w:bottom w:w="0" w:type="dxa"/>
            <w:right w:w="108" w:type="dxa"/>
          </w:tblCellMar>
        </w:tblPrEx>
        <w:trPr>
          <w:trHeight w:val="287" w:hRule="atLeast"/>
          <w:jc w:val="center"/>
        </w:trPr>
        <w:tc>
          <w:tcPr>
            <w:tcW w:w="4674" w:type="dxa"/>
            <w:gridSpan w:val="2"/>
            <w:tcBorders>
              <w:top w:val="nil"/>
              <w:left w:val="nil"/>
              <w:bottom w:val="nil"/>
              <w:right w:val="nil"/>
            </w:tcBorders>
            <w:shd w:val="clear" w:color="auto" w:fill="FFFFFF"/>
            <w:noWrap/>
            <w:vAlign w:val="center"/>
          </w:tcPr>
          <w:p w14:paraId="5BFAD745">
            <w:pPr>
              <w:widowControl/>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Short sequences labeled as SSU</w:t>
            </w:r>
          </w:p>
        </w:tc>
        <w:tc>
          <w:tcPr>
            <w:tcW w:w="0" w:type="auto"/>
            <w:tcBorders>
              <w:top w:val="nil"/>
              <w:left w:val="nil"/>
              <w:bottom w:val="nil"/>
              <w:right w:val="nil"/>
            </w:tcBorders>
            <w:shd w:val="clear" w:color="auto" w:fill="FFFFFF"/>
            <w:noWrap/>
            <w:vAlign w:val="center"/>
          </w:tcPr>
          <w:p w14:paraId="4121659B">
            <w:pPr>
              <w:widowControl/>
              <w:jc w:val="center"/>
              <w:textAlignment w:val="center"/>
              <w:rPr>
                <w:rFonts w:ascii="Arial" w:hAnsi="Arial" w:eastAsia="等线" w:cs="Arial"/>
                <w:color w:val="000000"/>
                <w:kern w:val="0"/>
                <w:sz w:val="22"/>
                <w:szCs w:val="22"/>
                <w:lang w:bidi="ar"/>
              </w:rPr>
            </w:pPr>
          </w:p>
        </w:tc>
        <w:tc>
          <w:tcPr>
            <w:tcW w:w="0" w:type="auto"/>
            <w:tcBorders>
              <w:top w:val="nil"/>
              <w:left w:val="nil"/>
              <w:bottom w:val="nil"/>
              <w:right w:val="nil"/>
            </w:tcBorders>
            <w:shd w:val="clear" w:color="auto" w:fill="FFFFFF"/>
            <w:noWrap/>
            <w:vAlign w:val="center"/>
          </w:tcPr>
          <w:p w14:paraId="3943C898">
            <w:pPr>
              <w:jc w:val="center"/>
              <w:rPr>
                <w:rFonts w:ascii="Arial" w:hAnsi="Arial" w:eastAsia="等线" w:cs="Arial"/>
                <w:color w:val="000000"/>
                <w:sz w:val="22"/>
                <w:szCs w:val="22"/>
              </w:rPr>
            </w:pPr>
          </w:p>
        </w:tc>
      </w:tr>
      <w:tr w14:paraId="17AB6A28">
        <w:tblPrEx>
          <w:tblCellMar>
            <w:top w:w="0" w:type="dxa"/>
            <w:left w:w="108" w:type="dxa"/>
            <w:bottom w:w="0" w:type="dxa"/>
            <w:right w:w="108" w:type="dxa"/>
          </w:tblCellMar>
        </w:tblPrEx>
        <w:trPr>
          <w:trHeight w:val="285" w:hRule="atLeast"/>
          <w:jc w:val="center"/>
        </w:trPr>
        <w:tc>
          <w:tcPr>
            <w:tcW w:w="2357" w:type="dxa"/>
            <w:tcBorders>
              <w:top w:val="nil"/>
              <w:left w:val="nil"/>
              <w:bottom w:val="nil"/>
              <w:right w:val="nil"/>
            </w:tcBorders>
            <w:shd w:val="clear" w:color="auto" w:fill="FFFFFF"/>
            <w:noWrap/>
            <w:vAlign w:val="center"/>
          </w:tcPr>
          <w:p w14:paraId="7A986CAD">
            <w:pPr>
              <w:widowControl/>
              <w:ind w:firstLine="220" w:firstLineChars="100"/>
              <w:jc w:val="left"/>
              <w:textAlignment w:val="center"/>
              <w:rPr>
                <w:rFonts w:ascii="Arial" w:hAnsi="Arial" w:eastAsia="等线" w:cs="Arial"/>
                <w:color w:val="000000"/>
                <w:kern w:val="0"/>
                <w:sz w:val="22"/>
                <w:szCs w:val="22"/>
                <w:lang w:bidi="ar"/>
              </w:rPr>
            </w:pPr>
            <w:r>
              <w:rPr>
                <w:rFonts w:ascii="Arial" w:hAnsi="Arial" w:eastAsia="等线" w:cs="Arial"/>
                <w:color w:val="000000"/>
                <w:kern w:val="0"/>
                <w:sz w:val="22"/>
                <w:szCs w:val="22"/>
                <w:lang w:bidi="ar"/>
              </w:rPr>
              <w:t>Mean</w:t>
            </w:r>
          </w:p>
        </w:tc>
        <w:tc>
          <w:tcPr>
            <w:tcW w:w="0" w:type="auto"/>
            <w:tcBorders>
              <w:top w:val="nil"/>
              <w:left w:val="nil"/>
              <w:bottom w:val="nil"/>
              <w:right w:val="nil"/>
            </w:tcBorders>
            <w:shd w:val="clear" w:color="auto" w:fill="FFFFFF"/>
            <w:noWrap/>
            <w:vAlign w:val="center"/>
          </w:tcPr>
          <w:p w14:paraId="448E2EBF">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148,175</w:t>
            </w:r>
            <w:r>
              <w:rPr>
                <w:rFonts w:ascii="Arial" w:hAnsi="Arial" w:eastAsia="等线" w:cs="Arial"/>
                <w:color w:val="000000"/>
                <w:kern w:val="0"/>
                <w:szCs w:val="21"/>
                <w:lang w:bidi="ar"/>
              </w:rPr>
              <w:t>±</w:t>
            </w:r>
            <w:r>
              <w:rPr>
                <w:rFonts w:hint="eastAsia" w:ascii="Arial" w:hAnsi="Arial" w:eastAsia="等线" w:cs="Arial"/>
                <w:color w:val="000000"/>
                <w:kern w:val="0"/>
                <w:szCs w:val="21"/>
                <w:lang w:bidi="ar"/>
              </w:rPr>
              <w:t>20,513</w:t>
            </w:r>
          </w:p>
        </w:tc>
        <w:tc>
          <w:tcPr>
            <w:tcW w:w="0" w:type="auto"/>
            <w:tcBorders>
              <w:top w:val="nil"/>
              <w:left w:val="nil"/>
              <w:bottom w:val="nil"/>
              <w:right w:val="nil"/>
            </w:tcBorders>
            <w:shd w:val="clear" w:color="auto" w:fill="FFFFFF"/>
            <w:noWrap/>
            <w:vAlign w:val="center"/>
          </w:tcPr>
          <w:p w14:paraId="1DA41FA5">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105,375</w:t>
            </w:r>
            <w:r>
              <w:rPr>
                <w:rFonts w:ascii="Arial" w:hAnsi="Arial" w:eastAsia="等线" w:cs="Arial"/>
                <w:color w:val="000000"/>
                <w:kern w:val="0"/>
                <w:szCs w:val="21"/>
                <w:lang w:bidi="ar"/>
              </w:rPr>
              <w:t>±</w:t>
            </w:r>
            <w:r>
              <w:rPr>
                <w:rFonts w:hint="eastAsia" w:ascii="Arial" w:hAnsi="Arial" w:eastAsia="等线" w:cs="Arial"/>
                <w:color w:val="000000"/>
                <w:kern w:val="0"/>
                <w:szCs w:val="21"/>
                <w:lang w:bidi="ar"/>
              </w:rPr>
              <w:t>6,373</w:t>
            </w:r>
          </w:p>
        </w:tc>
        <w:tc>
          <w:tcPr>
            <w:tcW w:w="0" w:type="auto"/>
            <w:tcBorders>
              <w:top w:val="nil"/>
              <w:left w:val="nil"/>
              <w:bottom w:val="nil"/>
              <w:right w:val="nil"/>
            </w:tcBorders>
            <w:shd w:val="clear" w:color="auto" w:fill="FFFFFF"/>
            <w:noWrap/>
            <w:vAlign w:val="center"/>
          </w:tcPr>
          <w:p w14:paraId="3C5EB0A4">
            <w:pPr>
              <w:jc w:val="center"/>
              <w:rPr>
                <w:rFonts w:ascii="Arial" w:hAnsi="Arial" w:eastAsia="等线" w:cs="Arial"/>
                <w:color w:val="000000"/>
                <w:sz w:val="22"/>
                <w:szCs w:val="22"/>
              </w:rPr>
            </w:pPr>
            <w:r>
              <w:rPr>
                <w:rFonts w:hint="eastAsia" w:ascii="Arial" w:hAnsi="Arial" w:eastAsia="等线" w:cs="Arial"/>
                <w:color w:val="000000"/>
                <w:sz w:val="22"/>
                <w:szCs w:val="22"/>
              </w:rPr>
              <w:t>0.09</w:t>
            </w:r>
          </w:p>
        </w:tc>
      </w:tr>
      <w:tr w14:paraId="5D4432E6">
        <w:tblPrEx>
          <w:tblCellMar>
            <w:top w:w="0" w:type="dxa"/>
            <w:left w:w="108" w:type="dxa"/>
            <w:bottom w:w="0" w:type="dxa"/>
            <w:right w:w="108" w:type="dxa"/>
          </w:tblCellMar>
        </w:tblPrEx>
        <w:trPr>
          <w:trHeight w:val="285" w:hRule="atLeast"/>
          <w:jc w:val="center"/>
        </w:trPr>
        <w:tc>
          <w:tcPr>
            <w:tcW w:w="2357" w:type="dxa"/>
            <w:tcBorders>
              <w:top w:val="nil"/>
              <w:left w:val="nil"/>
              <w:bottom w:val="nil"/>
              <w:right w:val="nil"/>
            </w:tcBorders>
            <w:shd w:val="clear" w:color="auto" w:fill="FFFFFF"/>
            <w:noWrap/>
            <w:vAlign w:val="center"/>
          </w:tcPr>
          <w:p w14:paraId="26144D8F">
            <w:pPr>
              <w:widowControl/>
              <w:ind w:firstLine="220" w:firstLineChars="100"/>
              <w:jc w:val="left"/>
              <w:textAlignment w:val="center"/>
              <w:rPr>
                <w:rFonts w:ascii="Arial" w:hAnsi="Arial" w:eastAsia="等线" w:cs="Arial"/>
                <w:color w:val="000000"/>
                <w:kern w:val="0"/>
                <w:sz w:val="22"/>
                <w:szCs w:val="22"/>
                <w:lang w:bidi="ar"/>
              </w:rPr>
            </w:pPr>
            <w:r>
              <w:rPr>
                <w:rFonts w:ascii="Arial" w:hAnsi="Arial" w:eastAsia="等线" w:cs="Arial"/>
                <w:color w:val="000000"/>
                <w:kern w:val="0"/>
                <w:sz w:val="22"/>
                <w:szCs w:val="22"/>
                <w:lang w:bidi="ar"/>
              </w:rPr>
              <w:t>Max</w:t>
            </w:r>
          </w:p>
        </w:tc>
        <w:tc>
          <w:tcPr>
            <w:tcW w:w="0" w:type="auto"/>
            <w:tcBorders>
              <w:top w:val="nil"/>
              <w:left w:val="nil"/>
              <w:bottom w:val="nil"/>
              <w:right w:val="nil"/>
            </w:tcBorders>
            <w:shd w:val="clear" w:color="auto" w:fill="FFFFFF"/>
            <w:noWrap/>
            <w:vAlign w:val="center"/>
          </w:tcPr>
          <w:p w14:paraId="73F0364C">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241,654</w:t>
            </w:r>
          </w:p>
        </w:tc>
        <w:tc>
          <w:tcPr>
            <w:tcW w:w="0" w:type="auto"/>
            <w:tcBorders>
              <w:top w:val="nil"/>
              <w:left w:val="nil"/>
              <w:bottom w:val="nil"/>
              <w:right w:val="nil"/>
            </w:tcBorders>
            <w:shd w:val="clear" w:color="auto" w:fill="FFFFFF"/>
            <w:noWrap/>
            <w:vAlign w:val="center"/>
          </w:tcPr>
          <w:p w14:paraId="615FE929">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124,882</w:t>
            </w:r>
          </w:p>
        </w:tc>
        <w:tc>
          <w:tcPr>
            <w:tcW w:w="0" w:type="auto"/>
            <w:tcBorders>
              <w:top w:val="nil"/>
              <w:left w:val="nil"/>
              <w:bottom w:val="nil"/>
              <w:right w:val="nil"/>
            </w:tcBorders>
            <w:shd w:val="clear" w:color="auto" w:fill="FFFFFF"/>
            <w:noWrap/>
            <w:vAlign w:val="center"/>
          </w:tcPr>
          <w:p w14:paraId="3780A4EF">
            <w:pPr>
              <w:jc w:val="center"/>
              <w:rPr>
                <w:rFonts w:ascii="Arial" w:hAnsi="Arial" w:eastAsia="等线" w:cs="Arial"/>
                <w:color w:val="000000"/>
                <w:sz w:val="22"/>
                <w:szCs w:val="22"/>
              </w:rPr>
            </w:pPr>
            <w:r>
              <w:rPr>
                <w:rFonts w:hint="eastAsia" w:ascii="Arial" w:hAnsi="Arial" w:eastAsia="等线" w:cs="Arial"/>
                <w:color w:val="000000"/>
                <w:sz w:val="22"/>
                <w:szCs w:val="22"/>
              </w:rPr>
              <w:t>-</w:t>
            </w:r>
          </w:p>
        </w:tc>
      </w:tr>
      <w:tr w14:paraId="2E63C814">
        <w:tblPrEx>
          <w:tblCellMar>
            <w:top w:w="0" w:type="dxa"/>
            <w:left w:w="108" w:type="dxa"/>
            <w:bottom w:w="0" w:type="dxa"/>
            <w:right w:w="108" w:type="dxa"/>
          </w:tblCellMar>
        </w:tblPrEx>
        <w:trPr>
          <w:trHeight w:val="285" w:hRule="atLeast"/>
          <w:jc w:val="center"/>
        </w:trPr>
        <w:tc>
          <w:tcPr>
            <w:tcW w:w="2357" w:type="dxa"/>
            <w:tcBorders>
              <w:top w:val="nil"/>
              <w:left w:val="nil"/>
              <w:bottom w:val="nil"/>
              <w:right w:val="nil"/>
            </w:tcBorders>
            <w:shd w:val="clear" w:color="auto" w:fill="FFFFFF"/>
            <w:noWrap/>
            <w:vAlign w:val="center"/>
          </w:tcPr>
          <w:p w14:paraId="1C6185BC">
            <w:pPr>
              <w:widowControl/>
              <w:ind w:firstLine="220" w:firstLineChars="100"/>
              <w:jc w:val="left"/>
              <w:textAlignment w:val="center"/>
              <w:rPr>
                <w:rFonts w:ascii="Arial" w:hAnsi="Arial" w:eastAsia="等线" w:cs="Arial"/>
                <w:color w:val="000000"/>
                <w:kern w:val="0"/>
                <w:sz w:val="22"/>
                <w:szCs w:val="22"/>
                <w:lang w:bidi="ar"/>
              </w:rPr>
            </w:pPr>
            <w:r>
              <w:rPr>
                <w:rFonts w:ascii="Arial" w:hAnsi="Arial" w:eastAsia="等线" w:cs="Arial"/>
                <w:color w:val="000000"/>
                <w:kern w:val="0"/>
                <w:sz w:val="22"/>
                <w:szCs w:val="22"/>
                <w:lang w:bidi="ar"/>
              </w:rPr>
              <w:t>Min</w:t>
            </w:r>
          </w:p>
        </w:tc>
        <w:tc>
          <w:tcPr>
            <w:tcW w:w="0" w:type="auto"/>
            <w:tcBorders>
              <w:top w:val="nil"/>
              <w:left w:val="nil"/>
              <w:bottom w:val="nil"/>
              <w:right w:val="nil"/>
            </w:tcBorders>
            <w:shd w:val="clear" w:color="auto" w:fill="FFFFFF"/>
            <w:noWrap/>
            <w:vAlign w:val="center"/>
          </w:tcPr>
          <w:p w14:paraId="64545184">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91,853</w:t>
            </w:r>
          </w:p>
        </w:tc>
        <w:tc>
          <w:tcPr>
            <w:tcW w:w="0" w:type="auto"/>
            <w:tcBorders>
              <w:top w:val="nil"/>
              <w:left w:val="nil"/>
              <w:bottom w:val="nil"/>
              <w:right w:val="nil"/>
            </w:tcBorders>
            <w:shd w:val="clear" w:color="auto" w:fill="FFFFFF"/>
            <w:noWrap/>
            <w:vAlign w:val="center"/>
          </w:tcPr>
          <w:p w14:paraId="11C81517">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78,068</w:t>
            </w:r>
          </w:p>
        </w:tc>
        <w:tc>
          <w:tcPr>
            <w:tcW w:w="0" w:type="auto"/>
            <w:tcBorders>
              <w:top w:val="nil"/>
              <w:left w:val="nil"/>
              <w:bottom w:val="nil"/>
              <w:right w:val="nil"/>
            </w:tcBorders>
            <w:shd w:val="clear" w:color="auto" w:fill="FFFFFF"/>
            <w:noWrap/>
            <w:vAlign w:val="center"/>
          </w:tcPr>
          <w:p w14:paraId="43DDC88E">
            <w:pPr>
              <w:jc w:val="center"/>
              <w:rPr>
                <w:rFonts w:ascii="Arial" w:hAnsi="Arial" w:eastAsia="等线" w:cs="Arial"/>
                <w:color w:val="000000"/>
                <w:sz w:val="22"/>
                <w:szCs w:val="22"/>
              </w:rPr>
            </w:pPr>
            <w:r>
              <w:rPr>
                <w:rFonts w:hint="eastAsia" w:ascii="Arial" w:hAnsi="Arial" w:eastAsia="等线" w:cs="Arial"/>
                <w:color w:val="000000"/>
                <w:sz w:val="22"/>
                <w:szCs w:val="22"/>
              </w:rPr>
              <w:t>-</w:t>
            </w:r>
          </w:p>
        </w:tc>
      </w:tr>
      <w:tr w14:paraId="4AA7770B">
        <w:tblPrEx>
          <w:tblCellMar>
            <w:top w:w="0" w:type="dxa"/>
            <w:left w:w="108" w:type="dxa"/>
            <w:bottom w:w="0" w:type="dxa"/>
            <w:right w:w="108" w:type="dxa"/>
          </w:tblCellMar>
        </w:tblPrEx>
        <w:trPr>
          <w:trHeight w:val="285" w:hRule="atLeast"/>
          <w:jc w:val="center"/>
        </w:trPr>
        <w:tc>
          <w:tcPr>
            <w:tcW w:w="4674" w:type="dxa"/>
            <w:gridSpan w:val="2"/>
            <w:tcBorders>
              <w:top w:val="nil"/>
              <w:left w:val="nil"/>
              <w:bottom w:val="nil"/>
              <w:right w:val="nil"/>
            </w:tcBorders>
            <w:shd w:val="clear" w:color="auto" w:fill="FFFFFF"/>
            <w:noWrap/>
            <w:vAlign w:val="center"/>
          </w:tcPr>
          <w:p w14:paraId="44FF6E99">
            <w:pPr>
              <w:widowControl/>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Short sequences mapped in microbial genes</w:t>
            </w:r>
          </w:p>
        </w:tc>
        <w:tc>
          <w:tcPr>
            <w:tcW w:w="0" w:type="auto"/>
            <w:tcBorders>
              <w:top w:val="nil"/>
              <w:left w:val="nil"/>
              <w:bottom w:val="nil"/>
              <w:right w:val="nil"/>
            </w:tcBorders>
            <w:shd w:val="clear" w:color="auto" w:fill="FFFFFF"/>
            <w:noWrap/>
            <w:vAlign w:val="center"/>
          </w:tcPr>
          <w:p w14:paraId="1642BA6D">
            <w:pPr>
              <w:widowControl/>
              <w:jc w:val="center"/>
              <w:textAlignment w:val="center"/>
              <w:rPr>
                <w:rFonts w:ascii="Arial" w:hAnsi="Arial" w:eastAsia="等线" w:cs="Arial"/>
                <w:color w:val="000000"/>
                <w:kern w:val="0"/>
                <w:sz w:val="22"/>
                <w:szCs w:val="22"/>
                <w:lang w:bidi="ar"/>
              </w:rPr>
            </w:pPr>
          </w:p>
        </w:tc>
        <w:tc>
          <w:tcPr>
            <w:tcW w:w="0" w:type="auto"/>
            <w:tcBorders>
              <w:top w:val="nil"/>
              <w:left w:val="nil"/>
              <w:bottom w:val="nil"/>
              <w:right w:val="nil"/>
            </w:tcBorders>
            <w:shd w:val="clear" w:color="auto" w:fill="FFFFFF"/>
            <w:noWrap/>
            <w:vAlign w:val="center"/>
          </w:tcPr>
          <w:p w14:paraId="18F6AF15">
            <w:pPr>
              <w:jc w:val="center"/>
              <w:rPr>
                <w:rFonts w:ascii="Arial" w:hAnsi="Arial" w:eastAsia="等线" w:cs="Arial"/>
                <w:color w:val="000000"/>
                <w:sz w:val="22"/>
                <w:szCs w:val="22"/>
              </w:rPr>
            </w:pPr>
          </w:p>
        </w:tc>
      </w:tr>
      <w:tr w14:paraId="0D6B0658">
        <w:tblPrEx>
          <w:tblCellMar>
            <w:top w:w="0" w:type="dxa"/>
            <w:left w:w="108" w:type="dxa"/>
            <w:bottom w:w="0" w:type="dxa"/>
            <w:right w:w="108" w:type="dxa"/>
          </w:tblCellMar>
        </w:tblPrEx>
        <w:trPr>
          <w:trHeight w:val="274" w:hRule="atLeast"/>
          <w:jc w:val="center"/>
        </w:trPr>
        <w:tc>
          <w:tcPr>
            <w:tcW w:w="2357" w:type="dxa"/>
            <w:tcBorders>
              <w:top w:val="nil"/>
              <w:left w:val="nil"/>
              <w:bottom w:val="nil"/>
              <w:right w:val="nil"/>
              <w:tl2br w:val="nil"/>
            </w:tcBorders>
            <w:shd w:val="clear" w:color="auto" w:fill="FFFFFF"/>
            <w:noWrap/>
            <w:vAlign w:val="center"/>
          </w:tcPr>
          <w:p w14:paraId="158EC69A">
            <w:pPr>
              <w:widowControl/>
              <w:ind w:firstLine="220" w:firstLineChars="100"/>
              <w:jc w:val="left"/>
              <w:textAlignment w:val="center"/>
              <w:rPr>
                <w:rFonts w:ascii="Arial" w:hAnsi="Arial" w:eastAsia="等线" w:cs="Arial"/>
                <w:color w:val="000000"/>
                <w:kern w:val="0"/>
                <w:sz w:val="22"/>
                <w:szCs w:val="22"/>
                <w:lang w:bidi="ar"/>
              </w:rPr>
            </w:pPr>
            <w:r>
              <w:rPr>
                <w:rFonts w:ascii="Arial" w:hAnsi="Arial" w:eastAsia="等线" w:cs="Arial"/>
                <w:color w:val="000000"/>
                <w:kern w:val="0"/>
                <w:sz w:val="22"/>
                <w:szCs w:val="22"/>
                <w:lang w:bidi="ar"/>
              </w:rPr>
              <w:t>Mean</w:t>
            </w:r>
          </w:p>
        </w:tc>
        <w:tc>
          <w:tcPr>
            <w:tcW w:w="0" w:type="auto"/>
            <w:tcBorders>
              <w:top w:val="nil"/>
              <w:left w:val="nil"/>
              <w:bottom w:val="nil"/>
              <w:right w:val="nil"/>
            </w:tcBorders>
            <w:shd w:val="clear" w:color="auto" w:fill="FFFFFF"/>
            <w:noWrap/>
            <w:vAlign w:val="center"/>
          </w:tcPr>
          <w:p w14:paraId="2165C11D">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48,193,258</w:t>
            </w:r>
            <w:r>
              <w:rPr>
                <w:rFonts w:ascii="Arial" w:hAnsi="Arial" w:eastAsia="等线" w:cs="Arial"/>
                <w:color w:val="000000"/>
                <w:kern w:val="0"/>
                <w:szCs w:val="21"/>
                <w:lang w:bidi="ar"/>
              </w:rPr>
              <w:t>±</w:t>
            </w:r>
            <w:r>
              <w:rPr>
                <w:rFonts w:hint="eastAsia" w:ascii="Arial" w:hAnsi="Arial" w:eastAsia="等线" w:cs="Arial"/>
                <w:color w:val="000000"/>
                <w:kern w:val="0"/>
                <w:szCs w:val="21"/>
                <w:lang w:bidi="ar"/>
              </w:rPr>
              <w:t>6,427,080</w:t>
            </w:r>
          </w:p>
        </w:tc>
        <w:tc>
          <w:tcPr>
            <w:tcW w:w="0" w:type="auto"/>
            <w:tcBorders>
              <w:top w:val="nil"/>
              <w:left w:val="nil"/>
              <w:bottom w:val="nil"/>
              <w:right w:val="nil"/>
            </w:tcBorders>
            <w:shd w:val="clear" w:color="auto" w:fill="FFFFFF"/>
            <w:noWrap/>
            <w:vAlign w:val="center"/>
          </w:tcPr>
          <w:p w14:paraId="57AE2DBB">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32,530,278</w:t>
            </w:r>
            <w:r>
              <w:rPr>
                <w:rFonts w:ascii="Arial" w:hAnsi="Arial" w:eastAsia="等线" w:cs="Arial"/>
                <w:color w:val="000000"/>
                <w:kern w:val="0"/>
                <w:szCs w:val="21"/>
                <w:lang w:bidi="ar"/>
              </w:rPr>
              <w:t>±</w:t>
            </w:r>
            <w:r>
              <w:rPr>
                <w:rFonts w:hint="eastAsia" w:ascii="Arial" w:hAnsi="Arial" w:eastAsia="等线" w:cs="Arial"/>
                <w:color w:val="000000"/>
                <w:kern w:val="0"/>
                <w:szCs w:val="21"/>
                <w:lang w:bidi="ar"/>
              </w:rPr>
              <w:t>2,382,242</w:t>
            </w:r>
          </w:p>
        </w:tc>
        <w:tc>
          <w:tcPr>
            <w:tcW w:w="0" w:type="auto"/>
            <w:tcBorders>
              <w:top w:val="nil"/>
              <w:left w:val="nil"/>
              <w:bottom w:val="nil"/>
              <w:right w:val="nil"/>
            </w:tcBorders>
            <w:shd w:val="clear" w:color="auto" w:fill="FFFFFF"/>
            <w:noWrap/>
            <w:vAlign w:val="center"/>
          </w:tcPr>
          <w:p w14:paraId="501D419D">
            <w:pPr>
              <w:jc w:val="center"/>
              <w:rPr>
                <w:rFonts w:ascii="Arial" w:hAnsi="Arial" w:eastAsia="等线" w:cs="Arial"/>
                <w:color w:val="000000"/>
                <w:sz w:val="22"/>
                <w:szCs w:val="22"/>
              </w:rPr>
            </w:pPr>
            <w:r>
              <w:rPr>
                <w:rFonts w:hint="eastAsia" w:ascii="Arial" w:hAnsi="Arial" w:eastAsia="等线" w:cs="Arial"/>
                <w:color w:val="000000"/>
                <w:sz w:val="22"/>
                <w:szCs w:val="22"/>
              </w:rPr>
              <w:t>0.06</w:t>
            </w:r>
          </w:p>
        </w:tc>
      </w:tr>
      <w:tr w14:paraId="3F3D05CF">
        <w:tblPrEx>
          <w:tblCellMar>
            <w:top w:w="0" w:type="dxa"/>
            <w:left w:w="108" w:type="dxa"/>
            <w:bottom w:w="0" w:type="dxa"/>
            <w:right w:w="108" w:type="dxa"/>
          </w:tblCellMar>
        </w:tblPrEx>
        <w:trPr>
          <w:trHeight w:val="274" w:hRule="atLeast"/>
          <w:jc w:val="center"/>
        </w:trPr>
        <w:tc>
          <w:tcPr>
            <w:tcW w:w="2357" w:type="dxa"/>
            <w:tcBorders>
              <w:top w:val="nil"/>
              <w:left w:val="nil"/>
              <w:bottom w:val="nil"/>
              <w:right w:val="nil"/>
              <w:tl2br w:val="nil"/>
            </w:tcBorders>
            <w:shd w:val="clear" w:color="auto" w:fill="FFFFFF"/>
            <w:noWrap/>
            <w:vAlign w:val="center"/>
          </w:tcPr>
          <w:p w14:paraId="5DDF1D6E">
            <w:pPr>
              <w:widowControl/>
              <w:ind w:firstLine="220" w:firstLineChars="100"/>
              <w:jc w:val="left"/>
              <w:textAlignment w:val="center"/>
              <w:rPr>
                <w:rFonts w:ascii="Arial" w:hAnsi="Arial" w:eastAsia="等线" w:cs="Arial"/>
                <w:color w:val="000000"/>
                <w:kern w:val="0"/>
                <w:sz w:val="22"/>
                <w:szCs w:val="22"/>
                <w:lang w:bidi="ar"/>
              </w:rPr>
            </w:pPr>
            <w:r>
              <w:rPr>
                <w:rFonts w:ascii="Arial" w:hAnsi="Arial" w:eastAsia="等线" w:cs="Arial"/>
                <w:color w:val="000000"/>
                <w:kern w:val="0"/>
                <w:sz w:val="22"/>
                <w:szCs w:val="22"/>
                <w:lang w:bidi="ar"/>
              </w:rPr>
              <w:t>Max</w:t>
            </w:r>
          </w:p>
        </w:tc>
        <w:tc>
          <w:tcPr>
            <w:tcW w:w="0" w:type="auto"/>
            <w:tcBorders>
              <w:top w:val="nil"/>
              <w:left w:val="nil"/>
              <w:bottom w:val="nil"/>
              <w:right w:val="nil"/>
            </w:tcBorders>
            <w:shd w:val="clear" w:color="auto" w:fill="FFFFFF"/>
            <w:noWrap/>
            <w:vAlign w:val="center"/>
          </w:tcPr>
          <w:p w14:paraId="5378FF65">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78,368,612</w:t>
            </w:r>
          </w:p>
        </w:tc>
        <w:tc>
          <w:tcPr>
            <w:tcW w:w="0" w:type="auto"/>
            <w:tcBorders>
              <w:top w:val="nil"/>
              <w:left w:val="nil"/>
              <w:bottom w:val="nil"/>
              <w:right w:val="nil"/>
            </w:tcBorders>
            <w:shd w:val="clear" w:color="auto" w:fill="FFFFFF"/>
            <w:noWrap/>
            <w:vAlign w:val="center"/>
          </w:tcPr>
          <w:p w14:paraId="63EA97E3">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39,211,045</w:t>
            </w:r>
          </w:p>
        </w:tc>
        <w:tc>
          <w:tcPr>
            <w:tcW w:w="0" w:type="auto"/>
            <w:tcBorders>
              <w:top w:val="nil"/>
              <w:left w:val="nil"/>
              <w:bottom w:val="nil"/>
              <w:right w:val="nil"/>
            </w:tcBorders>
            <w:shd w:val="clear" w:color="auto" w:fill="FFFFFF"/>
            <w:noWrap/>
            <w:vAlign w:val="center"/>
          </w:tcPr>
          <w:p w14:paraId="39D1C345">
            <w:pPr>
              <w:jc w:val="center"/>
              <w:rPr>
                <w:rFonts w:ascii="Arial" w:hAnsi="Arial" w:eastAsia="等线" w:cs="Arial"/>
                <w:color w:val="000000"/>
                <w:sz w:val="22"/>
                <w:szCs w:val="22"/>
              </w:rPr>
            </w:pPr>
          </w:p>
        </w:tc>
      </w:tr>
      <w:tr w14:paraId="172B5569">
        <w:tblPrEx>
          <w:tblCellMar>
            <w:top w:w="0" w:type="dxa"/>
            <w:left w:w="108" w:type="dxa"/>
            <w:bottom w:w="0" w:type="dxa"/>
            <w:right w:w="108" w:type="dxa"/>
          </w:tblCellMar>
        </w:tblPrEx>
        <w:trPr>
          <w:trHeight w:val="285" w:hRule="atLeast"/>
          <w:jc w:val="center"/>
        </w:trPr>
        <w:tc>
          <w:tcPr>
            <w:tcW w:w="2357" w:type="dxa"/>
            <w:tcBorders>
              <w:top w:val="nil"/>
              <w:left w:val="nil"/>
              <w:bottom w:val="single" w:color="000000" w:sz="12" w:space="0"/>
              <w:right w:val="nil"/>
            </w:tcBorders>
            <w:shd w:val="clear" w:color="auto" w:fill="FFFFFF"/>
            <w:noWrap/>
            <w:vAlign w:val="center"/>
          </w:tcPr>
          <w:p w14:paraId="2314A494">
            <w:pPr>
              <w:widowControl/>
              <w:ind w:firstLine="220" w:firstLineChars="100"/>
              <w:jc w:val="left"/>
              <w:textAlignment w:val="center"/>
              <w:rPr>
                <w:rFonts w:ascii="Arial" w:hAnsi="Arial" w:eastAsia="等线" w:cs="Arial"/>
                <w:color w:val="000000"/>
                <w:kern w:val="0"/>
                <w:sz w:val="22"/>
                <w:szCs w:val="22"/>
                <w:lang w:bidi="ar"/>
              </w:rPr>
            </w:pPr>
            <w:r>
              <w:rPr>
                <w:rFonts w:ascii="Arial" w:hAnsi="Arial" w:eastAsia="等线" w:cs="Arial"/>
                <w:color w:val="000000"/>
                <w:kern w:val="0"/>
                <w:sz w:val="22"/>
                <w:szCs w:val="22"/>
                <w:lang w:bidi="ar"/>
              </w:rPr>
              <w:t>Min</w:t>
            </w:r>
          </w:p>
        </w:tc>
        <w:tc>
          <w:tcPr>
            <w:tcW w:w="0" w:type="auto"/>
            <w:tcBorders>
              <w:top w:val="nil"/>
              <w:left w:val="nil"/>
              <w:bottom w:val="single" w:color="000000" w:sz="12" w:space="0"/>
              <w:right w:val="nil"/>
            </w:tcBorders>
            <w:shd w:val="clear" w:color="auto" w:fill="FFFFFF"/>
            <w:noWrap/>
            <w:vAlign w:val="center"/>
          </w:tcPr>
          <w:p w14:paraId="69FA7517">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35,525,807</w:t>
            </w:r>
          </w:p>
        </w:tc>
        <w:tc>
          <w:tcPr>
            <w:tcW w:w="0" w:type="auto"/>
            <w:tcBorders>
              <w:top w:val="nil"/>
              <w:left w:val="nil"/>
              <w:bottom w:val="single" w:color="000000" w:sz="12" w:space="0"/>
              <w:right w:val="nil"/>
            </w:tcBorders>
            <w:shd w:val="clear" w:color="auto" w:fill="FFFFFF"/>
            <w:noWrap/>
            <w:vAlign w:val="center"/>
          </w:tcPr>
          <w:p w14:paraId="486ADD74">
            <w:pPr>
              <w:widowControl/>
              <w:jc w:val="center"/>
              <w:textAlignment w:val="center"/>
              <w:rPr>
                <w:rFonts w:ascii="Arial" w:hAnsi="Arial" w:eastAsia="等线" w:cs="Arial"/>
                <w:color w:val="000000"/>
                <w:kern w:val="0"/>
                <w:sz w:val="22"/>
                <w:szCs w:val="22"/>
                <w:lang w:bidi="ar"/>
              </w:rPr>
            </w:pPr>
            <w:r>
              <w:rPr>
                <w:rFonts w:hint="eastAsia" w:ascii="Arial" w:hAnsi="Arial" w:eastAsia="等线" w:cs="Arial"/>
                <w:color w:val="000000"/>
                <w:kern w:val="0"/>
                <w:sz w:val="22"/>
                <w:szCs w:val="22"/>
                <w:lang w:bidi="ar"/>
              </w:rPr>
              <w:t>24,153,563</w:t>
            </w:r>
          </w:p>
        </w:tc>
        <w:tc>
          <w:tcPr>
            <w:tcW w:w="0" w:type="auto"/>
            <w:tcBorders>
              <w:top w:val="nil"/>
              <w:left w:val="nil"/>
              <w:bottom w:val="single" w:color="000000" w:sz="12" w:space="0"/>
              <w:right w:val="nil"/>
            </w:tcBorders>
            <w:shd w:val="clear" w:color="auto" w:fill="FFFFFF"/>
            <w:noWrap/>
            <w:vAlign w:val="center"/>
          </w:tcPr>
          <w:p w14:paraId="46BE8CC6">
            <w:pPr>
              <w:jc w:val="center"/>
              <w:rPr>
                <w:rFonts w:ascii="Arial" w:hAnsi="Arial" w:eastAsia="等线" w:cs="Arial"/>
                <w:color w:val="000000"/>
                <w:sz w:val="22"/>
                <w:szCs w:val="22"/>
              </w:rPr>
            </w:pPr>
          </w:p>
        </w:tc>
      </w:tr>
    </w:tbl>
    <w:p w14:paraId="74784993">
      <w:pPr>
        <w:rPr>
          <w:rFonts w:ascii="Arial" w:hAnsi="Arial" w:cs="Arial"/>
        </w:rPr>
      </w:pPr>
      <w:r>
        <w:rPr>
          <w:rFonts w:ascii="Arial" w:hAnsi="Arial" w:cs="Arial"/>
        </w:rPr>
        <w:br w:type="page"/>
      </w:r>
    </w:p>
    <w:p w14:paraId="45AB8197">
      <w:pPr>
        <w:jc w:val="center"/>
        <w:rPr>
          <w:rFonts w:ascii="Arial" w:hAnsi="Arial" w:cs="Arial"/>
        </w:rPr>
      </w:pPr>
      <w:r>
        <w:drawing>
          <wp:inline distT="0" distB="0" distL="114300" distR="114300">
            <wp:extent cx="3525520" cy="3283585"/>
            <wp:effectExtent l="0" t="0" r="17780" b="12065"/>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4"/>
                    <a:stretch>
                      <a:fillRect/>
                    </a:stretch>
                  </pic:blipFill>
                  <pic:spPr>
                    <a:xfrm>
                      <a:off x="0" y="0"/>
                      <a:ext cx="3525520" cy="3283585"/>
                    </a:xfrm>
                    <a:prstGeom prst="rect">
                      <a:avLst/>
                    </a:prstGeom>
                    <a:noFill/>
                    <a:ln>
                      <a:noFill/>
                    </a:ln>
                  </pic:spPr>
                </pic:pic>
              </a:graphicData>
            </a:graphic>
          </wp:inline>
        </w:drawing>
      </w:r>
    </w:p>
    <w:p w14:paraId="5F975AFD">
      <w:pPr>
        <w:rPr>
          <w:rFonts w:ascii="Arial" w:hAnsi="Arial" w:cs="Arial"/>
        </w:rPr>
      </w:pPr>
      <w:r>
        <w:rPr>
          <w:rFonts w:hint="eastAsia" w:ascii="Arial" w:hAnsi="Arial" w:cs="Arial"/>
        </w:rPr>
        <w:t>Fig</w:t>
      </w:r>
      <w:r>
        <w:rPr>
          <w:rFonts w:hint="eastAsia" w:ascii="Arial" w:hAnsi="Arial" w:cs="Arial"/>
          <w:lang w:val="en-US" w:eastAsia="zh-CN"/>
        </w:rPr>
        <w:t>.</w:t>
      </w:r>
      <w:r>
        <w:rPr>
          <w:rFonts w:hint="eastAsia" w:ascii="Arial" w:hAnsi="Arial" w:cs="Arial"/>
        </w:rPr>
        <w:t xml:space="preserve"> S1. Princip</w:t>
      </w:r>
      <w:r>
        <w:rPr>
          <w:rFonts w:ascii="Arial" w:hAnsi="Arial" w:cs="Arial"/>
        </w:rPr>
        <w:t>al</w:t>
      </w:r>
      <w:r>
        <w:rPr>
          <w:rFonts w:hint="eastAsia" w:ascii="Arial" w:hAnsi="Arial" w:cs="Arial"/>
        </w:rPr>
        <w:t xml:space="preserve"> coordinate analysis of similarity of bacterial community among 121 lambs based on Bray-Curtis dissimilarity matrix at ZOTU level. The color of the background shadow represents the density of the scatter points in that area, with darker colors indicating higher point density. We highlighted the selected lambs with low (LLDH) and high (HLDH) </w:t>
      </w:r>
      <w:r>
        <w:rPr>
          <w:rFonts w:hint="eastAsia" w:ascii="Arial" w:hAnsi="Arial" w:cs="Arial"/>
          <w:i/>
          <w:iCs/>
        </w:rPr>
        <w:t xml:space="preserve">ldh </w:t>
      </w:r>
      <w:r>
        <w:rPr>
          <w:rFonts w:hint="eastAsia" w:ascii="Arial" w:hAnsi="Arial" w:cs="Arial"/>
        </w:rPr>
        <w:t>abundance in the rumen with different colors for clarity.</w:t>
      </w:r>
    </w:p>
    <w:p w14:paraId="4C8A93A5">
      <w:r>
        <w:br w:type="page"/>
      </w:r>
    </w:p>
    <w:p w14:paraId="7B4F04D1">
      <w:pPr>
        <w:rPr>
          <w:rFonts w:ascii="Arial" w:hAnsi="Arial" w:cs="Arial"/>
        </w:rPr>
      </w:pPr>
      <w:r>
        <w:drawing>
          <wp:inline distT="0" distB="0" distL="114300" distR="114300">
            <wp:extent cx="5268595" cy="3735070"/>
            <wp:effectExtent l="0" t="0" r="8255" b="1778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5"/>
                    <a:stretch>
                      <a:fillRect/>
                    </a:stretch>
                  </pic:blipFill>
                  <pic:spPr>
                    <a:xfrm>
                      <a:off x="0" y="0"/>
                      <a:ext cx="5268595" cy="3735070"/>
                    </a:xfrm>
                    <a:prstGeom prst="rect">
                      <a:avLst/>
                    </a:prstGeom>
                    <a:noFill/>
                    <a:ln>
                      <a:noFill/>
                    </a:ln>
                  </pic:spPr>
                </pic:pic>
              </a:graphicData>
            </a:graphic>
          </wp:inline>
        </w:drawing>
      </w:r>
    </w:p>
    <w:p w14:paraId="2178CB00">
      <w:pPr>
        <w:rPr>
          <w:rFonts w:ascii="Arial" w:hAnsi="Arial" w:cs="Arial"/>
        </w:rPr>
      </w:pPr>
      <w:r>
        <w:rPr>
          <w:rFonts w:ascii="Arial" w:hAnsi="Arial" w:cs="Arial"/>
        </w:rPr>
        <w:t>Fig</w:t>
      </w:r>
      <w:r>
        <w:rPr>
          <w:rFonts w:hint="eastAsia" w:ascii="Arial" w:hAnsi="Arial" w:cs="Arial"/>
          <w:lang w:val="en-US" w:eastAsia="zh-CN"/>
        </w:rPr>
        <w:t>.</w:t>
      </w:r>
      <w:r>
        <w:rPr>
          <w:rFonts w:ascii="Arial" w:hAnsi="Arial" w:cs="Arial"/>
        </w:rPr>
        <w:t xml:space="preserve"> </w:t>
      </w:r>
      <w:r>
        <w:rPr>
          <w:rFonts w:hint="eastAsia" w:ascii="Arial" w:hAnsi="Arial" w:cs="Arial"/>
        </w:rPr>
        <w:t>S2</w:t>
      </w:r>
      <w:r>
        <w:rPr>
          <w:rFonts w:ascii="Arial" w:hAnsi="Arial" w:cs="Arial"/>
        </w:rPr>
        <w:t xml:space="preserve">. Microbial KEGG pathways and CAZY family in the rumen of </w:t>
      </w:r>
      <w:r>
        <w:rPr>
          <w:rFonts w:hint="eastAsia" w:ascii="Arial" w:hAnsi="Arial" w:cs="Arial"/>
        </w:rPr>
        <w:t xml:space="preserve">LLDH and HLDH </w:t>
      </w:r>
      <w:r>
        <w:rPr>
          <w:rFonts w:ascii="Arial" w:hAnsi="Arial" w:cs="Arial"/>
        </w:rPr>
        <w:t xml:space="preserve">lambs. </w:t>
      </w:r>
      <w:r>
        <w:rPr>
          <w:rFonts w:ascii="Arial" w:hAnsi="Arial" w:cs="Arial"/>
          <w:b/>
          <w:bCs/>
        </w:rPr>
        <w:t xml:space="preserve">A, </w:t>
      </w:r>
      <w:r>
        <w:rPr>
          <w:rFonts w:ascii="Arial" w:hAnsi="Arial" w:cs="Arial"/>
        </w:rPr>
        <w:t xml:space="preserve">comparison of the KEGG pathway of rumen microbes between </w:t>
      </w:r>
      <w:r>
        <w:rPr>
          <w:rFonts w:hint="eastAsia" w:ascii="Arial" w:hAnsi="Arial" w:cs="Arial"/>
        </w:rPr>
        <w:t>LLDH and HLDH</w:t>
      </w:r>
      <w:r>
        <w:rPr>
          <w:rFonts w:ascii="Arial" w:hAnsi="Arial" w:cs="Arial"/>
        </w:rPr>
        <w:t xml:space="preserve"> lambs. The figure displays the level 3 pathways that belong to carbohydrate metabolism pathway and had inter-group differences. The number after the bubble is the log2(</w:t>
      </w:r>
      <w:r>
        <w:rPr>
          <w:rFonts w:hint="eastAsia" w:ascii="Arial" w:hAnsi="Arial" w:cs="Arial"/>
        </w:rPr>
        <w:t>HLDH</w:t>
      </w:r>
      <w:r>
        <w:rPr>
          <w:rFonts w:ascii="Arial" w:hAnsi="Arial" w:cs="Arial"/>
        </w:rPr>
        <w:t>/</w:t>
      </w:r>
      <w:r>
        <w:rPr>
          <w:rFonts w:hint="eastAsia" w:ascii="Arial" w:hAnsi="Arial" w:cs="Arial"/>
        </w:rPr>
        <w:t>LLDH</w:t>
      </w:r>
      <w:r>
        <w:rPr>
          <w:rFonts w:ascii="Arial" w:hAnsi="Arial" w:cs="Arial"/>
        </w:rPr>
        <w:t xml:space="preserve">). </w:t>
      </w:r>
      <w:r>
        <w:rPr>
          <w:rFonts w:ascii="Arial" w:hAnsi="Arial" w:cs="Arial"/>
          <w:b/>
          <w:bCs/>
        </w:rPr>
        <w:t>B</w:t>
      </w:r>
      <w:r>
        <w:rPr>
          <w:rFonts w:ascii="Arial" w:hAnsi="Arial" w:cs="Arial"/>
        </w:rPr>
        <w:t xml:space="preserve">, Sankey diagram showing the top ten contributors to carbohydrate metabolism pathway. The left column represents the relative abundance of carbohydrate metabolism pathways, while the right column represents the relative abundance of contributors at phylum level. Contributors with intergroup differences in contribution have their names prefixed with a symbol, and the color of contributor names represents the group with higher contribution. #, 0.05 &lt; </w:t>
      </w:r>
      <w:r>
        <w:rPr>
          <w:rFonts w:ascii="Arial" w:hAnsi="Arial" w:cs="Arial"/>
          <w:i/>
          <w:iCs/>
        </w:rPr>
        <w:t>P</w:t>
      </w:r>
      <w:r>
        <w:rPr>
          <w:rFonts w:ascii="Arial" w:hAnsi="Arial" w:cs="Arial"/>
        </w:rPr>
        <w:t xml:space="preserve"> ≤ 0.10; *, 0.01 &lt; </w:t>
      </w:r>
      <w:r>
        <w:rPr>
          <w:rFonts w:ascii="Arial" w:hAnsi="Arial" w:cs="Arial"/>
          <w:i/>
          <w:iCs/>
        </w:rPr>
        <w:t>P</w:t>
      </w:r>
      <w:r>
        <w:rPr>
          <w:rFonts w:ascii="Arial" w:hAnsi="Arial" w:cs="Arial"/>
        </w:rPr>
        <w:t xml:space="preserve"> ≤ 0.05; **, 0.001 &lt; </w:t>
      </w:r>
      <w:r>
        <w:rPr>
          <w:rFonts w:ascii="Arial" w:hAnsi="Arial" w:cs="Arial"/>
          <w:i/>
          <w:iCs/>
        </w:rPr>
        <w:t>P</w:t>
      </w:r>
      <w:r>
        <w:rPr>
          <w:rFonts w:ascii="Arial" w:hAnsi="Arial" w:cs="Arial"/>
        </w:rPr>
        <w:t xml:space="preserve"> ≤ 0.01. </w:t>
      </w:r>
      <w:r>
        <w:rPr>
          <w:rFonts w:ascii="Arial" w:hAnsi="Arial" w:cs="Arial"/>
          <w:b/>
          <w:bCs/>
        </w:rPr>
        <w:t>C,</w:t>
      </w:r>
      <w:r>
        <w:rPr>
          <w:rFonts w:ascii="Arial" w:hAnsi="Arial" w:cs="Arial"/>
        </w:rPr>
        <w:t xml:space="preserve"> comparison of the CAZY family of rumen microbes between </w:t>
      </w:r>
      <w:r>
        <w:rPr>
          <w:rFonts w:hint="eastAsia" w:ascii="Arial" w:hAnsi="Arial" w:cs="Arial"/>
        </w:rPr>
        <w:t>LLDH</w:t>
      </w:r>
      <w:r>
        <w:rPr>
          <w:rFonts w:ascii="Arial" w:hAnsi="Arial" w:cs="Arial"/>
        </w:rPr>
        <w:t xml:space="preserve"> lamb and the </w:t>
      </w:r>
      <w:r>
        <w:rPr>
          <w:rFonts w:hint="eastAsia" w:ascii="Arial" w:hAnsi="Arial" w:cs="Arial"/>
        </w:rPr>
        <w:t>HLDH</w:t>
      </w:r>
      <w:r>
        <w:rPr>
          <w:rFonts w:ascii="Arial" w:hAnsi="Arial" w:cs="Arial"/>
        </w:rPr>
        <w:t xml:space="preserve"> lamb. The figure shows the GH subfamilies that have inter-group differences. </w:t>
      </w:r>
      <w:r>
        <w:rPr>
          <w:rFonts w:ascii="Arial" w:hAnsi="Arial" w:cs="Arial"/>
          <w:b/>
          <w:bCs/>
        </w:rPr>
        <w:t xml:space="preserve">D </w:t>
      </w:r>
      <w:r>
        <w:rPr>
          <w:rFonts w:ascii="Arial" w:hAnsi="Arial" w:cs="Arial"/>
        </w:rPr>
        <w:t>&amp;</w:t>
      </w:r>
      <w:r>
        <w:rPr>
          <w:rFonts w:ascii="Arial" w:hAnsi="Arial" w:cs="Arial"/>
          <w:b/>
          <w:bCs/>
        </w:rPr>
        <w:t xml:space="preserve"> E, </w:t>
      </w:r>
      <w:r>
        <w:rPr>
          <w:rFonts w:ascii="Arial" w:hAnsi="Arial" w:cs="Arial"/>
        </w:rPr>
        <w:t>Sankey diagrams showing top five contributors to the GH family and GT family, respectively.</w:t>
      </w:r>
    </w:p>
    <w:p w14:paraId="32108941">
      <w:pPr>
        <w:rPr>
          <w:rFonts w:ascii="Arial" w:hAnsi="Arial" w:cs="Arial"/>
        </w:rPr>
      </w:pPr>
      <w:r>
        <w:rPr>
          <w:rFonts w:ascii="Arial" w:hAnsi="Arial" w:cs="Arial"/>
        </w:rPr>
        <w:br w:type="page"/>
      </w:r>
    </w:p>
    <w:p w14:paraId="3F6E5CAD">
      <w:pPr>
        <w:rPr>
          <w:rFonts w:ascii="Arial" w:hAnsi="Arial" w:cs="Arial"/>
        </w:rPr>
      </w:pPr>
      <w:r>
        <w:drawing>
          <wp:inline distT="0" distB="0" distL="114300" distR="114300">
            <wp:extent cx="5265420" cy="2684780"/>
            <wp:effectExtent l="0" t="0" r="1143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265420" cy="2684780"/>
                    </a:xfrm>
                    <a:prstGeom prst="rect">
                      <a:avLst/>
                    </a:prstGeom>
                    <a:noFill/>
                    <a:ln>
                      <a:noFill/>
                    </a:ln>
                  </pic:spPr>
                </pic:pic>
              </a:graphicData>
            </a:graphic>
          </wp:inline>
        </w:drawing>
      </w:r>
    </w:p>
    <w:p w14:paraId="07E63F6E">
      <w:pPr>
        <w:rPr>
          <w:rFonts w:ascii="Arial" w:hAnsi="Arial" w:cs="Arial"/>
        </w:rPr>
      </w:pPr>
      <w:r>
        <w:rPr>
          <w:rFonts w:hint="eastAsia" w:ascii="Arial" w:hAnsi="Arial" w:cs="Arial"/>
        </w:rPr>
        <w:t>Fig</w:t>
      </w:r>
      <w:r>
        <w:rPr>
          <w:rFonts w:hint="eastAsia" w:ascii="Arial" w:hAnsi="Arial" w:cs="Arial"/>
          <w:lang w:val="en-US" w:eastAsia="zh-CN"/>
        </w:rPr>
        <w:t>.</w:t>
      </w:r>
      <w:bookmarkStart w:id="0" w:name="_GoBack"/>
      <w:bookmarkEnd w:id="0"/>
      <w:r>
        <w:rPr>
          <w:rFonts w:hint="eastAsia" w:ascii="Arial" w:hAnsi="Arial" w:cs="Arial"/>
        </w:rPr>
        <w:t xml:space="preserve"> S3. </w:t>
      </w:r>
      <w:r>
        <w:rPr>
          <w:rFonts w:ascii="Arial" w:hAnsi="Arial" w:cs="Arial"/>
        </w:rPr>
        <w:t>Sankey diagram showing the contributors to</w:t>
      </w:r>
      <w:r>
        <w:rPr>
          <w:rFonts w:hint="eastAsia" w:ascii="Arial" w:hAnsi="Arial" w:cs="Arial"/>
        </w:rPr>
        <w:t xml:space="preserve"> affected</w:t>
      </w:r>
      <w:r>
        <w:rPr>
          <w:rFonts w:ascii="Arial" w:hAnsi="Arial" w:cs="Arial"/>
        </w:rPr>
        <w:t xml:space="preserve"> </w:t>
      </w:r>
      <w:r>
        <w:rPr>
          <w:rFonts w:hint="eastAsia" w:ascii="Arial" w:hAnsi="Arial" w:cs="Arial"/>
        </w:rPr>
        <w:t>key genes involving production of lactate, acetate, and propionate in the rumen</w:t>
      </w:r>
      <w:r>
        <w:rPr>
          <w:rFonts w:ascii="Arial" w:hAnsi="Arial" w:cs="Arial"/>
        </w:rPr>
        <w:t xml:space="preserve">. The left column represents the relative abundance of </w:t>
      </w:r>
      <w:r>
        <w:rPr>
          <w:rFonts w:hint="eastAsia" w:ascii="Arial" w:hAnsi="Arial" w:cs="Arial"/>
        </w:rPr>
        <w:t>genes</w:t>
      </w:r>
      <w:r>
        <w:rPr>
          <w:rFonts w:ascii="Arial" w:hAnsi="Arial" w:cs="Arial"/>
        </w:rPr>
        <w:t xml:space="preserve">, while the right column represents the relative abundance of contributors at phylum level. Contributors with intergroup differences in contribution have their names prefixed with a symbol, and the color of contributor names represents the group with higher contribution. *, 0.01 &lt; </w:t>
      </w:r>
      <w:r>
        <w:rPr>
          <w:rFonts w:ascii="Arial" w:hAnsi="Arial" w:cs="Arial"/>
          <w:i/>
          <w:iCs/>
        </w:rPr>
        <w:t>P</w:t>
      </w:r>
      <w:r>
        <w:rPr>
          <w:rFonts w:ascii="Arial" w:hAnsi="Arial" w:cs="Arial"/>
        </w:rPr>
        <w:t xml:space="preserve"> ≤ 0.05; **, 0.001 &lt; </w:t>
      </w:r>
      <w:r>
        <w:rPr>
          <w:rFonts w:ascii="Arial" w:hAnsi="Arial" w:cs="Arial"/>
          <w:i/>
          <w:iCs/>
        </w:rPr>
        <w:t>P</w:t>
      </w:r>
      <w:r>
        <w:rPr>
          <w:rFonts w:ascii="Arial" w:hAnsi="Arial" w:cs="Arial"/>
        </w:rPr>
        <w:t xml:space="preserve"> ≤ 0.01. </w:t>
      </w:r>
    </w:p>
    <w:p w14:paraId="7A3692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lOTBlYTQ5YjM2ZmJhYzc5YzI2MTUyYWIyODg5YmUifQ=="/>
  </w:docVars>
  <w:rsids>
    <w:rsidRoot w:val="77F41033"/>
    <w:rsid w:val="4E5C0C16"/>
    <w:rsid w:val="77F41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424</Words>
  <Characters>2306</Characters>
  <Lines>0</Lines>
  <Paragraphs>0</Paragraphs>
  <TotalTime>0</TotalTime>
  <ScaleCrop>false</ScaleCrop>
  <LinksUpToDate>false</LinksUpToDate>
  <CharactersWithSpaces>2667</CharactersWithSpaces>
  <Application>WPS Office_12.1.0.20783_F1E327BC-269C-435d-A152-05C5408002CA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2024-12-03T12:04:00Z</dcterms:created>
  <dc:creator>Administrator</dc:creator>
  <cp:lastModifiedBy>Administrator</cp:lastModifiedBy>
  <dcterms:modified xsi:type="dcterms:W3CDTF">2025-05-07T02:38:02Z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2052-12.1.0.20783</vt:lpwstr>
  </property>
  <property fmtid="{D5CDD505-2E9C-101B-9397-08002B2CF9AE}" pid="3" name="ICV">
    <vt:lpwstr>1B9A1B6113B146E495F7FB3F8DA42D6D_11</vt:lpwstr>
  </property>
  <property fmtid="{D5CDD505-2E9C-101B-9397-08002B2CF9AE}" pid="4" name="KSOTemplateDocerSaveRecord">
    <vt:lpwstr>eyJoZGlkIjoiZWZlOTBlYTQ5YjM2ZmJhYzc5YzI2MTUyYWIyODg5YmUiLCJ1c2VySWQiOiIzOTc0MzEwOTAifQ==</vt:lpwstr>
  </property>
</Properties>
</file>