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jc w:val="center"/>
        <w:rPr>
          <w:color w:val="212529"/>
          <w:sz w:val="46"/>
          <w:szCs w:val="46"/>
        </w:rPr>
      </w:pPr>
      <w:r w:rsidDel="00000000" w:rsidR="00000000" w:rsidRPr="00000000">
        <w:rPr>
          <w:color w:val="212529"/>
          <w:sz w:val="46"/>
          <w:szCs w:val="46"/>
          <w:rtl w:val="0"/>
        </w:rPr>
        <w:t xml:space="preserve">Suggested Readings</w:t>
      </w:r>
    </w:p>
    <w:p w:rsidR="00000000" w:rsidDel="00000000" w:rsidP="00000000" w:rsidRDefault="00000000" w:rsidRPr="00000000" w14:paraId="00000002">
      <w:pPr>
        <w:shd w:fill="ffffff" w:val="clear"/>
        <w:ind w:left="0" w:firstLine="0"/>
        <w:rPr>
          <w:color w:val="212529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ind w:left="720" w:hanging="72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Balsamo, Anne. </w:t>
      </w:r>
      <w:r w:rsidDel="00000000" w:rsidR="00000000" w:rsidRPr="00000000">
        <w:rPr>
          <w:i w:val="1"/>
          <w:color w:val="212529"/>
          <w:sz w:val="24"/>
          <w:szCs w:val="24"/>
          <w:rtl w:val="0"/>
        </w:rPr>
        <w:t xml:space="preserve">Designing Culture: The Technological Imagination at Work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. Duke University Press, 2011.</w:t>
      </w:r>
    </w:p>
    <w:p w:rsidR="00000000" w:rsidDel="00000000" w:rsidP="00000000" w:rsidRDefault="00000000" w:rsidRPr="00000000" w14:paraId="00000004">
      <w:pPr>
        <w:shd w:fill="ffffff" w:val="clear"/>
        <w:ind w:left="720" w:hanging="72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Bass, Randy, and Dan Bernstein. “The Middle of Open Spaces: Generating Knowledge About Learning Through Multiple Layers of Open Teaching Communities.” In </w:t>
      </w:r>
      <w:r w:rsidDel="00000000" w:rsidR="00000000" w:rsidRPr="00000000">
        <w:rPr>
          <w:i w:val="1"/>
          <w:color w:val="212529"/>
          <w:sz w:val="24"/>
          <w:szCs w:val="24"/>
          <w:rtl w:val="0"/>
        </w:rPr>
        <w:t xml:space="preserve">Opening Up Education: The Collective Advancement of Education Through Open Technology, Open Content, and Open Knowledge Cambridge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, edited by Toru Iiyoshi and M.S. Vijay Kumar. MIT Press, 2008.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https://mitpress.mit.edu/9780262515016/opening-up-education/</w:t>
        </w:r>
      </w:hyperlink>
      <w:r w:rsidDel="00000000" w:rsidR="00000000" w:rsidRPr="00000000">
        <w:rPr>
          <w:color w:val="212529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5">
      <w:pPr>
        <w:shd w:fill="ffffff" w:val="clear"/>
        <w:ind w:left="720" w:hanging="72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Benjamin, Ruha. </w:t>
      </w:r>
      <w:r w:rsidDel="00000000" w:rsidR="00000000" w:rsidRPr="00000000">
        <w:rPr>
          <w:i w:val="1"/>
          <w:color w:val="212529"/>
          <w:sz w:val="24"/>
          <w:szCs w:val="24"/>
          <w:rtl w:val="0"/>
        </w:rPr>
        <w:t xml:space="preserve">Race After Technology: Abolitionist Tools for the New Jim Code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. Polity Press, 2020.</w:t>
      </w:r>
    </w:p>
    <w:p w:rsidR="00000000" w:rsidDel="00000000" w:rsidP="00000000" w:rsidRDefault="00000000" w:rsidRPr="00000000" w14:paraId="00000006">
      <w:pPr>
        <w:shd w:fill="ffffff" w:val="clear"/>
        <w:ind w:left="720" w:hanging="72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Caesar, Jacque and Thomas MacCalla. “E-Humanities in a Digital Society.”</w:t>
      </w:r>
      <w:r w:rsidDel="00000000" w:rsidR="00000000" w:rsidRPr="00000000">
        <w:rPr>
          <w:i w:val="1"/>
          <w:color w:val="212529"/>
          <w:sz w:val="24"/>
          <w:szCs w:val="24"/>
          <w:rtl w:val="0"/>
        </w:rPr>
        <w:t xml:space="preserve"> The International Journal of the Humanities: Annual Review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 2, no. 1 (2006).</w:t>
      </w:r>
    </w:p>
    <w:p w:rsidR="00000000" w:rsidDel="00000000" w:rsidP="00000000" w:rsidRDefault="00000000" w:rsidRPr="00000000" w14:paraId="00000007">
      <w:pPr>
        <w:shd w:fill="ffffff" w:val="clear"/>
        <w:ind w:left="720" w:hanging="72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Carnegie Mellon University. “Humanities, Arts, Science and Technology Alliance and Collaboratory,” </w:t>
      </w:r>
      <w:r w:rsidDel="00000000" w:rsidR="00000000" w:rsidRPr="00000000">
        <w:rPr>
          <w:i w:val="1"/>
          <w:color w:val="212529"/>
          <w:sz w:val="24"/>
          <w:szCs w:val="24"/>
          <w:rtl w:val="0"/>
        </w:rPr>
        <w:t xml:space="preserve">The Index of Digital Humanities Conferences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,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 2019.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https://dh-abstracts.library.virginia.edu/conference_series/40</w:t>
        </w:r>
      </w:hyperlink>
      <w:r w:rsidDel="00000000" w:rsidR="00000000" w:rsidRPr="00000000">
        <w:rPr>
          <w:color w:val="212529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hd w:fill="ffffff" w:val="clear"/>
        <w:ind w:left="720" w:hanging="72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Davidson, Cathy N. “The HASTAC Vision: Humanities, Arts, Science, and Technology Advanced Collaboratory,” </w:t>
      </w:r>
      <w:r w:rsidDel="00000000" w:rsidR="00000000" w:rsidRPr="00000000">
        <w:rPr>
          <w:i w:val="1"/>
          <w:color w:val="212529"/>
          <w:sz w:val="24"/>
          <w:szCs w:val="24"/>
          <w:rtl w:val="0"/>
        </w:rPr>
        <w:t xml:space="preserve">HASTAC Commons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, 2024. White paper originally published 2004.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https://works.hcommons.org/records/2e3rd-5mp53</w:t>
        </w:r>
      </w:hyperlink>
      <w:r w:rsidDel="00000000" w:rsidR="00000000" w:rsidRPr="00000000">
        <w:rPr>
          <w:color w:val="212529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hd w:fill="ffffff" w:val="clear"/>
        <w:ind w:left="720" w:hanging="72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Green, Bill. “Unfinished business: Subjectivity and Supervision.” </w:t>
      </w:r>
      <w:r w:rsidDel="00000000" w:rsidR="00000000" w:rsidRPr="00000000">
        <w:rPr>
          <w:i w:val="1"/>
          <w:color w:val="212529"/>
          <w:sz w:val="24"/>
          <w:szCs w:val="24"/>
          <w:rtl w:val="0"/>
        </w:rPr>
        <w:t xml:space="preserve">Higher Education Research and Development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 24, no. 2 (2005): 151–163.</w:t>
      </w:r>
    </w:p>
    <w:p w:rsidR="00000000" w:rsidDel="00000000" w:rsidP="00000000" w:rsidRDefault="00000000" w:rsidRPr="00000000" w14:paraId="0000000A">
      <w:pPr>
        <w:shd w:fill="ffffff" w:val="clear"/>
        <w:ind w:left="720" w:hanging="72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HASTAC Scholars. “Grading 2.0: Evaluation in the digital age,” </w:t>
      </w:r>
      <w:r w:rsidDel="00000000" w:rsidR="00000000" w:rsidRPr="00000000">
        <w:rPr>
          <w:i w:val="1"/>
          <w:color w:val="212529"/>
          <w:sz w:val="24"/>
          <w:szCs w:val="24"/>
          <w:rtl w:val="0"/>
        </w:rPr>
        <w:t xml:space="preserve">HASTAC.org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, 2009. To access this blog, please contact the HASTAC.org archive and David M. Rubenstein Rare Book and Manuscript Library at Duke University.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https://rubenstein.libanswers.com/index</w:t>
        </w:r>
      </w:hyperlink>
      <w:r w:rsidDel="00000000" w:rsidR="00000000" w:rsidRPr="00000000">
        <w:rPr>
          <w:color w:val="212529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hd w:fill="ffffff" w:val="clear"/>
        <w:ind w:left="720" w:hanging="72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HASTAC Scholars. “Queer and feminist new media spaces,” </w:t>
      </w:r>
      <w:r w:rsidDel="00000000" w:rsidR="00000000" w:rsidRPr="00000000">
        <w:rPr>
          <w:i w:val="1"/>
          <w:color w:val="212529"/>
          <w:sz w:val="24"/>
          <w:szCs w:val="24"/>
          <w:rtl w:val="0"/>
        </w:rPr>
        <w:t xml:space="preserve">HASTAC.org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, 2010. To access this blog, please contact the HASTAC.org archive and David M. Rubenstein Rare Book and Manuscript Library at Duke University.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https://rubenstein.libanswers.com/index</w:t>
        </w:r>
      </w:hyperlink>
      <w:r w:rsidDel="00000000" w:rsidR="00000000" w:rsidRPr="00000000">
        <w:rPr>
          <w:color w:val="212529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hd w:fill="ffffff" w:val="clear"/>
        <w:ind w:left="720" w:hanging="72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Kim, Dorothy. “How to Decolonize DH: Actionable Steps for an Antifascist DH,” in </w:t>
      </w:r>
      <w:r w:rsidDel="00000000" w:rsidR="00000000" w:rsidRPr="00000000">
        <w:rPr>
          <w:i w:val="1"/>
          <w:color w:val="212529"/>
          <w:sz w:val="24"/>
          <w:szCs w:val="24"/>
          <w:rtl w:val="0"/>
        </w:rPr>
        <w:t xml:space="preserve">Disrupting the Digital Humanities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, edited by Dorothy Kim and Jesse Stommel. Punctum Books, 2018.</w:t>
      </w:r>
    </w:p>
    <w:p w:rsidR="00000000" w:rsidDel="00000000" w:rsidP="00000000" w:rsidRDefault="00000000" w:rsidRPr="00000000" w14:paraId="0000000D">
      <w:pPr>
        <w:shd w:fill="ffffff" w:val="clear"/>
        <w:ind w:left="720" w:hanging="72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Losh, Elizabeth. “Hacktivism and the Humanities: Programming Protest in the Era of the Digital University,” in</w:t>
      </w:r>
      <w:r w:rsidDel="00000000" w:rsidR="00000000" w:rsidRPr="00000000">
        <w:rPr>
          <w:i w:val="1"/>
          <w:color w:val="212529"/>
          <w:sz w:val="24"/>
          <w:szCs w:val="24"/>
          <w:rtl w:val="0"/>
        </w:rPr>
        <w:t xml:space="preserve"> Debates in the Digital Humanities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, edited by Matthew K. Gold. University of Minnesota Press, 2012.</w:t>
      </w:r>
    </w:p>
    <w:p w:rsidR="00000000" w:rsidDel="00000000" w:rsidP="00000000" w:rsidRDefault="00000000" w:rsidRPr="00000000" w14:paraId="0000000E">
      <w:pPr>
        <w:shd w:fill="ffffff" w:val="clear"/>
        <w:ind w:left="720" w:hanging="72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Losh, Elizabeth and Jacqueline Wernimont, </w:t>
      </w:r>
      <w:r w:rsidDel="00000000" w:rsidR="00000000" w:rsidRPr="00000000">
        <w:rPr>
          <w:i w:val="1"/>
          <w:color w:val="212529"/>
          <w:sz w:val="24"/>
          <w:szCs w:val="24"/>
          <w:rtl w:val="0"/>
        </w:rPr>
        <w:t xml:space="preserve">Bodies of Information: Intersectional Feminism and The Digital Humanities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. University of Minnesota Press, 2019.</w:t>
      </w:r>
    </w:p>
    <w:p w:rsidR="00000000" w:rsidDel="00000000" w:rsidP="00000000" w:rsidRDefault="00000000" w:rsidRPr="00000000" w14:paraId="0000000F">
      <w:pPr>
        <w:shd w:fill="ffffff" w:val="clear"/>
        <w:ind w:left="720" w:hanging="72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Nakamura, Lisa. </w:t>
      </w:r>
      <w:r w:rsidDel="00000000" w:rsidR="00000000" w:rsidRPr="00000000">
        <w:rPr>
          <w:i w:val="1"/>
          <w:color w:val="212529"/>
          <w:sz w:val="24"/>
          <w:szCs w:val="24"/>
          <w:rtl w:val="0"/>
        </w:rPr>
        <w:t xml:space="preserve">Digitizing Race: Visual Cultures of the Internet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. University of Minnesota Press, 2007.</w:t>
      </w:r>
    </w:p>
    <w:p w:rsidR="00000000" w:rsidDel="00000000" w:rsidP="00000000" w:rsidRDefault="00000000" w:rsidRPr="00000000" w14:paraId="00000010">
      <w:pPr>
        <w:shd w:fill="ffffff" w:val="clear"/>
        <w:ind w:left="720" w:hanging="72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Nelson, Alondra, </w:t>
      </w:r>
      <w:r w:rsidDel="00000000" w:rsidR="00000000" w:rsidRPr="00000000">
        <w:rPr>
          <w:i w:val="1"/>
          <w:color w:val="212529"/>
          <w:sz w:val="24"/>
          <w:szCs w:val="24"/>
          <w:rtl w:val="0"/>
        </w:rPr>
        <w:t xml:space="preserve">et al. Technicolor: Race, Technology, and Everyday Life.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 New York University Press, 2001.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http://www.alondranelson.com/books/technicolor-race-technology-and-everyday-life</w:t>
        </w:r>
      </w:hyperlink>
      <w:r w:rsidDel="00000000" w:rsidR="00000000" w:rsidRPr="00000000">
        <w:rPr>
          <w:color w:val="212529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1">
      <w:pPr>
        <w:shd w:fill="ffffff" w:val="clear"/>
        <w:ind w:left="720" w:hanging="72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Papson, Stephen. “Scholars, intellectuals, and bricoleurs.” </w:t>
      </w:r>
      <w:r w:rsidDel="00000000" w:rsidR="00000000" w:rsidRPr="00000000">
        <w:rPr>
          <w:i w:val="1"/>
          <w:color w:val="212529"/>
          <w:sz w:val="24"/>
          <w:szCs w:val="24"/>
          <w:rtl w:val="0"/>
        </w:rPr>
        <w:t xml:space="preserve">Arts and Humanities in Higher Education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 13, no. 4 (2014): 377–394.</w:t>
      </w:r>
    </w:p>
    <w:p w:rsidR="00000000" w:rsidDel="00000000" w:rsidP="00000000" w:rsidRDefault="00000000" w:rsidRPr="00000000" w14:paraId="00000012">
      <w:pPr>
        <w:shd w:fill="ffffff" w:val="clear"/>
        <w:ind w:left="720" w:hanging="72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Parker, Jan. “Speaking Out in a Digital World: Humanities Values, Humanities Processes,” in </w:t>
      </w:r>
      <w:r w:rsidDel="00000000" w:rsidR="00000000" w:rsidRPr="00000000">
        <w:rPr>
          <w:i w:val="1"/>
          <w:color w:val="212529"/>
          <w:sz w:val="24"/>
          <w:szCs w:val="24"/>
          <w:rtl w:val="0"/>
        </w:rPr>
        <w:t xml:space="preserve">Humanities in the Twenty-First Century,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 edited by Eleonora Belfiore and Anna Upchurch. Palgrave Macmillan, 2013.</w:t>
      </w:r>
    </w:p>
    <w:p w:rsidR="00000000" w:rsidDel="00000000" w:rsidP="00000000" w:rsidRDefault="00000000" w:rsidRPr="00000000" w14:paraId="00000013">
      <w:pPr>
        <w:shd w:fill="ffffff" w:val="clear"/>
        <w:ind w:left="720" w:hanging="72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Puschmann, Cornelius, and Marco Bastos, “How Digital Are the Digital Humanities? An Analysis of Two Scholarly Blogging Platforms.” </w:t>
      </w:r>
      <w:r w:rsidDel="00000000" w:rsidR="00000000" w:rsidRPr="00000000">
        <w:rPr>
          <w:i w:val="1"/>
          <w:color w:val="212529"/>
          <w:sz w:val="24"/>
          <w:szCs w:val="24"/>
          <w:rtl w:val="0"/>
        </w:rPr>
        <w:t xml:space="preserve">PLoS ONE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 10, no. 2 (2015): e0115035 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https://journals.plos.org/plosone/article?id=10.1371/journal.pone.0115035</w:t>
        </w:r>
      </w:hyperlink>
      <w:r w:rsidDel="00000000" w:rsidR="00000000" w:rsidRPr="00000000">
        <w:rPr>
          <w:color w:val="212529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4">
      <w:pPr>
        <w:shd w:fill="ffffff" w:val="clear"/>
        <w:ind w:left="720" w:hanging="72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Risam, Roopika. “Beyond The Margins: Intersectionality and Digital Humanities,” in </w:t>
      </w:r>
      <w:r w:rsidDel="00000000" w:rsidR="00000000" w:rsidRPr="00000000">
        <w:rPr>
          <w:i w:val="1"/>
          <w:color w:val="212529"/>
          <w:sz w:val="24"/>
          <w:szCs w:val="24"/>
          <w:rtl w:val="0"/>
        </w:rPr>
        <w:t xml:space="preserve">Intersectionality in Digital Humanities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, edited by Barbara Bordalejo and Roopika Risam. Arc Humanities Press, 2019.</w:t>
      </w:r>
    </w:p>
    <w:p w:rsidR="00000000" w:rsidDel="00000000" w:rsidP="00000000" w:rsidRDefault="00000000" w:rsidRPr="00000000" w14:paraId="00000015">
      <w:pPr>
        <w:shd w:fill="ffffff" w:val="clear"/>
        <w:ind w:left="720" w:hanging="72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Singletary, Kim Alecia. “Interdisciplinary intellect: HASTAC and the commitment to encourage collective intelligence.”</w:t>
      </w:r>
      <w:r w:rsidDel="00000000" w:rsidR="00000000" w:rsidRPr="00000000">
        <w:rPr>
          <w:i w:val="1"/>
          <w:color w:val="212529"/>
          <w:sz w:val="24"/>
          <w:szCs w:val="24"/>
          <w:rtl w:val="0"/>
        </w:rPr>
        <w:t xml:space="preserve"> Arts and Humanities in Higher Education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 11, no. 1–2 (2012): 109–119.</w:t>
      </w:r>
    </w:p>
    <w:p w:rsidR="00000000" w:rsidDel="00000000" w:rsidP="00000000" w:rsidRDefault="00000000" w:rsidRPr="00000000" w14:paraId="00000016">
      <w:pPr>
        <w:shd w:fill="ffffff" w:val="clear"/>
        <w:ind w:left="720" w:hanging="72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Wernimont, Jacqueline.</w:t>
      </w:r>
      <w:r w:rsidDel="00000000" w:rsidR="00000000" w:rsidRPr="00000000">
        <w:rPr>
          <w:i w:val="1"/>
          <w:color w:val="212529"/>
          <w:sz w:val="24"/>
          <w:szCs w:val="24"/>
          <w:rtl w:val="0"/>
        </w:rPr>
        <w:t xml:space="preserve"> Numbered Lives: Life and Death in Quantum Media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. MIT Press, 2019.</w:t>
      </w:r>
    </w:p>
    <w:p w:rsidR="00000000" w:rsidDel="00000000" w:rsidP="00000000" w:rsidRDefault="00000000" w:rsidRPr="00000000" w14:paraId="00000017">
      <w:pPr>
        <w:shd w:fill="ffffff" w:val="clear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alondranelson.com/books/technicolor-race-technology-and-everyday-life" TargetMode="External"/><Relationship Id="rId10" Type="http://schemas.openxmlformats.org/officeDocument/2006/relationships/hyperlink" Target="https://rubenstein.libanswers.com/index" TargetMode="External"/><Relationship Id="rId12" Type="http://schemas.openxmlformats.org/officeDocument/2006/relationships/hyperlink" Target="https://journals.plos.org/plosone/article?id=10.1371/journal.pone.0115035" TargetMode="External"/><Relationship Id="rId9" Type="http://schemas.openxmlformats.org/officeDocument/2006/relationships/hyperlink" Target="https://rubenstein.libanswers.com/index" TargetMode="External"/><Relationship Id="rId5" Type="http://schemas.openxmlformats.org/officeDocument/2006/relationships/styles" Target="styles.xml"/><Relationship Id="rId6" Type="http://schemas.openxmlformats.org/officeDocument/2006/relationships/hyperlink" Target="https://mitpress.mit.edu/9780262515016/opening-up-education/" TargetMode="External"/><Relationship Id="rId7" Type="http://schemas.openxmlformats.org/officeDocument/2006/relationships/hyperlink" Target="https://dh-abstracts.library.virginia.edu/conference_series/40" TargetMode="External"/><Relationship Id="rId8" Type="http://schemas.openxmlformats.org/officeDocument/2006/relationships/hyperlink" Target="https://works.hcommons.org/records/2e3rd-5mp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