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4031" w14:textId="36F389FC" w:rsidR="00364894" w:rsidRDefault="00364894" w:rsidP="0036489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Comparison of BMI and </w:t>
      </w:r>
      <w:r w:rsidR="00190687">
        <w:rPr>
          <w:rFonts w:ascii="Times New Roman" w:hAnsi="Times New Roman" w:cs="Times New Roman"/>
          <w:b/>
          <w:bCs/>
          <w:sz w:val="24"/>
          <w:szCs w:val="24"/>
        </w:rPr>
        <w:t xml:space="preserve">mental health </w:t>
      </w:r>
      <w:r>
        <w:rPr>
          <w:rFonts w:ascii="Times New Roman" w:hAnsi="Times New Roman" w:cs="Times New Roman"/>
          <w:b/>
          <w:bCs/>
          <w:sz w:val="24"/>
          <w:szCs w:val="24"/>
        </w:rPr>
        <w:t>symptoms across risk-status groups</w:t>
      </w:r>
    </w:p>
    <w:p w14:paraId="2ABEC2F2" w14:textId="7B72F27C" w:rsidR="00C56D4F" w:rsidRDefault="000506E3" w:rsidP="00364894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 on the following </w:t>
      </w:r>
      <w:r w:rsidR="001906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mental health </w:t>
      </w:r>
      <w:r w:rsidR="003A5E53">
        <w:rPr>
          <w:rFonts w:ascii="Times New Roman" w:eastAsia="Calibri" w:hAnsi="Times New Roman" w:cs="Times New Roman"/>
          <w:color w:val="000000"/>
          <w:sz w:val="24"/>
          <w:szCs w:val="24"/>
        </w:rPr>
        <w:t>symptoms</w:t>
      </w:r>
      <w:r w:rsidR="00DC22C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C5C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assessed at the last assessment</w:t>
      </w:r>
      <w:r w:rsidR="00DC22C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C5C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6D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were analysed: </w:t>
      </w:r>
      <w:r w:rsidR="003A5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4BD67C" w14:textId="77777777" w:rsidR="00C56D4F" w:rsidRDefault="00C56D4F" w:rsidP="00C56D4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4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F3023F" w:rsidRPr="00C56D4F">
        <w:rPr>
          <w:rFonts w:ascii="Times New Roman" w:eastAsia="Calibri" w:hAnsi="Times New Roman" w:cs="Times New Roman"/>
          <w:color w:val="000000"/>
          <w:sz w:val="24"/>
          <w:szCs w:val="24"/>
        </w:rPr>
        <w:t>linician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-rated scales including the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uick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nventory of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epressive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>ymptomatology (QIDS)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 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PEVuZE5vdGU+PENpdGU+PEF1dGhvcj5SdXNoPC9BdXRob3I+PFllYXI+MjAwMzwvWWVhcj48UmVj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</w:fldData>
        </w:fldChar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PEVuZE5vdGU+PENpdGU+PEF1dGhvcj5SdXNoPC9BdXRob3I+PFllYXI+MjAwMzwvWWVhcj48UmVj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</w:fldData>
        </w:fldChar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3023F" w:rsidRPr="00C56D4F">
        <w:rPr>
          <w:rFonts w:ascii="Times New Roman" w:hAnsi="Times New Roman" w:cs="Times New Roman"/>
          <w:sz w:val="24"/>
          <w:szCs w:val="24"/>
        </w:rPr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  <w:r w:rsidR="00F3023F" w:rsidRPr="00C56D4F">
        <w:rPr>
          <w:rFonts w:ascii="Times New Roman" w:hAnsi="Times New Roman" w:cs="Times New Roman"/>
          <w:sz w:val="24"/>
          <w:szCs w:val="24"/>
        </w:rPr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separate"/>
      </w:r>
      <w:r w:rsidR="00F3023F" w:rsidRPr="00C56D4F">
        <w:rPr>
          <w:rFonts w:ascii="Times New Roman" w:hAnsi="Times New Roman" w:cs="Times New Roman"/>
          <w:sz w:val="24"/>
          <w:szCs w:val="24"/>
        </w:rPr>
        <w:t>(Rush et al. 2003)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;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Brief Psychiatric Rating Scale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 (BPRS)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 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/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&lt;EndNote&gt;&lt;Cite&gt;&lt;Author&gt;Overall&lt;/Author&gt;&lt;Year&gt;1962&lt;/Year&gt;&lt;RecNum&gt;26&lt;/RecNum&gt;&lt;DisplayText&gt;(Overall and Gorham 1962)&lt;/DisplayText&gt;&lt;record&gt;&lt;rec-number&gt;26&lt;/rec-number&gt;&lt;foreign-keys&gt;&lt;key app="EN" db-id="tdzvd0dvkvv9twerpeuvx0fxztvvdtfw52xz" timestamp="1683940618"&gt;26&lt;/key&gt;&lt;/foreign-keys&gt;&lt;ref-type name="Journal Article"&gt;17&lt;/ref-type&gt;&lt;contributors&gt;&lt;authors&gt;&lt;author&gt;Overall, John E.&lt;/author&gt;&lt;author&gt;Gorham, Donald R.&lt;/author&gt;&lt;/authors&gt;&lt;/contributors&gt;&lt;titles&gt;&lt;title&gt;The Brief Psychiatric Rating Scale&lt;/title&gt;&lt;secondary-title&gt;Psychological reports&lt;/secondary-title&gt;&lt;/titles&gt;&lt;periodical&gt;&lt;full-title&gt;Psychological reports&lt;/full-title&gt;&lt;/periodical&gt;&lt;pages&gt;799-812&lt;/pages&gt;&lt;volume&gt;10&lt;/volume&gt;&lt;number&gt;3&lt;/number&gt;&lt;dates&gt;&lt;year&gt;1962&lt;/year&gt;&lt;/dates&gt;&lt;pub-location&gt;Los Angeles, CA&lt;/pub-location&gt;&lt;publisher&gt;SAGE Publications&lt;/publisher&gt;&lt;isbn&gt;0033-2941&lt;/isbn&gt;&lt;urls&gt;&lt;/urls&gt;&lt;electronic-resource-num&gt;10.2466/pr0.1962.10.3.799&lt;/electronic-resource-num&gt;&lt;/record&gt;&lt;/Cite&gt;&lt;/EndNote&gt;</w:instrTex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separate"/>
      </w:r>
      <w:r w:rsidR="00F3023F" w:rsidRPr="00C56D4F">
        <w:rPr>
          <w:rFonts w:ascii="Times New Roman" w:hAnsi="Times New Roman" w:cs="Times New Roman"/>
          <w:sz w:val="24"/>
          <w:szCs w:val="24"/>
        </w:rPr>
        <w:t>(Overall and Gorham 1962)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;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Young Mania Rating Scale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 (YMRS)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 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/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&lt;EndNote&gt;&lt;Cite&gt;&lt;Author&gt;Young&lt;/Author&gt;&lt;Year&gt;1978&lt;/Year&gt;&lt;RecNum&gt;27&lt;/RecNum&gt;&lt;DisplayText&gt;(Young et al. 1978)&lt;/DisplayText&gt;&lt;record&gt;&lt;rec-number&gt;27&lt;/rec-number&gt;&lt;foreign-keys&gt;&lt;key app="EN" db-id="tdzvd0dvkvv9twerpeuvx0fxztvvdtfw52xz" timestamp="1683940687"&gt;27&lt;/key&gt;&lt;/foreign-keys&gt;&lt;ref-type name="Journal Article"&gt;17&lt;/ref-type&gt;&lt;contributors&gt;&lt;authors&gt;&lt;author&gt;Young, R. C.&lt;/author&gt;&lt;author&gt;Biggs, J. T.&lt;/author&gt;&lt;author&gt;Ziegler, V. E.&lt;/author&gt;&lt;author&gt;Meyer, D. A.&lt;/author&gt;&lt;/authors&gt;&lt;/contributors&gt;&lt;titles&gt;&lt;title&gt;A rating scale for mania: reliability, validity and sensitivity&lt;/title&gt;&lt;secondary-title&gt;Br J Psychiatry&lt;/secondary-title&gt;&lt;/titles&gt;&lt;periodical&gt;&lt;full-title&gt;Br J Psychiatry&lt;/full-title&gt;&lt;/periodical&gt;&lt;pages&gt;429-35&lt;/pages&gt;&lt;volume&gt;133&lt;/volume&gt;&lt;edition&gt;1978/11/01&lt;/edition&gt;&lt;keywords&gt;&lt;keyword&gt;Bipolar Disorder/*psychology&lt;/keyword&gt;&lt;keyword&gt;Humans&lt;/keyword&gt;&lt;keyword&gt;Length of Stay&lt;/keyword&gt;&lt;keyword&gt;*Psychiatric Status Rating Scales&lt;/keyword&gt;&lt;keyword&gt;Psychometrics&lt;/keyword&gt;&lt;/keywords&gt;&lt;dates&gt;&lt;year&gt;1978&lt;/year&gt;&lt;pub-dates&gt;&lt;date&gt;Nov&lt;/date&gt;&lt;/pub-dates&gt;&lt;/dates&gt;&lt;isbn&gt;0007-1250 (Print)&amp;#xD;0007-1250&lt;/isbn&gt;&lt;accession-num&gt;728692&lt;/accession-num&gt;&lt;urls&gt;&lt;/urls&gt;&lt;electronic-resource-num&gt;10.1192/bjp.133.5.429&lt;/electronic-resource-num&gt;&lt;remote-database-provider&gt;NLM&lt;/remote-database-provider&gt;&lt;language&gt;eng&lt;/language&gt;&lt;/record&gt;&lt;/Cite&gt;&lt;/EndNote&gt;</w:instrTex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separate"/>
      </w:r>
      <w:r w:rsidR="00F3023F" w:rsidRPr="00C56D4F">
        <w:rPr>
          <w:rFonts w:ascii="Times New Roman" w:hAnsi="Times New Roman" w:cs="Times New Roman"/>
          <w:sz w:val="24"/>
          <w:szCs w:val="24"/>
        </w:rPr>
        <w:t>(Young et al. 1978)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; and </w:t>
      </w:r>
      <w:bookmarkStart w:id="0" w:name="_Hlk164546471"/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ocial and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ccupational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unctioning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ssessment </w:t>
      </w:r>
      <w:r w:rsidR="005C35CB" w:rsidRPr="00C56D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>cale</w:t>
      </w:r>
      <w:bookmarkEnd w:id="0"/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 (SOFAS)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 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/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&lt;EndNote&gt;&lt;Cite&gt;&lt;Author&gt;Goldman&lt;/Author&gt;&lt;Year&gt;1992&lt;/Year&gt;&lt;RecNum&gt;28&lt;/RecNum&gt;&lt;DisplayText&gt;(Goldman et al. 1992)&lt;/DisplayText&gt;&lt;record&gt;&lt;rec-number&gt;28&lt;/rec-number&gt;&lt;foreign-keys&gt;&lt;key app="EN" db-id="tdzvd0dvkvv9twerpeuvx0fxztvvdtfw52xz" timestamp="1683940731"&gt;28&lt;/key&gt;&lt;/foreign-keys&gt;&lt;ref-type name="Journal Article"&gt;17&lt;/ref-type&gt;&lt;contributors&gt;&lt;authors&gt;&lt;author&gt;Goldman, H. H.&lt;/author&gt;&lt;author&gt;Skodol, A. E.&lt;/author&gt;&lt;author&gt;Lave, T. R.&lt;/author&gt;&lt;/authors&gt;&lt;/contributors&gt;&lt;auth-address&gt;Department of Psychiatry, University of Maryland School of Medicine, Baltimore 21201.&lt;/auth-address&gt;&lt;titles&gt;&lt;title&gt;Revising axis V for DSM-IV: a review of measures of social functioning&lt;/title&gt;&lt;secondary-title&gt;Am J Psychiatry&lt;/secondary-title&gt;&lt;/titles&gt;&lt;periodical&gt;&lt;full-title&gt;Am J Psychiatry&lt;/full-title&gt;&lt;/periodical&gt;&lt;pages&gt;1148-56&lt;/pages&gt;&lt;volume&gt;149&lt;/volume&gt;&lt;number&gt;9&lt;/number&gt;&lt;edition&gt;1992/09/01&lt;/edition&gt;&lt;keywords&gt;&lt;keyword&gt;Disabled Persons/classification&lt;/keyword&gt;&lt;keyword&gt;Employment&lt;/keyword&gt;&lt;keyword&gt;Humans&lt;/keyword&gt;&lt;keyword&gt;Mental Disorders/classification/*diagnosis/psychology&lt;/keyword&gt;&lt;keyword&gt;Occupations&lt;/keyword&gt;&lt;keyword&gt;Psychiatric Status Rating Scales/standards/*statistics &amp;amp; numerical data&lt;/keyword&gt;&lt;keyword&gt;Psychometrics&lt;/keyword&gt;&lt;keyword&gt;Reproducibility of Results&lt;/keyword&gt;&lt;keyword&gt;*Social Adjustment&lt;/keyword&gt;&lt;keyword&gt;Terminology as Topic&lt;/keyword&gt;&lt;/keywords&gt;&lt;dates&gt;&lt;year&gt;1992&lt;/year&gt;&lt;pub-dates&gt;&lt;date&gt;Sep&lt;/date&gt;&lt;/pub-dates&gt;&lt;/dates&gt;&lt;isbn&gt;0002-953X (Print)&amp;#xD;0002-953x&lt;/isbn&gt;&lt;accession-num&gt;1386964&lt;/accession-num&gt;&lt;urls&gt;&lt;/urls&gt;&lt;electronic-resource-num&gt;10.1176/ajp.149.9.1148&lt;/electronic-resource-num&gt;&lt;remote-database-provider&gt;NLM&lt;/remote-database-provider&gt;&lt;language&gt;eng&lt;/language&gt;&lt;/record&gt;&lt;/Cite&gt;&lt;/EndNote&gt;</w:instrTex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separate"/>
      </w:r>
      <w:r w:rsidR="00F3023F" w:rsidRPr="00C56D4F">
        <w:rPr>
          <w:rFonts w:ascii="Times New Roman" w:hAnsi="Times New Roman" w:cs="Times New Roman"/>
          <w:sz w:val="24"/>
          <w:szCs w:val="24"/>
        </w:rPr>
        <w:t>(Goldman et al. 1992)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58BCF4" w14:textId="7D04F284" w:rsidR="00F3023F" w:rsidRPr="00C56D4F" w:rsidRDefault="00C56D4F" w:rsidP="00C56D4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elf-rated measures, including </w:t>
      </w:r>
      <w:bookmarkStart w:id="1" w:name="_Hlk164546481"/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Kessler </w:t>
      </w:r>
      <w:r w:rsidR="0071566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sychological </w:t>
      </w:r>
      <w:r w:rsidR="0071566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>istress scale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(K10) 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/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&lt;EndNote&gt;&lt;Cite&gt;&lt;Author&gt;Andrews&lt;/Author&gt;&lt;Year&gt;2001&lt;/Year&gt;&lt;RecNum&gt;70&lt;/RecNum&gt;&lt;DisplayText&gt;(Andrews and Slade 2001)&lt;/DisplayText&gt;&lt;record&gt;&lt;rec-number&gt;70&lt;/rec-number&gt;&lt;foreign-keys&gt;&lt;key app="EN" db-id="tdzvd0dvkvv9twerpeuvx0fxztvvdtfw52xz" timestamp="1712724627"&gt;70&lt;/key&gt;&lt;/foreign-keys&gt;&lt;ref-type name="Journal Article"&gt;17&lt;/ref-type&gt;&lt;contributors&gt;&lt;authors&gt;&lt;author&gt;Andrews, Gavin&lt;/author&gt;&lt;author&gt;Slade, Tim&lt;/author&gt;&lt;/authors&gt;&lt;/contributors&gt;&lt;titles&gt;&lt;title&gt;Interpreting scores on the Kessler psychological distress scale (K10)&lt;/title&gt;&lt;secondary-title&gt;Australian and New Zealand journal of public health&lt;/secondary-title&gt;&lt;/titles&gt;&lt;periodical&gt;&lt;full-title&gt;Australian and New Zealand journal of public health&lt;/full-title&gt;&lt;/periodical&gt;&lt;pages&gt;494-497&lt;/pages&gt;&lt;volume&gt;25&lt;/volume&gt;&lt;number&gt;6&lt;/number&gt;&lt;dates&gt;&lt;year&gt;2001&lt;/year&gt;&lt;/dates&gt;&lt;isbn&gt;1326-0200&lt;/isbn&gt;&lt;urls&gt;&lt;/urls&gt;&lt;/record&gt;&lt;/Cite&gt;&lt;/EndNote&gt;</w:instrTex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separate"/>
      </w:r>
      <w:r w:rsidR="00F3023F" w:rsidRPr="00C56D4F">
        <w:rPr>
          <w:rFonts w:ascii="Times New Roman" w:hAnsi="Times New Roman" w:cs="Times New Roman"/>
          <w:sz w:val="24"/>
          <w:szCs w:val="24"/>
        </w:rPr>
        <w:t>(Andrews and Slade 2001)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; and </w:t>
      </w:r>
      <w:r w:rsidR="007E135B" w:rsidRPr="00C56D4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verall </w:t>
      </w:r>
      <w:r w:rsidR="007E135B" w:rsidRPr="00C56D4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nxiety </w:t>
      </w:r>
      <w:r w:rsidR="007E135B" w:rsidRPr="00C56D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everity and </w:t>
      </w:r>
      <w:r w:rsidR="007E135B" w:rsidRPr="00C56D4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 xml:space="preserve">mpairment </w:t>
      </w:r>
      <w:r w:rsidR="007E135B" w:rsidRPr="00C56D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3023F" w:rsidRPr="00C56D4F">
        <w:rPr>
          <w:rFonts w:ascii="Times New Roman" w:hAnsi="Times New Roman" w:cs="Times New Roman"/>
          <w:i/>
          <w:iCs/>
          <w:sz w:val="24"/>
          <w:szCs w:val="24"/>
        </w:rPr>
        <w:t>cale (OASIS)</w:t>
      </w:r>
      <w:r w:rsidR="00F3023F" w:rsidRPr="00C56D4F">
        <w:rPr>
          <w:rFonts w:ascii="Times New Roman" w:hAnsi="Times New Roman" w:cs="Times New Roman"/>
          <w:sz w:val="24"/>
          <w:szCs w:val="24"/>
        </w:rPr>
        <w:t xml:space="preserve"> 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begin"/>
      </w:r>
      <w:r w:rsidR="00F3023F" w:rsidRPr="00C56D4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&lt;EndNote&gt;&lt;Cite&gt;&lt;Author&gt;Norman&lt;/Author&gt;&lt;Year&gt;2006&lt;/Year&gt;&lt;RecNum&gt;50&lt;/RecNum&gt;&lt;DisplayText&gt;(Norman et al. 2006)&lt;/DisplayText&gt;&lt;record&gt;&lt;rec-number&gt;50&lt;/rec-number&gt;&lt;foreign-keys&gt;&lt;key app="EN" db-id="tdzvd0dvkvv9twerpeuvx0fxztvvdtfw52xz" timestamp="1687825784"&gt;50&lt;/key&gt;&lt;/foreign-keys&gt;&lt;ref-type name="Journal Article"&gt;17&lt;/ref-type&gt;&lt;contributors&gt;&lt;authors&gt;&lt;author&gt;Norman, Sonya B&lt;/author&gt;&lt;author&gt;Hami Cissell, Shadha&lt;/author&gt;&lt;author&gt;Means‐Christensen, Adrienne J&lt;/author&gt;&lt;author&gt;Stein, Murray B&lt;/author&gt;&lt;/authors&gt;&lt;/contributors&gt;&lt;titles&gt;&lt;title&gt;Development and validation of an overall anxiety severity and impairment scale (OASIS)&lt;/title&gt;&lt;secondary-title&gt;Depression and anxiety&lt;/secondary-title&gt;&lt;/titles&gt;&lt;periodical&gt;&lt;full-title&gt;Depression and anxiety&lt;/full-title&gt;&lt;/periodical&gt;&lt;pages&gt;245-249&lt;/pages&gt;&lt;volume&gt;23&lt;/volume&gt;&lt;number&gt;4&lt;/number&gt;&lt;dates&gt;&lt;year&gt;2006&lt;/year&gt;&lt;/dates&gt;&lt;isbn&gt;1091-4269&lt;/isbn&gt;&lt;urls&gt;&lt;/urls&gt;&lt;/record&gt;&lt;/Cite&gt;&lt;/EndNote&gt;</w:instrTex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separate"/>
      </w:r>
      <w:r w:rsidR="00F3023F" w:rsidRPr="00C56D4F">
        <w:rPr>
          <w:rFonts w:ascii="Times New Roman" w:hAnsi="Times New Roman" w:cs="Times New Roman"/>
          <w:sz w:val="24"/>
          <w:szCs w:val="24"/>
        </w:rPr>
        <w:t>(Norman et al. 2006)</w:t>
      </w:r>
      <w:r w:rsidR="00F3023F" w:rsidRPr="00C56D4F">
        <w:rPr>
          <w:rFonts w:ascii="Times New Roman" w:hAnsi="Times New Roman" w:cs="Times New Roman"/>
          <w:sz w:val="24"/>
          <w:szCs w:val="24"/>
        </w:rPr>
        <w:fldChar w:fldCharType="end"/>
      </w:r>
      <w:r w:rsidR="00F13AB7" w:rsidRPr="00C56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37ADB" w14:textId="586EC240" w:rsidR="00364894" w:rsidRDefault="00364894" w:rsidP="003648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54">
        <w:rPr>
          <w:rFonts w:ascii="Times New Roman" w:hAnsi="Times New Roman" w:cs="Times New Roman"/>
          <w:sz w:val="24"/>
          <w:szCs w:val="24"/>
        </w:rPr>
        <w:t>Participants were categori</w:t>
      </w:r>
      <w:r w:rsidR="00A35923">
        <w:rPr>
          <w:rFonts w:ascii="Times New Roman" w:hAnsi="Times New Roman" w:cs="Times New Roman"/>
          <w:sz w:val="24"/>
          <w:szCs w:val="24"/>
        </w:rPr>
        <w:t>s</w:t>
      </w:r>
      <w:r w:rsidRPr="002D6554">
        <w:rPr>
          <w:rFonts w:ascii="Times New Roman" w:hAnsi="Times New Roman" w:cs="Times New Roman"/>
          <w:sz w:val="24"/>
          <w:szCs w:val="24"/>
        </w:rPr>
        <w:t>ed based on their risk status for insulin resistance or inflammation determined by HOMA</w:t>
      </w:r>
      <w:r w:rsidR="009E2A47">
        <w:rPr>
          <w:rFonts w:ascii="Times New Roman" w:hAnsi="Times New Roman" w:cs="Times New Roman"/>
          <w:sz w:val="24"/>
          <w:szCs w:val="24"/>
        </w:rPr>
        <w:t>-</w:t>
      </w:r>
      <w:r w:rsidRPr="002D6554">
        <w:rPr>
          <w:rFonts w:ascii="Times New Roman" w:hAnsi="Times New Roman" w:cs="Times New Roman"/>
          <w:sz w:val="24"/>
          <w:szCs w:val="24"/>
        </w:rPr>
        <w:t xml:space="preserve">2-IR and CRP results at their initial blood assessment, and their recent BMI and </w:t>
      </w:r>
      <w:r w:rsidR="00D22EDC">
        <w:rPr>
          <w:rFonts w:ascii="Times New Roman" w:hAnsi="Times New Roman" w:cs="Times New Roman"/>
          <w:sz w:val="24"/>
          <w:szCs w:val="24"/>
        </w:rPr>
        <w:t>mental health</w:t>
      </w:r>
      <w:r w:rsidR="00D22EDC" w:rsidRPr="002D6554">
        <w:rPr>
          <w:rFonts w:ascii="Times New Roman" w:hAnsi="Times New Roman" w:cs="Times New Roman"/>
          <w:sz w:val="24"/>
          <w:szCs w:val="24"/>
        </w:rPr>
        <w:t xml:space="preserve"> </w:t>
      </w:r>
      <w:r w:rsidRPr="002D6554">
        <w:rPr>
          <w:rFonts w:ascii="Times New Roman" w:hAnsi="Times New Roman" w:cs="Times New Roman"/>
          <w:sz w:val="24"/>
          <w:szCs w:val="24"/>
        </w:rPr>
        <w:t xml:space="preserve">symptoms were compared. Individuals classified as </w:t>
      </w:r>
      <w:r w:rsidR="00A35923">
        <w:rPr>
          <w:rFonts w:ascii="Times New Roman" w:hAnsi="Times New Roman" w:cs="Times New Roman"/>
          <w:sz w:val="24"/>
          <w:szCs w:val="24"/>
        </w:rPr>
        <w:t>low</w:t>
      </w:r>
      <w:r w:rsidRPr="002D6554">
        <w:rPr>
          <w:rFonts w:ascii="Times New Roman" w:hAnsi="Times New Roman" w:cs="Times New Roman"/>
          <w:sz w:val="24"/>
          <w:szCs w:val="24"/>
        </w:rPr>
        <w:t xml:space="preserve">-risk for HOMA2-IR or CRP exhibited significantly lower BMI compared to those with elevated risk (24.65±5.04 vs. 29.46±7.23, p&lt;0.001 for HOMA2-IR; 25.11±5.27 vs. 29.85±6.81, p&lt;0.001 for CRP). No significant differences were found in depressive symptoms (measured by QIDS), psychotic symptoms (by BPRS), manic symptoms (by YMRS), or anxiety (by K10 or OASIS) between the </w:t>
      </w:r>
      <w:r w:rsidR="00767B69">
        <w:rPr>
          <w:rFonts w:ascii="Times New Roman" w:hAnsi="Times New Roman" w:cs="Times New Roman"/>
          <w:sz w:val="24"/>
          <w:szCs w:val="24"/>
        </w:rPr>
        <w:t>low-</w:t>
      </w:r>
      <w:r w:rsidRPr="002D6554">
        <w:rPr>
          <w:rFonts w:ascii="Times New Roman" w:hAnsi="Times New Roman" w:cs="Times New Roman"/>
          <w:sz w:val="24"/>
          <w:szCs w:val="24"/>
        </w:rPr>
        <w:t>risk and elevated</w:t>
      </w:r>
      <w:r w:rsidR="00767B69">
        <w:rPr>
          <w:rFonts w:ascii="Times New Roman" w:hAnsi="Times New Roman" w:cs="Times New Roman"/>
          <w:sz w:val="24"/>
          <w:szCs w:val="24"/>
        </w:rPr>
        <w:t>-</w:t>
      </w:r>
      <w:r w:rsidRPr="002D6554">
        <w:rPr>
          <w:rFonts w:ascii="Times New Roman" w:hAnsi="Times New Roman" w:cs="Times New Roman"/>
          <w:sz w:val="24"/>
          <w:szCs w:val="24"/>
        </w:rPr>
        <w:t xml:space="preserve">risk groups for both HOMA2-IR and CRP (Table </w:t>
      </w:r>
      <w:r w:rsidR="00767B69">
        <w:rPr>
          <w:rFonts w:ascii="Times New Roman" w:hAnsi="Times New Roman" w:cs="Times New Roman"/>
          <w:sz w:val="24"/>
          <w:szCs w:val="24"/>
        </w:rPr>
        <w:t>S</w:t>
      </w:r>
      <w:r w:rsidRPr="002D6554">
        <w:rPr>
          <w:rFonts w:ascii="Times New Roman" w:hAnsi="Times New Roman" w:cs="Times New Roman"/>
          <w:sz w:val="24"/>
          <w:szCs w:val="24"/>
        </w:rPr>
        <w:t xml:space="preserve">1). However, individuals with low-grade inflammation </w:t>
      </w:r>
      <w:r w:rsidR="0072397F">
        <w:rPr>
          <w:rFonts w:ascii="Times New Roman" w:hAnsi="Times New Roman" w:cs="Times New Roman"/>
          <w:sz w:val="24"/>
          <w:szCs w:val="24"/>
        </w:rPr>
        <w:t>in</w:t>
      </w:r>
      <w:r w:rsidR="0072397F" w:rsidRPr="002D6554">
        <w:rPr>
          <w:rFonts w:ascii="Times New Roman" w:hAnsi="Times New Roman" w:cs="Times New Roman"/>
          <w:sz w:val="24"/>
          <w:szCs w:val="24"/>
        </w:rPr>
        <w:t xml:space="preserve"> </w:t>
      </w:r>
      <w:r w:rsidRPr="002D6554">
        <w:rPr>
          <w:rFonts w:ascii="Times New Roman" w:hAnsi="Times New Roman" w:cs="Times New Roman"/>
          <w:sz w:val="24"/>
          <w:szCs w:val="24"/>
        </w:rPr>
        <w:t xml:space="preserve">the initial blood tests exhibited marginally poorer functioning compared to those with no risk </w:t>
      </w:r>
      <w:r w:rsidR="00643F87">
        <w:rPr>
          <w:rFonts w:ascii="Times New Roman" w:hAnsi="Times New Roman" w:cs="Times New Roman"/>
          <w:sz w:val="24"/>
          <w:szCs w:val="24"/>
        </w:rPr>
        <w:t>of</w:t>
      </w:r>
      <w:r w:rsidRPr="002D6554">
        <w:rPr>
          <w:rFonts w:ascii="Times New Roman" w:hAnsi="Times New Roman" w:cs="Times New Roman"/>
          <w:sz w:val="24"/>
          <w:szCs w:val="24"/>
        </w:rPr>
        <w:t xml:space="preserve"> inflammation (62.97±19.81 vs. 69.56±13.77, p=0.051). The distribution of illness subtypes did not significantly differ between the </w:t>
      </w:r>
      <w:r w:rsidR="00767B69">
        <w:rPr>
          <w:rFonts w:ascii="Times New Roman" w:hAnsi="Times New Roman" w:cs="Times New Roman"/>
          <w:sz w:val="24"/>
          <w:szCs w:val="24"/>
        </w:rPr>
        <w:t xml:space="preserve">risk status </w:t>
      </w:r>
      <w:r w:rsidRPr="002D6554">
        <w:rPr>
          <w:rFonts w:ascii="Times New Roman" w:hAnsi="Times New Roman" w:cs="Times New Roman"/>
          <w:sz w:val="24"/>
          <w:szCs w:val="24"/>
        </w:rPr>
        <w:t xml:space="preserve">groups. </w:t>
      </w:r>
    </w:p>
    <w:p w14:paraId="0E43917A" w14:textId="77777777" w:rsidR="00D22EDC" w:rsidRPr="00F54132" w:rsidRDefault="00D22EDC" w:rsidP="003648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D0259" w14:textId="0D329952" w:rsidR="00364894" w:rsidRPr="00784AC3" w:rsidRDefault="00364894" w:rsidP="00364894">
      <w:pPr>
        <w:jc w:val="both"/>
        <w:rPr>
          <w:rFonts w:ascii="Times New Roman" w:hAnsi="Times New Roman" w:cs="Times New Roman"/>
          <w:sz w:val="24"/>
          <w:szCs w:val="24"/>
        </w:rPr>
      </w:pPr>
      <w:r w:rsidRPr="0026799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632E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6799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84AC3">
        <w:rPr>
          <w:rFonts w:ascii="Times New Roman" w:hAnsi="Times New Roman" w:cs="Times New Roman"/>
          <w:sz w:val="24"/>
          <w:szCs w:val="24"/>
        </w:rPr>
        <w:t xml:space="preserve">Comparison of BMI and </w:t>
      </w:r>
      <w:r w:rsidR="000F2C50">
        <w:rPr>
          <w:rFonts w:ascii="Times New Roman" w:hAnsi="Times New Roman" w:cs="Times New Roman"/>
          <w:sz w:val="24"/>
          <w:szCs w:val="24"/>
        </w:rPr>
        <w:t>mental health</w:t>
      </w:r>
      <w:r w:rsidR="000F2C50" w:rsidRPr="00784AC3">
        <w:rPr>
          <w:rFonts w:ascii="Times New Roman" w:hAnsi="Times New Roman" w:cs="Times New Roman"/>
          <w:sz w:val="24"/>
          <w:szCs w:val="24"/>
        </w:rPr>
        <w:t xml:space="preserve"> </w:t>
      </w:r>
      <w:r w:rsidRPr="00784AC3">
        <w:rPr>
          <w:rFonts w:ascii="Times New Roman" w:hAnsi="Times New Roman" w:cs="Times New Roman"/>
          <w:sz w:val="24"/>
          <w:szCs w:val="24"/>
        </w:rPr>
        <w:t>symptoms among risk-status groups for insulin resistance and inflammation.</w:t>
      </w:r>
    </w:p>
    <w:tbl>
      <w:tblPr>
        <w:tblStyle w:val="TableGrid"/>
        <w:tblW w:w="51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22"/>
        <w:gridCol w:w="1455"/>
        <w:gridCol w:w="1192"/>
        <w:gridCol w:w="1359"/>
        <w:gridCol w:w="1417"/>
        <w:gridCol w:w="1164"/>
      </w:tblGrid>
      <w:tr w:rsidR="00364894" w:rsidRPr="004F625E" w14:paraId="6FBD9F45" w14:textId="77777777" w:rsidTr="0075332C">
        <w:trPr>
          <w:trHeight w:val="303"/>
        </w:trPr>
        <w:tc>
          <w:tcPr>
            <w:tcW w:w="680" w:type="pct"/>
            <w:tcBorders>
              <w:top w:val="single" w:sz="12" w:space="0" w:color="auto"/>
            </w:tcBorders>
            <w:noWrap/>
            <w:hideMark/>
          </w:tcPr>
          <w:p w14:paraId="6F3FBB30" w14:textId="77777777" w:rsidR="00364894" w:rsidRPr="00FE0E5C" w:rsidRDefault="00364894" w:rsidP="000E386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221" w:type="pct"/>
            <w:gridSpan w:val="3"/>
            <w:tcBorders>
              <w:top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7AFD1CBE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HOMA2-IR</w:t>
            </w:r>
          </w:p>
        </w:tc>
        <w:tc>
          <w:tcPr>
            <w:tcW w:w="2099" w:type="pct"/>
            <w:gridSpan w:val="3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  <w:hideMark/>
          </w:tcPr>
          <w:p w14:paraId="5B448C0C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CRP</w:t>
            </w:r>
          </w:p>
        </w:tc>
      </w:tr>
      <w:tr w:rsidR="00364894" w:rsidRPr="009B0688" w14:paraId="6DC57883" w14:textId="77777777" w:rsidTr="0075332C">
        <w:trPr>
          <w:trHeight w:val="303"/>
        </w:trPr>
        <w:tc>
          <w:tcPr>
            <w:tcW w:w="680" w:type="pct"/>
            <w:tcBorders>
              <w:bottom w:val="double" w:sz="4" w:space="0" w:color="auto"/>
            </w:tcBorders>
            <w:noWrap/>
            <w:hideMark/>
          </w:tcPr>
          <w:p w14:paraId="5893FE05" w14:textId="77777777" w:rsidR="00364894" w:rsidRPr="009B0688" w:rsidRDefault="00364894" w:rsidP="000E386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811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4084EBA5" w14:textId="2464D6D5" w:rsidR="00364894" w:rsidRPr="009B0688" w:rsidRDefault="00A35923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Low</w:t>
            </w:r>
            <w:r w:rsidR="00364894" w:rsidRP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-risk (n=80)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4650ED03" w14:textId="77777777" w:rsidR="00364894" w:rsidRPr="009B0688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Elevated-risk (n=30)</w:t>
            </w:r>
          </w:p>
        </w:tc>
        <w:tc>
          <w:tcPr>
            <w:tcW w:w="635" w:type="pct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9A15E4A" w14:textId="77777777" w:rsidR="00364894" w:rsidRPr="009B0688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p-value</w:t>
            </w:r>
          </w:p>
        </w:tc>
        <w:tc>
          <w:tcPr>
            <w:tcW w:w="724" w:type="pct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2EAAFA53" w14:textId="7A28E678" w:rsidR="00364894" w:rsidRPr="009B0688" w:rsidRDefault="00A35923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Low</w:t>
            </w:r>
            <w:r w:rsidR="00364894" w:rsidRP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-risk (n=81)</w:t>
            </w:r>
          </w:p>
        </w:tc>
        <w:tc>
          <w:tcPr>
            <w:tcW w:w="755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705219E4" w14:textId="77777777" w:rsidR="00364894" w:rsidRPr="009B0688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Elevated-risk (n=30)</w:t>
            </w:r>
          </w:p>
        </w:tc>
        <w:tc>
          <w:tcPr>
            <w:tcW w:w="620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18B83492" w14:textId="77777777" w:rsidR="00364894" w:rsidRPr="009B0688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p-value</w:t>
            </w:r>
          </w:p>
        </w:tc>
      </w:tr>
      <w:tr w:rsidR="00364894" w:rsidRPr="004F625E" w14:paraId="6CFB4F9E" w14:textId="77777777" w:rsidTr="0075332C">
        <w:trPr>
          <w:trHeight w:val="303"/>
        </w:trPr>
        <w:tc>
          <w:tcPr>
            <w:tcW w:w="680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BAD31A0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BMI</w:t>
            </w:r>
          </w:p>
        </w:tc>
        <w:tc>
          <w:tcPr>
            <w:tcW w:w="811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E55A0AA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24.65±5.04</w:t>
            </w:r>
          </w:p>
        </w:tc>
        <w:tc>
          <w:tcPr>
            <w:tcW w:w="775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60175EB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29.46±7.23</w:t>
            </w:r>
          </w:p>
        </w:tc>
        <w:tc>
          <w:tcPr>
            <w:tcW w:w="635" w:type="pct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115A23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F=14.99, p&lt;0.001</w:t>
            </w:r>
          </w:p>
        </w:tc>
        <w:tc>
          <w:tcPr>
            <w:tcW w:w="724" w:type="pct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14:paraId="75FE179C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25.11±5.27</w:t>
            </w:r>
          </w:p>
        </w:tc>
        <w:tc>
          <w:tcPr>
            <w:tcW w:w="755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2FDCBBE0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29.85±6.81</w:t>
            </w:r>
          </w:p>
        </w:tc>
        <w:tc>
          <w:tcPr>
            <w:tcW w:w="620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220521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F=14.22, p&lt;0.001</w:t>
            </w:r>
          </w:p>
        </w:tc>
      </w:tr>
      <w:tr w:rsidR="00364894" w:rsidRPr="004F625E" w14:paraId="4C86857C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002A50DF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QIDS</w:t>
            </w:r>
          </w:p>
        </w:tc>
        <w:tc>
          <w:tcPr>
            <w:tcW w:w="811" w:type="pct"/>
            <w:noWrap/>
            <w:vAlign w:val="center"/>
            <w:hideMark/>
          </w:tcPr>
          <w:p w14:paraId="726D20D9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8.39±4.98</w:t>
            </w:r>
          </w:p>
        </w:tc>
        <w:tc>
          <w:tcPr>
            <w:tcW w:w="775" w:type="pct"/>
            <w:noWrap/>
            <w:vAlign w:val="center"/>
            <w:hideMark/>
          </w:tcPr>
          <w:p w14:paraId="5F921A9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8.30±3.90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03141C4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F=0.008, p=0.931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358EAE4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8.35±4.75</w:t>
            </w:r>
          </w:p>
        </w:tc>
        <w:tc>
          <w:tcPr>
            <w:tcW w:w="755" w:type="pct"/>
            <w:noWrap/>
            <w:vAlign w:val="center"/>
            <w:hideMark/>
          </w:tcPr>
          <w:p w14:paraId="3DC1DB9A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8.83±5.01</w:t>
            </w:r>
          </w:p>
        </w:tc>
        <w:tc>
          <w:tcPr>
            <w:tcW w:w="620" w:type="pct"/>
            <w:noWrap/>
            <w:vAlign w:val="center"/>
            <w:hideMark/>
          </w:tcPr>
          <w:p w14:paraId="511277B0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F=0.224, p=0.637</w:t>
            </w:r>
          </w:p>
        </w:tc>
      </w:tr>
      <w:tr w:rsidR="00364894" w:rsidRPr="004F625E" w14:paraId="6C3D4A7D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5FBBCB20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BPRS</w:t>
            </w:r>
          </w:p>
        </w:tc>
        <w:tc>
          <w:tcPr>
            <w:tcW w:w="811" w:type="pct"/>
            <w:noWrap/>
            <w:vAlign w:val="center"/>
            <w:hideMark/>
          </w:tcPr>
          <w:p w14:paraId="426C65B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32.91±6.53</w:t>
            </w:r>
          </w:p>
        </w:tc>
        <w:tc>
          <w:tcPr>
            <w:tcW w:w="775" w:type="pct"/>
            <w:noWrap/>
            <w:vAlign w:val="center"/>
            <w:hideMark/>
          </w:tcPr>
          <w:p w14:paraId="5387D8B4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32.73±4.79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1D915173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F=0.019, p=0.891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6AEE7D5E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33.2±5.75</w:t>
            </w:r>
          </w:p>
        </w:tc>
        <w:tc>
          <w:tcPr>
            <w:tcW w:w="755" w:type="pct"/>
            <w:noWrap/>
            <w:vAlign w:val="center"/>
            <w:hideMark/>
          </w:tcPr>
          <w:p w14:paraId="5A4C821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33.2±6.78</w:t>
            </w:r>
          </w:p>
        </w:tc>
        <w:tc>
          <w:tcPr>
            <w:tcW w:w="620" w:type="pct"/>
            <w:noWrap/>
            <w:vAlign w:val="center"/>
            <w:hideMark/>
          </w:tcPr>
          <w:p w14:paraId="4428CC95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</w:t>
            </w:r>
            <w:r w:rsidRPr="004F625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&lt;0.001</w:t>
            </w: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, p=0.999</w:t>
            </w:r>
          </w:p>
        </w:tc>
      </w:tr>
      <w:tr w:rsidR="00364894" w:rsidRPr="004F625E" w14:paraId="1BD69223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065F9FDD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YMRS</w:t>
            </w:r>
          </w:p>
        </w:tc>
        <w:tc>
          <w:tcPr>
            <w:tcW w:w="811" w:type="pct"/>
            <w:noWrap/>
            <w:vAlign w:val="center"/>
            <w:hideMark/>
          </w:tcPr>
          <w:p w14:paraId="1D849DE8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1.24±1.50</w:t>
            </w:r>
          </w:p>
        </w:tc>
        <w:tc>
          <w:tcPr>
            <w:tcW w:w="775" w:type="pct"/>
            <w:noWrap/>
            <w:vAlign w:val="center"/>
            <w:hideMark/>
          </w:tcPr>
          <w:p w14:paraId="03AA7EB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1.00±1.64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3ECCC7A4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F=0.518, p=0.473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5113B425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1.53±2.00</w:t>
            </w:r>
          </w:p>
        </w:tc>
        <w:tc>
          <w:tcPr>
            <w:tcW w:w="755" w:type="pct"/>
            <w:noWrap/>
            <w:vAlign w:val="center"/>
            <w:hideMark/>
          </w:tcPr>
          <w:p w14:paraId="7BF2D9E9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0.90±1.35</w:t>
            </w:r>
          </w:p>
        </w:tc>
        <w:tc>
          <w:tcPr>
            <w:tcW w:w="620" w:type="pct"/>
            <w:noWrap/>
            <w:vAlign w:val="center"/>
            <w:hideMark/>
          </w:tcPr>
          <w:p w14:paraId="2E9EC41E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F=2.547, p=0.113</w:t>
            </w:r>
          </w:p>
        </w:tc>
      </w:tr>
      <w:tr w:rsidR="00364894" w:rsidRPr="004F625E" w14:paraId="218E60BC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11B0F706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SOFAS</w:t>
            </w:r>
          </w:p>
        </w:tc>
        <w:tc>
          <w:tcPr>
            <w:tcW w:w="811" w:type="pct"/>
            <w:noWrap/>
            <w:vAlign w:val="center"/>
            <w:hideMark/>
          </w:tcPr>
          <w:p w14:paraId="4D015E65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68.38±14.61</w:t>
            </w:r>
          </w:p>
        </w:tc>
        <w:tc>
          <w:tcPr>
            <w:tcW w:w="775" w:type="pct"/>
            <w:noWrap/>
            <w:vAlign w:val="center"/>
            <w:hideMark/>
          </w:tcPr>
          <w:p w14:paraId="488F31E4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64.70±15.47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3879D291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F=1.337, p=0.250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348FDD3E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69.56±13.77</w:t>
            </w:r>
          </w:p>
        </w:tc>
        <w:tc>
          <w:tcPr>
            <w:tcW w:w="755" w:type="pct"/>
            <w:noWrap/>
            <w:vAlign w:val="center"/>
            <w:hideMark/>
          </w:tcPr>
          <w:p w14:paraId="0E2761D4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62.97±19.81</w:t>
            </w:r>
          </w:p>
        </w:tc>
        <w:tc>
          <w:tcPr>
            <w:tcW w:w="620" w:type="pct"/>
            <w:noWrap/>
            <w:vAlign w:val="center"/>
            <w:hideMark/>
          </w:tcPr>
          <w:p w14:paraId="17E0AE60" w14:textId="77777777" w:rsidR="00364894" w:rsidRPr="00767B69" w:rsidRDefault="00364894" w:rsidP="000E3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67B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F=3.903, p=0.051</w:t>
            </w:r>
          </w:p>
        </w:tc>
      </w:tr>
      <w:tr w:rsidR="00364894" w:rsidRPr="004F625E" w14:paraId="239F8ED6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6E21C730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lastRenderedPageBreak/>
              <w:t>K10</w:t>
            </w:r>
          </w:p>
        </w:tc>
        <w:tc>
          <w:tcPr>
            <w:tcW w:w="811" w:type="pct"/>
            <w:noWrap/>
            <w:vAlign w:val="center"/>
            <w:hideMark/>
          </w:tcPr>
          <w:p w14:paraId="20E373C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23.56±8.08</w:t>
            </w:r>
          </w:p>
        </w:tc>
        <w:tc>
          <w:tcPr>
            <w:tcW w:w="775" w:type="pct"/>
            <w:noWrap/>
            <w:vAlign w:val="center"/>
            <w:hideMark/>
          </w:tcPr>
          <w:p w14:paraId="50DE4096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24.72±8.84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79608E69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F=0.411, p=0.523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08443CC5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23.12±7.85</w:t>
            </w:r>
          </w:p>
        </w:tc>
        <w:tc>
          <w:tcPr>
            <w:tcW w:w="755" w:type="pct"/>
            <w:noWrap/>
            <w:vAlign w:val="center"/>
            <w:hideMark/>
          </w:tcPr>
          <w:p w14:paraId="3CDC1753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25.00±9.40</w:t>
            </w:r>
          </w:p>
        </w:tc>
        <w:tc>
          <w:tcPr>
            <w:tcW w:w="620" w:type="pct"/>
            <w:noWrap/>
            <w:vAlign w:val="center"/>
            <w:hideMark/>
          </w:tcPr>
          <w:p w14:paraId="6277A91C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F=1.015, p=0.316</w:t>
            </w:r>
          </w:p>
        </w:tc>
      </w:tr>
      <w:tr w:rsidR="00364894" w:rsidRPr="004F625E" w14:paraId="22949F48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3B375E4A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OASIS</w:t>
            </w:r>
          </w:p>
        </w:tc>
        <w:tc>
          <w:tcPr>
            <w:tcW w:w="811" w:type="pct"/>
            <w:noWrap/>
            <w:vAlign w:val="center"/>
            <w:hideMark/>
          </w:tcPr>
          <w:p w14:paraId="56291FB6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5.81±4.85</w:t>
            </w:r>
          </w:p>
        </w:tc>
        <w:tc>
          <w:tcPr>
            <w:tcW w:w="775" w:type="pct"/>
            <w:noWrap/>
            <w:vAlign w:val="center"/>
            <w:hideMark/>
          </w:tcPr>
          <w:p w14:paraId="02B2795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7.55±4.93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13E69C03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F=2.665, p=0.101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10FBCD8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5.90±4.60</w:t>
            </w:r>
          </w:p>
        </w:tc>
        <w:tc>
          <w:tcPr>
            <w:tcW w:w="755" w:type="pct"/>
            <w:noWrap/>
            <w:vAlign w:val="center"/>
            <w:hideMark/>
          </w:tcPr>
          <w:p w14:paraId="27095604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7.38±5.18</w:t>
            </w:r>
          </w:p>
        </w:tc>
        <w:tc>
          <w:tcPr>
            <w:tcW w:w="620" w:type="pct"/>
            <w:noWrap/>
            <w:vAlign w:val="center"/>
            <w:hideMark/>
          </w:tcPr>
          <w:p w14:paraId="2C35AF58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F=1.912, p=0.170</w:t>
            </w:r>
          </w:p>
        </w:tc>
      </w:tr>
      <w:tr w:rsidR="00364894" w:rsidRPr="004F625E" w14:paraId="42F71B46" w14:textId="77777777" w:rsidTr="0075332C">
        <w:trPr>
          <w:trHeight w:val="303"/>
        </w:trPr>
        <w:tc>
          <w:tcPr>
            <w:tcW w:w="680" w:type="pct"/>
            <w:noWrap/>
            <w:vAlign w:val="center"/>
            <w:hideMark/>
          </w:tcPr>
          <w:p w14:paraId="3AAF5E9B" w14:textId="77777777" w:rsidR="00364894" w:rsidRPr="00FE0E5C" w:rsidRDefault="00364894" w:rsidP="000E38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Illness subtype</w:t>
            </w:r>
          </w:p>
        </w:tc>
        <w:tc>
          <w:tcPr>
            <w:tcW w:w="811" w:type="pct"/>
            <w:noWrap/>
            <w:vAlign w:val="center"/>
            <w:hideMark/>
          </w:tcPr>
          <w:p w14:paraId="74CD24CA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7D095A55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6ADB5FF2" w14:textId="542F7A9D" w:rsidR="00364894" w:rsidRPr="004F625E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χ2=1.964, p=0.</w:t>
            </w:r>
            <w:r w:rsidR="000F63C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455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vAlign w:val="center"/>
          </w:tcPr>
          <w:p w14:paraId="7CFCA47F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755" w:type="pct"/>
            <w:noWrap/>
            <w:vAlign w:val="center"/>
            <w:hideMark/>
          </w:tcPr>
          <w:p w14:paraId="033F9766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14:paraId="399FCFE3" w14:textId="67993A0A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χ2=2.</w:t>
            </w:r>
            <w:r w:rsidR="008E0A5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750</w:t>
            </w: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, p=0.</w:t>
            </w:r>
            <w:r w:rsidR="008E0A5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246</w:t>
            </w:r>
          </w:p>
        </w:tc>
      </w:tr>
      <w:tr w:rsidR="00364894" w:rsidRPr="004F625E" w14:paraId="243718DB" w14:textId="77777777" w:rsidTr="0075332C">
        <w:trPr>
          <w:trHeight w:val="303"/>
        </w:trPr>
        <w:tc>
          <w:tcPr>
            <w:tcW w:w="680" w:type="pct"/>
            <w:noWrap/>
            <w:hideMark/>
          </w:tcPr>
          <w:p w14:paraId="1CDE14D0" w14:textId="77777777" w:rsidR="00364894" w:rsidRPr="00FE0E5C" w:rsidRDefault="00364894" w:rsidP="000E386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Hyperarousal-anxious</w:t>
            </w:r>
          </w:p>
        </w:tc>
        <w:tc>
          <w:tcPr>
            <w:tcW w:w="811" w:type="pct"/>
            <w:noWrap/>
            <w:vAlign w:val="center"/>
            <w:hideMark/>
          </w:tcPr>
          <w:p w14:paraId="0ED134E0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59 (74%)</w:t>
            </w:r>
          </w:p>
        </w:tc>
        <w:tc>
          <w:tcPr>
            <w:tcW w:w="775" w:type="pct"/>
            <w:noWrap/>
            <w:vAlign w:val="center"/>
            <w:hideMark/>
          </w:tcPr>
          <w:p w14:paraId="0AE62987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18 (60%)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3AD3E3B4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6DD34B0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52 (64%)</w:t>
            </w:r>
          </w:p>
        </w:tc>
        <w:tc>
          <w:tcPr>
            <w:tcW w:w="755" w:type="pct"/>
            <w:noWrap/>
            <w:vAlign w:val="center"/>
            <w:hideMark/>
          </w:tcPr>
          <w:p w14:paraId="5DF329AE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24 (80%)</w:t>
            </w:r>
          </w:p>
        </w:tc>
        <w:tc>
          <w:tcPr>
            <w:tcW w:w="620" w:type="pct"/>
            <w:noWrap/>
            <w:vAlign w:val="center"/>
            <w:hideMark/>
          </w:tcPr>
          <w:p w14:paraId="5492F112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364894" w:rsidRPr="004F625E" w14:paraId="30AF7010" w14:textId="77777777" w:rsidTr="00BD51B7">
        <w:trPr>
          <w:trHeight w:val="303"/>
        </w:trPr>
        <w:tc>
          <w:tcPr>
            <w:tcW w:w="680" w:type="pct"/>
            <w:noWrap/>
            <w:hideMark/>
          </w:tcPr>
          <w:p w14:paraId="70C150D0" w14:textId="63869207" w:rsidR="00364894" w:rsidRPr="00FE0E5C" w:rsidRDefault="000F63C4" w:rsidP="000E386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Circadian-bipolar</w:t>
            </w:r>
          </w:p>
        </w:tc>
        <w:tc>
          <w:tcPr>
            <w:tcW w:w="811" w:type="pct"/>
            <w:noWrap/>
            <w:vAlign w:val="center"/>
            <w:hideMark/>
          </w:tcPr>
          <w:p w14:paraId="434631CD" w14:textId="51ECFBBE" w:rsidR="00364894" w:rsidRPr="00FE0E5C" w:rsidRDefault="006028E8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7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9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%)</w:t>
            </w:r>
          </w:p>
        </w:tc>
        <w:tc>
          <w:tcPr>
            <w:tcW w:w="775" w:type="pct"/>
            <w:noWrap/>
            <w:vAlign w:val="center"/>
            <w:hideMark/>
          </w:tcPr>
          <w:p w14:paraId="76F15139" w14:textId="7BEC1923" w:rsidR="00364894" w:rsidRPr="00FE0E5C" w:rsidRDefault="006028E8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4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</w:t>
            </w:r>
            <w:r w:rsidR="005974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13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%)</w:t>
            </w:r>
          </w:p>
        </w:tc>
        <w:tc>
          <w:tcPr>
            <w:tcW w:w="635" w:type="pct"/>
            <w:tcBorders>
              <w:right w:val="double" w:sz="4" w:space="0" w:color="auto"/>
            </w:tcBorders>
            <w:noWrap/>
            <w:vAlign w:val="center"/>
            <w:hideMark/>
          </w:tcPr>
          <w:p w14:paraId="22C5EA0D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724" w:type="pct"/>
            <w:tcBorders>
              <w:left w:val="double" w:sz="4" w:space="0" w:color="auto"/>
            </w:tcBorders>
            <w:noWrap/>
            <w:vAlign w:val="center"/>
            <w:hideMark/>
          </w:tcPr>
          <w:p w14:paraId="1DB0AF65" w14:textId="3BA4342F" w:rsidR="00364894" w:rsidRPr="00FE0E5C" w:rsidRDefault="00FE7B10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11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</w:t>
            </w:r>
            <w:r w:rsidR="00224D9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14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%)</w:t>
            </w:r>
          </w:p>
        </w:tc>
        <w:tc>
          <w:tcPr>
            <w:tcW w:w="755" w:type="pct"/>
            <w:noWrap/>
            <w:vAlign w:val="center"/>
            <w:hideMark/>
          </w:tcPr>
          <w:p w14:paraId="1E4571C9" w14:textId="48A443E9" w:rsidR="00364894" w:rsidRPr="00FE0E5C" w:rsidRDefault="00FE7B10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</w:t>
            </w:r>
            <w:r w:rsidR="008703A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</w:t>
            </w:r>
            <w:r w:rsidR="00364894" w:rsidRPr="00FE0E5C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%)</w:t>
            </w:r>
          </w:p>
        </w:tc>
        <w:tc>
          <w:tcPr>
            <w:tcW w:w="620" w:type="pct"/>
            <w:noWrap/>
            <w:vAlign w:val="center"/>
            <w:hideMark/>
          </w:tcPr>
          <w:p w14:paraId="692AF96B" w14:textId="77777777" w:rsidR="00364894" w:rsidRPr="00FE0E5C" w:rsidRDefault="0036489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0F63C4" w:rsidRPr="004F625E" w14:paraId="7CE9E738" w14:textId="77777777" w:rsidTr="00BD51B7">
        <w:trPr>
          <w:trHeight w:val="303"/>
        </w:trPr>
        <w:tc>
          <w:tcPr>
            <w:tcW w:w="680" w:type="pct"/>
            <w:tcBorders>
              <w:bottom w:val="single" w:sz="18" w:space="0" w:color="auto"/>
            </w:tcBorders>
            <w:noWrap/>
          </w:tcPr>
          <w:p w14:paraId="2017E984" w14:textId="4EF7D3DB" w:rsidR="000F63C4" w:rsidRPr="00FE0E5C" w:rsidRDefault="000F63C4" w:rsidP="000E386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Neurodevelopmental-psychosis</w:t>
            </w:r>
          </w:p>
        </w:tc>
        <w:tc>
          <w:tcPr>
            <w:tcW w:w="811" w:type="pct"/>
            <w:tcBorders>
              <w:bottom w:val="single" w:sz="18" w:space="0" w:color="auto"/>
            </w:tcBorders>
            <w:noWrap/>
            <w:vAlign w:val="center"/>
          </w:tcPr>
          <w:p w14:paraId="50662A3E" w14:textId="39D2F876" w:rsidR="000F63C4" w:rsidRPr="00FE0E5C" w:rsidRDefault="000F63C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14</w:t>
            </w:r>
            <w:r w:rsidR="0014448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(18%)</w:t>
            </w:r>
          </w:p>
        </w:tc>
        <w:tc>
          <w:tcPr>
            <w:tcW w:w="775" w:type="pct"/>
            <w:tcBorders>
              <w:bottom w:val="single" w:sz="18" w:space="0" w:color="auto"/>
            </w:tcBorders>
            <w:noWrap/>
            <w:vAlign w:val="center"/>
          </w:tcPr>
          <w:p w14:paraId="7A6F7CB0" w14:textId="3741450E" w:rsidR="000F63C4" w:rsidRPr="00FE0E5C" w:rsidRDefault="000F63C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</w:t>
            </w:r>
            <w:r w:rsidR="0025773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(27%)</w:t>
            </w:r>
          </w:p>
        </w:tc>
        <w:tc>
          <w:tcPr>
            <w:tcW w:w="635" w:type="pct"/>
            <w:tcBorders>
              <w:bottom w:val="single" w:sz="18" w:space="0" w:color="auto"/>
              <w:right w:val="double" w:sz="4" w:space="0" w:color="auto"/>
            </w:tcBorders>
            <w:noWrap/>
            <w:vAlign w:val="center"/>
          </w:tcPr>
          <w:p w14:paraId="220F68EC" w14:textId="77777777" w:rsidR="000F63C4" w:rsidRPr="00FE0E5C" w:rsidRDefault="000F63C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724" w:type="pct"/>
            <w:tcBorders>
              <w:left w:val="double" w:sz="4" w:space="0" w:color="auto"/>
              <w:bottom w:val="single" w:sz="18" w:space="0" w:color="auto"/>
            </w:tcBorders>
            <w:noWrap/>
            <w:vAlign w:val="center"/>
          </w:tcPr>
          <w:p w14:paraId="4438D850" w14:textId="57FE0A25" w:rsidR="000F63C4" w:rsidRPr="00FE0E5C" w:rsidRDefault="00FE7B10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18 (</w:t>
            </w:r>
            <w:r w:rsidR="008703A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22%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noWrap/>
            <w:vAlign w:val="center"/>
          </w:tcPr>
          <w:p w14:paraId="53CF3FD7" w14:textId="7D435E1B" w:rsidR="000F63C4" w:rsidRPr="00FE0E5C" w:rsidRDefault="00FE7B10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(</w:t>
            </w:r>
            <w:r w:rsidR="008703A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10%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620" w:type="pct"/>
            <w:tcBorders>
              <w:bottom w:val="single" w:sz="18" w:space="0" w:color="auto"/>
            </w:tcBorders>
            <w:noWrap/>
            <w:vAlign w:val="center"/>
          </w:tcPr>
          <w:p w14:paraId="50D0FF95" w14:textId="77777777" w:rsidR="000F63C4" w:rsidRPr="00FE0E5C" w:rsidRDefault="000F63C4" w:rsidP="000E38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</w:tbl>
    <w:p w14:paraId="556AE8C2" w14:textId="54CE54CE" w:rsidR="00364894" w:rsidRDefault="00364894" w:rsidP="008204AD">
      <w:pP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  <w:r>
        <w:rPr>
          <w:rFonts w:ascii="Times New Roman" w:hAnsi="Times New Roman" w:cs="Times New Roman"/>
        </w:rPr>
        <w:t xml:space="preserve">Data presented as </w:t>
      </w:r>
      <w:proofErr w:type="spellStart"/>
      <w:r>
        <w:rPr>
          <w:rFonts w:ascii="Times New Roman" w:hAnsi="Times New Roman" w:cs="Times New Roman"/>
        </w:rPr>
        <w:t>m</w:t>
      </w:r>
      <w:r w:rsidRPr="004F625E">
        <w:rPr>
          <w:rFonts w:ascii="Times New Roman" w:hAnsi="Times New Roman" w:cs="Times New Roman"/>
        </w:rPr>
        <w:t>ean</w:t>
      </w:r>
      <w:r w:rsidRPr="00FE0E5C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±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standard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 deviation or</w:t>
      </w:r>
      <w:r w:rsidRPr="004F625E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 n (%)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. BMI; body mass index, QIDS; </w:t>
      </w:r>
      <w:r w:rsidR="00350868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q</w:t>
      </w:r>
      <w:r w:rsidR="00BD51B7"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uick inventory of depressive symptomatology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BPRS; </w:t>
      </w:r>
      <w:r w:rsidR="00BD51B7"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brief psychiatric rating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YMRS; </w:t>
      </w:r>
      <w:r w:rsidR="00BD51B7"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young mania rating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SOFAS; </w:t>
      </w:r>
      <w:r w:rsidR="00BD51B7"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social and occupational functioning assessment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K10; </w:t>
      </w:r>
      <w:r w:rsidR="00BD51B7"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Kessler psychological distress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, OASIS,</w:t>
      </w:r>
      <w:r w:rsid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 </w:t>
      </w:r>
      <w:r w:rsidR="00BD51B7"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overall anxiety severity and impairment scale</w:t>
      </w:r>
    </w:p>
    <w:p w14:paraId="6743FE4B" w14:textId="77777777" w:rsidR="0038323B" w:rsidRDefault="0038323B" w:rsidP="00632E4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</w:p>
    <w:p w14:paraId="762081A3" w14:textId="6759F52B" w:rsidR="00C71521" w:rsidRDefault="00C71521" w:rsidP="00F01492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Comparison of BMI and </w:t>
      </w:r>
      <w:r w:rsidR="009B7439">
        <w:rPr>
          <w:rFonts w:ascii="Times New Roman" w:hAnsi="Times New Roman" w:cs="Times New Roman"/>
          <w:b/>
          <w:bCs/>
          <w:sz w:val="24"/>
          <w:szCs w:val="24"/>
        </w:rPr>
        <w:t xml:space="preserve">mental health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symptoms across </w:t>
      </w:r>
      <w:r w:rsidR="00622882">
        <w:rPr>
          <w:rFonts w:ascii="Times New Roman" w:hAnsi="Times New Roman" w:cs="Times New Roman"/>
          <w:b/>
          <w:bCs/>
          <w:sz w:val="24"/>
          <w:szCs w:val="24"/>
        </w:rPr>
        <w:t>illness</w:t>
      </w:r>
      <w:r w:rsidR="00622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subtypes</w:t>
      </w:r>
    </w:p>
    <w:p w14:paraId="2F6A53B1" w14:textId="011F5528" w:rsidR="00C71521" w:rsidRPr="00F01492" w:rsidRDefault="00F01492" w:rsidP="008204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71521" w:rsidRPr="00F01492" w:rsidSect="00E4148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The current BMI and </w:t>
      </w:r>
      <w:r w:rsidR="009B74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mental health</w:t>
      </w:r>
      <w:r w:rsidR="009B7439"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symptoms were compared between </w:t>
      </w:r>
      <w:r w:rsidR="00622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illness</w:t>
      </w:r>
      <w:r w:rsidR="00622882"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subtypes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(Table S2)</w:t>
      </w:r>
      <w:r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. However, none of the variables showed significant differences between the subtypes.</w:t>
      </w:r>
      <w:r w:rsidR="003D74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Although</w:t>
      </w:r>
      <w:r w:rsidR="003D747D" w:rsidRPr="00F01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none of the variables showed significant differences between the subtype</w:t>
      </w:r>
      <w:r w:rsidR="003D74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s, </w:t>
      </w:r>
      <w:r w:rsidR="003D747D" w:rsidRPr="00FB0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it was observed that the YMRS score is lower in the Circadian-bipolar subtype, contrary to expectations. </w:t>
      </w:r>
      <w:r w:rsidR="003D74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We could speculate that people in this</w:t>
      </w:r>
      <w:r w:rsidR="003D747D" w:rsidRPr="00FB0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subtype may be in a depressed </w:t>
      </w:r>
      <w:r w:rsidR="003D74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phase at the assessment</w:t>
      </w:r>
      <w:r w:rsidR="003D747D" w:rsidRPr="00FB0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71C36BD9" w14:textId="77777777" w:rsidR="007601CC" w:rsidRDefault="007601CC" w:rsidP="00632E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B37F7" w14:textId="2A128D8A" w:rsidR="00632E4D" w:rsidRPr="00784AC3" w:rsidRDefault="00632E4D" w:rsidP="00632E4D">
      <w:pPr>
        <w:jc w:val="both"/>
        <w:rPr>
          <w:rFonts w:ascii="Times New Roman" w:hAnsi="Times New Roman" w:cs="Times New Roman"/>
          <w:sz w:val="24"/>
          <w:szCs w:val="24"/>
        </w:rPr>
      </w:pPr>
      <w:r w:rsidRPr="0026799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27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79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AC3">
        <w:rPr>
          <w:rFonts w:ascii="Times New Roman" w:hAnsi="Times New Roman" w:cs="Times New Roman"/>
          <w:sz w:val="24"/>
          <w:szCs w:val="24"/>
        </w:rPr>
        <w:t xml:space="preserve">Comparison of BMI and </w:t>
      </w:r>
      <w:r w:rsidR="00A00C66">
        <w:rPr>
          <w:rFonts w:ascii="Times New Roman" w:hAnsi="Times New Roman" w:cs="Times New Roman"/>
          <w:sz w:val="24"/>
          <w:szCs w:val="24"/>
        </w:rPr>
        <w:t>mental health</w:t>
      </w:r>
      <w:r w:rsidR="00A00C66" w:rsidRPr="00784AC3">
        <w:rPr>
          <w:rFonts w:ascii="Times New Roman" w:hAnsi="Times New Roman" w:cs="Times New Roman"/>
          <w:sz w:val="24"/>
          <w:szCs w:val="24"/>
        </w:rPr>
        <w:t xml:space="preserve"> </w:t>
      </w:r>
      <w:r w:rsidRPr="00784AC3">
        <w:rPr>
          <w:rFonts w:ascii="Times New Roman" w:hAnsi="Times New Roman" w:cs="Times New Roman"/>
          <w:sz w:val="24"/>
          <w:szCs w:val="24"/>
        </w:rPr>
        <w:t xml:space="preserve">symptoms among </w:t>
      </w:r>
      <w:r w:rsidR="00622882">
        <w:rPr>
          <w:rFonts w:ascii="Times New Roman" w:hAnsi="Times New Roman" w:cs="Times New Roman"/>
          <w:sz w:val="24"/>
          <w:szCs w:val="24"/>
        </w:rPr>
        <w:t>illness</w:t>
      </w:r>
      <w:r w:rsid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FB2746">
        <w:rPr>
          <w:rFonts w:ascii="Times New Roman" w:hAnsi="Times New Roman" w:cs="Times New Roman"/>
          <w:sz w:val="24"/>
          <w:szCs w:val="24"/>
        </w:rPr>
        <w:t>subtypes</w:t>
      </w:r>
      <w:r w:rsidRPr="00784AC3">
        <w:rPr>
          <w:rFonts w:ascii="Times New Roman" w:hAnsi="Times New Roman" w:cs="Times New Roman"/>
          <w:sz w:val="24"/>
          <w:szCs w:val="24"/>
        </w:rPr>
        <w:t xml:space="preserve"> for insulin resistance and inflammation.</w:t>
      </w: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122"/>
        <w:gridCol w:w="1572"/>
        <w:gridCol w:w="1701"/>
        <w:gridCol w:w="2126"/>
        <w:gridCol w:w="1134"/>
        <w:gridCol w:w="1559"/>
        <w:gridCol w:w="1559"/>
        <w:gridCol w:w="2127"/>
        <w:gridCol w:w="1134"/>
      </w:tblGrid>
      <w:tr w:rsidR="00E17A62" w:rsidRPr="009B0688" w14:paraId="7614C7BD" w14:textId="77777777" w:rsidTr="008703A9">
        <w:trPr>
          <w:trHeight w:val="306"/>
        </w:trPr>
        <w:tc>
          <w:tcPr>
            <w:tcW w:w="112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FF" w14:textId="77777777" w:rsidR="00E17A62" w:rsidRPr="0058123F" w:rsidRDefault="00E17A62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533" w:type="dxa"/>
            <w:gridSpan w:val="4"/>
            <w:tcBorders>
              <w:top w:val="single" w:sz="18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F38D80" w14:textId="33CB2CFE" w:rsidR="00E17A62" w:rsidRPr="0058123F" w:rsidRDefault="00E17A62" w:rsidP="00E1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HOMA2-IR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930B" w14:textId="0A81D41C" w:rsidR="00E17A62" w:rsidRPr="0058123F" w:rsidRDefault="00E17A62" w:rsidP="00E1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CRP</w:t>
            </w:r>
          </w:p>
        </w:tc>
      </w:tr>
      <w:tr w:rsidR="00F150A6" w:rsidRPr="009B0688" w14:paraId="3782B6DC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8716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2059" w14:textId="06607FBC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Hyperarousal-anxious</w:t>
            </w:r>
            <w:r w:rsid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(n=77)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C980" w14:textId="7C951892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Circadian-bipolar</w:t>
            </w:r>
            <w:r w:rsid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(n=11)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252A" w14:textId="553F6054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Neurodevelopmental-psychosis</w:t>
            </w:r>
            <w:r w:rsid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(n=22)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34AB26" w14:textId="77777777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p-value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CA6A" w14:textId="382D59E8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Hyperarousal-anxious</w:t>
            </w:r>
            <w:r w:rsidR="009B0688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(n=</w:t>
            </w:r>
            <w:r w:rsidR="00F150A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76)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16C7" w14:textId="301515D1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Circadian-bipolar</w:t>
            </w:r>
            <w:r w:rsidR="00F150A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(n=14)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BB10" w14:textId="059D262B" w:rsidR="0058123F" w:rsidRPr="0058123F" w:rsidRDefault="0058123F" w:rsidP="009B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Neurodevelopmental-psychosis</w:t>
            </w:r>
            <w:r w:rsidR="00F150A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(n=21)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4ECC" w14:textId="77777777" w:rsidR="0058123F" w:rsidRPr="0058123F" w:rsidRDefault="0058123F" w:rsidP="00E1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p-value</w:t>
            </w:r>
          </w:p>
        </w:tc>
      </w:tr>
      <w:tr w:rsidR="00F150A6" w:rsidRPr="00411EE8" w14:paraId="76435BDF" w14:textId="77777777" w:rsidTr="008703A9">
        <w:trPr>
          <w:trHeight w:val="306"/>
        </w:trPr>
        <w:tc>
          <w:tcPr>
            <w:tcW w:w="112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C17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BMI</w:t>
            </w:r>
          </w:p>
        </w:tc>
        <w:tc>
          <w:tcPr>
            <w:tcW w:w="157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03DA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25.78±6.14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7F56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28.42±6.35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879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25.42±5.73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E348D0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F=0.941, p=0.393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521F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26.45±6.13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1ACC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28.48±5.94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CC0A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24.86±5.74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83DD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F=1.398, p=0.252</w:t>
            </w:r>
          </w:p>
        </w:tc>
      </w:tr>
      <w:tr w:rsidR="00F150A6" w:rsidRPr="00411EE8" w14:paraId="5108AA8F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68C2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QIDS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9FEF" w14:textId="29E479F3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8.01±4.6</w:t>
            </w:r>
            <w:r w:rsidR="009F54B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7C4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10.27±4.73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6B35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8.64±4.94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20D20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F=1.166, p=0.315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4776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8.21±4.94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4985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9.36±4.65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2A03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8.86±4.50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A5DB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F=0.413, p=0.663</w:t>
            </w:r>
          </w:p>
        </w:tc>
      </w:tr>
      <w:tr w:rsidR="00F150A6" w:rsidRPr="00411EE8" w14:paraId="6046A3FB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0E48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BPRS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D44B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32.23±5.72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2FEA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34.27±5.14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08B5" w14:textId="56B37E68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34.36±7.5</w:t>
            </w:r>
            <w:r w:rsidR="008703A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030CC0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F=1.385, p=0.255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0B78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32.64±6.35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061D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34.36±4.52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426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34.43±5.57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4848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F=1.021, p=0.364</w:t>
            </w:r>
          </w:p>
        </w:tc>
      </w:tr>
      <w:tr w:rsidR="00F150A6" w:rsidRPr="00411EE8" w14:paraId="309C5A26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CC5F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YMRS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1979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1.18±1.42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234E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0.82±1.47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33D6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1.32±1.96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B8840A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F=0.388, p=0.680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51AC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1.33±1.64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E563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0.79±1.37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FC2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1.86±2.71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D251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F=1.436, p=0.243</w:t>
            </w:r>
          </w:p>
        </w:tc>
      </w:tr>
      <w:tr w:rsidR="00F150A6" w:rsidRPr="00411EE8" w14:paraId="2D172526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2CDB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SOFAS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D194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67.61±14.91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1D10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68.64±16.92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A39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65.91±14.26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724679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F=0.154, p=0.858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91E3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68.41±16.39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63BD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67.00±15.75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454B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66.00±14.16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2862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F=0.207, p=0.813</w:t>
            </w:r>
          </w:p>
        </w:tc>
      </w:tr>
      <w:tr w:rsidR="00F150A6" w:rsidRPr="00411EE8" w14:paraId="288025CD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EBB5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K10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74D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23.53±8.48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4022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26.90±8.02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4500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23.68±7.78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62D302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F=0.733, p=0.483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4E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23.24±8.84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2174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25.62±7.56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2953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23.48±6.68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01E3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F=0.450, p=0.639</w:t>
            </w:r>
          </w:p>
        </w:tc>
      </w:tr>
      <w:tr w:rsidR="00F150A6" w:rsidRPr="00411EE8" w14:paraId="35A6EF6D" w14:textId="77777777" w:rsidTr="008703A9">
        <w:trPr>
          <w:trHeight w:val="30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F620" w14:textId="77777777" w:rsidR="0058123F" w:rsidRPr="0058123F" w:rsidRDefault="0058123F" w:rsidP="0058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OASIS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FC7E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5.90±4.91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69EE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7.90±5.17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A88D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6.86±4.80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0201EF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F=0.910, p=0.406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306D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6.00±4.76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902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6.69±5.19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F7BD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6.90±4.70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0A1F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F=0.344, p=0.709</w:t>
            </w:r>
          </w:p>
        </w:tc>
      </w:tr>
      <w:tr w:rsidR="00F150A6" w:rsidRPr="00411EE8" w14:paraId="7385A8B1" w14:textId="77777777" w:rsidTr="008703A9">
        <w:trPr>
          <w:trHeight w:val="337"/>
        </w:trPr>
        <w:tc>
          <w:tcPr>
            <w:tcW w:w="11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6330" w14:textId="77777777" w:rsidR="0058123F" w:rsidRPr="0058123F" w:rsidRDefault="0058123F" w:rsidP="0068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Risk status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EC05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75E0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E817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88B2C3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F25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7578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4D12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6229" w14:textId="77777777" w:rsidR="0058123F" w:rsidRPr="0058123F" w:rsidRDefault="0058123F" w:rsidP="00F1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</w:tr>
      <w:tr w:rsidR="00F150A6" w:rsidRPr="00411EE8" w14:paraId="581F580D" w14:textId="77777777" w:rsidTr="008703A9">
        <w:trPr>
          <w:trHeight w:val="337"/>
        </w:trPr>
        <w:tc>
          <w:tcPr>
            <w:tcW w:w="1122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7A6C" w14:textId="214E5F87" w:rsidR="0058123F" w:rsidRPr="0058123F" w:rsidRDefault="008703A9" w:rsidP="0058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Elevated risk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5F46" w14:textId="69C657E0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18</w:t>
            </w:r>
            <w:r w:rsidR="00EB543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(23%)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B254" w14:textId="39ED4883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4</w:t>
            </w:r>
            <w:r w:rsidR="00FB274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(36%)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3FAB" w14:textId="01FF000C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8</w:t>
            </w:r>
            <w:r w:rsidR="00FB274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(36%)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5E6654" w14:textId="77777777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χ2=1.96, p=0.467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6AE0" w14:textId="1D66FA2C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24</w:t>
            </w:r>
            <w:r w:rsidR="005517C3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(32%)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DC5B" w14:textId="1CD7D6E7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</w:t>
            </w:r>
            <w:r w:rsidR="00E53BF1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(21%)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65C0" w14:textId="4233FB91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</w:t>
            </w:r>
            <w:r w:rsidR="00E17A62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(14%)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56AA" w14:textId="77777777" w:rsidR="0058123F" w:rsidRPr="0058123F" w:rsidRDefault="0058123F" w:rsidP="000A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58123F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χ2=2.75, p=0.253</w:t>
            </w:r>
          </w:p>
        </w:tc>
      </w:tr>
    </w:tbl>
    <w:p w14:paraId="0CC43161" w14:textId="77777777" w:rsidR="00350868" w:rsidRDefault="00350868" w:rsidP="0035086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  <w:r>
        <w:rPr>
          <w:rFonts w:ascii="Times New Roman" w:hAnsi="Times New Roman" w:cs="Times New Roman"/>
        </w:rPr>
        <w:t xml:space="preserve">Data presented as </w:t>
      </w:r>
      <w:proofErr w:type="spellStart"/>
      <w:r>
        <w:rPr>
          <w:rFonts w:ascii="Times New Roman" w:hAnsi="Times New Roman" w:cs="Times New Roman"/>
        </w:rPr>
        <w:t>m</w:t>
      </w:r>
      <w:r w:rsidRPr="004F625E">
        <w:rPr>
          <w:rFonts w:ascii="Times New Roman" w:hAnsi="Times New Roman" w:cs="Times New Roman"/>
        </w:rPr>
        <w:t>ean</w:t>
      </w:r>
      <w:r w:rsidRPr="00FE0E5C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±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standard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 deviation or</w:t>
      </w:r>
      <w:r w:rsidRPr="004F625E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 n (%)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. BMI; body mass index, QIDS; q</w:t>
      </w:r>
      <w:r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uick inventory of depressive symptomatology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BPRS; </w:t>
      </w:r>
      <w:r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brief psychiatric rating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YMRS; </w:t>
      </w:r>
      <w:r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young mania rating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SOFAS; </w:t>
      </w:r>
      <w:r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social and occupational functioning assessment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K10; </w:t>
      </w:r>
      <w:r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Kessler psychological distress scale</w:t>
      </w:r>
      <w:r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, OASIS, </w:t>
      </w:r>
      <w:r w:rsidRPr="00BD51B7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overall anxiety severity and impairment scale</w:t>
      </w:r>
    </w:p>
    <w:p w14:paraId="2202BEEF" w14:textId="77777777" w:rsidR="0038323B" w:rsidRDefault="0038323B" w:rsidP="00C1092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2D47C5" w14:textId="77777777" w:rsidR="0038323B" w:rsidRDefault="0038323B" w:rsidP="00C1092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8323B" w:rsidSect="00E4148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BD71E3" w14:textId="2E7D8FCF" w:rsidR="00C10928" w:rsidRPr="007E7817" w:rsidRDefault="00C10928" w:rsidP="00C1092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Repeated measures correlation between HOMA2-IR and CRP</w:t>
      </w:r>
    </w:p>
    <w:p w14:paraId="7AC6EB73" w14:textId="6CE73B35" w:rsidR="00C10928" w:rsidRPr="00AE79A5" w:rsidRDefault="00C10928" w:rsidP="00C1092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9A5">
        <w:rPr>
          <w:rFonts w:ascii="Times New Roman" w:hAnsi="Times New Roman" w:cs="Times New Roman"/>
          <w:sz w:val="24"/>
          <w:szCs w:val="24"/>
        </w:rPr>
        <w:t xml:space="preserve">Repeated measures correlation analyses were conducted to </w:t>
      </w:r>
      <w:r>
        <w:rPr>
          <w:rFonts w:ascii="Times New Roman" w:hAnsi="Times New Roman" w:cs="Times New Roman"/>
          <w:sz w:val="24"/>
          <w:szCs w:val="24"/>
        </w:rPr>
        <w:t>investigate</w:t>
      </w:r>
      <w:r w:rsidRPr="00AE79A5">
        <w:rPr>
          <w:rFonts w:ascii="Times New Roman" w:hAnsi="Times New Roman" w:cs="Times New Roman"/>
          <w:sz w:val="24"/>
          <w:szCs w:val="24"/>
        </w:rPr>
        <w:t xml:space="preserve"> the relationships between </w:t>
      </w:r>
      <w:r>
        <w:rPr>
          <w:rFonts w:ascii="Times New Roman" w:hAnsi="Times New Roman" w:cs="Times New Roman"/>
          <w:sz w:val="24"/>
          <w:szCs w:val="24"/>
        </w:rPr>
        <w:t>HOMA and CRP and their association with age</w:t>
      </w:r>
      <w:r w:rsidRPr="00AE79A5">
        <w:rPr>
          <w:rFonts w:ascii="Times New Roman" w:hAnsi="Times New Roman" w:cs="Times New Roman"/>
          <w:sz w:val="24"/>
          <w:szCs w:val="24"/>
        </w:rPr>
        <w:t xml:space="preserve"> over time</w:t>
      </w:r>
      <w:r>
        <w:rPr>
          <w:rFonts w:ascii="Times New Roman" w:hAnsi="Times New Roman" w:cs="Times New Roman"/>
          <w:sz w:val="24"/>
          <w:szCs w:val="24"/>
        </w:rPr>
        <w:t xml:space="preserve"> (Figure </w:t>
      </w:r>
      <w:r w:rsidR="00F01492"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7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554">
        <w:rPr>
          <w:rFonts w:ascii="Times New Roman" w:hAnsi="Times New Roman" w:cs="Times New Roman"/>
          <w:sz w:val="24"/>
          <w:szCs w:val="24"/>
        </w:rPr>
        <w:t>A significant positive correlation was observed between HOMA2-IR and CRP levels (r=0.27, p=0.005), indicating that higher HOMA2-IR levels were associated with higher CRP levels. Conversely, a significant negative correlation was found between age and HOMA2-IR levels (r=-0.15, p=0.026), suggesting that older age was linked to lower HOMA2-IR levels. However, no significant correlation was detected between age and CRP levels (r=0.02, p=0.73), indicating that age did not significantly influence CRP levels.</w:t>
      </w:r>
    </w:p>
    <w:p w14:paraId="3C43A0C0" w14:textId="77777777" w:rsidR="00C10928" w:rsidRDefault="00C10928" w:rsidP="00C1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43C76487" wp14:editId="53687A1D">
            <wp:extent cx="6195137" cy="3485432"/>
            <wp:effectExtent l="0" t="0" r="0" b="1270"/>
            <wp:docPr id="1590952959" name="Picture 7" descr="A group of graphs showing different colo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52959" name="Picture 7" descr="A group of graphs showing different colored do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28" cy="3486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AB6E7" w14:textId="464B35D6" w:rsidR="00C10928" w:rsidRDefault="00C10928" w:rsidP="00C10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4AC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F01492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784A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Repeated measure correlation between HOMA, CRP and the age at each assessment. </w:t>
      </w:r>
    </w:p>
    <w:p w14:paraId="4353B0B7" w14:textId="77777777" w:rsidR="002312E3" w:rsidRDefault="002312E3" w:rsidP="0098582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45B32" w14:textId="77777777" w:rsidR="002312E3" w:rsidRDefault="002312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00F69A" w14:textId="710A7B2D" w:rsidR="00B6262F" w:rsidRPr="00062272" w:rsidRDefault="00062272" w:rsidP="00062272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2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03676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62272">
        <w:rPr>
          <w:rFonts w:ascii="Times New Roman" w:hAnsi="Times New Roman" w:cs="Times New Roman"/>
          <w:b/>
          <w:bCs/>
          <w:sz w:val="24"/>
          <w:szCs w:val="24"/>
        </w:rPr>
        <w:t xml:space="preserve">eferences </w:t>
      </w:r>
    </w:p>
    <w:p w14:paraId="1F673F33" w14:textId="77777777" w:rsidR="00B6262F" w:rsidRPr="00B6262F" w:rsidRDefault="00B6262F" w:rsidP="00B6262F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6262F">
        <w:rPr>
          <w:b/>
        </w:rPr>
        <w:t>Andrews G and Slade T</w:t>
      </w:r>
      <w:r w:rsidRPr="00B6262F">
        <w:t xml:space="preserve"> (2001) Interpreting scores on the Kessler psychological distress scale (K10). </w:t>
      </w:r>
      <w:r w:rsidRPr="00B6262F">
        <w:rPr>
          <w:i/>
        </w:rPr>
        <w:t>Australian and New Zealand journal of public health</w:t>
      </w:r>
      <w:r w:rsidRPr="00B6262F">
        <w:t xml:space="preserve"> </w:t>
      </w:r>
      <w:r w:rsidRPr="00B6262F">
        <w:rPr>
          <w:b/>
        </w:rPr>
        <w:t>25</w:t>
      </w:r>
      <w:r w:rsidRPr="00B6262F">
        <w:t>(6)</w:t>
      </w:r>
      <w:r w:rsidRPr="00B6262F">
        <w:rPr>
          <w:b/>
        </w:rPr>
        <w:t>,</w:t>
      </w:r>
      <w:r w:rsidRPr="00B6262F">
        <w:t xml:space="preserve"> 494-497.</w:t>
      </w:r>
    </w:p>
    <w:p w14:paraId="63DA0464" w14:textId="552F04B5" w:rsidR="00B6262F" w:rsidRPr="00B6262F" w:rsidRDefault="00B6262F" w:rsidP="00B6262F">
      <w:pPr>
        <w:pStyle w:val="EndNoteBibliography"/>
        <w:spacing w:after="0"/>
        <w:ind w:left="720" w:hanging="720"/>
      </w:pPr>
      <w:r w:rsidRPr="00B6262F">
        <w:rPr>
          <w:b/>
        </w:rPr>
        <w:t>Goldman HH, Skodol AE and Lave TR</w:t>
      </w:r>
      <w:r w:rsidRPr="00B6262F">
        <w:t xml:space="preserve"> (1992) Revising axis V for DSM-IV: a review of measures of social functioning. </w:t>
      </w:r>
      <w:r w:rsidRPr="00B6262F">
        <w:rPr>
          <w:i/>
        </w:rPr>
        <w:t>Am J Psychiatry</w:t>
      </w:r>
      <w:r w:rsidRPr="00B6262F">
        <w:t xml:space="preserve"> </w:t>
      </w:r>
      <w:r w:rsidRPr="00B6262F">
        <w:rPr>
          <w:b/>
        </w:rPr>
        <w:t>149</w:t>
      </w:r>
      <w:r w:rsidRPr="00B6262F">
        <w:t>(9)</w:t>
      </w:r>
      <w:r w:rsidRPr="00B6262F">
        <w:rPr>
          <w:b/>
        </w:rPr>
        <w:t>,</w:t>
      </w:r>
      <w:r w:rsidRPr="00B6262F">
        <w:t xml:space="preserve"> 1148-1156. </w:t>
      </w:r>
      <w:hyperlink r:id="rId6" w:history="1">
        <w:r w:rsidRPr="00B6262F">
          <w:rPr>
            <w:rStyle w:val="Hyperlink"/>
          </w:rPr>
          <w:t>https://doi.org/10.1176/ajp.149.9.1148</w:t>
        </w:r>
      </w:hyperlink>
      <w:r w:rsidRPr="00B6262F">
        <w:t>.</w:t>
      </w:r>
    </w:p>
    <w:p w14:paraId="196B4784" w14:textId="77777777" w:rsidR="00B6262F" w:rsidRPr="00B6262F" w:rsidRDefault="00B6262F" w:rsidP="00B6262F">
      <w:pPr>
        <w:pStyle w:val="EndNoteBibliography"/>
        <w:spacing w:after="0"/>
        <w:ind w:left="720" w:hanging="720"/>
      </w:pPr>
      <w:r w:rsidRPr="00B6262F">
        <w:rPr>
          <w:b/>
        </w:rPr>
        <w:t>Norman SB, Hami Cissell S, Means‐Christensen AJ and Stein MB</w:t>
      </w:r>
      <w:r w:rsidRPr="00B6262F">
        <w:t xml:space="preserve"> (2006) Development and validation of an overall anxiety severity and impairment scale (OASIS). </w:t>
      </w:r>
      <w:r w:rsidRPr="00B6262F">
        <w:rPr>
          <w:i/>
        </w:rPr>
        <w:t>Depression and anxiety</w:t>
      </w:r>
      <w:r w:rsidRPr="00B6262F">
        <w:t xml:space="preserve"> </w:t>
      </w:r>
      <w:r w:rsidRPr="00B6262F">
        <w:rPr>
          <w:b/>
        </w:rPr>
        <w:t>23</w:t>
      </w:r>
      <w:r w:rsidRPr="00B6262F">
        <w:t>(4)</w:t>
      </w:r>
      <w:r w:rsidRPr="00B6262F">
        <w:rPr>
          <w:b/>
        </w:rPr>
        <w:t>,</w:t>
      </w:r>
      <w:r w:rsidRPr="00B6262F">
        <w:t xml:space="preserve"> 245-249.</w:t>
      </w:r>
    </w:p>
    <w:p w14:paraId="6CDF9874" w14:textId="0104BE5B" w:rsidR="00B6262F" w:rsidRPr="00B6262F" w:rsidRDefault="00B6262F" w:rsidP="00B6262F">
      <w:pPr>
        <w:pStyle w:val="EndNoteBibliography"/>
        <w:spacing w:after="0"/>
        <w:ind w:left="720" w:hanging="720"/>
      </w:pPr>
      <w:r w:rsidRPr="00B6262F">
        <w:rPr>
          <w:b/>
        </w:rPr>
        <w:t>Overall JE and Gorham DR</w:t>
      </w:r>
      <w:r w:rsidRPr="00B6262F">
        <w:t xml:space="preserve"> (1962) The Brief Psychiatric Rating Scale. </w:t>
      </w:r>
      <w:r w:rsidRPr="00B6262F">
        <w:rPr>
          <w:i/>
        </w:rPr>
        <w:t>Psychological reports</w:t>
      </w:r>
      <w:r w:rsidRPr="00B6262F">
        <w:t xml:space="preserve"> </w:t>
      </w:r>
      <w:r w:rsidRPr="00B6262F">
        <w:rPr>
          <w:b/>
        </w:rPr>
        <w:t>10</w:t>
      </w:r>
      <w:r w:rsidRPr="00B6262F">
        <w:t>(3)</w:t>
      </w:r>
      <w:r w:rsidRPr="00B6262F">
        <w:rPr>
          <w:b/>
        </w:rPr>
        <w:t>,</w:t>
      </w:r>
      <w:r w:rsidRPr="00B6262F">
        <w:t xml:space="preserve"> 799-812. </w:t>
      </w:r>
      <w:hyperlink r:id="rId7" w:history="1">
        <w:r w:rsidRPr="00B6262F">
          <w:rPr>
            <w:rStyle w:val="Hyperlink"/>
          </w:rPr>
          <w:t>https://doi.org/10.2466/pr0.1962.10.3.799</w:t>
        </w:r>
      </w:hyperlink>
      <w:r w:rsidRPr="00B6262F">
        <w:t>.</w:t>
      </w:r>
    </w:p>
    <w:p w14:paraId="0AEE7149" w14:textId="18A2479A" w:rsidR="00B6262F" w:rsidRPr="00B6262F" w:rsidRDefault="00B6262F" w:rsidP="00B6262F">
      <w:pPr>
        <w:pStyle w:val="EndNoteBibliography"/>
        <w:spacing w:after="0"/>
        <w:ind w:left="720" w:hanging="720"/>
      </w:pPr>
      <w:r w:rsidRPr="00B6262F">
        <w:rPr>
          <w:b/>
        </w:rPr>
        <w:t>Rush AJ, Trivedi MH, Ibrahim HM, Carmody TJ, Arnow B, Klein DN, Markowitz JC, Ninan PT, Kornstein S, Manber R, Thase ME, Kocsis JH and Keller MB</w:t>
      </w:r>
      <w:r w:rsidRPr="00B6262F">
        <w:t xml:space="preserve"> (2003) The 16-Item Quick Inventory of Depressive Symptomatology (QIDS), clinician rating (QIDS-C), and self-report (QIDS-SR): a psychometric evaluation in patients with chronic major depression. </w:t>
      </w:r>
      <w:r w:rsidRPr="00B6262F">
        <w:rPr>
          <w:i/>
        </w:rPr>
        <w:t>Biol Psychiatry</w:t>
      </w:r>
      <w:r w:rsidRPr="00B6262F">
        <w:t xml:space="preserve"> </w:t>
      </w:r>
      <w:r w:rsidRPr="00B6262F">
        <w:rPr>
          <w:b/>
        </w:rPr>
        <w:t>54</w:t>
      </w:r>
      <w:r w:rsidRPr="00B6262F">
        <w:t>(5)</w:t>
      </w:r>
      <w:r w:rsidRPr="00B6262F">
        <w:rPr>
          <w:b/>
        </w:rPr>
        <w:t>,</w:t>
      </w:r>
      <w:r w:rsidRPr="00B6262F">
        <w:t xml:space="preserve"> 573-583. </w:t>
      </w:r>
      <w:hyperlink r:id="rId8" w:history="1">
        <w:r w:rsidRPr="00B6262F">
          <w:rPr>
            <w:rStyle w:val="Hyperlink"/>
          </w:rPr>
          <w:t>https://doi.org/10.1016/s0006-3223(02)01866-8</w:t>
        </w:r>
      </w:hyperlink>
      <w:r w:rsidRPr="00B6262F">
        <w:t>.</w:t>
      </w:r>
    </w:p>
    <w:p w14:paraId="347F4B99" w14:textId="76BF981C" w:rsidR="00B6262F" w:rsidRPr="00B6262F" w:rsidRDefault="00B6262F" w:rsidP="00B6262F">
      <w:pPr>
        <w:pStyle w:val="EndNoteBibliography"/>
        <w:ind w:left="720" w:hanging="720"/>
      </w:pPr>
      <w:r w:rsidRPr="00B6262F">
        <w:rPr>
          <w:b/>
        </w:rPr>
        <w:t>Young RC, Biggs JT, Ziegler VE and Meyer DA</w:t>
      </w:r>
      <w:r w:rsidRPr="00B6262F">
        <w:t xml:space="preserve"> (1978) A rating scale for mania: reliability, validity and sensitivity. </w:t>
      </w:r>
      <w:r w:rsidRPr="00B6262F">
        <w:rPr>
          <w:i/>
        </w:rPr>
        <w:t>Br J Psychiatry</w:t>
      </w:r>
      <w:r w:rsidRPr="00B6262F">
        <w:t xml:space="preserve"> </w:t>
      </w:r>
      <w:r w:rsidRPr="00B6262F">
        <w:rPr>
          <w:b/>
        </w:rPr>
        <w:t>133,</w:t>
      </w:r>
      <w:r w:rsidRPr="00B6262F">
        <w:t xml:space="preserve"> 429-435. </w:t>
      </w:r>
      <w:hyperlink r:id="rId9" w:history="1">
        <w:r w:rsidRPr="00B6262F">
          <w:rPr>
            <w:rStyle w:val="Hyperlink"/>
          </w:rPr>
          <w:t>https://doi.org/10.1192/bjp.133.5.429</w:t>
        </w:r>
      </w:hyperlink>
      <w:r w:rsidRPr="00B6262F">
        <w:t>.</w:t>
      </w:r>
    </w:p>
    <w:p w14:paraId="7DE10CD6" w14:textId="655978E1" w:rsidR="00946BB4" w:rsidRDefault="00B6262F" w:rsidP="00354575">
      <w:pPr>
        <w:pStyle w:val="NormalWeb"/>
      </w:pPr>
      <w:r>
        <w:fldChar w:fldCharType="end"/>
      </w:r>
    </w:p>
    <w:sectPr w:rsidR="00946BB4" w:rsidSect="00E41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63C1"/>
    <w:multiLevelType w:val="hybridMultilevel"/>
    <w:tmpl w:val="3A380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Cambridge University Press Style 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zvd0dvkvv9twerpeuvx0fxztvvdtfw52xz&quot;&gt;blood&lt;record-ids&gt;&lt;item&gt;25&lt;/item&gt;&lt;item&gt;26&lt;/item&gt;&lt;item&gt;27&lt;/item&gt;&lt;item&gt;28&lt;/item&gt;&lt;item&gt;50&lt;/item&gt;&lt;item&gt;70&lt;/item&gt;&lt;/record-ids&gt;&lt;/item&gt;&lt;/Libraries&gt;"/>
  </w:docVars>
  <w:rsids>
    <w:rsidRoot w:val="00354575"/>
    <w:rsid w:val="00014867"/>
    <w:rsid w:val="00036768"/>
    <w:rsid w:val="000506E3"/>
    <w:rsid w:val="00062272"/>
    <w:rsid w:val="00087B04"/>
    <w:rsid w:val="000A6C55"/>
    <w:rsid w:val="000C5C45"/>
    <w:rsid w:val="000F2C50"/>
    <w:rsid w:val="000F63C4"/>
    <w:rsid w:val="001368E7"/>
    <w:rsid w:val="0014448D"/>
    <w:rsid w:val="00190687"/>
    <w:rsid w:val="001E6F99"/>
    <w:rsid w:val="001F157B"/>
    <w:rsid w:val="00224D98"/>
    <w:rsid w:val="002312E3"/>
    <w:rsid w:val="00234992"/>
    <w:rsid w:val="0025773D"/>
    <w:rsid w:val="00280080"/>
    <w:rsid w:val="00312436"/>
    <w:rsid w:val="00350868"/>
    <w:rsid w:val="00354575"/>
    <w:rsid w:val="003601E8"/>
    <w:rsid w:val="00364894"/>
    <w:rsid w:val="00380745"/>
    <w:rsid w:val="0038323B"/>
    <w:rsid w:val="003940DC"/>
    <w:rsid w:val="003A5E53"/>
    <w:rsid w:val="003B0E9C"/>
    <w:rsid w:val="003C3373"/>
    <w:rsid w:val="003C6670"/>
    <w:rsid w:val="003D747D"/>
    <w:rsid w:val="003F2A16"/>
    <w:rsid w:val="00411EE8"/>
    <w:rsid w:val="00494217"/>
    <w:rsid w:val="004B7618"/>
    <w:rsid w:val="004C0FB5"/>
    <w:rsid w:val="004D7733"/>
    <w:rsid w:val="00517BDC"/>
    <w:rsid w:val="00540A2E"/>
    <w:rsid w:val="005517C3"/>
    <w:rsid w:val="0058123F"/>
    <w:rsid w:val="00597464"/>
    <w:rsid w:val="005C35CB"/>
    <w:rsid w:val="006028E8"/>
    <w:rsid w:val="006056E8"/>
    <w:rsid w:val="00622882"/>
    <w:rsid w:val="00632E4D"/>
    <w:rsid w:val="00633A15"/>
    <w:rsid w:val="00643F87"/>
    <w:rsid w:val="006803E8"/>
    <w:rsid w:val="006864D5"/>
    <w:rsid w:val="006B6A7B"/>
    <w:rsid w:val="006C4540"/>
    <w:rsid w:val="006E5745"/>
    <w:rsid w:val="00706E32"/>
    <w:rsid w:val="00715661"/>
    <w:rsid w:val="0072397F"/>
    <w:rsid w:val="00734789"/>
    <w:rsid w:val="0075332C"/>
    <w:rsid w:val="00756609"/>
    <w:rsid w:val="007601CC"/>
    <w:rsid w:val="00767B69"/>
    <w:rsid w:val="007746AE"/>
    <w:rsid w:val="007E135B"/>
    <w:rsid w:val="007F0010"/>
    <w:rsid w:val="008204AD"/>
    <w:rsid w:val="00866EF6"/>
    <w:rsid w:val="008703A9"/>
    <w:rsid w:val="00875563"/>
    <w:rsid w:val="008B19BB"/>
    <w:rsid w:val="008E0A5D"/>
    <w:rsid w:val="00946BB4"/>
    <w:rsid w:val="0096056F"/>
    <w:rsid w:val="0098438C"/>
    <w:rsid w:val="00985823"/>
    <w:rsid w:val="009A474E"/>
    <w:rsid w:val="009B0688"/>
    <w:rsid w:val="009B7439"/>
    <w:rsid w:val="009C7454"/>
    <w:rsid w:val="009E2A47"/>
    <w:rsid w:val="009E5DC2"/>
    <w:rsid w:val="009F22F4"/>
    <w:rsid w:val="009F54BD"/>
    <w:rsid w:val="00A00C66"/>
    <w:rsid w:val="00A35923"/>
    <w:rsid w:val="00A51352"/>
    <w:rsid w:val="00A71AB7"/>
    <w:rsid w:val="00A96CC7"/>
    <w:rsid w:val="00A97A0B"/>
    <w:rsid w:val="00AD74D8"/>
    <w:rsid w:val="00AE3545"/>
    <w:rsid w:val="00B347E7"/>
    <w:rsid w:val="00B45936"/>
    <w:rsid w:val="00B6262F"/>
    <w:rsid w:val="00B71512"/>
    <w:rsid w:val="00B73255"/>
    <w:rsid w:val="00BC14E5"/>
    <w:rsid w:val="00BD51B7"/>
    <w:rsid w:val="00C10928"/>
    <w:rsid w:val="00C310A2"/>
    <w:rsid w:val="00C33D9B"/>
    <w:rsid w:val="00C52226"/>
    <w:rsid w:val="00C56D4F"/>
    <w:rsid w:val="00C61E62"/>
    <w:rsid w:val="00C71521"/>
    <w:rsid w:val="00C9245F"/>
    <w:rsid w:val="00CC5B5B"/>
    <w:rsid w:val="00D22EDC"/>
    <w:rsid w:val="00D60A73"/>
    <w:rsid w:val="00DB2856"/>
    <w:rsid w:val="00DC22C4"/>
    <w:rsid w:val="00DF3784"/>
    <w:rsid w:val="00E17A62"/>
    <w:rsid w:val="00E4148F"/>
    <w:rsid w:val="00E53BF1"/>
    <w:rsid w:val="00E66996"/>
    <w:rsid w:val="00EB5436"/>
    <w:rsid w:val="00F01492"/>
    <w:rsid w:val="00F13AB7"/>
    <w:rsid w:val="00F150A6"/>
    <w:rsid w:val="00F3023F"/>
    <w:rsid w:val="00F66CD8"/>
    <w:rsid w:val="00FB0297"/>
    <w:rsid w:val="00FB2746"/>
    <w:rsid w:val="00FC058D"/>
    <w:rsid w:val="00FD1E90"/>
    <w:rsid w:val="00FE7B10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ABBB5"/>
  <w15:docId w15:val="{3EAAA458-9676-40B3-900B-B5B1ED4A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3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E62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gnvwddmdd3b">
    <w:name w:val="gnvwddmdd3b"/>
    <w:basedOn w:val="DefaultParagraphFont"/>
    <w:rsid w:val="00C61E62"/>
  </w:style>
  <w:style w:type="character" w:customStyle="1" w:styleId="gnvwddmdn3b">
    <w:name w:val="gnvwddmdn3b"/>
    <w:basedOn w:val="DefaultParagraphFont"/>
    <w:rsid w:val="00C61E62"/>
  </w:style>
  <w:style w:type="character" w:customStyle="1" w:styleId="VerbatimChar">
    <w:name w:val="Verbatim Char"/>
    <w:basedOn w:val="DefaultParagraphFont"/>
    <w:link w:val="SourceCode"/>
    <w:rsid w:val="00C61E6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C61E62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CommentTok">
    <w:name w:val="CommentTok"/>
    <w:basedOn w:val="VerbatimChar"/>
    <w:rsid w:val="00C61E62"/>
    <w:rPr>
      <w:rFonts w:ascii="Consolas" w:hAnsi="Consolas"/>
      <w:i/>
      <w:color w:val="8F5902"/>
      <w:shd w:val="clear" w:color="auto" w:fill="F8F8F8"/>
    </w:rPr>
  </w:style>
  <w:style w:type="character" w:customStyle="1" w:styleId="NormalTok">
    <w:name w:val="NormalTok"/>
    <w:basedOn w:val="VerbatimChar"/>
    <w:rsid w:val="00C61E62"/>
    <w:rPr>
      <w:rFonts w:ascii="Consolas" w:hAnsi="Consolas"/>
      <w:shd w:val="clear" w:color="auto" w:fill="F8F8F8"/>
    </w:rPr>
  </w:style>
  <w:style w:type="character" w:customStyle="1" w:styleId="DecValTok">
    <w:name w:val="DecValTok"/>
    <w:basedOn w:val="VerbatimChar"/>
    <w:rsid w:val="00C61E62"/>
    <w:rPr>
      <w:rFonts w:ascii="Consolas" w:hAnsi="Consolas"/>
      <w:color w:val="0000CF"/>
      <w:sz w:val="22"/>
      <w:shd w:val="clear" w:color="auto" w:fill="F8F8F8"/>
    </w:rPr>
  </w:style>
  <w:style w:type="character" w:customStyle="1" w:styleId="SpecialCharTok">
    <w:name w:val="SpecialCharTok"/>
    <w:basedOn w:val="VerbatimChar"/>
    <w:rsid w:val="00C61E62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OtherTok">
    <w:name w:val="OtherTok"/>
    <w:basedOn w:val="VerbatimChar"/>
    <w:rsid w:val="00C61E62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C61E62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C61E62"/>
    <w:rPr>
      <w:rFonts w:ascii="Consolas" w:hAnsi="Consolas"/>
      <w:color w:val="204A87"/>
      <w:sz w:val="22"/>
      <w:shd w:val="clear" w:color="auto" w:fill="F8F8F8"/>
    </w:rPr>
  </w:style>
  <w:style w:type="table" w:styleId="TableGrid">
    <w:name w:val="Table Grid"/>
    <w:basedOn w:val="TableNormal"/>
    <w:uiPriority w:val="39"/>
    <w:rsid w:val="0094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D4F"/>
    <w:pPr>
      <w:ind w:left="720"/>
      <w:contextualSpacing/>
    </w:pPr>
  </w:style>
  <w:style w:type="paragraph" w:styleId="Revision">
    <w:name w:val="Revision"/>
    <w:hidden/>
    <w:uiPriority w:val="99"/>
    <w:semiHidden/>
    <w:rsid w:val="00190687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3D7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7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747D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6262F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B6262F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B6262F"/>
    <w:rPr>
      <w:rFonts w:ascii="Times New Roman" w:eastAsia="Times New Roman" w:hAnsi="Times New Roman" w:cs="Times New Roman"/>
      <w:noProof/>
      <w:kern w:val="0"/>
      <w:sz w:val="24"/>
      <w:szCs w:val="24"/>
      <w:lang w:val="en-US" w:eastAsia="en-AU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6262F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NormalWebChar"/>
    <w:link w:val="EndNoteBibliography"/>
    <w:rsid w:val="00B6262F"/>
    <w:rPr>
      <w:rFonts w:ascii="Times New Roman" w:eastAsia="Times New Roman" w:hAnsi="Times New Roman" w:cs="Times New Roman"/>
      <w:noProof/>
      <w:kern w:val="0"/>
      <w:sz w:val="24"/>
      <w:szCs w:val="24"/>
      <w:lang w:val="en-US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B626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62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006-3223(02)01866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466/pr0.1962.10.3.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6/ajp.149.9.114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92/bjp.133.5.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6269</Characters>
  <Application>Microsoft Office Word</Application>
  <DocSecurity>0</DocSecurity>
  <Lines>308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Mirim Shin</dc:creator>
  <cp:keywords/>
  <dc:description/>
  <cp:lastModifiedBy>Mirim Shin</cp:lastModifiedBy>
  <cp:revision>3</cp:revision>
  <cp:lastPrinted>2024-04-10T22:46:00Z</cp:lastPrinted>
  <dcterms:created xsi:type="dcterms:W3CDTF">2024-08-18T20:41:00Z</dcterms:created>
  <dcterms:modified xsi:type="dcterms:W3CDTF">2024-08-18T20:41:00Z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45ad5fa0-cc5c-4f43-8583-085948580676</vt:lpwstr>
  </property>
</Properties>
</file>