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5ED665" w14:textId="77777777" w:rsidR="00583092" w:rsidRPr="00433D74" w:rsidRDefault="00583092" w:rsidP="00583092">
      <w:pPr>
        <w:spacing w:line="360" w:lineRule="auto"/>
        <w:rPr>
          <w:b/>
          <w:bCs/>
        </w:rPr>
      </w:pPr>
      <w:bookmarkStart w:id="0" w:name="_Hlk155789959"/>
      <w:r w:rsidRPr="00433D74">
        <w:rPr>
          <w:b/>
          <w:bCs/>
        </w:rPr>
        <w:t>Supplemental Information:</w:t>
      </w:r>
    </w:p>
    <w:p w14:paraId="1053ACD2" w14:textId="77777777" w:rsidR="00583092" w:rsidRPr="00433D74" w:rsidRDefault="00583092" w:rsidP="00583092">
      <w:pPr>
        <w:spacing w:line="360" w:lineRule="auto"/>
        <w:rPr>
          <w:b/>
          <w:bCs/>
        </w:rPr>
      </w:pPr>
      <w:r w:rsidRPr="00433D74">
        <w:rPr>
          <w:b/>
          <w:bCs/>
        </w:rPr>
        <w:t>Piezometer Locations</w:t>
      </w:r>
      <w:bookmarkStart w:id="1" w:name="_GoBack"/>
      <w:bookmarkEnd w:id="1"/>
    </w:p>
    <w:p w14:paraId="7519BCBE" w14:textId="77777777" w:rsidR="00583092" w:rsidRPr="00CD68C7" w:rsidRDefault="00583092" w:rsidP="00583092">
      <w:pPr>
        <w:spacing w:line="240" w:lineRule="auto"/>
        <w:textAlignment w:val="baseline"/>
        <w:rPr>
          <w:u w:val="single"/>
          <w:lang w:val="en-GB"/>
        </w:rPr>
      </w:pPr>
      <w:r w:rsidRPr="00CD68C7">
        <w:rPr>
          <w:noProof/>
          <w:lang w:eastAsia="en-IN"/>
        </w:rPr>
        <w:drawing>
          <wp:inline distT="0" distB="0" distL="0" distR="0" wp14:anchorId="51A16FE2" wp14:editId="394E1DE6">
            <wp:extent cx="5708365" cy="4038600"/>
            <wp:effectExtent l="0" t="0" r="6985" b="0"/>
            <wp:docPr id="1631497649" name="Picture 35" descr="A map of a river and a for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97649" name="Picture 35" descr="A map of a river and a for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95" cy="405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B7A9" w14:textId="77777777" w:rsidR="00583092" w:rsidRPr="00CD68C7" w:rsidRDefault="00583092" w:rsidP="00583092">
      <w:pPr>
        <w:spacing w:line="240" w:lineRule="auto"/>
        <w:textAlignment w:val="baseline"/>
        <w:rPr>
          <w:rFonts w:ascii="Segoe UI" w:hAnsi="Segoe UI" w:cs="Segoe UI"/>
          <w:sz w:val="14"/>
          <w:szCs w:val="14"/>
          <w:lang w:val="en-GB"/>
        </w:rPr>
      </w:pPr>
      <w:r w:rsidRPr="00433D74">
        <w:rPr>
          <w:sz w:val="20"/>
          <w:szCs w:val="20"/>
        </w:rPr>
        <w:t xml:space="preserve">Supplemental Figure 1: Location of piezometers indicated by the white markers. These are located around the midpoint of the sampling sites. Shaded in blue is Clear Creek. </w:t>
      </w:r>
    </w:p>
    <w:p w14:paraId="5414CB4D" w14:textId="77777777" w:rsidR="00583092" w:rsidRPr="00433D74" w:rsidRDefault="00583092" w:rsidP="00583092">
      <w:pPr>
        <w:spacing w:line="360" w:lineRule="auto"/>
        <w:rPr>
          <w:b/>
          <w:bCs/>
        </w:rPr>
      </w:pPr>
    </w:p>
    <w:p w14:paraId="3CC81B05" w14:textId="77777777" w:rsidR="00583092" w:rsidRPr="00433D74" w:rsidRDefault="00583092" w:rsidP="00583092">
      <w:pPr>
        <w:spacing w:line="360" w:lineRule="auto"/>
        <w:rPr>
          <w:b/>
          <w:bCs/>
        </w:rPr>
      </w:pPr>
      <w:r w:rsidRPr="00433D74">
        <w:rPr>
          <w:b/>
          <w:bCs/>
        </w:rPr>
        <w:t xml:space="preserve">Alpha diversity measurements: </w:t>
      </w:r>
    </w:p>
    <w:p w14:paraId="63C164AF" w14:textId="77777777" w:rsidR="00583092" w:rsidRPr="00CD68C7" w:rsidRDefault="00583092" w:rsidP="00583092">
      <w:pPr>
        <w:spacing w:line="240" w:lineRule="auto"/>
        <w:ind w:firstLine="720"/>
        <w:textAlignment w:val="baseline"/>
        <w:rPr>
          <w:lang w:val="en-GB"/>
        </w:rPr>
      </w:pPr>
    </w:p>
    <w:p w14:paraId="0D406D90" w14:textId="77777777" w:rsidR="00583092" w:rsidRPr="00CD68C7" w:rsidRDefault="00583092" w:rsidP="00583092">
      <w:pPr>
        <w:spacing w:line="240" w:lineRule="auto"/>
        <w:ind w:firstLine="720"/>
        <w:textAlignment w:val="baseline"/>
        <w:rPr>
          <w:lang w:val="en-GB"/>
        </w:rPr>
      </w:pPr>
      <w:r w:rsidRPr="00CD68C7">
        <w:rPr>
          <w:noProof/>
          <w:lang w:eastAsia="en-IN"/>
        </w:rPr>
        <w:drawing>
          <wp:inline distT="0" distB="0" distL="0" distR="0" wp14:anchorId="04DDD082" wp14:editId="4C94B76F">
            <wp:extent cx="3635492" cy="3116580"/>
            <wp:effectExtent l="0" t="0" r="3175" b="7620"/>
            <wp:docPr id="12709281" name="Picture 2" descr="A graph of different types of data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EC9362B-F252-AEE9-09EA-0F9DCD94E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aph of different types of data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EC9362B-F252-AEE9-09EA-0F9DCD94E2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591" cy="31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D492" w14:textId="77777777" w:rsidR="00583092" w:rsidRPr="00433D74" w:rsidRDefault="00583092" w:rsidP="00583092">
      <w:pPr>
        <w:spacing w:line="240" w:lineRule="auto"/>
        <w:textAlignment w:val="baseline"/>
        <w:rPr>
          <w:sz w:val="20"/>
          <w:szCs w:val="20"/>
        </w:rPr>
      </w:pPr>
      <w:r w:rsidRPr="00CD68C7">
        <w:rPr>
          <w:sz w:val="20"/>
          <w:szCs w:val="20"/>
          <w:lang w:val="en-GB"/>
        </w:rPr>
        <w:t xml:space="preserve">Supplemental Figure 2: Alpha diversity measured by Shannon, Simpson and Chao1 indices estimated between different iron types of Clear Creek for 16S rRNA. </w:t>
      </w:r>
      <w:r w:rsidRPr="00433D74">
        <w:rPr>
          <w:sz w:val="20"/>
          <w:szCs w:val="20"/>
        </w:rPr>
        <w:t xml:space="preserve">X-axis labels: No: no iron present, I: iridescent, P: iron precipitates, I,P: both iridescence and precipitates, and PIF: all three iron types. </w:t>
      </w:r>
      <w:r>
        <w:rPr>
          <w:sz w:val="20"/>
          <w:szCs w:val="20"/>
        </w:rPr>
        <w:t>The black</w:t>
      </w:r>
      <w:r w:rsidRPr="00433D74">
        <w:rPr>
          <w:sz w:val="20"/>
          <w:szCs w:val="20"/>
        </w:rPr>
        <w:t xml:space="preserve"> line indicates median values through iron types. </w:t>
      </w:r>
    </w:p>
    <w:p w14:paraId="5662EC22" w14:textId="77777777" w:rsidR="00583092" w:rsidRPr="00433D74" w:rsidRDefault="00583092" w:rsidP="00583092">
      <w:pPr>
        <w:spacing w:line="240" w:lineRule="auto"/>
        <w:textAlignment w:val="baseline"/>
        <w:rPr>
          <w:sz w:val="20"/>
          <w:szCs w:val="20"/>
        </w:rPr>
      </w:pPr>
    </w:p>
    <w:p w14:paraId="2C09C160" w14:textId="77777777" w:rsidR="00583092" w:rsidRPr="00CD68C7" w:rsidRDefault="00583092" w:rsidP="00583092">
      <w:pPr>
        <w:spacing w:line="240" w:lineRule="auto"/>
        <w:textAlignment w:val="baseline"/>
        <w:rPr>
          <w:b/>
          <w:bCs/>
          <w:lang w:val="en-GB"/>
        </w:rPr>
      </w:pPr>
      <w:r w:rsidRPr="00433D74">
        <w:rPr>
          <w:b/>
          <w:bCs/>
        </w:rPr>
        <w:t>Microbial Analysis:</w:t>
      </w:r>
    </w:p>
    <w:p w14:paraId="0D4C3E5E" w14:textId="77777777" w:rsidR="00583092" w:rsidRPr="00433D74" w:rsidRDefault="00583092" w:rsidP="00583092">
      <w:pPr>
        <w:spacing w:line="360" w:lineRule="auto"/>
        <w:rPr>
          <w:sz w:val="20"/>
          <w:szCs w:val="20"/>
        </w:rPr>
      </w:pPr>
    </w:p>
    <w:p w14:paraId="4101625B" w14:textId="77777777" w:rsidR="00583092" w:rsidRPr="00CD68C7" w:rsidRDefault="00583092" w:rsidP="00583092">
      <w:pPr>
        <w:pStyle w:val="NormalWeb"/>
        <w:rPr>
          <w:lang w:val="en-GB"/>
        </w:rPr>
      </w:pPr>
    </w:p>
    <w:p w14:paraId="6D271E77" w14:textId="77777777" w:rsidR="00583092" w:rsidRPr="00433D74" w:rsidRDefault="00583092" w:rsidP="00583092">
      <w:pPr>
        <w:spacing w:line="360" w:lineRule="auto"/>
        <w:rPr>
          <w:b/>
          <w:bCs/>
        </w:rPr>
      </w:pPr>
      <w:r w:rsidRPr="00CD68C7">
        <w:rPr>
          <w:b/>
          <w:bCs/>
          <w:noProof/>
          <w:lang w:eastAsia="en-IN"/>
        </w:rPr>
        <w:drawing>
          <wp:inline distT="0" distB="0" distL="0" distR="0" wp14:anchorId="004DFD9C" wp14:editId="4B070CCF">
            <wp:extent cx="4600575" cy="3943912"/>
            <wp:effectExtent l="0" t="0" r="0" b="0"/>
            <wp:docPr id="3" name="Picture 2" descr="A screen shot of a grap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A4A99EB-40F4-C79E-CFA5-7DA09DC0FB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 shot of a graph&#10;&#10;Description automatically generated">
                      <a:extLst>
                        <a:ext uri="{FF2B5EF4-FFF2-40B4-BE49-F238E27FC236}">
                          <a16:creationId xmlns:a16="http://schemas.microsoft.com/office/drawing/2014/main" id="{4A4A99EB-40F4-C79E-CFA5-7DA09DC0FB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19" cy="394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9A2B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  <w:r w:rsidRPr="00CD68C7">
        <w:rPr>
          <w:sz w:val="20"/>
          <w:szCs w:val="20"/>
          <w:lang w:val="en-GB"/>
        </w:rPr>
        <w:t xml:space="preserve">Supplemental Figure 3: Principal Coordinates Analyses conducted by contrast based on Bray-Curtis distance highlighted by site. Ellipses are plotted with a 95% confidence interval and plotted with the percentage of variability on the axis. No statistical difference was determined from a Permanova. </w:t>
      </w:r>
    </w:p>
    <w:p w14:paraId="7ACF1C7D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</w:p>
    <w:p w14:paraId="7684E270" w14:textId="77777777" w:rsidR="00583092" w:rsidRPr="00CD68C7" w:rsidRDefault="00583092" w:rsidP="00583092">
      <w:pPr>
        <w:pStyle w:val="NormalWeb"/>
        <w:rPr>
          <w:lang w:val="en-GB"/>
        </w:rPr>
      </w:pPr>
    </w:p>
    <w:p w14:paraId="62EFECC7" w14:textId="77777777" w:rsidR="00583092" w:rsidRPr="00CD68C7" w:rsidRDefault="00583092" w:rsidP="00583092">
      <w:pPr>
        <w:pStyle w:val="NormalWeb"/>
        <w:rPr>
          <w:lang w:val="en-GB"/>
        </w:rPr>
      </w:pPr>
      <w:r w:rsidRPr="00CD68C7">
        <w:rPr>
          <w:noProof/>
          <w:lang w:val="en-IN" w:eastAsia="en-IN"/>
        </w:rPr>
        <w:drawing>
          <wp:inline distT="0" distB="0" distL="0" distR="0" wp14:anchorId="68833172" wp14:editId="0C0CDF40">
            <wp:extent cx="4524375" cy="3878588"/>
            <wp:effectExtent l="0" t="0" r="0" b="7620"/>
            <wp:docPr id="1716052235" name="Picture 2" descr="A screen shot of a grap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E420922-6F8E-8AD3-AEA1-E6A81F22DF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 shot of a graph&#10;&#10;Description automatically generated">
                      <a:extLst>
                        <a:ext uri="{FF2B5EF4-FFF2-40B4-BE49-F238E27FC236}">
                          <a16:creationId xmlns:a16="http://schemas.microsoft.com/office/drawing/2014/main" id="{1E420922-6F8E-8AD3-AEA1-E6A81F22DF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04" cy="388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8581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  <w:r w:rsidRPr="00CD68C7">
        <w:rPr>
          <w:sz w:val="20"/>
          <w:szCs w:val="20"/>
          <w:lang w:val="en-GB"/>
        </w:rPr>
        <w:t>Supplemental Figure 4: Principal Coordinates Analyses conducted by contrast based on Bray-Curtis distance highlighted by season. Ellipses are plotted with a 95% confidence interval and plotted with the percentage of variability on the axis. Permanova found a significant statistical difference between seasons (&lt;0.001).</w:t>
      </w:r>
    </w:p>
    <w:p w14:paraId="371D7F54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</w:p>
    <w:p w14:paraId="01AA8EB7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  <w:r w:rsidRPr="00CD68C7">
        <w:rPr>
          <w:sz w:val="20"/>
          <w:szCs w:val="20"/>
          <w:lang w:val="en-GB"/>
        </w:rPr>
        <w:t xml:space="preserve"> </w:t>
      </w:r>
    </w:p>
    <w:p w14:paraId="0731A3C1" w14:textId="77777777" w:rsidR="00583092" w:rsidRPr="00433D74" w:rsidRDefault="00583092" w:rsidP="00583092">
      <w:pPr>
        <w:spacing w:line="360" w:lineRule="auto"/>
        <w:rPr>
          <w:b/>
          <w:bCs/>
        </w:rPr>
      </w:pPr>
      <w:r w:rsidRPr="00CD68C7">
        <w:rPr>
          <w:b/>
          <w:bCs/>
          <w:noProof/>
          <w:lang w:eastAsia="en-IN"/>
        </w:rPr>
        <w:drawing>
          <wp:inline distT="0" distB="0" distL="0" distR="0" wp14:anchorId="64DD3EE3" wp14:editId="16C283DA">
            <wp:extent cx="5286375" cy="3896443"/>
            <wp:effectExtent l="0" t="0" r="0" b="8890"/>
            <wp:docPr id="171430069" name="Picture 171430069" descr="A graph of different colored line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AC60D76-EE05-DE5B-FCB7-5528506C4D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0069" name="Picture 171430069" descr="A graph of different colored line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AC60D76-EE05-DE5B-FCB7-5528506C4D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7046" cy="390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C91B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  <w:r w:rsidRPr="00CD68C7">
        <w:rPr>
          <w:sz w:val="20"/>
          <w:szCs w:val="20"/>
          <w:lang w:val="en-GB"/>
        </w:rPr>
        <w:t xml:space="preserve">Supplemental Figure 5: 16S abundance at the Phylum level based on iron </w:t>
      </w:r>
      <w:r>
        <w:rPr>
          <w:sz w:val="20"/>
          <w:szCs w:val="20"/>
        </w:rPr>
        <w:t>mineralisation</w:t>
      </w:r>
      <w:r w:rsidRPr="00CD68C7">
        <w:rPr>
          <w:sz w:val="20"/>
          <w:szCs w:val="20"/>
          <w:lang w:val="en-GB"/>
        </w:rPr>
        <w:t xml:space="preserve"> types.  </w:t>
      </w:r>
    </w:p>
    <w:p w14:paraId="0D26DECE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</w:p>
    <w:p w14:paraId="273E2C70" w14:textId="77777777" w:rsidR="00583092" w:rsidRPr="00CD68C7" w:rsidRDefault="00583092" w:rsidP="00583092">
      <w:pPr>
        <w:pStyle w:val="NormalWeb"/>
        <w:rPr>
          <w:lang w:val="en-GB"/>
        </w:rPr>
      </w:pPr>
    </w:p>
    <w:p w14:paraId="173B8B3C" w14:textId="77777777" w:rsidR="00583092" w:rsidRPr="00CD68C7" w:rsidRDefault="00583092" w:rsidP="00583092">
      <w:pPr>
        <w:pStyle w:val="NormalWeb"/>
        <w:rPr>
          <w:lang w:val="en-GB"/>
        </w:rPr>
      </w:pPr>
      <w:r w:rsidRPr="00CD68C7">
        <w:rPr>
          <w:noProof/>
          <w:lang w:val="en-IN" w:eastAsia="en-IN"/>
        </w:rPr>
        <w:drawing>
          <wp:inline distT="0" distB="0" distL="0" distR="0" wp14:anchorId="3F48FF90" wp14:editId="6E810815">
            <wp:extent cx="4222675" cy="3619500"/>
            <wp:effectExtent l="0" t="0" r="0" b="0"/>
            <wp:docPr id="7" name="Picture 6" descr="A graph with dots and lines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91FC6A4-E2FF-0703-A23D-C90059EF72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aph with dots and lines on it&#10;&#10;Description automatically generated">
                      <a:extLst>
                        <a:ext uri="{FF2B5EF4-FFF2-40B4-BE49-F238E27FC236}">
                          <a16:creationId xmlns:a16="http://schemas.microsoft.com/office/drawing/2014/main" id="{D91FC6A4-E2FF-0703-A23D-C90059EF72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727" cy="36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4404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  <w:r w:rsidRPr="00CD68C7">
        <w:rPr>
          <w:sz w:val="20"/>
          <w:szCs w:val="20"/>
          <w:lang w:val="en-GB"/>
        </w:rPr>
        <w:t>Supplemental Figure 6: Principal Coordinates Analyses conducted by contrast based on Bray-Curtis distance highlighted by samples with clustering on left and right. Ellipses are plotted with a 95% confidence interval and plotted with the percentage of variability on the axis. Permanova found a significant statistical difference between left and right samples (&lt;0.001).</w:t>
      </w:r>
    </w:p>
    <w:p w14:paraId="15932D07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</w:p>
    <w:p w14:paraId="4A331FFD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</w:p>
    <w:p w14:paraId="265EFA76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  <w:r w:rsidRPr="00CD68C7">
        <w:rPr>
          <w:noProof/>
          <w:sz w:val="20"/>
          <w:szCs w:val="20"/>
          <w:lang w:eastAsia="en-IN"/>
        </w:rPr>
        <w:drawing>
          <wp:inline distT="0" distB="0" distL="0" distR="0" wp14:anchorId="6720067C" wp14:editId="52A5C2CC">
            <wp:extent cx="5276850" cy="3889422"/>
            <wp:effectExtent l="0" t="0" r="0" b="0"/>
            <wp:docPr id="1410272341" name="Picture 1410272341" descr="A screenshot of a grap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1171B7B-DB22-290D-6610-253D2C00BE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72341" name="Picture 1410272341" descr="A screenshot of a graph&#10;&#10;Description automatically generated">
                      <a:extLst>
                        <a:ext uri="{FF2B5EF4-FFF2-40B4-BE49-F238E27FC236}">
                          <a16:creationId xmlns:a16="http://schemas.microsoft.com/office/drawing/2014/main" id="{D1171B7B-DB22-290D-6610-253D2C00BE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203" cy="389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5AA2" w14:textId="77777777" w:rsidR="00583092" w:rsidRPr="00CD68C7" w:rsidRDefault="00583092" w:rsidP="00583092">
      <w:pPr>
        <w:spacing w:line="240" w:lineRule="auto"/>
        <w:textAlignment w:val="baseline"/>
        <w:rPr>
          <w:sz w:val="20"/>
          <w:szCs w:val="20"/>
          <w:lang w:val="en-GB"/>
        </w:rPr>
      </w:pPr>
      <w:r w:rsidRPr="00CD68C7">
        <w:rPr>
          <w:sz w:val="20"/>
          <w:szCs w:val="20"/>
          <w:lang w:val="en-GB"/>
        </w:rPr>
        <w:t>Supplemental Figure 7: Top 30 abundance based on Phylum level in Left and Right Clusters from PCoA plot.</w:t>
      </w:r>
    </w:p>
    <w:p w14:paraId="4290C38E" w14:textId="77777777" w:rsidR="00583092" w:rsidRPr="00433D74" w:rsidRDefault="00583092" w:rsidP="00583092">
      <w:pPr>
        <w:spacing w:line="240" w:lineRule="auto"/>
        <w:textAlignment w:val="baseline"/>
        <w:rPr>
          <w:sz w:val="20"/>
          <w:szCs w:val="20"/>
        </w:rPr>
      </w:pPr>
    </w:p>
    <w:p w14:paraId="46AAFC19" w14:textId="77777777" w:rsidR="00583092" w:rsidRPr="00CD68C7" w:rsidRDefault="00583092" w:rsidP="00583092">
      <w:pPr>
        <w:pStyle w:val="NormalWeb"/>
        <w:rPr>
          <w:lang w:val="en-GB"/>
        </w:rPr>
      </w:pPr>
    </w:p>
    <w:p w14:paraId="289618EF" w14:textId="77777777" w:rsidR="00583092" w:rsidRPr="00CD68C7" w:rsidRDefault="00583092" w:rsidP="00583092">
      <w:pPr>
        <w:pStyle w:val="NormalWeb"/>
        <w:rPr>
          <w:lang w:val="en-GB"/>
        </w:rPr>
      </w:pPr>
      <w:r w:rsidRPr="00CD68C7">
        <w:rPr>
          <w:noProof/>
          <w:lang w:val="en-IN" w:eastAsia="en-IN"/>
        </w:rPr>
        <w:drawing>
          <wp:inline distT="0" distB="0" distL="0" distR="0" wp14:anchorId="3C2F00B3" wp14:editId="723A9EC7">
            <wp:extent cx="5557900" cy="3338368"/>
            <wp:effectExtent l="0" t="0" r="5080" b="0"/>
            <wp:docPr id="6059796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47" cy="3356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7581A" w14:textId="77777777" w:rsidR="00583092" w:rsidRPr="00433D74" w:rsidRDefault="00583092" w:rsidP="00583092">
      <w:pPr>
        <w:spacing w:line="240" w:lineRule="auto"/>
        <w:rPr>
          <w:sz w:val="20"/>
          <w:szCs w:val="20"/>
        </w:rPr>
      </w:pPr>
      <w:r w:rsidRPr="00CD68C7">
        <w:rPr>
          <w:sz w:val="20"/>
          <w:szCs w:val="20"/>
          <w:lang w:val="en-GB"/>
        </w:rPr>
        <w:t>Supplemental Figure 8</w:t>
      </w:r>
      <w:r w:rsidRPr="00433D74">
        <w:rPr>
          <w:sz w:val="20"/>
          <w:szCs w:val="20"/>
        </w:rPr>
        <w:t xml:space="preserve">: </w:t>
      </w:r>
      <w:r w:rsidRPr="00CD68C7">
        <w:rPr>
          <w:sz w:val="20"/>
          <w:szCs w:val="20"/>
          <w:lang w:val="en-GB"/>
        </w:rPr>
        <w:t xml:space="preserve">Relative abundance at the Family level of putative </w:t>
      </w:r>
      <w:r w:rsidRPr="00433D74">
        <w:rPr>
          <w:sz w:val="20"/>
          <w:szCs w:val="20"/>
        </w:rPr>
        <w:t>iron cyclers + methane-oxidizing bacteria based on season.</w:t>
      </w:r>
    </w:p>
    <w:p w14:paraId="490B97AA" w14:textId="77777777" w:rsidR="00583092" w:rsidRPr="00433D74" w:rsidRDefault="00583092" w:rsidP="00583092">
      <w:pPr>
        <w:spacing w:line="360" w:lineRule="auto"/>
        <w:rPr>
          <w:b/>
          <w:bCs/>
        </w:rPr>
      </w:pPr>
    </w:p>
    <w:p w14:paraId="5CC633C4" w14:textId="77777777" w:rsidR="00583092" w:rsidRPr="00CD68C7" w:rsidRDefault="00583092" w:rsidP="00583092">
      <w:pPr>
        <w:pStyle w:val="NormalWeb"/>
        <w:rPr>
          <w:sz w:val="20"/>
          <w:szCs w:val="20"/>
          <w:lang w:val="en-GB"/>
        </w:rPr>
      </w:pPr>
    </w:p>
    <w:p w14:paraId="3ABCCC55" w14:textId="77777777" w:rsidR="00583092" w:rsidRPr="00CD68C7" w:rsidRDefault="00583092" w:rsidP="00583092">
      <w:pPr>
        <w:pStyle w:val="NormalWeb"/>
        <w:rPr>
          <w:sz w:val="20"/>
          <w:szCs w:val="20"/>
          <w:lang w:val="en-GB"/>
        </w:rPr>
      </w:pPr>
      <w:r w:rsidRPr="00CD68C7">
        <w:rPr>
          <w:noProof/>
          <w:sz w:val="20"/>
          <w:szCs w:val="20"/>
          <w:lang w:val="en-IN" w:eastAsia="en-IN"/>
        </w:rPr>
        <w:drawing>
          <wp:inline distT="0" distB="0" distL="0" distR="0" wp14:anchorId="4DEA2AA2" wp14:editId="2B7269E3">
            <wp:extent cx="5466599" cy="3283527"/>
            <wp:effectExtent l="0" t="0" r="1270" b="0"/>
            <wp:docPr id="14527565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81" cy="330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7A275" w14:textId="77777777" w:rsidR="00583092" w:rsidRPr="00CD68C7" w:rsidRDefault="00583092" w:rsidP="00583092">
      <w:pPr>
        <w:pStyle w:val="NormalWeb"/>
        <w:rPr>
          <w:sz w:val="20"/>
          <w:szCs w:val="20"/>
          <w:lang w:val="en-GB"/>
        </w:rPr>
      </w:pPr>
      <w:r w:rsidRPr="00CD68C7">
        <w:rPr>
          <w:sz w:val="20"/>
          <w:szCs w:val="20"/>
          <w:lang w:val="en-GB"/>
        </w:rPr>
        <w:t>Supplemental Figure 9: Relative abundance at the Family level of putative iron cyclers + methane-oxidizing bacteria at the different sample sites.</w:t>
      </w:r>
      <w:bookmarkEnd w:id="0"/>
    </w:p>
    <w:p w14:paraId="72204A94" w14:textId="77777777" w:rsidR="00583092" w:rsidRPr="00433D74" w:rsidRDefault="00583092" w:rsidP="00583092">
      <w:pPr>
        <w:spacing w:line="360" w:lineRule="auto"/>
        <w:rPr>
          <w:b/>
          <w:bCs/>
        </w:rPr>
      </w:pPr>
      <w:r w:rsidRPr="00433D74">
        <w:rPr>
          <w:b/>
          <w:bCs/>
        </w:rPr>
        <w:t>Low and High Loss Calibration EELS:</w:t>
      </w:r>
    </w:p>
    <w:p w14:paraId="5BD9F524" w14:textId="77777777" w:rsidR="00583092" w:rsidRPr="00433D74" w:rsidRDefault="00583092" w:rsidP="00583092">
      <w:pPr>
        <w:spacing w:line="240" w:lineRule="auto"/>
        <w:rPr>
          <w:b/>
          <w:bCs/>
        </w:rPr>
      </w:pPr>
    </w:p>
    <w:p w14:paraId="539E5D23" w14:textId="77777777" w:rsidR="00583092" w:rsidRPr="00433D74" w:rsidRDefault="00583092" w:rsidP="00583092">
      <w:pPr>
        <w:spacing w:line="240" w:lineRule="auto"/>
        <w:rPr>
          <w:b/>
          <w:bCs/>
        </w:rPr>
      </w:pPr>
      <w:r w:rsidRPr="00CD68C7">
        <w:rPr>
          <w:b/>
          <w:bCs/>
          <w:noProof/>
          <w:lang w:eastAsia="en-IN"/>
        </w:rPr>
        <w:drawing>
          <wp:inline distT="0" distB="0" distL="0" distR="0" wp14:anchorId="5FFA9862" wp14:editId="2BB4C976">
            <wp:extent cx="4716780" cy="2618994"/>
            <wp:effectExtent l="0" t="0" r="7620" b="0"/>
            <wp:docPr id="6197583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95" cy="2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7F99A" w14:textId="77777777" w:rsidR="00583092" w:rsidRPr="009C7EED" w:rsidRDefault="00583092" w:rsidP="00583092">
      <w:pPr>
        <w:spacing w:line="240" w:lineRule="auto"/>
        <w:rPr>
          <w:sz w:val="20"/>
          <w:szCs w:val="20"/>
          <w:lang w:val="en-US"/>
        </w:rPr>
      </w:pPr>
      <w:r w:rsidRPr="00433D74">
        <w:rPr>
          <w:sz w:val="20"/>
          <w:szCs w:val="20"/>
        </w:rPr>
        <w:t>Supplemental Figure 10: a and b</w:t>
      </w:r>
      <w:r>
        <w:rPr>
          <w:sz w:val="20"/>
          <w:szCs w:val="20"/>
        </w:rPr>
        <w:t>.</w:t>
      </w:r>
      <w:r w:rsidRPr="00433D74">
        <w:rPr>
          <w:sz w:val="20"/>
          <w:szCs w:val="20"/>
        </w:rPr>
        <w:t xml:space="preserve"> Energy calibration of EELS</w:t>
      </w:r>
      <w:r>
        <w:rPr>
          <w:sz w:val="20"/>
          <w:szCs w:val="20"/>
        </w:rPr>
        <w:t>:</w:t>
      </w:r>
      <w:r w:rsidRPr="00433D74">
        <w:rPr>
          <w:sz w:val="20"/>
          <w:szCs w:val="20"/>
        </w:rPr>
        <w:t xml:space="preserve"> a) Prior to EELS analysis on </w:t>
      </w:r>
      <w:commentRangeStart w:id="2"/>
      <w:r>
        <w:rPr>
          <w:sz w:val="20"/>
          <w:szCs w:val="20"/>
        </w:rPr>
        <w:t xml:space="preserve">the </w:t>
      </w:r>
      <w:r w:rsidRPr="00433D74">
        <w:rPr>
          <w:sz w:val="20"/>
          <w:szCs w:val="20"/>
        </w:rPr>
        <w:t>sample</w:t>
      </w:r>
      <w:commentRangeEnd w:id="2"/>
      <w:r>
        <w:rPr>
          <w:rStyle w:val="CommentReference"/>
        </w:rPr>
        <w:commentReference w:id="2"/>
      </w:r>
      <w:r w:rsidRPr="00433D74">
        <w:rPr>
          <w:sz w:val="20"/>
          <w:szCs w:val="20"/>
        </w:rPr>
        <w:t>, a zero loss peak was acquired, showing a -1.75 eV shift from 0 eV</w:t>
      </w:r>
      <w:r>
        <w:rPr>
          <w:sz w:val="20"/>
          <w:szCs w:val="20"/>
        </w:rPr>
        <w:t>;</w:t>
      </w:r>
      <w:r w:rsidRPr="00433D74">
        <w:rPr>
          <w:sz w:val="20"/>
          <w:szCs w:val="20"/>
        </w:rPr>
        <w:t xml:space="preserve">  b) The -1.75 eV shift was applied to the collected high-loss data</w:t>
      </w:r>
      <w:r>
        <w:rPr>
          <w:sz w:val="20"/>
          <w:szCs w:val="20"/>
        </w:rPr>
        <w:t>;</w:t>
      </w:r>
      <w:r w:rsidRPr="00433D74">
        <w:rPr>
          <w:sz w:val="20"/>
          <w:szCs w:val="20"/>
        </w:rPr>
        <w:t xml:space="preserve"> c) </w:t>
      </w:r>
      <w:r w:rsidRPr="00CD68C7">
        <w:rPr>
          <w:sz w:val="20"/>
          <w:szCs w:val="20"/>
          <w:lang w:val="en-GB"/>
        </w:rPr>
        <w:t>O-K edge for 5 sample areas of interest from Figures 8</w:t>
      </w:r>
      <w:r>
        <w:rPr>
          <w:sz w:val="20"/>
          <w:szCs w:val="20"/>
        </w:rPr>
        <w:t xml:space="preserve"> and </w:t>
      </w:r>
      <w:r w:rsidRPr="00CD68C7">
        <w:rPr>
          <w:sz w:val="20"/>
          <w:szCs w:val="20"/>
          <w:lang w:val="en-GB"/>
        </w:rPr>
        <w:t>9.</w:t>
      </w:r>
    </w:p>
    <w:p w14:paraId="18DF8CBF" w14:textId="77777777" w:rsidR="00E43F59" w:rsidRDefault="00E43F59"/>
    <w:sectPr w:rsidR="00E43F59" w:rsidSect="00852B19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NEIL BURNIP" w:date="2025-01-08T12:15:00Z" w:initials="NB">
    <w:p w14:paraId="5F54E58E" w14:textId="77777777" w:rsidR="00583092" w:rsidRDefault="00583092" w:rsidP="00583092">
      <w:pPr>
        <w:pStyle w:val="CommentText"/>
      </w:pPr>
      <w:r>
        <w:rPr>
          <w:rStyle w:val="CommentReference"/>
        </w:rPr>
        <w:annotationRef/>
      </w:r>
      <w:r>
        <w:t>AQ: Is this change agreeable?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F54E58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1950138"/>
      <w:docPartObj>
        <w:docPartGallery w:val="Page Numbers (Bottom of Page)"/>
        <w:docPartUnique/>
      </w:docPartObj>
    </w:sdtPr>
    <w:sdtEndPr/>
    <w:sdtContent>
      <w:p w14:paraId="426265F6" w14:textId="77777777" w:rsidR="006323F7" w:rsidRPr="00433D74" w:rsidRDefault="00583092">
        <w:pPr>
          <w:pStyle w:val="Footer"/>
          <w:jc w:val="right"/>
        </w:pPr>
        <w:r w:rsidRPr="00433D74">
          <w:fldChar w:fldCharType="begin"/>
        </w:r>
        <w:r w:rsidRPr="00433D74">
          <w:instrText xml:space="preserve"> PAGE   \* MERGEFORMAT </w:instrText>
        </w:r>
        <w:r w:rsidRPr="00433D74">
          <w:fldChar w:fldCharType="separate"/>
        </w:r>
        <w:r>
          <w:rPr>
            <w:noProof/>
          </w:rPr>
          <w:t>3</w:t>
        </w:r>
        <w:r w:rsidRPr="000E0789">
          <w:fldChar w:fldCharType="end"/>
        </w:r>
      </w:p>
    </w:sdtContent>
  </w:sdt>
  <w:p w14:paraId="53EE6A3A" w14:textId="77777777" w:rsidR="00CB7905" w:rsidRPr="00433D74" w:rsidRDefault="00583092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48485" w14:textId="77777777" w:rsidR="005436B5" w:rsidRPr="00433D74" w:rsidRDefault="00583092">
    <w:pPr>
      <w:jc w:val="right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EIL BURNIP">
    <w15:presenceInfo w15:providerId="Windows Live" w15:userId="b1022ab9428658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092"/>
    <w:rsid w:val="0047348F"/>
    <w:rsid w:val="00583092"/>
    <w:rsid w:val="005E6670"/>
    <w:rsid w:val="00915B67"/>
    <w:rsid w:val="00E43F59"/>
    <w:rsid w:val="00FB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8E2C8"/>
  <w15:chartTrackingRefBased/>
  <w15:docId w15:val="{0DF93850-A6AA-4AAE-88F9-0B7E36A0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583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309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83092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83092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83092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58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583092"/>
  </w:style>
  <w:style w:type="paragraph" w:styleId="BalloonText">
    <w:name w:val="Balloon Text"/>
    <w:basedOn w:val="Normal"/>
    <w:link w:val="BalloonTextChar"/>
    <w:uiPriority w:val="99"/>
    <w:semiHidden/>
    <w:unhideWhenUsed/>
    <w:rsid w:val="00583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0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microsoft.com/office/2011/relationships/commentsExtended" Target="commentsExtended.xml"/><Relationship Id="rId10" Type="http://schemas.openxmlformats.org/officeDocument/2006/relationships/image" Target="media/image7.png"/><Relationship Id="rId19" Type="http://schemas.microsoft.com/office/2011/relationships/people" Target="people.xml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357</Words>
  <Characters>2119</Characters>
  <Application>Microsoft Office Word</Application>
  <DocSecurity>0</DocSecurity>
  <Lines>35</Lines>
  <Paragraphs>8</Paragraphs>
  <ScaleCrop>false</ScaleCrop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V</dc:creator>
  <cp:keywords/>
  <dc:description/>
  <cp:lastModifiedBy>Ram V</cp:lastModifiedBy>
  <cp:revision>1</cp:revision>
  <dcterms:created xsi:type="dcterms:W3CDTF">2025-01-09T07:00:00Z</dcterms:created>
  <dcterms:modified xsi:type="dcterms:W3CDTF">2025-01-09T07:18:00Z</dcterms:modified>
</cp:coreProperties>
</file>