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42D2D0" w14:textId="6427A90B" w:rsidR="00890DAB" w:rsidRDefault="00890DAB" w:rsidP="00890DAB">
      <w:pPr>
        <w:pStyle w:val="Heading-Main"/>
        <w:rPr>
          <w:b w:val="0"/>
          <w:bCs w:val="0"/>
        </w:rPr>
      </w:pPr>
      <w:r w:rsidRPr="00837A64">
        <w:t xml:space="preserve">Table </w:t>
      </w:r>
      <w:r w:rsidR="0046467D">
        <w:t>S</w:t>
      </w:r>
      <w:r w:rsidRPr="00837A64">
        <w:t>1</w:t>
      </w:r>
      <w:r w:rsidRPr="00837A64">
        <w:rPr>
          <w:b w:val="0"/>
          <w:bCs w:val="0"/>
        </w:rPr>
        <w:t>: Estimates of the confidence that tipping elements are fully represented in Earth System Model results, either by including the physics or a parameterization of the processes involved, or emerging from the simulations, for the Global Core Tipping Elements and Threshold-free Non-linear Elements.</w:t>
      </w:r>
    </w:p>
    <w:tbl>
      <w:tblPr>
        <w:tblStyle w:val="TableGrid"/>
        <w:tblW w:w="0" w:type="auto"/>
        <w:tblLook w:val="04A0" w:firstRow="1" w:lastRow="0" w:firstColumn="1" w:lastColumn="0" w:noHBand="0" w:noVBand="1"/>
      </w:tblPr>
      <w:tblGrid>
        <w:gridCol w:w="573"/>
        <w:gridCol w:w="901"/>
        <w:gridCol w:w="851"/>
        <w:gridCol w:w="4628"/>
        <w:gridCol w:w="1121"/>
        <w:gridCol w:w="989"/>
      </w:tblGrid>
      <w:tr w:rsidR="00890DAB" w14:paraId="1E6B3E9A" w14:textId="77777777" w:rsidTr="00EF1CFD">
        <w:trPr>
          <w:cantSplit/>
          <w:trHeight w:val="397"/>
        </w:trPr>
        <w:tc>
          <w:tcPr>
            <w:tcW w:w="553" w:type="dxa"/>
            <w:vMerge w:val="restart"/>
            <w:textDirection w:val="btLr"/>
          </w:tcPr>
          <w:p w14:paraId="219E63DC" w14:textId="77777777" w:rsidR="00890DAB" w:rsidRPr="007D0A9E" w:rsidRDefault="00890DAB" w:rsidP="00EF1CFD">
            <w:pPr>
              <w:spacing w:line="480" w:lineRule="auto"/>
              <w:ind w:left="113" w:right="113"/>
              <w:jc w:val="right"/>
              <w:rPr>
                <w:sz w:val="14"/>
                <w:szCs w:val="14"/>
              </w:rPr>
            </w:pPr>
            <w:proofErr w:type="spellStart"/>
            <w:r w:rsidRPr="007D0A9E">
              <w:rPr>
                <w:b/>
                <w:bCs/>
                <w:i/>
                <w:iCs/>
                <w:sz w:val="14"/>
                <w:szCs w:val="14"/>
              </w:rPr>
              <w:t>Category</w:t>
            </w:r>
            <w:proofErr w:type="spellEnd"/>
          </w:p>
        </w:tc>
        <w:tc>
          <w:tcPr>
            <w:tcW w:w="901" w:type="dxa"/>
            <w:vMerge w:val="restart"/>
            <w:noWrap/>
          </w:tcPr>
          <w:p w14:paraId="5469B0C8" w14:textId="77777777" w:rsidR="00890DAB" w:rsidRPr="007D0A9E" w:rsidRDefault="00890DAB" w:rsidP="00EF1CFD">
            <w:pPr>
              <w:spacing w:line="480" w:lineRule="auto"/>
              <w:rPr>
                <w:sz w:val="14"/>
                <w:szCs w:val="14"/>
                <w:lang w:val="en-US"/>
              </w:rPr>
            </w:pPr>
            <w:r w:rsidRPr="007D0A9E">
              <w:rPr>
                <w:b/>
                <w:bCs/>
                <w:i/>
                <w:iCs/>
                <w:sz w:val="14"/>
                <w:szCs w:val="14"/>
                <w:lang w:val="en-US"/>
              </w:rPr>
              <w:t xml:space="preserve">Proposed </w:t>
            </w:r>
            <w:r w:rsidRPr="007D0A9E">
              <w:rPr>
                <w:b/>
                <w:bCs/>
                <w:i/>
                <w:iCs/>
                <w:sz w:val="14"/>
                <w:szCs w:val="14"/>
                <w:lang w:val="en-US"/>
              </w:rPr>
              <w:br/>
              <w:t xml:space="preserve">Climate Tipping Element </w:t>
            </w:r>
            <w:r w:rsidRPr="007D0A9E">
              <w:rPr>
                <w:b/>
                <w:bCs/>
                <w:i/>
                <w:iCs/>
                <w:sz w:val="14"/>
                <w:szCs w:val="14"/>
                <w:lang w:val="en-US"/>
              </w:rPr>
              <w:br/>
            </w:r>
          </w:p>
        </w:tc>
        <w:tc>
          <w:tcPr>
            <w:tcW w:w="5773" w:type="dxa"/>
            <w:gridSpan w:val="2"/>
            <w:vMerge w:val="restart"/>
          </w:tcPr>
          <w:p w14:paraId="75AFDBE5" w14:textId="77777777" w:rsidR="00890DAB" w:rsidRPr="007D0A9E" w:rsidRDefault="00890DAB" w:rsidP="00EF1CFD">
            <w:pPr>
              <w:spacing w:line="480" w:lineRule="auto"/>
              <w:rPr>
                <w:sz w:val="14"/>
                <w:szCs w:val="14"/>
                <w:lang w:val="en-US"/>
              </w:rPr>
            </w:pPr>
            <w:r w:rsidRPr="007D0A9E">
              <w:rPr>
                <w:b/>
                <w:bCs/>
                <w:i/>
                <w:iCs/>
                <w:sz w:val="14"/>
                <w:szCs w:val="14"/>
                <w:lang w:val="en-US"/>
              </w:rPr>
              <w:t>Confidence that tipping element is fully represented in ESM results (authors’ evaluation based on literature)</w:t>
            </w:r>
          </w:p>
        </w:tc>
        <w:tc>
          <w:tcPr>
            <w:tcW w:w="2123" w:type="dxa"/>
            <w:gridSpan w:val="2"/>
          </w:tcPr>
          <w:p w14:paraId="7693C7F7" w14:textId="77777777" w:rsidR="00890DAB" w:rsidRPr="007D0A9E" w:rsidRDefault="00890DAB" w:rsidP="00EF1CFD">
            <w:pPr>
              <w:spacing w:line="480" w:lineRule="auto"/>
              <w:rPr>
                <w:sz w:val="14"/>
                <w:szCs w:val="14"/>
                <w:lang w:val="en-US"/>
              </w:rPr>
            </w:pPr>
            <w:r w:rsidRPr="007D0A9E">
              <w:rPr>
                <w:b/>
                <w:bCs/>
                <w:i/>
                <w:iCs/>
                <w:sz w:val="14"/>
                <w:szCs w:val="14"/>
                <w:lang w:val="en-US"/>
              </w:rPr>
              <w:t xml:space="preserve">Evaluation by Wang et al. (2023) </w:t>
            </w:r>
          </w:p>
        </w:tc>
      </w:tr>
      <w:tr w:rsidR="00890DAB" w14:paraId="43558ED2" w14:textId="77777777" w:rsidTr="00EF1CFD">
        <w:trPr>
          <w:cantSplit/>
          <w:trHeight w:val="567"/>
        </w:trPr>
        <w:tc>
          <w:tcPr>
            <w:tcW w:w="553" w:type="dxa"/>
            <w:vMerge/>
            <w:textDirection w:val="btLr"/>
          </w:tcPr>
          <w:p w14:paraId="134D54C4" w14:textId="77777777" w:rsidR="00890DAB" w:rsidRPr="007D0A9E" w:rsidRDefault="00890DAB" w:rsidP="00EF1CFD">
            <w:pPr>
              <w:spacing w:line="480" w:lineRule="auto"/>
              <w:ind w:left="113" w:right="113"/>
              <w:jc w:val="right"/>
              <w:rPr>
                <w:sz w:val="14"/>
                <w:szCs w:val="14"/>
              </w:rPr>
            </w:pPr>
          </w:p>
        </w:tc>
        <w:tc>
          <w:tcPr>
            <w:tcW w:w="901" w:type="dxa"/>
            <w:vMerge/>
            <w:noWrap/>
          </w:tcPr>
          <w:p w14:paraId="18B9AD3C" w14:textId="77777777" w:rsidR="00890DAB" w:rsidRPr="007D0A9E" w:rsidRDefault="00890DAB" w:rsidP="00EF1CFD">
            <w:pPr>
              <w:spacing w:line="480" w:lineRule="auto"/>
              <w:rPr>
                <w:sz w:val="14"/>
                <w:szCs w:val="14"/>
              </w:rPr>
            </w:pPr>
          </w:p>
        </w:tc>
        <w:tc>
          <w:tcPr>
            <w:tcW w:w="5773" w:type="dxa"/>
            <w:gridSpan w:val="2"/>
            <w:vMerge/>
          </w:tcPr>
          <w:p w14:paraId="26379BF5" w14:textId="77777777" w:rsidR="00890DAB" w:rsidRPr="007D0A9E" w:rsidRDefault="00890DAB" w:rsidP="00EF1CFD">
            <w:pPr>
              <w:spacing w:line="480" w:lineRule="auto"/>
              <w:rPr>
                <w:sz w:val="14"/>
                <w:szCs w:val="14"/>
                <w:lang w:val="en-US"/>
              </w:rPr>
            </w:pPr>
          </w:p>
        </w:tc>
        <w:tc>
          <w:tcPr>
            <w:tcW w:w="1130" w:type="dxa"/>
          </w:tcPr>
          <w:p w14:paraId="3E66D295" w14:textId="77777777" w:rsidR="00890DAB" w:rsidRPr="007D0A9E" w:rsidRDefault="00890DAB" w:rsidP="00EF1CFD">
            <w:pPr>
              <w:spacing w:line="480" w:lineRule="auto"/>
              <w:rPr>
                <w:sz w:val="14"/>
                <w:szCs w:val="14"/>
                <w:lang w:val="en-US"/>
              </w:rPr>
            </w:pPr>
            <w:r w:rsidRPr="007D0A9E">
              <w:rPr>
                <w:b/>
                <w:bCs/>
                <w:i/>
                <w:iCs/>
                <w:sz w:val="14"/>
                <w:szCs w:val="14"/>
                <w:lang w:val="en-US"/>
              </w:rPr>
              <w:t>Current level of scientific understanding</w:t>
            </w:r>
          </w:p>
        </w:tc>
        <w:tc>
          <w:tcPr>
            <w:tcW w:w="993" w:type="dxa"/>
          </w:tcPr>
          <w:p w14:paraId="09A96A09" w14:textId="77777777" w:rsidR="00890DAB" w:rsidRPr="007D0A9E" w:rsidRDefault="00890DAB" w:rsidP="00EF1CFD">
            <w:pPr>
              <w:spacing w:line="480" w:lineRule="auto"/>
              <w:rPr>
                <w:sz w:val="14"/>
                <w:szCs w:val="14"/>
                <w:lang w:val="en-US"/>
              </w:rPr>
            </w:pPr>
            <w:r w:rsidRPr="007D0A9E">
              <w:rPr>
                <w:b/>
                <w:bCs/>
                <w:i/>
                <w:iCs/>
                <w:sz w:val="14"/>
                <w:szCs w:val="14"/>
                <w:lang w:val="en-US"/>
              </w:rPr>
              <w:t>Predictability by models</w:t>
            </w:r>
          </w:p>
        </w:tc>
      </w:tr>
      <w:tr w:rsidR="00890DAB" w:rsidRPr="00CE5A48" w14:paraId="510E9858" w14:textId="77777777" w:rsidTr="00EF1CFD">
        <w:trPr>
          <w:cantSplit/>
          <w:trHeight w:val="567"/>
        </w:trPr>
        <w:tc>
          <w:tcPr>
            <w:tcW w:w="553" w:type="dxa"/>
            <w:vMerge w:val="restart"/>
            <w:textDirection w:val="btLr"/>
            <w:hideMark/>
          </w:tcPr>
          <w:p w14:paraId="4454E6EE" w14:textId="77777777" w:rsidR="00890DAB" w:rsidRPr="007D0A9E" w:rsidRDefault="00890DAB" w:rsidP="00EF1CFD">
            <w:pPr>
              <w:spacing w:line="480" w:lineRule="auto"/>
              <w:ind w:left="113" w:right="113"/>
              <w:jc w:val="right"/>
              <w:rPr>
                <w:sz w:val="14"/>
                <w:szCs w:val="14"/>
              </w:rPr>
            </w:pPr>
            <w:r w:rsidRPr="007D0A9E">
              <w:rPr>
                <w:sz w:val="14"/>
                <w:szCs w:val="14"/>
              </w:rPr>
              <w:t xml:space="preserve">Global </w:t>
            </w:r>
            <w:proofErr w:type="spellStart"/>
            <w:r w:rsidRPr="007D0A9E">
              <w:rPr>
                <w:sz w:val="14"/>
                <w:szCs w:val="14"/>
              </w:rPr>
              <w:t>Core</w:t>
            </w:r>
            <w:proofErr w:type="spellEnd"/>
            <w:r w:rsidRPr="007D0A9E">
              <w:rPr>
                <w:sz w:val="14"/>
                <w:szCs w:val="14"/>
              </w:rPr>
              <w:t xml:space="preserve"> </w:t>
            </w:r>
            <w:proofErr w:type="spellStart"/>
            <w:r w:rsidRPr="007D0A9E">
              <w:rPr>
                <w:sz w:val="14"/>
                <w:szCs w:val="14"/>
              </w:rPr>
              <w:t>Tipping</w:t>
            </w:r>
            <w:proofErr w:type="spellEnd"/>
            <w:r w:rsidRPr="007D0A9E">
              <w:rPr>
                <w:sz w:val="14"/>
                <w:szCs w:val="14"/>
              </w:rPr>
              <w:t xml:space="preserve"> </w:t>
            </w:r>
            <w:proofErr w:type="spellStart"/>
            <w:r w:rsidRPr="007D0A9E">
              <w:rPr>
                <w:sz w:val="14"/>
                <w:szCs w:val="14"/>
              </w:rPr>
              <w:t>Elements</w:t>
            </w:r>
            <w:proofErr w:type="spellEnd"/>
          </w:p>
        </w:tc>
        <w:tc>
          <w:tcPr>
            <w:tcW w:w="901" w:type="dxa"/>
            <w:noWrap/>
            <w:hideMark/>
          </w:tcPr>
          <w:p w14:paraId="082C0DBC" w14:textId="77777777" w:rsidR="00890DAB" w:rsidRPr="007D0A9E" w:rsidRDefault="00890DAB" w:rsidP="00EF1CFD">
            <w:pPr>
              <w:spacing w:line="480" w:lineRule="auto"/>
              <w:rPr>
                <w:sz w:val="14"/>
                <w:szCs w:val="14"/>
              </w:rPr>
            </w:pPr>
            <w:proofErr w:type="spellStart"/>
            <w:r w:rsidRPr="007D0A9E">
              <w:rPr>
                <w:sz w:val="14"/>
                <w:szCs w:val="14"/>
              </w:rPr>
              <w:t>GrIS</w:t>
            </w:r>
            <w:proofErr w:type="spellEnd"/>
          </w:p>
          <w:p w14:paraId="1D178D89" w14:textId="77777777" w:rsidR="00890DAB" w:rsidRPr="007D0A9E" w:rsidRDefault="00890DAB" w:rsidP="00EF1CFD">
            <w:pPr>
              <w:spacing w:line="480" w:lineRule="auto"/>
              <w:rPr>
                <w:sz w:val="14"/>
                <w:szCs w:val="14"/>
              </w:rPr>
            </w:pPr>
            <w:r w:rsidRPr="007D0A9E">
              <w:rPr>
                <w:b/>
                <w:bCs/>
                <w:sz w:val="14"/>
                <w:szCs w:val="14"/>
              </w:rPr>
              <w:t>Greenland Ice Sheet</w:t>
            </w:r>
          </w:p>
        </w:tc>
        <w:tc>
          <w:tcPr>
            <w:tcW w:w="839" w:type="dxa"/>
          </w:tcPr>
          <w:p w14:paraId="2B9D8901" w14:textId="77777777" w:rsidR="00890DAB" w:rsidRPr="007D0A9E" w:rsidRDefault="00890DAB" w:rsidP="00EF1CFD">
            <w:pPr>
              <w:spacing w:line="480" w:lineRule="auto"/>
              <w:rPr>
                <w:sz w:val="14"/>
                <w:szCs w:val="14"/>
              </w:rPr>
            </w:pPr>
            <w:r w:rsidRPr="007D0A9E">
              <w:rPr>
                <w:sz w:val="14"/>
                <w:szCs w:val="14"/>
              </w:rPr>
              <w:t xml:space="preserve">incomplete </w:t>
            </w:r>
          </w:p>
        </w:tc>
        <w:tc>
          <w:tcPr>
            <w:tcW w:w="4934" w:type="dxa"/>
          </w:tcPr>
          <w:p w14:paraId="559DA2BC" w14:textId="77777777" w:rsidR="00890DAB" w:rsidRPr="007D0A9E" w:rsidRDefault="00890DAB" w:rsidP="00EF1CFD">
            <w:pPr>
              <w:spacing w:line="480" w:lineRule="auto"/>
              <w:rPr>
                <w:sz w:val="14"/>
                <w:szCs w:val="14"/>
                <w:lang w:val="en-US"/>
              </w:rPr>
            </w:pPr>
            <w:r w:rsidRPr="007D0A9E">
              <w:rPr>
                <w:sz w:val="14"/>
                <w:szCs w:val="14"/>
                <w:lang w:val="en-US"/>
              </w:rPr>
              <w:t xml:space="preserve">“The rapidly responding </w:t>
            </w:r>
            <w:proofErr w:type="spellStart"/>
            <w:r w:rsidRPr="007D0A9E">
              <w:rPr>
                <w:sz w:val="14"/>
                <w:szCs w:val="14"/>
                <w:lang w:val="en-US"/>
              </w:rPr>
              <w:t>GrIS</w:t>
            </w:r>
            <w:proofErr w:type="spellEnd"/>
            <w:r w:rsidRPr="007D0A9E">
              <w:rPr>
                <w:sz w:val="14"/>
                <w:szCs w:val="14"/>
                <w:lang w:val="en-US"/>
              </w:rPr>
              <w:t xml:space="preserve"> challenges the assumption of fixed ice sheets in global climate models. Instead, it reveals the need to include comprehensive process-based ice sheet models to explore ice sheet-climate interactions under climate change conditions to improve the reliability of climate change projections” (Madsen et al., 2022)</w:t>
            </w:r>
          </w:p>
        </w:tc>
        <w:tc>
          <w:tcPr>
            <w:tcW w:w="1130" w:type="dxa"/>
          </w:tcPr>
          <w:p w14:paraId="1B78E90E"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c>
          <w:tcPr>
            <w:tcW w:w="993" w:type="dxa"/>
          </w:tcPr>
          <w:p w14:paraId="08918100"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r>
      <w:tr w:rsidR="00890DAB" w:rsidRPr="00CE5A48" w14:paraId="347501F2" w14:textId="77777777" w:rsidTr="00EF1CFD">
        <w:trPr>
          <w:cantSplit/>
          <w:trHeight w:val="567"/>
        </w:trPr>
        <w:tc>
          <w:tcPr>
            <w:tcW w:w="553" w:type="dxa"/>
            <w:vMerge/>
            <w:textDirection w:val="btLr"/>
            <w:hideMark/>
          </w:tcPr>
          <w:p w14:paraId="37F73C6A"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22D57D2F" w14:textId="77777777" w:rsidR="00890DAB" w:rsidRPr="007D0A9E" w:rsidRDefault="00890DAB" w:rsidP="00EF1CFD">
            <w:pPr>
              <w:spacing w:line="480" w:lineRule="auto"/>
              <w:rPr>
                <w:sz w:val="14"/>
                <w:szCs w:val="14"/>
                <w:lang w:val="en-US"/>
              </w:rPr>
            </w:pPr>
            <w:r w:rsidRPr="007D0A9E">
              <w:rPr>
                <w:sz w:val="14"/>
                <w:szCs w:val="14"/>
                <w:lang w:val="en-US"/>
              </w:rPr>
              <w:t>WAIS</w:t>
            </w:r>
          </w:p>
          <w:p w14:paraId="73304345" w14:textId="77777777" w:rsidR="00890DAB" w:rsidRPr="007D0A9E" w:rsidRDefault="00890DAB" w:rsidP="00EF1CFD">
            <w:pPr>
              <w:spacing w:line="480" w:lineRule="auto"/>
              <w:rPr>
                <w:sz w:val="14"/>
                <w:szCs w:val="14"/>
                <w:lang w:val="en-US"/>
              </w:rPr>
            </w:pPr>
            <w:r w:rsidRPr="007D0A9E">
              <w:rPr>
                <w:b/>
                <w:bCs/>
                <w:sz w:val="14"/>
                <w:szCs w:val="14"/>
                <w:lang w:val="en-US"/>
              </w:rPr>
              <w:t>West Antarctic Ice Sheet</w:t>
            </w:r>
          </w:p>
        </w:tc>
        <w:tc>
          <w:tcPr>
            <w:tcW w:w="839" w:type="dxa"/>
          </w:tcPr>
          <w:p w14:paraId="1D91AE0C" w14:textId="77777777" w:rsidR="00890DAB" w:rsidRPr="007D0A9E" w:rsidRDefault="00890DAB" w:rsidP="00EF1CFD">
            <w:pPr>
              <w:spacing w:line="480" w:lineRule="auto"/>
              <w:rPr>
                <w:sz w:val="14"/>
                <w:szCs w:val="14"/>
                <w:lang w:val="en-US"/>
              </w:rPr>
            </w:pPr>
            <w:r w:rsidRPr="007D0A9E">
              <w:rPr>
                <w:sz w:val="14"/>
                <w:szCs w:val="14"/>
              </w:rPr>
              <w:t>incomplete</w:t>
            </w:r>
          </w:p>
        </w:tc>
        <w:tc>
          <w:tcPr>
            <w:tcW w:w="4934" w:type="dxa"/>
          </w:tcPr>
          <w:p w14:paraId="78CEBF20" w14:textId="77777777" w:rsidR="00890DAB" w:rsidRPr="007D0A9E" w:rsidRDefault="00890DAB" w:rsidP="00EF1CFD">
            <w:pPr>
              <w:spacing w:line="480" w:lineRule="auto"/>
              <w:rPr>
                <w:sz w:val="14"/>
                <w:szCs w:val="14"/>
                <w:lang w:val="en-US"/>
              </w:rPr>
            </w:pPr>
            <w:r w:rsidRPr="007D0A9E">
              <w:rPr>
                <w:sz w:val="14"/>
                <w:szCs w:val="14"/>
                <w:lang w:val="en-US"/>
              </w:rPr>
              <w:t>“While mesoscale eddies, heat transport onto the Antarctic shelves and flow under ice shelves are key to the Southern Ocean’s influence on climate, these processes are not directly represented in current global climate models.” (Hewitt et al., 2022)</w:t>
            </w:r>
          </w:p>
          <w:p w14:paraId="2E871461" w14:textId="77777777" w:rsidR="00890DAB" w:rsidRPr="007D0A9E" w:rsidRDefault="00890DAB" w:rsidP="00EF1CFD">
            <w:pPr>
              <w:spacing w:line="480" w:lineRule="auto"/>
              <w:rPr>
                <w:sz w:val="14"/>
                <w:szCs w:val="14"/>
                <w:lang w:val="en-US"/>
              </w:rPr>
            </w:pPr>
            <w:r w:rsidRPr="007D0A9E">
              <w:rPr>
                <w:sz w:val="14"/>
                <w:szCs w:val="14"/>
                <w:lang w:val="en-US"/>
              </w:rPr>
              <w:t>“Our [Ice Sheet Model]simulations forced by raw CMIP6 climates have demonstrated that, even with the same [Ice Sheet Model], structural differences between atmosphere-ocean models can result in widely varying equilibrium states of the AIS.”(Li et al., 2023)</w:t>
            </w:r>
          </w:p>
        </w:tc>
        <w:tc>
          <w:tcPr>
            <w:tcW w:w="1130" w:type="dxa"/>
          </w:tcPr>
          <w:p w14:paraId="0F259A7E"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c>
          <w:tcPr>
            <w:tcW w:w="993" w:type="dxa"/>
          </w:tcPr>
          <w:p w14:paraId="30A491AA"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r>
      <w:tr w:rsidR="00890DAB" w:rsidRPr="00890DAB" w14:paraId="6BA606B3" w14:textId="77777777" w:rsidTr="00EF1CFD">
        <w:trPr>
          <w:cantSplit/>
          <w:trHeight w:val="567"/>
        </w:trPr>
        <w:tc>
          <w:tcPr>
            <w:tcW w:w="553" w:type="dxa"/>
            <w:vMerge/>
            <w:textDirection w:val="btLr"/>
            <w:hideMark/>
          </w:tcPr>
          <w:p w14:paraId="07D87CEE"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173D6C0A" w14:textId="77777777" w:rsidR="00890DAB" w:rsidRPr="007D0A9E" w:rsidRDefault="00890DAB" w:rsidP="00EF1CFD">
            <w:pPr>
              <w:spacing w:line="480" w:lineRule="auto"/>
              <w:rPr>
                <w:sz w:val="14"/>
                <w:szCs w:val="14"/>
              </w:rPr>
            </w:pPr>
            <w:r w:rsidRPr="007D0A9E">
              <w:rPr>
                <w:sz w:val="14"/>
                <w:szCs w:val="14"/>
              </w:rPr>
              <w:t>LABC</w:t>
            </w:r>
          </w:p>
          <w:p w14:paraId="2A666A3D" w14:textId="77777777" w:rsidR="00890DAB" w:rsidRPr="007D0A9E" w:rsidRDefault="00890DAB" w:rsidP="00EF1CFD">
            <w:pPr>
              <w:spacing w:line="480" w:lineRule="auto"/>
              <w:rPr>
                <w:sz w:val="14"/>
                <w:szCs w:val="14"/>
              </w:rPr>
            </w:pPr>
            <w:r w:rsidRPr="007D0A9E">
              <w:rPr>
                <w:sz w:val="14"/>
                <w:szCs w:val="14"/>
                <w:lang w:val="en-US"/>
              </w:rPr>
              <w:t>Labrador Sea / SPG Convection</w:t>
            </w:r>
          </w:p>
          <w:p w14:paraId="36067F40" w14:textId="77777777" w:rsidR="00890DAB" w:rsidRPr="007D0A9E" w:rsidRDefault="00890DAB" w:rsidP="00EF1CFD">
            <w:pPr>
              <w:spacing w:line="480" w:lineRule="auto"/>
              <w:rPr>
                <w:sz w:val="14"/>
                <w:szCs w:val="14"/>
              </w:rPr>
            </w:pPr>
          </w:p>
        </w:tc>
        <w:tc>
          <w:tcPr>
            <w:tcW w:w="839" w:type="dxa"/>
          </w:tcPr>
          <w:p w14:paraId="324C92F7" w14:textId="77777777" w:rsidR="00890DAB" w:rsidRPr="007D0A9E" w:rsidRDefault="00890DAB" w:rsidP="00EF1CFD">
            <w:pPr>
              <w:spacing w:line="480" w:lineRule="auto"/>
              <w:rPr>
                <w:sz w:val="14"/>
                <w:szCs w:val="14"/>
                <w:lang w:val="en-US"/>
              </w:rPr>
            </w:pPr>
            <w:r w:rsidRPr="007D0A9E">
              <w:rPr>
                <w:sz w:val="14"/>
                <w:szCs w:val="14"/>
                <w:lang w:val="en-US"/>
              </w:rPr>
              <w:t>to some extent</w:t>
            </w:r>
          </w:p>
        </w:tc>
        <w:tc>
          <w:tcPr>
            <w:tcW w:w="4934" w:type="dxa"/>
          </w:tcPr>
          <w:p w14:paraId="3EAEE9F8" w14:textId="77777777" w:rsidR="00890DAB" w:rsidRPr="007D0A9E" w:rsidRDefault="00890DAB" w:rsidP="00EF1CFD">
            <w:pPr>
              <w:spacing w:line="480" w:lineRule="auto"/>
              <w:rPr>
                <w:sz w:val="14"/>
                <w:szCs w:val="14"/>
                <w:lang w:val="en-US"/>
              </w:rPr>
            </w:pPr>
            <w:r w:rsidRPr="007D0A9E">
              <w:rPr>
                <w:sz w:val="14"/>
                <w:szCs w:val="14"/>
                <w:lang w:val="en-US"/>
              </w:rPr>
              <w:t xml:space="preserve">in several CMIP5 models under a range of forcings (Drijfhout et al.,2015) </w:t>
            </w:r>
          </w:p>
          <w:p w14:paraId="57529992" w14:textId="77777777" w:rsidR="00890DAB" w:rsidRPr="007D0A9E" w:rsidRDefault="00890DAB" w:rsidP="00EF1CFD">
            <w:pPr>
              <w:spacing w:line="480" w:lineRule="auto"/>
              <w:rPr>
                <w:sz w:val="14"/>
                <w:szCs w:val="14"/>
                <w:lang w:val="en-US"/>
              </w:rPr>
            </w:pPr>
            <w:r w:rsidRPr="007D0A9E">
              <w:rPr>
                <w:sz w:val="14"/>
                <w:szCs w:val="14"/>
                <w:lang w:val="en-US"/>
              </w:rPr>
              <w:t xml:space="preserve">“Recent studies suggested the need for very fine grid sizes for realistic representations of the small-scale processes governing the deep formation in the subpolar North Atlantic; however, some sensitivities to numerical choices and </w:t>
            </w:r>
            <w:proofErr w:type="spellStart"/>
            <w:r w:rsidRPr="007D0A9E">
              <w:rPr>
                <w:sz w:val="14"/>
                <w:szCs w:val="14"/>
                <w:lang w:val="en-US"/>
              </w:rPr>
              <w:t>parameterisations</w:t>
            </w:r>
            <w:proofErr w:type="spellEnd"/>
            <w:r w:rsidRPr="007D0A9E">
              <w:rPr>
                <w:sz w:val="14"/>
                <w:szCs w:val="14"/>
                <w:lang w:val="en-US"/>
              </w:rPr>
              <w:t xml:space="preserve"> remain even at 1/20°-resolution” (</w:t>
            </w:r>
            <w:proofErr w:type="spellStart"/>
            <w:r w:rsidRPr="007D0A9E">
              <w:rPr>
                <w:sz w:val="14"/>
                <w:szCs w:val="14"/>
                <w:lang w:val="en-US"/>
              </w:rPr>
              <w:t>Böning</w:t>
            </w:r>
            <w:proofErr w:type="spellEnd"/>
            <w:r w:rsidRPr="007D0A9E">
              <w:rPr>
                <w:sz w:val="14"/>
                <w:szCs w:val="14"/>
                <w:lang w:val="en-US"/>
              </w:rPr>
              <w:t xml:space="preserve"> et al., 2023)</w:t>
            </w:r>
          </w:p>
        </w:tc>
        <w:tc>
          <w:tcPr>
            <w:tcW w:w="1130" w:type="dxa"/>
          </w:tcPr>
          <w:p w14:paraId="16DA6503" w14:textId="77777777" w:rsidR="00890DAB" w:rsidRPr="007D0A9E" w:rsidRDefault="00890DAB" w:rsidP="00EF1CFD">
            <w:pPr>
              <w:spacing w:line="480" w:lineRule="auto"/>
              <w:rPr>
                <w:sz w:val="14"/>
                <w:szCs w:val="14"/>
                <w:lang w:val="en-US"/>
              </w:rPr>
            </w:pPr>
          </w:p>
        </w:tc>
        <w:tc>
          <w:tcPr>
            <w:tcW w:w="993" w:type="dxa"/>
          </w:tcPr>
          <w:p w14:paraId="5361D7F0" w14:textId="77777777" w:rsidR="00890DAB" w:rsidRPr="007D0A9E" w:rsidRDefault="00890DAB" w:rsidP="00EF1CFD">
            <w:pPr>
              <w:spacing w:line="480" w:lineRule="auto"/>
              <w:rPr>
                <w:sz w:val="14"/>
                <w:szCs w:val="14"/>
                <w:lang w:val="en-US"/>
              </w:rPr>
            </w:pPr>
          </w:p>
        </w:tc>
      </w:tr>
      <w:tr w:rsidR="00890DAB" w:rsidRPr="00CE5A48" w14:paraId="6C93DBE6" w14:textId="77777777" w:rsidTr="00EF1CFD">
        <w:trPr>
          <w:cantSplit/>
          <w:trHeight w:val="567"/>
        </w:trPr>
        <w:tc>
          <w:tcPr>
            <w:tcW w:w="553" w:type="dxa"/>
            <w:vMerge/>
            <w:textDirection w:val="btLr"/>
            <w:hideMark/>
          </w:tcPr>
          <w:p w14:paraId="5B5BEC2C"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70804A98" w14:textId="77777777" w:rsidR="00890DAB" w:rsidRPr="007D0A9E" w:rsidRDefault="00890DAB" w:rsidP="00EF1CFD">
            <w:pPr>
              <w:spacing w:line="480" w:lineRule="auto"/>
              <w:rPr>
                <w:sz w:val="14"/>
                <w:szCs w:val="14"/>
                <w:lang w:val="en-US"/>
              </w:rPr>
            </w:pPr>
            <w:r w:rsidRPr="007D0A9E">
              <w:rPr>
                <w:sz w:val="14"/>
                <w:szCs w:val="14"/>
                <w:lang w:val="en-US"/>
              </w:rPr>
              <w:t>EASB</w:t>
            </w:r>
          </w:p>
          <w:p w14:paraId="04BA97AB" w14:textId="77777777" w:rsidR="00890DAB" w:rsidRPr="007D0A9E" w:rsidRDefault="00890DAB" w:rsidP="00EF1CFD">
            <w:pPr>
              <w:spacing w:line="480" w:lineRule="auto"/>
              <w:rPr>
                <w:sz w:val="14"/>
                <w:szCs w:val="14"/>
                <w:lang w:val="en-US"/>
              </w:rPr>
            </w:pPr>
            <w:r w:rsidRPr="007D0A9E">
              <w:rPr>
                <w:sz w:val="14"/>
                <w:szCs w:val="14"/>
                <w:lang w:val="en-US"/>
              </w:rPr>
              <w:t>East Antarctic Subglacial Basins</w:t>
            </w:r>
          </w:p>
        </w:tc>
        <w:tc>
          <w:tcPr>
            <w:tcW w:w="839" w:type="dxa"/>
          </w:tcPr>
          <w:p w14:paraId="055924B6" w14:textId="77777777" w:rsidR="00890DAB" w:rsidRPr="007D0A9E" w:rsidRDefault="00890DAB" w:rsidP="00EF1CFD">
            <w:pPr>
              <w:spacing w:line="480" w:lineRule="auto"/>
              <w:rPr>
                <w:sz w:val="14"/>
                <w:szCs w:val="14"/>
                <w:lang w:val="en-US"/>
              </w:rPr>
            </w:pPr>
            <w:r w:rsidRPr="007D0A9E">
              <w:rPr>
                <w:sz w:val="14"/>
                <w:szCs w:val="14"/>
              </w:rPr>
              <w:t>incomplete</w:t>
            </w:r>
          </w:p>
        </w:tc>
        <w:tc>
          <w:tcPr>
            <w:tcW w:w="4934" w:type="dxa"/>
          </w:tcPr>
          <w:p w14:paraId="47E20653" w14:textId="77777777" w:rsidR="00890DAB" w:rsidRPr="007D0A9E" w:rsidRDefault="00890DAB" w:rsidP="00EF1CFD">
            <w:pPr>
              <w:spacing w:line="480" w:lineRule="auto"/>
              <w:rPr>
                <w:sz w:val="14"/>
                <w:szCs w:val="14"/>
                <w:lang w:val="en-US"/>
              </w:rPr>
            </w:pPr>
            <w:r w:rsidRPr="007D0A9E">
              <w:rPr>
                <w:sz w:val="14"/>
                <w:szCs w:val="14"/>
                <w:lang w:val="en-US"/>
              </w:rPr>
              <w:t>“While mesoscale eddies, heat transport onto the Antarctic shelves and flow under ice shelves are key to the Southern Ocean’s influence on climate, these processes are not directly represented in current global climate models.” (Hewitt et al., 2022)</w:t>
            </w:r>
          </w:p>
        </w:tc>
        <w:tc>
          <w:tcPr>
            <w:tcW w:w="1130" w:type="dxa"/>
          </w:tcPr>
          <w:p w14:paraId="45197E6F"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c>
          <w:tcPr>
            <w:tcW w:w="993" w:type="dxa"/>
          </w:tcPr>
          <w:p w14:paraId="7E1451D2"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r>
      <w:tr w:rsidR="00890DAB" w:rsidRPr="00C211E9" w14:paraId="7C1D4938" w14:textId="77777777" w:rsidTr="00EF1CFD">
        <w:trPr>
          <w:cantSplit/>
          <w:trHeight w:val="567"/>
        </w:trPr>
        <w:tc>
          <w:tcPr>
            <w:tcW w:w="553" w:type="dxa"/>
            <w:vMerge/>
            <w:textDirection w:val="btLr"/>
            <w:hideMark/>
          </w:tcPr>
          <w:p w14:paraId="7F67F512"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5231B0BE" w14:textId="77777777" w:rsidR="00890DAB" w:rsidRPr="007D0A9E" w:rsidRDefault="00890DAB" w:rsidP="00EF1CFD">
            <w:pPr>
              <w:spacing w:line="480" w:lineRule="auto"/>
              <w:rPr>
                <w:sz w:val="14"/>
                <w:szCs w:val="14"/>
              </w:rPr>
            </w:pPr>
            <w:r w:rsidRPr="007D0A9E">
              <w:rPr>
                <w:sz w:val="14"/>
                <w:szCs w:val="14"/>
              </w:rPr>
              <w:t>AMAZ</w:t>
            </w:r>
          </w:p>
          <w:p w14:paraId="575656F1" w14:textId="77777777" w:rsidR="00890DAB" w:rsidRPr="007D0A9E" w:rsidRDefault="00890DAB" w:rsidP="00EF1CFD">
            <w:pPr>
              <w:spacing w:line="480" w:lineRule="auto"/>
              <w:rPr>
                <w:sz w:val="14"/>
                <w:szCs w:val="14"/>
              </w:rPr>
            </w:pPr>
            <w:r w:rsidRPr="007D0A9E">
              <w:rPr>
                <w:sz w:val="14"/>
                <w:szCs w:val="14"/>
              </w:rPr>
              <w:t>Amazon Rainforest</w:t>
            </w:r>
          </w:p>
        </w:tc>
        <w:tc>
          <w:tcPr>
            <w:tcW w:w="839" w:type="dxa"/>
          </w:tcPr>
          <w:p w14:paraId="2652474D" w14:textId="77777777" w:rsidR="00890DAB" w:rsidRPr="007D0A9E" w:rsidRDefault="00890DAB" w:rsidP="00EF1CFD">
            <w:pPr>
              <w:spacing w:line="480" w:lineRule="auto"/>
              <w:rPr>
                <w:sz w:val="14"/>
                <w:szCs w:val="14"/>
              </w:rPr>
            </w:pPr>
            <w:r w:rsidRPr="007D0A9E">
              <w:rPr>
                <w:sz w:val="14"/>
                <w:szCs w:val="14"/>
                <w:lang w:val="en-US"/>
              </w:rPr>
              <w:t>to some extent</w:t>
            </w:r>
          </w:p>
        </w:tc>
        <w:tc>
          <w:tcPr>
            <w:tcW w:w="4934" w:type="dxa"/>
          </w:tcPr>
          <w:p w14:paraId="3D861017" w14:textId="77777777" w:rsidR="00890DAB" w:rsidRPr="007D0A9E" w:rsidRDefault="00890DAB" w:rsidP="00EF1CFD">
            <w:pPr>
              <w:spacing w:line="480" w:lineRule="auto"/>
              <w:rPr>
                <w:sz w:val="14"/>
                <w:szCs w:val="14"/>
                <w:lang w:val="en-US"/>
              </w:rPr>
            </w:pPr>
            <w:r w:rsidRPr="007D0A9E">
              <w:rPr>
                <w:sz w:val="14"/>
                <w:szCs w:val="14"/>
                <w:lang w:val="en-US"/>
              </w:rPr>
              <w:t>Seven models include interactive vegetation carbon and in some cases interactive forest fires Parry et al. (2022)</w:t>
            </w:r>
          </w:p>
          <w:p w14:paraId="5B242842" w14:textId="77777777" w:rsidR="00890DAB" w:rsidRPr="007D0A9E" w:rsidRDefault="00890DAB" w:rsidP="00EF1CFD">
            <w:pPr>
              <w:spacing w:line="480" w:lineRule="auto"/>
              <w:rPr>
                <w:sz w:val="14"/>
                <w:szCs w:val="14"/>
                <w:lang w:val="en-US"/>
              </w:rPr>
            </w:pPr>
            <w:r w:rsidRPr="007D0A9E">
              <w:rPr>
                <w:sz w:val="14"/>
                <w:szCs w:val="14"/>
                <w:lang w:val="en-US"/>
              </w:rPr>
              <w:t xml:space="preserve">Dieback was observed in a multiple CMIP5 model under RCP8.5 forcing (Drijfhout et al.,2015b) </w:t>
            </w:r>
          </w:p>
        </w:tc>
        <w:tc>
          <w:tcPr>
            <w:tcW w:w="1130" w:type="dxa"/>
          </w:tcPr>
          <w:p w14:paraId="15294704" w14:textId="77777777" w:rsidR="00890DAB" w:rsidRPr="007D0A9E" w:rsidRDefault="00890DAB" w:rsidP="00EF1CFD">
            <w:pPr>
              <w:spacing w:line="480" w:lineRule="auto"/>
              <w:rPr>
                <w:sz w:val="14"/>
                <w:szCs w:val="14"/>
                <w:lang w:val="en-US"/>
              </w:rPr>
            </w:pPr>
            <w:r w:rsidRPr="007D0A9E">
              <w:rPr>
                <w:sz w:val="14"/>
                <w:szCs w:val="14"/>
                <w:lang w:val="en-US"/>
              </w:rPr>
              <w:t>moderate</w:t>
            </w:r>
          </w:p>
        </w:tc>
        <w:tc>
          <w:tcPr>
            <w:tcW w:w="993" w:type="dxa"/>
          </w:tcPr>
          <w:p w14:paraId="6B963287" w14:textId="77777777" w:rsidR="00890DAB" w:rsidRPr="007D0A9E" w:rsidRDefault="00890DAB" w:rsidP="00EF1CFD">
            <w:pPr>
              <w:spacing w:line="480" w:lineRule="auto"/>
              <w:rPr>
                <w:sz w:val="14"/>
                <w:szCs w:val="14"/>
                <w:lang w:val="en-US"/>
              </w:rPr>
            </w:pPr>
            <w:r w:rsidRPr="007D0A9E">
              <w:rPr>
                <w:sz w:val="14"/>
                <w:szCs w:val="14"/>
                <w:lang w:val="en-US"/>
              </w:rPr>
              <w:t>moderate</w:t>
            </w:r>
          </w:p>
        </w:tc>
      </w:tr>
      <w:tr w:rsidR="00890DAB" w:rsidRPr="00C211E9" w14:paraId="5F489CBD" w14:textId="77777777" w:rsidTr="00EF1CFD">
        <w:trPr>
          <w:cantSplit/>
          <w:trHeight w:val="567"/>
        </w:trPr>
        <w:tc>
          <w:tcPr>
            <w:tcW w:w="553" w:type="dxa"/>
            <w:vMerge/>
            <w:textDirection w:val="btLr"/>
            <w:hideMark/>
          </w:tcPr>
          <w:p w14:paraId="0A8EE401"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26CDBB2E" w14:textId="77777777" w:rsidR="00890DAB" w:rsidRPr="007D0A9E" w:rsidRDefault="00890DAB" w:rsidP="00EF1CFD">
            <w:pPr>
              <w:spacing w:line="480" w:lineRule="auto"/>
              <w:rPr>
                <w:sz w:val="14"/>
                <w:szCs w:val="14"/>
              </w:rPr>
            </w:pPr>
            <w:r w:rsidRPr="007D0A9E">
              <w:rPr>
                <w:sz w:val="14"/>
                <w:szCs w:val="14"/>
              </w:rPr>
              <w:t>PFTP</w:t>
            </w:r>
          </w:p>
          <w:p w14:paraId="3D928BC2" w14:textId="77777777" w:rsidR="00890DAB" w:rsidRPr="007D0A9E" w:rsidRDefault="00890DAB" w:rsidP="00EF1CFD">
            <w:pPr>
              <w:spacing w:line="480" w:lineRule="auto"/>
              <w:rPr>
                <w:sz w:val="14"/>
                <w:szCs w:val="14"/>
              </w:rPr>
            </w:pPr>
            <w:proofErr w:type="spellStart"/>
            <w:r w:rsidRPr="007D0A9E">
              <w:rPr>
                <w:sz w:val="14"/>
                <w:szCs w:val="14"/>
              </w:rPr>
              <w:t>Boreal</w:t>
            </w:r>
            <w:proofErr w:type="spellEnd"/>
            <w:r w:rsidRPr="007D0A9E">
              <w:rPr>
                <w:sz w:val="14"/>
                <w:szCs w:val="14"/>
              </w:rPr>
              <w:t xml:space="preserve"> Permafrost</w:t>
            </w:r>
          </w:p>
        </w:tc>
        <w:tc>
          <w:tcPr>
            <w:tcW w:w="839" w:type="dxa"/>
          </w:tcPr>
          <w:p w14:paraId="3A086639" w14:textId="77777777" w:rsidR="00890DAB" w:rsidRPr="007D0A9E" w:rsidRDefault="00890DAB" w:rsidP="00EF1CFD">
            <w:pPr>
              <w:spacing w:line="480" w:lineRule="auto"/>
              <w:rPr>
                <w:sz w:val="14"/>
                <w:szCs w:val="14"/>
              </w:rPr>
            </w:pPr>
            <w:r w:rsidRPr="007D0A9E">
              <w:rPr>
                <w:sz w:val="14"/>
                <w:szCs w:val="14"/>
              </w:rPr>
              <w:t>incomplete</w:t>
            </w:r>
          </w:p>
        </w:tc>
        <w:tc>
          <w:tcPr>
            <w:tcW w:w="4934" w:type="dxa"/>
          </w:tcPr>
          <w:p w14:paraId="6F465CE4" w14:textId="77777777" w:rsidR="00890DAB" w:rsidRPr="007D0A9E" w:rsidRDefault="00890DAB" w:rsidP="00EF1CFD">
            <w:pPr>
              <w:spacing w:line="480" w:lineRule="auto"/>
              <w:rPr>
                <w:sz w:val="14"/>
                <w:szCs w:val="14"/>
                <w:lang w:val="en-US"/>
              </w:rPr>
            </w:pPr>
            <w:r w:rsidRPr="007D0A9E">
              <w:rPr>
                <w:sz w:val="14"/>
                <w:szCs w:val="14"/>
                <w:lang w:val="en-US"/>
              </w:rPr>
              <w:t>“there is no consistency in model performance – no model performs well for every evaluation metric … Overall, the percentage of the models which fall within the observed range is relatively low with the majority falling outside the range of the observations” (Burke et al., 2020)</w:t>
            </w:r>
          </w:p>
          <w:p w14:paraId="79667BE7" w14:textId="77777777" w:rsidR="00890DAB" w:rsidRPr="007D0A9E" w:rsidRDefault="00890DAB" w:rsidP="00EF1CFD">
            <w:pPr>
              <w:spacing w:line="480" w:lineRule="auto"/>
              <w:rPr>
                <w:sz w:val="14"/>
                <w:szCs w:val="14"/>
                <w:lang w:val="en-US"/>
              </w:rPr>
            </w:pPr>
            <w:r w:rsidRPr="007D0A9E">
              <w:rPr>
                <w:sz w:val="14"/>
                <w:szCs w:val="14"/>
                <w:lang w:val="en-US"/>
              </w:rPr>
              <w:t>“soil carbon is still heavily underestimated in high northern latitudes (with the exception of the two CMIP6 models that represent deep soil carbon)” (Varney et al., 2022)</w:t>
            </w:r>
          </w:p>
          <w:p w14:paraId="6BAC4E77" w14:textId="77777777" w:rsidR="00890DAB" w:rsidRPr="007D0A9E" w:rsidRDefault="00890DAB" w:rsidP="00EF1CFD">
            <w:pPr>
              <w:spacing w:line="480" w:lineRule="auto"/>
              <w:rPr>
                <w:sz w:val="14"/>
                <w:szCs w:val="14"/>
                <w:lang w:val="en-US"/>
              </w:rPr>
            </w:pPr>
            <w:r w:rsidRPr="007D0A9E">
              <w:rPr>
                <w:sz w:val="14"/>
                <w:szCs w:val="14"/>
                <w:lang w:val="en-US"/>
              </w:rPr>
              <w:t xml:space="preserve">Collapse was observed in a single CMIP5 model under all RCP8.5 forcing (Drijfhout et al.,2015b) </w:t>
            </w:r>
          </w:p>
          <w:p w14:paraId="4C4B2DAE" w14:textId="77777777" w:rsidR="00890DAB" w:rsidRPr="007D0A9E" w:rsidRDefault="00890DAB" w:rsidP="00EF1CFD">
            <w:pPr>
              <w:spacing w:line="480" w:lineRule="auto"/>
              <w:rPr>
                <w:sz w:val="14"/>
                <w:szCs w:val="14"/>
                <w:lang w:val="en-US"/>
              </w:rPr>
            </w:pPr>
          </w:p>
        </w:tc>
        <w:tc>
          <w:tcPr>
            <w:tcW w:w="1130" w:type="dxa"/>
          </w:tcPr>
          <w:p w14:paraId="7B244F30"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b</w:t>
            </w:r>
            <w:proofErr w:type="spellEnd"/>
          </w:p>
        </w:tc>
        <w:tc>
          <w:tcPr>
            <w:tcW w:w="993" w:type="dxa"/>
          </w:tcPr>
          <w:p w14:paraId="3AFEE29E" w14:textId="77777777" w:rsidR="00890DAB" w:rsidRPr="007D0A9E" w:rsidRDefault="00890DAB" w:rsidP="00EF1CFD">
            <w:pPr>
              <w:spacing w:line="480" w:lineRule="auto"/>
              <w:rPr>
                <w:sz w:val="14"/>
                <w:szCs w:val="14"/>
                <w:lang w:val="en-US"/>
              </w:rPr>
            </w:pPr>
            <w:r w:rsidRPr="007D0A9E">
              <w:rPr>
                <w:sz w:val="14"/>
                <w:szCs w:val="14"/>
                <w:lang w:val="en-US"/>
              </w:rPr>
              <w:t xml:space="preserve">moderate to </w:t>
            </w:r>
            <w:proofErr w:type="spellStart"/>
            <w:r w:rsidRPr="007D0A9E">
              <w:rPr>
                <w:sz w:val="14"/>
                <w:szCs w:val="14"/>
                <w:lang w:val="en-US"/>
              </w:rPr>
              <w:t>low</w:t>
            </w:r>
            <w:r w:rsidRPr="007D0A9E">
              <w:rPr>
                <w:sz w:val="14"/>
                <w:szCs w:val="14"/>
                <w:vertAlign w:val="superscript"/>
                <w:lang w:val="en-US"/>
              </w:rPr>
              <w:t>b</w:t>
            </w:r>
            <w:proofErr w:type="spellEnd"/>
          </w:p>
        </w:tc>
      </w:tr>
      <w:tr w:rsidR="00890DAB" w:rsidRPr="00890DAB" w14:paraId="4241DC7C" w14:textId="77777777" w:rsidTr="00EF1CFD">
        <w:trPr>
          <w:cantSplit/>
          <w:trHeight w:val="567"/>
        </w:trPr>
        <w:tc>
          <w:tcPr>
            <w:tcW w:w="553" w:type="dxa"/>
            <w:vMerge/>
            <w:textDirection w:val="btLr"/>
            <w:hideMark/>
          </w:tcPr>
          <w:p w14:paraId="7FB1FA97"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69E75D54" w14:textId="77777777" w:rsidR="00890DAB" w:rsidRPr="007D0A9E" w:rsidRDefault="00890DAB" w:rsidP="00EF1CFD">
            <w:pPr>
              <w:spacing w:line="480" w:lineRule="auto"/>
              <w:rPr>
                <w:sz w:val="14"/>
                <w:szCs w:val="14"/>
                <w:lang w:val="en-US"/>
              </w:rPr>
            </w:pPr>
            <w:r w:rsidRPr="007D0A9E">
              <w:rPr>
                <w:sz w:val="14"/>
                <w:szCs w:val="14"/>
                <w:lang w:val="en-US"/>
              </w:rPr>
              <w:t>AMOC</w:t>
            </w:r>
          </w:p>
          <w:p w14:paraId="6BF43DB3" w14:textId="77777777" w:rsidR="00890DAB" w:rsidRPr="007D0A9E" w:rsidRDefault="00890DAB" w:rsidP="00EF1CFD">
            <w:pPr>
              <w:spacing w:line="480" w:lineRule="auto"/>
              <w:rPr>
                <w:sz w:val="14"/>
                <w:szCs w:val="14"/>
                <w:lang w:val="en-US"/>
              </w:rPr>
            </w:pPr>
            <w:r w:rsidRPr="007D0A9E">
              <w:rPr>
                <w:sz w:val="14"/>
                <w:szCs w:val="14"/>
                <w:lang w:val="en-US"/>
              </w:rPr>
              <w:t>Atlantic Meridional</w:t>
            </w:r>
          </w:p>
          <w:p w14:paraId="13EFE23C" w14:textId="77777777" w:rsidR="00890DAB" w:rsidRPr="007D0A9E" w:rsidRDefault="00890DAB" w:rsidP="00EF1CFD">
            <w:pPr>
              <w:spacing w:line="480" w:lineRule="auto"/>
              <w:rPr>
                <w:sz w:val="14"/>
                <w:szCs w:val="14"/>
                <w:lang w:val="en-US"/>
              </w:rPr>
            </w:pPr>
            <w:r w:rsidRPr="007D0A9E">
              <w:rPr>
                <w:sz w:val="14"/>
                <w:szCs w:val="14"/>
                <w:lang w:val="en-US"/>
              </w:rPr>
              <w:t>Overturning</w:t>
            </w:r>
          </w:p>
          <w:p w14:paraId="74C6C1FB" w14:textId="77777777" w:rsidR="00890DAB" w:rsidRPr="007D0A9E" w:rsidRDefault="00890DAB" w:rsidP="00EF1CFD">
            <w:pPr>
              <w:spacing w:line="480" w:lineRule="auto"/>
              <w:rPr>
                <w:sz w:val="14"/>
                <w:szCs w:val="14"/>
                <w:lang w:val="en-US"/>
              </w:rPr>
            </w:pPr>
            <w:r w:rsidRPr="007D0A9E">
              <w:rPr>
                <w:sz w:val="14"/>
                <w:szCs w:val="14"/>
                <w:lang w:val="en-US"/>
              </w:rPr>
              <w:t>Circulation</w:t>
            </w:r>
          </w:p>
        </w:tc>
        <w:tc>
          <w:tcPr>
            <w:tcW w:w="839" w:type="dxa"/>
          </w:tcPr>
          <w:p w14:paraId="080C9E24" w14:textId="77777777" w:rsidR="00890DAB" w:rsidRPr="007D0A9E" w:rsidRDefault="00890DAB" w:rsidP="00EF1CFD">
            <w:pPr>
              <w:spacing w:line="480" w:lineRule="auto"/>
              <w:rPr>
                <w:sz w:val="14"/>
                <w:szCs w:val="14"/>
                <w:lang w:val="en-US"/>
              </w:rPr>
            </w:pPr>
            <w:r w:rsidRPr="007D0A9E">
              <w:rPr>
                <w:sz w:val="14"/>
                <w:szCs w:val="14"/>
              </w:rPr>
              <w:t>incomplete</w:t>
            </w:r>
          </w:p>
        </w:tc>
        <w:tc>
          <w:tcPr>
            <w:tcW w:w="4934" w:type="dxa"/>
          </w:tcPr>
          <w:p w14:paraId="671B8A8A" w14:textId="77777777" w:rsidR="00890DAB" w:rsidRPr="007D0A9E" w:rsidRDefault="00890DAB" w:rsidP="00EF1CFD">
            <w:pPr>
              <w:spacing w:line="480" w:lineRule="auto"/>
              <w:rPr>
                <w:sz w:val="14"/>
                <w:szCs w:val="14"/>
                <w:lang w:val="en-US"/>
              </w:rPr>
            </w:pPr>
            <w:r w:rsidRPr="007D0A9E">
              <w:rPr>
                <w:sz w:val="14"/>
                <w:szCs w:val="14"/>
                <w:lang w:val="en-US"/>
              </w:rPr>
              <w:t xml:space="preserve"> “A collapse or strong reduction of the AMOC … would be linked to … small-scale processes in the North Atlantic, which are not well-represented in current climate models.” (Hewitt et al., 2022)</w:t>
            </w:r>
          </w:p>
          <w:p w14:paraId="269ECA91" w14:textId="77777777" w:rsidR="00890DAB" w:rsidRPr="007D0A9E" w:rsidRDefault="00890DAB" w:rsidP="00EF1CFD">
            <w:pPr>
              <w:spacing w:line="480" w:lineRule="auto"/>
              <w:rPr>
                <w:sz w:val="14"/>
                <w:szCs w:val="14"/>
                <w:lang w:val="en-US"/>
              </w:rPr>
            </w:pPr>
            <w:r w:rsidRPr="007D0A9E">
              <w:rPr>
                <w:sz w:val="14"/>
                <w:szCs w:val="14"/>
                <w:lang w:val="en-US"/>
              </w:rPr>
              <w:t xml:space="preserve">“Two specific aspects can be seen as instrumental for a proper simulation of the </w:t>
            </w:r>
            <w:proofErr w:type="spellStart"/>
            <w:r w:rsidRPr="007D0A9E">
              <w:rPr>
                <w:sz w:val="14"/>
                <w:szCs w:val="14"/>
                <w:lang w:val="en-US"/>
              </w:rPr>
              <w:t>spatio</w:t>
            </w:r>
            <w:proofErr w:type="spellEnd"/>
            <w:r w:rsidRPr="007D0A9E">
              <w:rPr>
                <w:sz w:val="14"/>
                <w:szCs w:val="14"/>
                <w:lang w:val="en-US"/>
              </w:rPr>
              <w:t>-temporal evolution of the AMOC: an adequate ocean-grid resolution and a well-balanced atmospheric forcing.” (</w:t>
            </w:r>
            <w:proofErr w:type="spellStart"/>
            <w:r w:rsidRPr="007D0A9E">
              <w:rPr>
                <w:sz w:val="14"/>
                <w:szCs w:val="14"/>
                <w:lang w:val="en-US"/>
              </w:rPr>
              <w:t>Biastoch</w:t>
            </w:r>
            <w:proofErr w:type="spellEnd"/>
            <w:r w:rsidRPr="007D0A9E">
              <w:rPr>
                <w:sz w:val="14"/>
                <w:szCs w:val="14"/>
                <w:lang w:val="en-US"/>
              </w:rPr>
              <w:t xml:space="preserve"> et al., 2021)</w:t>
            </w:r>
          </w:p>
          <w:p w14:paraId="34CDEEE0" w14:textId="77777777" w:rsidR="00890DAB" w:rsidRPr="007D0A9E" w:rsidRDefault="00890DAB" w:rsidP="00EF1CFD">
            <w:pPr>
              <w:spacing w:line="480" w:lineRule="auto"/>
              <w:rPr>
                <w:sz w:val="14"/>
                <w:szCs w:val="14"/>
                <w:lang w:val="en-US"/>
              </w:rPr>
            </w:pPr>
            <w:r w:rsidRPr="007D0A9E">
              <w:rPr>
                <w:sz w:val="14"/>
                <w:szCs w:val="14"/>
                <w:lang w:val="en-US"/>
              </w:rPr>
              <w:t xml:space="preserve">Collapse was observed in a single CMIP5 model under all RCP forcings (Drijfhout et al.,2015b) </w:t>
            </w:r>
          </w:p>
          <w:p w14:paraId="5B51C4D1" w14:textId="77777777" w:rsidR="00890DAB" w:rsidRPr="007D0A9E" w:rsidRDefault="00890DAB" w:rsidP="00EF1CFD">
            <w:pPr>
              <w:spacing w:line="480" w:lineRule="auto"/>
              <w:rPr>
                <w:sz w:val="14"/>
                <w:szCs w:val="14"/>
                <w:lang w:val="en-US"/>
              </w:rPr>
            </w:pPr>
            <w:r w:rsidRPr="007D0A9E">
              <w:rPr>
                <w:sz w:val="14"/>
                <w:szCs w:val="14"/>
                <w:lang w:val="en-US"/>
              </w:rPr>
              <w:t>“…</w:t>
            </w:r>
            <w:proofErr w:type="spellStart"/>
            <w:r w:rsidRPr="007D0A9E">
              <w:rPr>
                <w:sz w:val="14"/>
                <w:szCs w:val="14"/>
                <w:lang w:val="en-US"/>
              </w:rPr>
              <w:t>intermodel</w:t>
            </w:r>
            <w:proofErr w:type="spellEnd"/>
            <w:r w:rsidRPr="007D0A9E">
              <w:rPr>
                <w:sz w:val="14"/>
                <w:szCs w:val="14"/>
                <w:lang w:val="en-US"/>
              </w:rPr>
              <w:t xml:space="preserve"> consensus may be an artifact of common model biases that favor a stable AMOC. … By correcting the model biases, we show that the AMOC collapses 300 years after the atmospheric CO2 concentration is abruptly doubled from the 1990 level.” (Liu et al., 2017)</w:t>
            </w:r>
          </w:p>
          <w:p w14:paraId="6AF85DAA" w14:textId="77777777" w:rsidR="00890DAB" w:rsidRPr="007D0A9E" w:rsidRDefault="00890DAB" w:rsidP="00EF1CFD">
            <w:pPr>
              <w:spacing w:line="480" w:lineRule="auto"/>
              <w:rPr>
                <w:sz w:val="14"/>
                <w:szCs w:val="14"/>
                <w:lang w:val="en-US"/>
              </w:rPr>
            </w:pPr>
            <w:r w:rsidRPr="007D0A9E">
              <w:rPr>
                <w:sz w:val="14"/>
                <w:szCs w:val="14"/>
                <w:lang w:val="en-US"/>
              </w:rPr>
              <w:t>““a relatively low AMOC stability during intermediate glacial states [which] is not evident in all numerical experiments performed with coupled climate models, implying that some might either overestimate the AMOC stability or have a mismatch in the required background state for the low-AMOC-stability regime.” (</w:t>
            </w:r>
            <w:proofErr w:type="spellStart"/>
            <w:r w:rsidRPr="007D0A9E">
              <w:rPr>
                <w:sz w:val="14"/>
                <w:szCs w:val="14"/>
                <w:lang w:val="en-US"/>
              </w:rPr>
              <w:t>Menviel</w:t>
            </w:r>
            <w:proofErr w:type="spellEnd"/>
            <w:r w:rsidRPr="007D0A9E">
              <w:rPr>
                <w:sz w:val="14"/>
                <w:szCs w:val="14"/>
                <w:lang w:val="en-US"/>
              </w:rPr>
              <w:t xml:space="preserve"> et al., 2020)</w:t>
            </w:r>
          </w:p>
          <w:p w14:paraId="552E377F" w14:textId="77777777" w:rsidR="00890DAB" w:rsidRPr="007D0A9E" w:rsidRDefault="00890DAB" w:rsidP="00EF1CFD">
            <w:pPr>
              <w:spacing w:line="480" w:lineRule="auto"/>
              <w:rPr>
                <w:sz w:val="14"/>
                <w:szCs w:val="14"/>
                <w:lang w:val="en-US"/>
              </w:rPr>
            </w:pPr>
            <w:r w:rsidRPr="007D0A9E">
              <w:rPr>
                <w:sz w:val="14"/>
                <w:szCs w:val="14"/>
                <w:lang w:val="en-US"/>
              </w:rPr>
              <w:t>“Although [quasi-irreversible tipping] has been seen in simple models, it has been difficult to demonstrate in comprehensive global climate models” (Jackson et al., 2023)</w:t>
            </w:r>
          </w:p>
          <w:p w14:paraId="6913DCF9" w14:textId="77777777" w:rsidR="00890DAB" w:rsidRPr="007D0A9E" w:rsidRDefault="00890DAB" w:rsidP="00EF1CFD">
            <w:pPr>
              <w:spacing w:line="480" w:lineRule="auto"/>
              <w:rPr>
                <w:sz w:val="14"/>
                <w:szCs w:val="14"/>
                <w:lang w:val="en-US"/>
              </w:rPr>
            </w:pPr>
            <w:r w:rsidRPr="007D0A9E">
              <w:rPr>
                <w:sz w:val="14"/>
                <w:szCs w:val="14"/>
                <w:lang w:val="en-US"/>
              </w:rPr>
              <w:t>“Comparing the models’ AMOC evolution to the observational data …, we find that neither the CMIP5 nor the CMIP6 ensemble mean are successful at representing the observational AMOC data." (McCarthy and Caesar, 2023)</w:t>
            </w:r>
          </w:p>
        </w:tc>
        <w:tc>
          <w:tcPr>
            <w:tcW w:w="1130" w:type="dxa"/>
          </w:tcPr>
          <w:p w14:paraId="3A11347E" w14:textId="77777777" w:rsidR="00890DAB" w:rsidRPr="007D0A9E" w:rsidRDefault="00890DAB" w:rsidP="00EF1CFD">
            <w:pPr>
              <w:spacing w:line="480" w:lineRule="auto"/>
              <w:rPr>
                <w:sz w:val="14"/>
                <w:szCs w:val="14"/>
                <w:lang w:val="en-US"/>
              </w:rPr>
            </w:pPr>
            <w:r w:rsidRPr="007D0A9E">
              <w:rPr>
                <w:sz w:val="14"/>
                <w:szCs w:val="14"/>
                <w:lang w:val="en-US"/>
              </w:rPr>
              <w:t>moderate</w:t>
            </w:r>
          </w:p>
        </w:tc>
        <w:tc>
          <w:tcPr>
            <w:tcW w:w="993" w:type="dxa"/>
          </w:tcPr>
          <w:p w14:paraId="41179F2A" w14:textId="77777777" w:rsidR="00890DAB" w:rsidRPr="007D0A9E" w:rsidRDefault="00890DAB" w:rsidP="00EF1CFD">
            <w:pPr>
              <w:spacing w:line="480" w:lineRule="auto"/>
              <w:rPr>
                <w:sz w:val="14"/>
                <w:szCs w:val="14"/>
                <w:lang w:val="en-US"/>
              </w:rPr>
            </w:pPr>
            <w:r w:rsidRPr="007D0A9E">
              <w:rPr>
                <w:sz w:val="14"/>
                <w:szCs w:val="14"/>
                <w:lang w:val="en-US"/>
              </w:rPr>
              <w:t>good agreement, significant model limitations</w:t>
            </w:r>
          </w:p>
        </w:tc>
      </w:tr>
      <w:tr w:rsidR="00890DAB" w:rsidRPr="00890DAB" w14:paraId="07033382" w14:textId="77777777" w:rsidTr="00EF1CFD">
        <w:trPr>
          <w:cantSplit/>
          <w:trHeight w:val="567"/>
        </w:trPr>
        <w:tc>
          <w:tcPr>
            <w:tcW w:w="553" w:type="dxa"/>
            <w:vMerge/>
            <w:textDirection w:val="btLr"/>
            <w:hideMark/>
          </w:tcPr>
          <w:p w14:paraId="73B44CCC"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66F32073" w14:textId="77777777" w:rsidR="00890DAB" w:rsidRPr="007D0A9E" w:rsidRDefault="00890DAB" w:rsidP="00EF1CFD">
            <w:pPr>
              <w:spacing w:line="480" w:lineRule="auto"/>
              <w:rPr>
                <w:sz w:val="14"/>
                <w:szCs w:val="14"/>
                <w:lang w:val="en-US"/>
              </w:rPr>
            </w:pPr>
            <w:r w:rsidRPr="007D0A9E">
              <w:rPr>
                <w:sz w:val="14"/>
                <w:szCs w:val="14"/>
                <w:lang w:val="en-US"/>
              </w:rPr>
              <w:t>AWSI</w:t>
            </w:r>
          </w:p>
          <w:p w14:paraId="1830BCD0" w14:textId="77777777" w:rsidR="00890DAB" w:rsidRPr="007D0A9E" w:rsidRDefault="00890DAB" w:rsidP="00EF1CFD">
            <w:pPr>
              <w:spacing w:line="480" w:lineRule="auto"/>
              <w:rPr>
                <w:sz w:val="14"/>
                <w:szCs w:val="14"/>
                <w:lang w:val="en-US"/>
              </w:rPr>
            </w:pPr>
            <w:r w:rsidRPr="007D0A9E">
              <w:rPr>
                <w:sz w:val="14"/>
                <w:szCs w:val="14"/>
                <w:lang w:val="en-US"/>
              </w:rPr>
              <w:t>Arctic Winter Sea Ice</w:t>
            </w:r>
          </w:p>
        </w:tc>
        <w:tc>
          <w:tcPr>
            <w:tcW w:w="839" w:type="dxa"/>
          </w:tcPr>
          <w:p w14:paraId="20C833A8" w14:textId="77777777" w:rsidR="00890DAB" w:rsidRPr="007D0A9E" w:rsidRDefault="00890DAB" w:rsidP="00EF1CFD">
            <w:pPr>
              <w:spacing w:line="480" w:lineRule="auto"/>
              <w:rPr>
                <w:sz w:val="14"/>
                <w:szCs w:val="14"/>
                <w:lang w:val="en-US"/>
              </w:rPr>
            </w:pPr>
            <w:r w:rsidRPr="007D0A9E">
              <w:rPr>
                <w:sz w:val="14"/>
                <w:szCs w:val="14"/>
                <w:lang w:val="en-US"/>
              </w:rPr>
              <w:t>to some extent</w:t>
            </w:r>
          </w:p>
        </w:tc>
        <w:tc>
          <w:tcPr>
            <w:tcW w:w="4934" w:type="dxa"/>
          </w:tcPr>
          <w:p w14:paraId="3B72816F" w14:textId="77777777" w:rsidR="00890DAB" w:rsidRPr="007D0A9E" w:rsidRDefault="00890DAB" w:rsidP="00EF1CFD">
            <w:pPr>
              <w:spacing w:line="480" w:lineRule="auto"/>
              <w:rPr>
                <w:sz w:val="14"/>
                <w:szCs w:val="14"/>
                <w:lang w:val="en-US"/>
              </w:rPr>
            </w:pPr>
            <w:r w:rsidRPr="007D0A9E">
              <w:rPr>
                <w:sz w:val="14"/>
                <w:szCs w:val="14"/>
                <w:lang w:val="en-US"/>
              </w:rPr>
              <w:t xml:space="preserve">Collapses in several CMIP5 models under RCP8.5 forcing (Drijfhout et al.,2015b) </w:t>
            </w:r>
          </w:p>
          <w:p w14:paraId="32DC4B27" w14:textId="77777777" w:rsidR="00890DAB" w:rsidRPr="007D0A9E" w:rsidRDefault="00890DAB" w:rsidP="00EF1CFD">
            <w:pPr>
              <w:spacing w:line="480" w:lineRule="auto"/>
              <w:rPr>
                <w:sz w:val="14"/>
                <w:szCs w:val="14"/>
                <w:lang w:val="en-US"/>
              </w:rPr>
            </w:pPr>
            <w:r w:rsidRPr="007D0A9E">
              <w:rPr>
                <w:sz w:val="14"/>
                <w:szCs w:val="14"/>
                <w:lang w:val="en-US"/>
              </w:rPr>
              <w:t>“most CMIP6 models fail to simulate at the same time a plausible evolution of sea-ice area and of global mean surface temperature” (Notz and SIMIP Community, 2020)</w:t>
            </w:r>
          </w:p>
        </w:tc>
        <w:tc>
          <w:tcPr>
            <w:tcW w:w="1130" w:type="dxa"/>
          </w:tcPr>
          <w:p w14:paraId="483BEA1D" w14:textId="77777777" w:rsidR="00890DAB" w:rsidRPr="007D0A9E" w:rsidRDefault="00890DAB" w:rsidP="00EF1CFD">
            <w:pPr>
              <w:spacing w:line="480" w:lineRule="auto"/>
              <w:rPr>
                <w:sz w:val="14"/>
                <w:szCs w:val="14"/>
                <w:lang w:val="en-US"/>
              </w:rPr>
            </w:pPr>
          </w:p>
        </w:tc>
        <w:tc>
          <w:tcPr>
            <w:tcW w:w="993" w:type="dxa"/>
          </w:tcPr>
          <w:p w14:paraId="3D91374C" w14:textId="77777777" w:rsidR="00890DAB" w:rsidRPr="007D0A9E" w:rsidRDefault="00890DAB" w:rsidP="00EF1CFD">
            <w:pPr>
              <w:spacing w:line="480" w:lineRule="auto"/>
              <w:rPr>
                <w:sz w:val="14"/>
                <w:szCs w:val="14"/>
                <w:lang w:val="en-US"/>
              </w:rPr>
            </w:pPr>
          </w:p>
        </w:tc>
      </w:tr>
      <w:tr w:rsidR="00890DAB" w:rsidRPr="00CE5A48" w14:paraId="55C5368E" w14:textId="77777777" w:rsidTr="00EF1CFD">
        <w:trPr>
          <w:cantSplit/>
          <w:trHeight w:val="567"/>
        </w:trPr>
        <w:tc>
          <w:tcPr>
            <w:tcW w:w="553" w:type="dxa"/>
            <w:vMerge/>
            <w:textDirection w:val="btLr"/>
            <w:hideMark/>
          </w:tcPr>
          <w:p w14:paraId="20DBADFD" w14:textId="77777777" w:rsidR="00890DAB" w:rsidRPr="007D0A9E" w:rsidRDefault="00890DAB" w:rsidP="00EF1CFD">
            <w:pPr>
              <w:spacing w:line="480" w:lineRule="auto"/>
              <w:ind w:left="113" w:right="113"/>
              <w:jc w:val="right"/>
              <w:rPr>
                <w:sz w:val="14"/>
                <w:szCs w:val="14"/>
                <w:lang w:val="en-US"/>
              </w:rPr>
            </w:pPr>
          </w:p>
        </w:tc>
        <w:tc>
          <w:tcPr>
            <w:tcW w:w="901" w:type="dxa"/>
            <w:noWrap/>
            <w:hideMark/>
          </w:tcPr>
          <w:p w14:paraId="26AE7963" w14:textId="77777777" w:rsidR="00890DAB" w:rsidRPr="007D0A9E" w:rsidRDefault="00890DAB" w:rsidP="00EF1CFD">
            <w:pPr>
              <w:spacing w:line="480" w:lineRule="auto"/>
              <w:rPr>
                <w:sz w:val="14"/>
                <w:szCs w:val="14"/>
                <w:lang w:val="en-US"/>
              </w:rPr>
            </w:pPr>
            <w:r w:rsidRPr="007D0A9E">
              <w:rPr>
                <w:sz w:val="14"/>
                <w:szCs w:val="14"/>
                <w:lang w:val="en-US"/>
              </w:rPr>
              <w:t>EAIS</w:t>
            </w:r>
          </w:p>
          <w:p w14:paraId="0E738078" w14:textId="77777777" w:rsidR="00890DAB" w:rsidRPr="007D0A9E" w:rsidRDefault="00890DAB" w:rsidP="00EF1CFD">
            <w:pPr>
              <w:spacing w:line="480" w:lineRule="auto"/>
              <w:rPr>
                <w:sz w:val="14"/>
                <w:szCs w:val="14"/>
                <w:lang w:val="en-US"/>
              </w:rPr>
            </w:pPr>
            <w:r w:rsidRPr="007D0A9E">
              <w:rPr>
                <w:sz w:val="14"/>
                <w:szCs w:val="14"/>
                <w:lang w:val="en-US"/>
              </w:rPr>
              <w:t>East Antarctic Ice Sheet</w:t>
            </w:r>
          </w:p>
        </w:tc>
        <w:tc>
          <w:tcPr>
            <w:tcW w:w="839" w:type="dxa"/>
          </w:tcPr>
          <w:p w14:paraId="0014233C" w14:textId="77777777" w:rsidR="00890DAB" w:rsidRPr="007D0A9E" w:rsidRDefault="00890DAB" w:rsidP="00EF1CFD">
            <w:pPr>
              <w:spacing w:line="480" w:lineRule="auto"/>
              <w:rPr>
                <w:sz w:val="14"/>
                <w:szCs w:val="14"/>
                <w:lang w:val="en-US"/>
              </w:rPr>
            </w:pPr>
            <w:r w:rsidRPr="007D0A9E">
              <w:rPr>
                <w:sz w:val="14"/>
                <w:szCs w:val="14"/>
              </w:rPr>
              <w:t>incomplete</w:t>
            </w:r>
          </w:p>
        </w:tc>
        <w:tc>
          <w:tcPr>
            <w:tcW w:w="4934" w:type="dxa"/>
          </w:tcPr>
          <w:p w14:paraId="1F986BA6" w14:textId="77777777" w:rsidR="00890DAB" w:rsidRPr="007D0A9E" w:rsidRDefault="00890DAB" w:rsidP="00EF1CFD">
            <w:pPr>
              <w:spacing w:line="480" w:lineRule="auto"/>
              <w:rPr>
                <w:sz w:val="14"/>
                <w:szCs w:val="14"/>
                <w:lang w:val="en-US"/>
              </w:rPr>
            </w:pPr>
            <w:r w:rsidRPr="007D0A9E">
              <w:rPr>
                <w:sz w:val="14"/>
                <w:szCs w:val="14"/>
                <w:lang w:val="en-US"/>
              </w:rPr>
              <w:t>“Our [Ice Sheet Model] simulations forced by raw CMIP6 climates have demonstrated that, even with the same [Ice Sheet Model], structural differences between atmosphere-ocean models can result in widely varying equilibrium states of the AIS.”(Li et al., 2023)</w:t>
            </w:r>
          </w:p>
        </w:tc>
        <w:tc>
          <w:tcPr>
            <w:tcW w:w="1130" w:type="dxa"/>
          </w:tcPr>
          <w:p w14:paraId="35667149"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c>
          <w:tcPr>
            <w:tcW w:w="993" w:type="dxa"/>
          </w:tcPr>
          <w:p w14:paraId="3614C48D"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a</w:t>
            </w:r>
            <w:proofErr w:type="spellEnd"/>
          </w:p>
        </w:tc>
      </w:tr>
      <w:tr w:rsidR="00890DAB" w:rsidRPr="00CE5A48" w14:paraId="6C29750C" w14:textId="77777777" w:rsidTr="00EF1CFD">
        <w:trPr>
          <w:cantSplit/>
          <w:trHeight w:val="567"/>
        </w:trPr>
        <w:tc>
          <w:tcPr>
            <w:tcW w:w="553" w:type="dxa"/>
            <w:vMerge w:val="restart"/>
            <w:textDirection w:val="btLr"/>
            <w:hideMark/>
          </w:tcPr>
          <w:p w14:paraId="09CABD8E" w14:textId="77777777" w:rsidR="00890DAB" w:rsidRPr="007D0A9E" w:rsidRDefault="00890DAB" w:rsidP="00EF1CFD">
            <w:pPr>
              <w:spacing w:line="480" w:lineRule="auto"/>
              <w:ind w:left="113" w:right="113"/>
              <w:jc w:val="right"/>
              <w:rPr>
                <w:sz w:val="14"/>
                <w:szCs w:val="14"/>
              </w:rPr>
            </w:pPr>
            <w:proofErr w:type="spellStart"/>
            <w:r w:rsidRPr="007D0A9E">
              <w:rPr>
                <w:sz w:val="14"/>
                <w:szCs w:val="14"/>
              </w:rPr>
              <w:t>Threshold</w:t>
            </w:r>
            <w:proofErr w:type="spellEnd"/>
            <w:r w:rsidRPr="007D0A9E">
              <w:rPr>
                <w:sz w:val="14"/>
                <w:szCs w:val="14"/>
              </w:rPr>
              <w:t xml:space="preserve">-free </w:t>
            </w:r>
            <w:proofErr w:type="spellStart"/>
            <w:r w:rsidRPr="007D0A9E">
              <w:rPr>
                <w:sz w:val="14"/>
                <w:szCs w:val="14"/>
              </w:rPr>
              <w:t>nonlinear</w:t>
            </w:r>
            <w:proofErr w:type="spellEnd"/>
            <w:r w:rsidRPr="007D0A9E">
              <w:rPr>
                <w:sz w:val="14"/>
                <w:szCs w:val="14"/>
              </w:rPr>
              <w:t xml:space="preserve"> </w:t>
            </w:r>
            <w:proofErr w:type="spellStart"/>
            <w:r w:rsidRPr="007D0A9E">
              <w:rPr>
                <w:sz w:val="14"/>
                <w:szCs w:val="14"/>
              </w:rPr>
              <w:t>feedbacks</w:t>
            </w:r>
            <w:proofErr w:type="spellEnd"/>
          </w:p>
        </w:tc>
        <w:tc>
          <w:tcPr>
            <w:tcW w:w="901" w:type="dxa"/>
            <w:noWrap/>
            <w:hideMark/>
          </w:tcPr>
          <w:p w14:paraId="41D6AD81" w14:textId="77777777" w:rsidR="00890DAB" w:rsidRPr="007D0A9E" w:rsidRDefault="00890DAB" w:rsidP="00EF1CFD">
            <w:pPr>
              <w:spacing w:line="480" w:lineRule="auto"/>
              <w:rPr>
                <w:sz w:val="14"/>
                <w:szCs w:val="14"/>
              </w:rPr>
            </w:pPr>
            <w:r w:rsidRPr="007D0A9E">
              <w:rPr>
                <w:sz w:val="14"/>
                <w:szCs w:val="14"/>
              </w:rPr>
              <w:t>PFGT</w:t>
            </w:r>
          </w:p>
          <w:p w14:paraId="63CAFB30" w14:textId="77777777" w:rsidR="00890DAB" w:rsidRPr="007D0A9E" w:rsidRDefault="00890DAB" w:rsidP="00EF1CFD">
            <w:pPr>
              <w:spacing w:line="480" w:lineRule="auto"/>
              <w:rPr>
                <w:sz w:val="14"/>
                <w:szCs w:val="14"/>
              </w:rPr>
            </w:pPr>
            <w:r w:rsidRPr="007D0A9E">
              <w:rPr>
                <w:sz w:val="14"/>
                <w:szCs w:val="14"/>
                <w:lang w:val="en-US"/>
              </w:rPr>
              <w:t>Boreal Permafrost</w:t>
            </w:r>
          </w:p>
        </w:tc>
        <w:tc>
          <w:tcPr>
            <w:tcW w:w="839" w:type="dxa"/>
          </w:tcPr>
          <w:p w14:paraId="7D134BA8" w14:textId="77777777" w:rsidR="00890DAB" w:rsidRPr="007D0A9E" w:rsidRDefault="00890DAB" w:rsidP="00EF1CFD">
            <w:pPr>
              <w:spacing w:line="480" w:lineRule="auto"/>
              <w:rPr>
                <w:sz w:val="14"/>
                <w:szCs w:val="14"/>
              </w:rPr>
            </w:pPr>
            <w:r w:rsidRPr="007D0A9E">
              <w:rPr>
                <w:sz w:val="14"/>
                <w:szCs w:val="14"/>
              </w:rPr>
              <w:t>incomplete</w:t>
            </w:r>
          </w:p>
        </w:tc>
        <w:tc>
          <w:tcPr>
            <w:tcW w:w="4934" w:type="dxa"/>
          </w:tcPr>
          <w:p w14:paraId="684A6976" w14:textId="77777777" w:rsidR="00890DAB" w:rsidRPr="007D0A9E" w:rsidRDefault="00890DAB" w:rsidP="00EF1CFD">
            <w:pPr>
              <w:spacing w:line="480" w:lineRule="auto"/>
              <w:rPr>
                <w:sz w:val="14"/>
                <w:szCs w:val="14"/>
                <w:lang w:val="en-US"/>
              </w:rPr>
            </w:pPr>
            <w:r w:rsidRPr="007D0A9E">
              <w:rPr>
                <w:sz w:val="14"/>
                <w:szCs w:val="14"/>
                <w:lang w:val="en-US"/>
              </w:rPr>
              <w:t>“soil carbon is still heavily underestimated in high northern latitudes (with the exception of the two CMIP6 models that represent deep soil carbon)” (Varney et al., 2022)</w:t>
            </w:r>
          </w:p>
        </w:tc>
        <w:tc>
          <w:tcPr>
            <w:tcW w:w="1130" w:type="dxa"/>
          </w:tcPr>
          <w:p w14:paraId="09BCB068" w14:textId="77777777" w:rsidR="00890DAB" w:rsidRPr="007D0A9E" w:rsidRDefault="00890DAB" w:rsidP="00EF1CFD">
            <w:pPr>
              <w:spacing w:line="480" w:lineRule="auto"/>
              <w:rPr>
                <w:sz w:val="14"/>
                <w:szCs w:val="14"/>
                <w:lang w:val="en-US"/>
              </w:rPr>
            </w:pPr>
            <w:proofErr w:type="spellStart"/>
            <w:r w:rsidRPr="007D0A9E">
              <w:rPr>
                <w:sz w:val="14"/>
                <w:szCs w:val="14"/>
                <w:lang w:val="en-US"/>
              </w:rPr>
              <w:t>moderate</w:t>
            </w:r>
            <w:r w:rsidRPr="007D0A9E">
              <w:rPr>
                <w:sz w:val="14"/>
                <w:szCs w:val="14"/>
                <w:vertAlign w:val="superscript"/>
                <w:lang w:val="en-US"/>
              </w:rPr>
              <w:t>b</w:t>
            </w:r>
            <w:proofErr w:type="spellEnd"/>
          </w:p>
        </w:tc>
        <w:tc>
          <w:tcPr>
            <w:tcW w:w="993" w:type="dxa"/>
          </w:tcPr>
          <w:p w14:paraId="26C845C6" w14:textId="77777777" w:rsidR="00890DAB" w:rsidRPr="007D0A9E" w:rsidRDefault="00890DAB" w:rsidP="00EF1CFD">
            <w:pPr>
              <w:spacing w:line="480" w:lineRule="auto"/>
              <w:rPr>
                <w:sz w:val="14"/>
                <w:szCs w:val="14"/>
                <w:lang w:val="en-US"/>
              </w:rPr>
            </w:pPr>
            <w:r w:rsidRPr="007D0A9E">
              <w:rPr>
                <w:sz w:val="14"/>
                <w:szCs w:val="14"/>
                <w:lang w:val="en-US"/>
              </w:rPr>
              <w:t xml:space="preserve">moderate to </w:t>
            </w:r>
            <w:proofErr w:type="spellStart"/>
            <w:r w:rsidRPr="007D0A9E">
              <w:rPr>
                <w:sz w:val="14"/>
                <w:szCs w:val="14"/>
                <w:lang w:val="en-US"/>
              </w:rPr>
              <w:t>low</w:t>
            </w:r>
            <w:r w:rsidRPr="007D0A9E">
              <w:rPr>
                <w:sz w:val="14"/>
                <w:szCs w:val="14"/>
                <w:vertAlign w:val="superscript"/>
                <w:lang w:val="en-US"/>
              </w:rPr>
              <w:t>b</w:t>
            </w:r>
            <w:proofErr w:type="spellEnd"/>
          </w:p>
        </w:tc>
      </w:tr>
      <w:tr w:rsidR="00890DAB" w:rsidRPr="00CE5A48" w14:paraId="0ADB8C0A" w14:textId="77777777" w:rsidTr="00EF1CFD">
        <w:trPr>
          <w:trHeight w:val="630"/>
        </w:trPr>
        <w:tc>
          <w:tcPr>
            <w:tcW w:w="553" w:type="dxa"/>
            <w:vMerge/>
            <w:hideMark/>
          </w:tcPr>
          <w:p w14:paraId="0D7C4F70" w14:textId="77777777" w:rsidR="00890DAB" w:rsidRPr="007D0A9E" w:rsidRDefault="00890DAB" w:rsidP="00EF1CFD">
            <w:pPr>
              <w:spacing w:line="480" w:lineRule="auto"/>
              <w:rPr>
                <w:sz w:val="14"/>
                <w:szCs w:val="14"/>
                <w:lang w:val="en-US"/>
              </w:rPr>
            </w:pPr>
          </w:p>
        </w:tc>
        <w:tc>
          <w:tcPr>
            <w:tcW w:w="901" w:type="dxa"/>
            <w:noWrap/>
            <w:hideMark/>
          </w:tcPr>
          <w:p w14:paraId="75003BC0" w14:textId="77777777" w:rsidR="00890DAB" w:rsidRPr="007D0A9E" w:rsidRDefault="00890DAB" w:rsidP="00EF1CFD">
            <w:pPr>
              <w:spacing w:line="480" w:lineRule="auto"/>
              <w:rPr>
                <w:sz w:val="14"/>
                <w:szCs w:val="14"/>
                <w:lang w:val="en-US"/>
              </w:rPr>
            </w:pPr>
            <w:r w:rsidRPr="007D0A9E">
              <w:rPr>
                <w:sz w:val="14"/>
                <w:szCs w:val="14"/>
                <w:lang w:val="en-US"/>
              </w:rPr>
              <w:t>ASSI</w:t>
            </w:r>
          </w:p>
          <w:p w14:paraId="25011A34" w14:textId="77777777" w:rsidR="00890DAB" w:rsidRPr="007D0A9E" w:rsidRDefault="00890DAB" w:rsidP="00EF1CFD">
            <w:pPr>
              <w:spacing w:line="480" w:lineRule="auto"/>
              <w:rPr>
                <w:sz w:val="14"/>
                <w:szCs w:val="14"/>
                <w:lang w:val="en-US"/>
              </w:rPr>
            </w:pPr>
            <w:r w:rsidRPr="007D0A9E">
              <w:rPr>
                <w:sz w:val="14"/>
                <w:szCs w:val="14"/>
                <w:lang w:val="en-US"/>
              </w:rPr>
              <w:t>Arctic Summer Sea Ice</w:t>
            </w:r>
          </w:p>
        </w:tc>
        <w:tc>
          <w:tcPr>
            <w:tcW w:w="839" w:type="dxa"/>
          </w:tcPr>
          <w:p w14:paraId="365714A2" w14:textId="77777777" w:rsidR="00890DAB" w:rsidRPr="007D0A9E" w:rsidRDefault="00890DAB" w:rsidP="00EF1CFD">
            <w:pPr>
              <w:spacing w:line="480" w:lineRule="auto"/>
              <w:rPr>
                <w:sz w:val="14"/>
                <w:szCs w:val="14"/>
                <w:lang w:val="en-US"/>
              </w:rPr>
            </w:pPr>
            <w:r w:rsidRPr="007D0A9E">
              <w:rPr>
                <w:sz w:val="14"/>
                <w:szCs w:val="14"/>
              </w:rPr>
              <w:t>incomplete</w:t>
            </w:r>
          </w:p>
        </w:tc>
        <w:tc>
          <w:tcPr>
            <w:tcW w:w="4934" w:type="dxa"/>
          </w:tcPr>
          <w:p w14:paraId="45BF593A" w14:textId="77777777" w:rsidR="00890DAB" w:rsidRPr="007D0A9E" w:rsidRDefault="00890DAB" w:rsidP="00EF1CFD">
            <w:pPr>
              <w:spacing w:line="480" w:lineRule="auto"/>
              <w:rPr>
                <w:sz w:val="14"/>
                <w:szCs w:val="14"/>
                <w:lang w:val="en-US"/>
              </w:rPr>
            </w:pPr>
            <w:r w:rsidRPr="007D0A9E">
              <w:rPr>
                <w:sz w:val="14"/>
                <w:szCs w:val="14"/>
                <w:lang w:val="en-US"/>
              </w:rPr>
              <w:t>“most CMIP6 models fail to simulate at the same time a plausible evolution of sea-ice area and of global mean surface temperature” (Notz and SIMIP Community, 2020)</w:t>
            </w:r>
          </w:p>
        </w:tc>
        <w:tc>
          <w:tcPr>
            <w:tcW w:w="1130" w:type="dxa"/>
          </w:tcPr>
          <w:p w14:paraId="58CEDFC2" w14:textId="77777777" w:rsidR="00890DAB" w:rsidRPr="007D0A9E" w:rsidRDefault="00890DAB" w:rsidP="00EF1CFD">
            <w:pPr>
              <w:spacing w:line="480" w:lineRule="auto"/>
              <w:rPr>
                <w:sz w:val="14"/>
                <w:szCs w:val="14"/>
                <w:lang w:val="en-US"/>
              </w:rPr>
            </w:pPr>
            <w:r w:rsidRPr="007D0A9E">
              <w:rPr>
                <w:sz w:val="14"/>
                <w:szCs w:val="14"/>
                <w:lang w:val="en-US"/>
              </w:rPr>
              <w:t>high</w:t>
            </w:r>
          </w:p>
        </w:tc>
        <w:tc>
          <w:tcPr>
            <w:tcW w:w="993" w:type="dxa"/>
          </w:tcPr>
          <w:p w14:paraId="136AFF94" w14:textId="77777777" w:rsidR="00890DAB" w:rsidRPr="007D0A9E" w:rsidRDefault="00890DAB" w:rsidP="00EF1CFD">
            <w:pPr>
              <w:spacing w:line="480" w:lineRule="auto"/>
              <w:rPr>
                <w:sz w:val="14"/>
                <w:szCs w:val="14"/>
                <w:lang w:val="en-US"/>
              </w:rPr>
            </w:pPr>
            <w:r w:rsidRPr="007D0A9E">
              <w:rPr>
                <w:sz w:val="14"/>
                <w:szCs w:val="14"/>
                <w:lang w:val="en-US"/>
              </w:rPr>
              <w:t>moderate to high</w:t>
            </w:r>
          </w:p>
        </w:tc>
      </w:tr>
      <w:tr w:rsidR="00890DAB" w:rsidRPr="00CE5A48" w14:paraId="15AD3920" w14:textId="77777777" w:rsidTr="00EF1CFD">
        <w:trPr>
          <w:trHeight w:val="630"/>
        </w:trPr>
        <w:tc>
          <w:tcPr>
            <w:tcW w:w="553" w:type="dxa"/>
            <w:vMerge/>
            <w:hideMark/>
          </w:tcPr>
          <w:p w14:paraId="239802BF" w14:textId="77777777" w:rsidR="00890DAB" w:rsidRPr="007D0A9E" w:rsidRDefault="00890DAB" w:rsidP="00EF1CFD">
            <w:pPr>
              <w:spacing w:line="480" w:lineRule="auto"/>
              <w:rPr>
                <w:sz w:val="14"/>
                <w:szCs w:val="14"/>
                <w:lang w:val="en-US"/>
              </w:rPr>
            </w:pPr>
          </w:p>
        </w:tc>
        <w:tc>
          <w:tcPr>
            <w:tcW w:w="901" w:type="dxa"/>
            <w:noWrap/>
            <w:hideMark/>
          </w:tcPr>
          <w:p w14:paraId="19AE2C2F" w14:textId="77777777" w:rsidR="00890DAB" w:rsidRPr="007D0A9E" w:rsidRDefault="00890DAB" w:rsidP="00EF1CFD">
            <w:pPr>
              <w:spacing w:line="480" w:lineRule="auto"/>
              <w:rPr>
                <w:sz w:val="14"/>
                <w:szCs w:val="14"/>
                <w:lang w:val="en-US"/>
              </w:rPr>
            </w:pPr>
            <w:r w:rsidRPr="007D0A9E">
              <w:rPr>
                <w:sz w:val="14"/>
                <w:szCs w:val="14"/>
                <w:lang w:val="en-US"/>
              </w:rPr>
              <w:t>LAND</w:t>
            </w:r>
          </w:p>
          <w:p w14:paraId="49E1D5E6" w14:textId="77777777" w:rsidR="00890DAB" w:rsidRPr="007D0A9E" w:rsidRDefault="00890DAB" w:rsidP="00EF1CFD">
            <w:pPr>
              <w:spacing w:line="480" w:lineRule="auto"/>
              <w:rPr>
                <w:sz w:val="14"/>
                <w:szCs w:val="14"/>
                <w:lang w:val="en-US"/>
              </w:rPr>
            </w:pPr>
            <w:r w:rsidRPr="007D0A9E">
              <w:rPr>
                <w:sz w:val="14"/>
                <w:szCs w:val="14"/>
                <w:lang w:val="en-US"/>
              </w:rPr>
              <w:t>Global Land Carbon Sink</w:t>
            </w:r>
          </w:p>
        </w:tc>
        <w:tc>
          <w:tcPr>
            <w:tcW w:w="839" w:type="dxa"/>
          </w:tcPr>
          <w:p w14:paraId="77D7B5B0" w14:textId="77777777" w:rsidR="00890DAB" w:rsidRPr="007D0A9E" w:rsidRDefault="00890DAB" w:rsidP="00EF1CFD">
            <w:pPr>
              <w:spacing w:line="480" w:lineRule="auto"/>
              <w:rPr>
                <w:sz w:val="14"/>
                <w:szCs w:val="14"/>
                <w:lang w:val="en-US"/>
              </w:rPr>
            </w:pPr>
            <w:r w:rsidRPr="007D0A9E">
              <w:rPr>
                <w:sz w:val="14"/>
                <w:szCs w:val="14"/>
              </w:rPr>
              <w:t>incomplete</w:t>
            </w:r>
          </w:p>
        </w:tc>
        <w:tc>
          <w:tcPr>
            <w:tcW w:w="4934" w:type="dxa"/>
          </w:tcPr>
          <w:p w14:paraId="296218AD" w14:textId="77777777" w:rsidR="00890DAB" w:rsidRPr="007D0A9E" w:rsidRDefault="00890DAB" w:rsidP="00EF1CFD">
            <w:pPr>
              <w:spacing w:line="480" w:lineRule="auto"/>
              <w:rPr>
                <w:sz w:val="14"/>
                <w:szCs w:val="14"/>
                <w:lang w:val="en-US"/>
              </w:rPr>
            </w:pPr>
            <w:r w:rsidRPr="007D0A9E">
              <w:rPr>
                <w:sz w:val="14"/>
                <w:szCs w:val="14"/>
                <w:lang w:val="en-US"/>
              </w:rPr>
              <w:t xml:space="preserve">“soil carbon is still heavily underestimated in high northern latitudes (with the exception of the two CMIP6 models that represent deep soil carbon)” </w:t>
            </w:r>
          </w:p>
          <w:p w14:paraId="33596284" w14:textId="77777777" w:rsidR="00890DAB" w:rsidRPr="007D0A9E" w:rsidRDefault="00890DAB" w:rsidP="00EF1CFD">
            <w:pPr>
              <w:spacing w:line="480" w:lineRule="auto"/>
              <w:rPr>
                <w:sz w:val="14"/>
                <w:szCs w:val="14"/>
                <w:lang w:val="en-US"/>
              </w:rPr>
            </w:pPr>
            <w:r w:rsidRPr="007D0A9E">
              <w:rPr>
                <w:sz w:val="14"/>
                <w:szCs w:val="14"/>
                <w:lang w:val="en-US"/>
              </w:rPr>
              <w:t>“Overall, we are not able to identify significant improvements in the simulation of the observed spatial pattern of soil carbon across the globe from the CMIP5 to</w:t>
            </w:r>
          </w:p>
          <w:p w14:paraId="0725283D" w14:textId="77777777" w:rsidR="00890DAB" w:rsidRPr="007D0A9E" w:rsidRDefault="00890DAB" w:rsidP="00EF1CFD">
            <w:pPr>
              <w:spacing w:line="480" w:lineRule="auto"/>
              <w:rPr>
                <w:sz w:val="14"/>
                <w:szCs w:val="14"/>
                <w:lang w:val="en-US"/>
              </w:rPr>
            </w:pPr>
            <w:r w:rsidRPr="007D0A9E">
              <w:rPr>
                <w:sz w:val="14"/>
                <w:szCs w:val="14"/>
                <w:lang w:val="en-US"/>
              </w:rPr>
              <w:t>CMIP6 generation “</w:t>
            </w:r>
            <w:r w:rsidRPr="007D0A9E">
              <w:rPr>
                <w:sz w:val="14"/>
                <w:szCs w:val="14"/>
                <w:lang w:val="en-US"/>
              </w:rPr>
              <w:br/>
              <w:t>“…point to a need for a much greater emphasis on improving the representation of belowground soil processes in the next generation (CMIP7) of ESMs.”</w:t>
            </w:r>
          </w:p>
          <w:p w14:paraId="37856E2C" w14:textId="77777777" w:rsidR="00890DAB" w:rsidRPr="007D0A9E" w:rsidRDefault="00890DAB" w:rsidP="00EF1CFD">
            <w:pPr>
              <w:spacing w:line="480" w:lineRule="auto"/>
              <w:rPr>
                <w:sz w:val="14"/>
                <w:szCs w:val="14"/>
                <w:lang w:val="en-US"/>
              </w:rPr>
            </w:pPr>
            <w:r w:rsidRPr="007D0A9E">
              <w:rPr>
                <w:sz w:val="14"/>
                <w:szCs w:val="14"/>
                <w:lang w:val="en-US"/>
              </w:rPr>
              <w:t>(Varney et al., 2022)</w:t>
            </w:r>
          </w:p>
        </w:tc>
        <w:tc>
          <w:tcPr>
            <w:tcW w:w="1130" w:type="dxa"/>
          </w:tcPr>
          <w:p w14:paraId="14E068CD" w14:textId="77777777" w:rsidR="00890DAB" w:rsidRPr="007D0A9E" w:rsidRDefault="00890DAB" w:rsidP="00EF1CFD">
            <w:pPr>
              <w:spacing w:line="480" w:lineRule="auto"/>
              <w:rPr>
                <w:sz w:val="14"/>
                <w:szCs w:val="14"/>
                <w:lang w:val="en-US"/>
              </w:rPr>
            </w:pPr>
          </w:p>
        </w:tc>
        <w:tc>
          <w:tcPr>
            <w:tcW w:w="993" w:type="dxa"/>
          </w:tcPr>
          <w:p w14:paraId="002139A6" w14:textId="77777777" w:rsidR="00890DAB" w:rsidRPr="007D0A9E" w:rsidRDefault="00890DAB" w:rsidP="00EF1CFD">
            <w:pPr>
              <w:spacing w:line="480" w:lineRule="auto"/>
              <w:rPr>
                <w:sz w:val="14"/>
                <w:szCs w:val="14"/>
                <w:lang w:val="en-US"/>
              </w:rPr>
            </w:pPr>
          </w:p>
        </w:tc>
      </w:tr>
      <w:tr w:rsidR="00890DAB" w:rsidRPr="00890DAB" w14:paraId="46900096" w14:textId="77777777" w:rsidTr="00EF1CFD">
        <w:trPr>
          <w:trHeight w:val="630"/>
        </w:trPr>
        <w:tc>
          <w:tcPr>
            <w:tcW w:w="553" w:type="dxa"/>
            <w:vMerge/>
            <w:hideMark/>
          </w:tcPr>
          <w:p w14:paraId="31752D5C" w14:textId="77777777" w:rsidR="00890DAB" w:rsidRPr="007D0A9E" w:rsidRDefault="00890DAB" w:rsidP="00EF1CFD">
            <w:pPr>
              <w:spacing w:line="480" w:lineRule="auto"/>
              <w:rPr>
                <w:sz w:val="14"/>
                <w:szCs w:val="14"/>
                <w:lang w:val="en-US"/>
              </w:rPr>
            </w:pPr>
          </w:p>
        </w:tc>
        <w:tc>
          <w:tcPr>
            <w:tcW w:w="901" w:type="dxa"/>
            <w:noWrap/>
            <w:hideMark/>
          </w:tcPr>
          <w:p w14:paraId="7759F51F" w14:textId="77777777" w:rsidR="00890DAB" w:rsidRPr="007D0A9E" w:rsidRDefault="00890DAB" w:rsidP="00EF1CFD">
            <w:pPr>
              <w:spacing w:line="480" w:lineRule="auto"/>
              <w:rPr>
                <w:sz w:val="14"/>
                <w:szCs w:val="14"/>
              </w:rPr>
            </w:pPr>
            <w:r w:rsidRPr="007D0A9E">
              <w:rPr>
                <w:sz w:val="14"/>
                <w:szCs w:val="14"/>
              </w:rPr>
              <w:t>PUMP</w:t>
            </w:r>
          </w:p>
          <w:p w14:paraId="511D9C59" w14:textId="77777777" w:rsidR="00890DAB" w:rsidRPr="007D0A9E" w:rsidRDefault="00890DAB" w:rsidP="00EF1CFD">
            <w:pPr>
              <w:spacing w:line="480" w:lineRule="auto"/>
              <w:rPr>
                <w:sz w:val="14"/>
                <w:szCs w:val="14"/>
              </w:rPr>
            </w:pPr>
            <w:r w:rsidRPr="007D0A9E">
              <w:rPr>
                <w:sz w:val="14"/>
                <w:szCs w:val="14"/>
              </w:rPr>
              <w:t xml:space="preserve">Ocean </w:t>
            </w:r>
            <w:proofErr w:type="spellStart"/>
            <w:r w:rsidRPr="007D0A9E">
              <w:rPr>
                <w:sz w:val="14"/>
                <w:szCs w:val="14"/>
              </w:rPr>
              <w:t>Biological</w:t>
            </w:r>
            <w:proofErr w:type="spellEnd"/>
            <w:r w:rsidRPr="007D0A9E">
              <w:rPr>
                <w:sz w:val="14"/>
                <w:szCs w:val="14"/>
              </w:rPr>
              <w:t xml:space="preserve"> Pump</w:t>
            </w:r>
          </w:p>
        </w:tc>
        <w:tc>
          <w:tcPr>
            <w:tcW w:w="839" w:type="dxa"/>
          </w:tcPr>
          <w:p w14:paraId="7803E65C" w14:textId="77777777" w:rsidR="00890DAB" w:rsidRPr="007D0A9E" w:rsidRDefault="00890DAB" w:rsidP="00EF1CFD">
            <w:pPr>
              <w:spacing w:line="480" w:lineRule="auto"/>
              <w:rPr>
                <w:sz w:val="14"/>
                <w:szCs w:val="14"/>
              </w:rPr>
            </w:pPr>
            <w:r w:rsidRPr="007D0A9E">
              <w:rPr>
                <w:sz w:val="14"/>
                <w:szCs w:val="14"/>
                <w:lang w:val="en-US"/>
              </w:rPr>
              <w:t>to some extent</w:t>
            </w:r>
          </w:p>
        </w:tc>
        <w:tc>
          <w:tcPr>
            <w:tcW w:w="4934" w:type="dxa"/>
          </w:tcPr>
          <w:p w14:paraId="48A94411" w14:textId="77777777" w:rsidR="00890DAB" w:rsidRPr="007D0A9E" w:rsidRDefault="00890DAB" w:rsidP="00EF1CFD">
            <w:pPr>
              <w:spacing w:line="480" w:lineRule="auto"/>
              <w:rPr>
                <w:sz w:val="14"/>
                <w:szCs w:val="14"/>
                <w:lang w:val="en-US"/>
              </w:rPr>
            </w:pPr>
            <w:r w:rsidRPr="007D0A9E">
              <w:rPr>
                <w:sz w:val="14"/>
                <w:szCs w:val="14"/>
                <w:lang w:val="en-US"/>
              </w:rPr>
              <w:t xml:space="preserve">“These results …demonstrate that Earth system models need to incorporate ecological complexity in order to resolve non-linear climate–biosphere feedbacks.”(Armstrong McKay et al. 2021) – however, the net reduction in carbon sink observed by these authors does not seem substantial (0.7%) </w:t>
            </w:r>
          </w:p>
        </w:tc>
        <w:tc>
          <w:tcPr>
            <w:tcW w:w="1130" w:type="dxa"/>
          </w:tcPr>
          <w:p w14:paraId="20A528B4" w14:textId="77777777" w:rsidR="00890DAB" w:rsidRPr="007D0A9E" w:rsidRDefault="00890DAB" w:rsidP="00EF1CFD">
            <w:pPr>
              <w:spacing w:line="480" w:lineRule="auto"/>
              <w:rPr>
                <w:sz w:val="14"/>
                <w:szCs w:val="14"/>
                <w:lang w:val="en-US"/>
              </w:rPr>
            </w:pPr>
          </w:p>
        </w:tc>
        <w:tc>
          <w:tcPr>
            <w:tcW w:w="993" w:type="dxa"/>
          </w:tcPr>
          <w:p w14:paraId="7B1743C6" w14:textId="77777777" w:rsidR="00890DAB" w:rsidRPr="007D0A9E" w:rsidRDefault="00890DAB" w:rsidP="00EF1CFD">
            <w:pPr>
              <w:spacing w:line="480" w:lineRule="auto"/>
              <w:rPr>
                <w:sz w:val="14"/>
                <w:szCs w:val="14"/>
                <w:lang w:val="en-US"/>
              </w:rPr>
            </w:pPr>
          </w:p>
        </w:tc>
      </w:tr>
      <w:tr w:rsidR="00890DAB" w:rsidRPr="00C211E9" w14:paraId="1ABA95D6" w14:textId="77777777" w:rsidTr="00EF1CFD">
        <w:trPr>
          <w:trHeight w:val="645"/>
        </w:trPr>
        <w:tc>
          <w:tcPr>
            <w:tcW w:w="553" w:type="dxa"/>
            <w:vMerge/>
            <w:hideMark/>
          </w:tcPr>
          <w:p w14:paraId="1D73457F" w14:textId="77777777" w:rsidR="00890DAB" w:rsidRPr="007D0A9E" w:rsidRDefault="00890DAB" w:rsidP="00EF1CFD">
            <w:pPr>
              <w:spacing w:line="480" w:lineRule="auto"/>
              <w:rPr>
                <w:sz w:val="14"/>
                <w:szCs w:val="14"/>
                <w:lang w:val="en-US"/>
              </w:rPr>
            </w:pPr>
          </w:p>
        </w:tc>
        <w:tc>
          <w:tcPr>
            <w:tcW w:w="901" w:type="dxa"/>
            <w:vAlign w:val="bottom"/>
            <w:hideMark/>
          </w:tcPr>
          <w:p w14:paraId="6A3DEC28" w14:textId="77777777" w:rsidR="00890DAB" w:rsidRPr="007D0A9E" w:rsidRDefault="00890DAB" w:rsidP="00EF1CFD">
            <w:pPr>
              <w:spacing w:line="480" w:lineRule="auto"/>
              <w:rPr>
                <w:sz w:val="14"/>
                <w:szCs w:val="14"/>
              </w:rPr>
            </w:pPr>
            <w:r w:rsidRPr="007D0A9E">
              <w:rPr>
                <w:sz w:val="14"/>
                <w:szCs w:val="14"/>
              </w:rPr>
              <w:t xml:space="preserve">MMHD Marine </w:t>
            </w:r>
            <w:proofErr w:type="spellStart"/>
            <w:r w:rsidRPr="007D0A9E">
              <w:rPr>
                <w:sz w:val="14"/>
                <w:szCs w:val="14"/>
              </w:rPr>
              <w:t>Methane</w:t>
            </w:r>
            <w:proofErr w:type="spellEnd"/>
            <w:r w:rsidRPr="007D0A9E">
              <w:rPr>
                <w:sz w:val="14"/>
                <w:szCs w:val="14"/>
              </w:rPr>
              <w:t xml:space="preserve"> </w:t>
            </w:r>
            <w:proofErr w:type="spellStart"/>
            <w:r w:rsidRPr="007D0A9E">
              <w:rPr>
                <w:sz w:val="14"/>
                <w:szCs w:val="14"/>
              </w:rPr>
              <w:t>Hydrates</w:t>
            </w:r>
            <w:proofErr w:type="spellEnd"/>
          </w:p>
        </w:tc>
        <w:tc>
          <w:tcPr>
            <w:tcW w:w="839" w:type="dxa"/>
          </w:tcPr>
          <w:p w14:paraId="64999E42" w14:textId="77777777" w:rsidR="00890DAB" w:rsidRPr="007D0A9E" w:rsidRDefault="00890DAB" w:rsidP="00EF1CFD">
            <w:pPr>
              <w:spacing w:line="480" w:lineRule="auto"/>
              <w:rPr>
                <w:sz w:val="14"/>
                <w:szCs w:val="14"/>
                <w:highlight w:val="yellow"/>
                <w:lang w:val="en-US"/>
              </w:rPr>
            </w:pPr>
            <w:r w:rsidRPr="007D0A9E">
              <w:rPr>
                <w:sz w:val="14"/>
                <w:szCs w:val="14"/>
                <w:lang w:val="en-US"/>
              </w:rPr>
              <w:t xml:space="preserve">not relevant in </w:t>
            </w:r>
            <w:proofErr w:type="spellStart"/>
            <w:r w:rsidRPr="007D0A9E">
              <w:rPr>
                <w:sz w:val="14"/>
                <w:szCs w:val="14"/>
                <w:lang w:val="en-US"/>
              </w:rPr>
              <w:t>tis</w:t>
            </w:r>
            <w:proofErr w:type="spellEnd"/>
            <w:r w:rsidRPr="007D0A9E">
              <w:rPr>
                <w:sz w:val="14"/>
                <w:szCs w:val="14"/>
                <w:lang w:val="en-US"/>
              </w:rPr>
              <w:t xml:space="preserve"> context because of time scale</w:t>
            </w:r>
          </w:p>
        </w:tc>
        <w:tc>
          <w:tcPr>
            <w:tcW w:w="4934" w:type="dxa"/>
          </w:tcPr>
          <w:p w14:paraId="7459411C" w14:textId="77777777" w:rsidR="00890DAB" w:rsidRPr="007D0A9E" w:rsidRDefault="00890DAB" w:rsidP="00EF1CFD">
            <w:pPr>
              <w:spacing w:line="480" w:lineRule="auto"/>
              <w:rPr>
                <w:sz w:val="14"/>
                <w:szCs w:val="14"/>
                <w:lang w:val="en-US"/>
              </w:rPr>
            </w:pPr>
            <w:r w:rsidRPr="007D0A9E">
              <w:rPr>
                <w:sz w:val="14"/>
                <w:szCs w:val="14"/>
                <w:lang w:val="en-US"/>
              </w:rPr>
              <w:t xml:space="preserve">Dissociation time scales are centuries to millennia (Wang et al., 2023). </w:t>
            </w:r>
          </w:p>
        </w:tc>
        <w:tc>
          <w:tcPr>
            <w:tcW w:w="1130" w:type="dxa"/>
          </w:tcPr>
          <w:p w14:paraId="1F23C809" w14:textId="77777777" w:rsidR="00890DAB" w:rsidRPr="007D0A9E" w:rsidRDefault="00890DAB" w:rsidP="00EF1CFD">
            <w:pPr>
              <w:spacing w:line="480" w:lineRule="auto"/>
              <w:rPr>
                <w:sz w:val="14"/>
                <w:szCs w:val="14"/>
                <w:lang w:val="en-US"/>
              </w:rPr>
            </w:pPr>
            <w:r w:rsidRPr="007D0A9E">
              <w:rPr>
                <w:sz w:val="14"/>
                <w:szCs w:val="14"/>
                <w:lang w:val="en-US"/>
              </w:rPr>
              <w:t>moderate</w:t>
            </w:r>
          </w:p>
        </w:tc>
        <w:tc>
          <w:tcPr>
            <w:tcW w:w="993" w:type="dxa"/>
          </w:tcPr>
          <w:p w14:paraId="3ABDB44C" w14:textId="77777777" w:rsidR="00890DAB" w:rsidRPr="007D0A9E" w:rsidRDefault="00890DAB" w:rsidP="00EF1CFD">
            <w:pPr>
              <w:spacing w:line="480" w:lineRule="auto"/>
              <w:rPr>
                <w:sz w:val="14"/>
                <w:szCs w:val="14"/>
                <w:lang w:val="en-US"/>
              </w:rPr>
            </w:pPr>
            <w:r w:rsidRPr="007D0A9E">
              <w:rPr>
                <w:sz w:val="14"/>
                <w:szCs w:val="14"/>
                <w:lang w:val="en-US"/>
              </w:rPr>
              <w:t>low</w:t>
            </w:r>
          </w:p>
        </w:tc>
      </w:tr>
    </w:tbl>
    <w:p w14:paraId="0312FE80" w14:textId="77777777" w:rsidR="00890DAB" w:rsidRPr="00F5771E" w:rsidRDefault="00890DAB" w:rsidP="00890DAB">
      <w:pPr>
        <w:pStyle w:val="Heading-Main"/>
        <w:rPr>
          <w:b w:val="0"/>
          <w:bCs w:val="0"/>
        </w:rPr>
      </w:pPr>
      <w:r w:rsidRPr="00F5771E">
        <w:rPr>
          <w:b w:val="0"/>
          <w:bCs w:val="0"/>
          <w:vertAlign w:val="superscript"/>
        </w:rPr>
        <w:t>a</w:t>
      </w:r>
      <w:r w:rsidRPr="00F5771E">
        <w:rPr>
          <w:b w:val="0"/>
          <w:bCs w:val="0"/>
        </w:rPr>
        <w:t xml:space="preserve"> </w:t>
      </w:r>
      <w:r w:rsidRPr="00115394">
        <w:rPr>
          <w:b w:val="0"/>
          <w:bCs w:val="0"/>
          <w:i/>
          <w:iCs/>
        </w:rPr>
        <w:t>Greenland and Antarctic ice sheets jointly considered by Wang et al. (2023)</w:t>
      </w:r>
    </w:p>
    <w:p w14:paraId="0ABA1A1E" w14:textId="77777777" w:rsidR="00890DAB" w:rsidRPr="00115394" w:rsidRDefault="00890DAB" w:rsidP="00890DAB">
      <w:pPr>
        <w:pStyle w:val="Heading-Main"/>
        <w:rPr>
          <w:b w:val="0"/>
          <w:bCs w:val="0"/>
          <w:i/>
          <w:iCs/>
        </w:rPr>
      </w:pPr>
      <w:r w:rsidRPr="00F5771E">
        <w:rPr>
          <w:b w:val="0"/>
          <w:bCs w:val="0"/>
          <w:vertAlign w:val="superscript"/>
        </w:rPr>
        <w:t>b</w:t>
      </w:r>
      <w:r w:rsidRPr="00F5771E">
        <w:rPr>
          <w:b w:val="0"/>
          <w:bCs w:val="0"/>
        </w:rPr>
        <w:t xml:space="preserve"> </w:t>
      </w:r>
      <w:r w:rsidRPr="00115394">
        <w:rPr>
          <w:b w:val="0"/>
          <w:bCs w:val="0"/>
          <w:i/>
          <w:iCs/>
        </w:rPr>
        <w:t>Generic category</w:t>
      </w:r>
      <w:r w:rsidRPr="00F5771E">
        <w:rPr>
          <w:b w:val="0"/>
          <w:bCs w:val="0"/>
        </w:rPr>
        <w:t xml:space="preserve"> Permafrost carbon release </w:t>
      </w:r>
      <w:r w:rsidRPr="00115394">
        <w:rPr>
          <w:b w:val="0"/>
          <w:bCs w:val="0"/>
          <w:i/>
          <w:iCs/>
        </w:rPr>
        <w:t>in Wang et al. (2023)</w:t>
      </w:r>
    </w:p>
    <w:p w14:paraId="0A72C663" w14:textId="77777777" w:rsidR="00B50F97" w:rsidRDefault="00B50F97" w:rsidP="00774DDD"/>
    <w:sectPr w:rsidR="00B50F97" w:rsidSect="00774DDD">
      <w:pgSz w:w="11907" w:h="1683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DAB"/>
    <w:rsid w:val="000941E3"/>
    <w:rsid w:val="000A4346"/>
    <w:rsid w:val="003D5608"/>
    <w:rsid w:val="0046467D"/>
    <w:rsid w:val="00774DDD"/>
    <w:rsid w:val="00853BEA"/>
    <w:rsid w:val="00890DAB"/>
    <w:rsid w:val="008D232B"/>
    <w:rsid w:val="00B50F97"/>
    <w:rsid w:val="00B96526"/>
    <w:rsid w:val="00C13F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EB151"/>
  <w15:chartTrackingRefBased/>
  <w15:docId w15:val="{6859AD1A-04B6-46A7-8F21-8BFD4235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5" w:lineRule="atLeast"/>
    </w:pPr>
    <w:rPr>
      <w:rFonts w:ascii="Calibri Light" w:hAnsi="Calibri Light" w:cs="Calibri Light"/>
      <w:kern w:val="0"/>
    </w:rPr>
  </w:style>
  <w:style w:type="paragraph" w:styleId="Heading1">
    <w:name w:val="heading 1"/>
    <w:basedOn w:val="Normal"/>
    <w:next w:val="Normal"/>
    <w:link w:val="Heading1Char"/>
    <w:uiPriority w:val="9"/>
    <w:qFormat/>
    <w:rsid w:val="00890D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0D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0DA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0DA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90DA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90DA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90DA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90DA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90DA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DAB"/>
    <w:rPr>
      <w:rFonts w:asciiTheme="majorHAnsi" w:eastAsiaTheme="majorEastAsia" w:hAnsiTheme="majorHAnsi" w:cstheme="majorBidi"/>
      <w:color w:val="0F4761" w:themeColor="accent1" w:themeShade="BF"/>
      <w:kern w:val="0"/>
      <w:sz w:val="40"/>
      <w:szCs w:val="40"/>
    </w:rPr>
  </w:style>
  <w:style w:type="character" w:customStyle="1" w:styleId="Heading2Char">
    <w:name w:val="Heading 2 Char"/>
    <w:basedOn w:val="DefaultParagraphFont"/>
    <w:link w:val="Heading2"/>
    <w:uiPriority w:val="9"/>
    <w:semiHidden/>
    <w:rsid w:val="00890DAB"/>
    <w:rPr>
      <w:rFonts w:asciiTheme="majorHAnsi" w:eastAsiaTheme="majorEastAsia" w:hAnsiTheme="majorHAnsi" w:cstheme="majorBidi"/>
      <w:color w:val="0F4761" w:themeColor="accent1" w:themeShade="BF"/>
      <w:kern w:val="0"/>
      <w:sz w:val="32"/>
      <w:szCs w:val="32"/>
    </w:rPr>
  </w:style>
  <w:style w:type="character" w:customStyle="1" w:styleId="Heading3Char">
    <w:name w:val="Heading 3 Char"/>
    <w:basedOn w:val="DefaultParagraphFont"/>
    <w:link w:val="Heading3"/>
    <w:uiPriority w:val="9"/>
    <w:semiHidden/>
    <w:rsid w:val="00890DAB"/>
    <w:rPr>
      <w:rFonts w:eastAsiaTheme="majorEastAsia" w:cstheme="majorBidi"/>
      <w:color w:val="0F4761" w:themeColor="accent1" w:themeShade="BF"/>
      <w:kern w:val="0"/>
      <w:sz w:val="28"/>
      <w:szCs w:val="28"/>
    </w:rPr>
  </w:style>
  <w:style w:type="character" w:customStyle="1" w:styleId="Heading4Char">
    <w:name w:val="Heading 4 Char"/>
    <w:basedOn w:val="DefaultParagraphFont"/>
    <w:link w:val="Heading4"/>
    <w:uiPriority w:val="9"/>
    <w:semiHidden/>
    <w:rsid w:val="00890DAB"/>
    <w:rPr>
      <w:rFonts w:eastAsiaTheme="majorEastAsia" w:cstheme="majorBidi"/>
      <w:i/>
      <w:iCs/>
      <w:color w:val="0F4761" w:themeColor="accent1" w:themeShade="BF"/>
      <w:kern w:val="0"/>
    </w:rPr>
  </w:style>
  <w:style w:type="character" w:customStyle="1" w:styleId="Heading5Char">
    <w:name w:val="Heading 5 Char"/>
    <w:basedOn w:val="DefaultParagraphFont"/>
    <w:link w:val="Heading5"/>
    <w:uiPriority w:val="9"/>
    <w:semiHidden/>
    <w:rsid w:val="00890DAB"/>
    <w:rPr>
      <w:rFonts w:eastAsiaTheme="majorEastAsia" w:cstheme="majorBidi"/>
      <w:color w:val="0F4761" w:themeColor="accent1" w:themeShade="BF"/>
      <w:kern w:val="0"/>
    </w:rPr>
  </w:style>
  <w:style w:type="character" w:customStyle="1" w:styleId="Heading6Char">
    <w:name w:val="Heading 6 Char"/>
    <w:basedOn w:val="DefaultParagraphFont"/>
    <w:link w:val="Heading6"/>
    <w:uiPriority w:val="9"/>
    <w:semiHidden/>
    <w:rsid w:val="00890DAB"/>
    <w:rPr>
      <w:rFonts w:eastAsiaTheme="majorEastAsia" w:cstheme="majorBidi"/>
      <w:i/>
      <w:iCs/>
      <w:color w:val="595959" w:themeColor="text1" w:themeTint="A6"/>
      <w:kern w:val="0"/>
    </w:rPr>
  </w:style>
  <w:style w:type="character" w:customStyle="1" w:styleId="Heading7Char">
    <w:name w:val="Heading 7 Char"/>
    <w:basedOn w:val="DefaultParagraphFont"/>
    <w:link w:val="Heading7"/>
    <w:uiPriority w:val="9"/>
    <w:semiHidden/>
    <w:rsid w:val="00890DAB"/>
    <w:rPr>
      <w:rFonts w:eastAsiaTheme="majorEastAsia" w:cstheme="majorBidi"/>
      <w:color w:val="595959" w:themeColor="text1" w:themeTint="A6"/>
      <w:kern w:val="0"/>
    </w:rPr>
  </w:style>
  <w:style w:type="character" w:customStyle="1" w:styleId="Heading8Char">
    <w:name w:val="Heading 8 Char"/>
    <w:basedOn w:val="DefaultParagraphFont"/>
    <w:link w:val="Heading8"/>
    <w:uiPriority w:val="9"/>
    <w:semiHidden/>
    <w:rsid w:val="00890DAB"/>
    <w:rPr>
      <w:rFonts w:eastAsiaTheme="majorEastAsia" w:cstheme="majorBidi"/>
      <w:i/>
      <w:iCs/>
      <w:color w:val="272727" w:themeColor="text1" w:themeTint="D8"/>
      <w:kern w:val="0"/>
    </w:rPr>
  </w:style>
  <w:style w:type="character" w:customStyle="1" w:styleId="Heading9Char">
    <w:name w:val="Heading 9 Char"/>
    <w:basedOn w:val="DefaultParagraphFont"/>
    <w:link w:val="Heading9"/>
    <w:uiPriority w:val="9"/>
    <w:semiHidden/>
    <w:rsid w:val="00890DAB"/>
    <w:rPr>
      <w:rFonts w:eastAsiaTheme="majorEastAsia" w:cstheme="majorBidi"/>
      <w:color w:val="272727" w:themeColor="text1" w:themeTint="D8"/>
      <w:kern w:val="0"/>
    </w:rPr>
  </w:style>
  <w:style w:type="paragraph" w:styleId="Title">
    <w:name w:val="Title"/>
    <w:basedOn w:val="Normal"/>
    <w:next w:val="Normal"/>
    <w:link w:val="TitleChar"/>
    <w:uiPriority w:val="10"/>
    <w:qFormat/>
    <w:rsid w:val="00890D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0D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0DA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0DAB"/>
    <w:rPr>
      <w:rFonts w:eastAsiaTheme="majorEastAsia" w:cstheme="majorBidi"/>
      <w:color w:val="595959" w:themeColor="text1" w:themeTint="A6"/>
      <w:spacing w:val="15"/>
      <w:kern w:val="0"/>
      <w:sz w:val="28"/>
      <w:szCs w:val="28"/>
    </w:rPr>
  </w:style>
  <w:style w:type="paragraph" w:styleId="Quote">
    <w:name w:val="Quote"/>
    <w:basedOn w:val="Normal"/>
    <w:next w:val="Normal"/>
    <w:link w:val="QuoteChar"/>
    <w:uiPriority w:val="29"/>
    <w:qFormat/>
    <w:rsid w:val="00890DAB"/>
    <w:pPr>
      <w:spacing w:before="160"/>
      <w:jc w:val="center"/>
    </w:pPr>
    <w:rPr>
      <w:i/>
      <w:iCs/>
      <w:color w:val="404040" w:themeColor="text1" w:themeTint="BF"/>
    </w:rPr>
  </w:style>
  <w:style w:type="character" w:customStyle="1" w:styleId="QuoteChar">
    <w:name w:val="Quote Char"/>
    <w:basedOn w:val="DefaultParagraphFont"/>
    <w:link w:val="Quote"/>
    <w:uiPriority w:val="29"/>
    <w:rsid w:val="00890DAB"/>
    <w:rPr>
      <w:rFonts w:ascii="Calibri Light" w:hAnsi="Calibri Light" w:cs="Calibri Light"/>
      <w:i/>
      <w:iCs/>
      <w:color w:val="404040" w:themeColor="text1" w:themeTint="BF"/>
      <w:kern w:val="0"/>
    </w:rPr>
  </w:style>
  <w:style w:type="paragraph" w:styleId="ListParagraph">
    <w:name w:val="List Paragraph"/>
    <w:basedOn w:val="Normal"/>
    <w:uiPriority w:val="34"/>
    <w:qFormat/>
    <w:rsid w:val="00890DAB"/>
    <w:pPr>
      <w:ind w:left="720"/>
      <w:contextualSpacing/>
    </w:pPr>
  </w:style>
  <w:style w:type="character" w:styleId="IntenseEmphasis">
    <w:name w:val="Intense Emphasis"/>
    <w:basedOn w:val="DefaultParagraphFont"/>
    <w:uiPriority w:val="21"/>
    <w:qFormat/>
    <w:rsid w:val="00890DAB"/>
    <w:rPr>
      <w:i/>
      <w:iCs/>
      <w:color w:val="0F4761" w:themeColor="accent1" w:themeShade="BF"/>
    </w:rPr>
  </w:style>
  <w:style w:type="paragraph" w:styleId="IntenseQuote">
    <w:name w:val="Intense Quote"/>
    <w:basedOn w:val="Normal"/>
    <w:next w:val="Normal"/>
    <w:link w:val="IntenseQuoteChar"/>
    <w:uiPriority w:val="30"/>
    <w:qFormat/>
    <w:rsid w:val="00890D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0DAB"/>
    <w:rPr>
      <w:rFonts w:ascii="Calibri Light" w:hAnsi="Calibri Light" w:cs="Calibri Light"/>
      <w:i/>
      <w:iCs/>
      <w:color w:val="0F4761" w:themeColor="accent1" w:themeShade="BF"/>
      <w:kern w:val="0"/>
    </w:rPr>
  </w:style>
  <w:style w:type="character" w:styleId="IntenseReference">
    <w:name w:val="Intense Reference"/>
    <w:basedOn w:val="DefaultParagraphFont"/>
    <w:uiPriority w:val="32"/>
    <w:qFormat/>
    <w:rsid w:val="00890DAB"/>
    <w:rPr>
      <w:b/>
      <w:bCs/>
      <w:smallCaps/>
      <w:color w:val="0F4761" w:themeColor="accent1" w:themeShade="BF"/>
      <w:spacing w:val="5"/>
    </w:rPr>
  </w:style>
  <w:style w:type="paragraph" w:customStyle="1" w:styleId="Heading-Main">
    <w:name w:val="Heading-Main"/>
    <w:basedOn w:val="Normal"/>
    <w:rsid w:val="00890DAB"/>
    <w:pPr>
      <w:keepNext/>
      <w:spacing w:before="240" w:after="120" w:line="240" w:lineRule="auto"/>
      <w:outlineLvl w:val="0"/>
    </w:pPr>
    <w:rPr>
      <w:rFonts w:ascii="Times New Roman" w:eastAsia="Times New Roman" w:hAnsi="Times New Roman" w:cs="Times New Roman"/>
      <w:b/>
      <w:bCs/>
      <w:kern w:val="28"/>
      <w:sz w:val="24"/>
      <w:szCs w:val="24"/>
      <w:lang w:val="en-US"/>
      <w14:ligatures w14:val="none"/>
    </w:rPr>
  </w:style>
  <w:style w:type="table" w:styleId="TableGrid">
    <w:name w:val="Table Grid"/>
    <w:basedOn w:val="TableNormal"/>
    <w:uiPriority w:val="39"/>
    <w:rsid w:val="00890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1095</Words>
  <Characters>6025</Characters>
  <Application>Microsoft Office Word</Application>
  <DocSecurity>0</DocSecurity>
  <Lines>50</Lines>
  <Paragraphs>14</Paragraphs>
  <ScaleCrop>false</ScaleCrop>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Thienen, Peter van</dc:creator>
  <cp:keywords/>
  <dc:description/>
  <cp:lastModifiedBy>Thienen, Peter van</cp:lastModifiedBy>
  <cp:revision>2</cp:revision>
  <dcterms:created xsi:type="dcterms:W3CDTF">2024-07-03T09:20:00Z</dcterms:created>
  <dcterms:modified xsi:type="dcterms:W3CDTF">2024-07-03T09:21:00Z</dcterms:modified>
</cp:coreProperties>
</file>