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utenettabell1lysuthevingsfarge5"/>
        <w:tblW w:w="0" w:type="auto"/>
        <w:tblLook w:val="04A0" w:firstRow="1" w:lastRow="0" w:firstColumn="1" w:lastColumn="0" w:noHBand="0" w:noVBand="1"/>
      </w:tblPr>
      <w:tblGrid>
        <w:gridCol w:w="4531"/>
        <w:gridCol w:w="4531"/>
      </w:tblGrid>
      <w:tr w:rsidR="00AF7CD4" w:rsidRPr="00AF7CD4" w14:paraId="574E8D9E" w14:textId="77777777" w:rsidTr="00AF7C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D9E2F3" w:themeFill="accent1" w:themeFillTint="33"/>
          </w:tcPr>
          <w:p w14:paraId="37C06E47" w14:textId="2423AE41" w:rsidR="00AF7CD4" w:rsidRPr="00AF7CD4" w:rsidRDefault="00AF7CD4" w:rsidP="00AF7CD4">
            <w:pPr>
              <w:pStyle w:val="Rentekst"/>
            </w:pPr>
            <w:r w:rsidRPr="00AF7CD4">
              <w:t>Referee: 1</w:t>
            </w:r>
          </w:p>
        </w:tc>
        <w:tc>
          <w:tcPr>
            <w:tcW w:w="4531" w:type="dxa"/>
            <w:shd w:val="clear" w:color="auto" w:fill="D9E2F3" w:themeFill="accent1" w:themeFillTint="33"/>
          </w:tcPr>
          <w:p w14:paraId="6C536B76" w14:textId="6BCC16B0" w:rsidR="00AF7CD4" w:rsidRPr="00AF7CD4" w:rsidRDefault="00AF7CD4" w:rsidP="00AF7CD4">
            <w:pPr>
              <w:pStyle w:val="Rentekst"/>
              <w:cnfStyle w:val="100000000000" w:firstRow="1" w:lastRow="0" w:firstColumn="0" w:lastColumn="0" w:oddVBand="0" w:evenVBand="0" w:oddHBand="0" w:evenHBand="0" w:firstRowFirstColumn="0" w:firstRowLastColumn="0" w:lastRowFirstColumn="0" w:lastRowLastColumn="0"/>
            </w:pPr>
            <w:r w:rsidRPr="00AF7CD4">
              <w:t>Answer</w:t>
            </w:r>
          </w:p>
        </w:tc>
      </w:tr>
      <w:tr w:rsidR="00AF7CD4" w14:paraId="35069AA0"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7B9BDB0F" w14:textId="31C10179" w:rsidR="00AF7CD4" w:rsidRPr="00925A83" w:rsidRDefault="00151FC9" w:rsidP="00AF7CD4">
            <w:pPr>
              <w:pStyle w:val="Rentekst"/>
              <w:rPr>
                <w:b w:val="0"/>
                <w:bCs w:val="0"/>
              </w:rPr>
            </w:pPr>
            <w:r w:rsidRPr="00925A83">
              <w:rPr>
                <w:b w:val="0"/>
                <w:bCs w:val="0"/>
              </w:rPr>
              <w:t>The first is the lack of pre-analysis data in the paper</w:t>
            </w:r>
            <w:r w:rsidR="007D3BB5" w:rsidRPr="00925A83">
              <w:rPr>
                <w:b w:val="0"/>
                <w:bCs w:val="0"/>
              </w:rPr>
              <w:t>..</w:t>
            </w:r>
            <w:r w:rsidRPr="00925A83">
              <w:rPr>
                <w:b w:val="0"/>
                <w:bCs w:val="0"/>
              </w:rPr>
              <w:t>.</w:t>
            </w:r>
            <w:r w:rsidR="007D3BB5" w:rsidRPr="00925A83">
              <w:rPr>
                <w:b w:val="0"/>
                <w:bCs w:val="0"/>
              </w:rPr>
              <w:t xml:space="preserve"> However, n</w:t>
            </w:r>
            <w:r w:rsidR="007D3BB5" w:rsidRPr="00925A83">
              <w:rPr>
                <w:b w:val="0"/>
                <w:bCs w:val="0"/>
              </w:rPr>
              <w:t>owhere in the Ocean Literacy section is there a discussion of the actual ocean literacy in the public.</w:t>
            </w:r>
            <w:r w:rsidR="000721AD" w:rsidRPr="00925A83">
              <w:rPr>
                <w:b w:val="0"/>
                <w:bCs w:val="0"/>
              </w:rPr>
              <w:t xml:space="preserve"> I</w:t>
            </w:r>
            <w:r w:rsidR="000721AD" w:rsidRPr="00925A83">
              <w:rPr>
                <w:b w:val="0"/>
                <w:bCs w:val="0"/>
              </w:rPr>
              <w:t>t would be important to set the stage for the current lack of education on the central question of the paper, and how it is creating the problems we are seeing. Without it, the paper has a problem that has no clear metric. As such, it is unclear why we need new tools to increase literacy. I believe adding statistics or any metrics showcasing the lack of literacy to be important in this section.</w:t>
            </w:r>
            <w:r w:rsidR="000721AD" w:rsidRPr="00925A83">
              <w:rPr>
                <w:b w:val="0"/>
                <w:bCs w:val="0"/>
              </w:rPr>
              <w:br/>
            </w:r>
          </w:p>
        </w:tc>
        <w:tc>
          <w:tcPr>
            <w:tcW w:w="4531" w:type="dxa"/>
          </w:tcPr>
          <w:p w14:paraId="3352723C" w14:textId="77777777" w:rsidR="00AF7CD4" w:rsidRDefault="000000CC" w:rsidP="00AF7CD4">
            <w:pPr>
              <w:pStyle w:val="Rentekst"/>
              <w:cnfStyle w:val="000000000000" w:firstRow="0" w:lastRow="0" w:firstColumn="0" w:lastColumn="0" w:oddVBand="0" w:evenVBand="0" w:oddHBand="0" w:evenHBand="0" w:firstRowFirstColumn="0" w:firstRowLastColumn="0" w:lastRowFirstColumn="0" w:lastRowLastColumn="0"/>
            </w:pPr>
            <w:r>
              <w:t>I added in this metric i</w:t>
            </w:r>
            <w:r w:rsidR="009678E2">
              <w:t xml:space="preserve">n the last paragraph of the introduction: </w:t>
            </w:r>
          </w:p>
          <w:p w14:paraId="10D29D6E" w14:textId="77777777" w:rsidR="009678E2" w:rsidRDefault="009678E2" w:rsidP="00AF7CD4">
            <w:pPr>
              <w:pStyle w:val="Rentekst"/>
              <w:cnfStyle w:val="000000000000" w:firstRow="0" w:lastRow="0" w:firstColumn="0" w:lastColumn="0" w:oddVBand="0" w:evenVBand="0" w:oddHBand="0" w:evenHBand="0" w:firstRowFirstColumn="0" w:firstRowLastColumn="0" w:lastRowFirstColumn="0" w:lastRowLastColumn="0"/>
            </w:pPr>
          </w:p>
          <w:p w14:paraId="252FC789" w14:textId="114D75DD" w:rsidR="009678E2" w:rsidRPr="00AF7CD4" w:rsidRDefault="00F13C83" w:rsidP="00AF7CD4">
            <w:pPr>
              <w:pStyle w:val="Rentekst"/>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rPr>
              <w:t>In a study by the Ocean Conservation Trust in the United Kingdom, for example, they found that – as recent as in 2022 – still only 29% of the respondents said they had very good or good awareness of global challenges, and only 29% of respondents found the principle “The Earth has one big ocean with many features” to be completely true – with in fact 15% finding this principle to not be at all true</w:t>
            </w:r>
            <w:r w:rsidRPr="00DE7B3B">
              <w:rPr>
                <w:rFonts w:ascii="Times New Roman" w:hAnsi="Times New Roman" w:cs="Times New Roman"/>
              </w:rPr>
              <w:t xml:space="preserve"> </w:t>
            </w:r>
            <w:r w:rsidRPr="00DE7B3B">
              <w:rPr>
                <w:rFonts w:ascii="Times New Roman" w:hAnsi="Times New Roman" w:cs="Times New Roman"/>
              </w:rPr>
              <w:fldChar w:fldCharType="begin"/>
            </w:r>
            <w:r w:rsidRPr="00DE7B3B">
              <w:rPr>
                <w:rFonts w:ascii="Times New Roman" w:hAnsi="Times New Roman" w:cs="Times New Roman"/>
                <w:lang w:val="en-US"/>
              </w:rPr>
              <w:instrText xml:space="preserve"> ADDIN ZOTERO_ITEM CSL_CITATION {"citationID":"W3OuRk0r","properties":{"formattedCitation":"(Ansell 2022)","plainCitation":"(Ansell 2022)","noteIndex":0},"citationItems":[{"id":454,"uris":["http://zotero.org/users/9399713/items/52M6XQIJ"],"itemData":{"id":454,"type":"webpage","abstract":"Our charity is excited to share the results of the 2022 Ocean Literacy survey, together with DEFRA.","container-title":"Ocean Conservation Trust","language":"en","title":"Ocean Literacy Survey Results 2022","URL":"https://oceanconservationtrust.org/ocean-literacy-survey-results-2022/","author":[{"family":"Ansell","given":"Catherine"}],"accessed":{"date-parts":[["2024",5,7]]},"issued":{"date-parts":[["2022",11,18]]}}}],"schema":"https://github.com/citation-style-language/schema/raw/master/csl-citation.json"} </w:instrText>
            </w:r>
            <w:r w:rsidRPr="00DE7B3B">
              <w:rPr>
                <w:rFonts w:ascii="Times New Roman" w:hAnsi="Times New Roman" w:cs="Times New Roman"/>
              </w:rPr>
              <w:fldChar w:fldCharType="separate"/>
            </w:r>
            <w:r w:rsidRPr="00DE7B3B">
              <w:rPr>
                <w:rFonts w:ascii="Times New Roman" w:hAnsi="Times New Roman" w:cs="Times New Roman"/>
                <w:lang w:val="en-US"/>
              </w:rPr>
              <w:t>(Ansell 2022)</w:t>
            </w:r>
            <w:r w:rsidRPr="00DE7B3B">
              <w:rPr>
                <w:rFonts w:ascii="Times New Roman" w:hAnsi="Times New Roman" w:cs="Times New Roman"/>
              </w:rPr>
              <w:fldChar w:fldCharType="end"/>
            </w:r>
            <w:r w:rsidRPr="00DE7B3B">
              <w:rPr>
                <w:rFonts w:ascii="Times New Roman" w:hAnsi="Times New Roman" w:cs="Times New Roman"/>
                <w:lang w:val="en-US"/>
              </w:rPr>
              <w:t>.</w:t>
            </w:r>
          </w:p>
        </w:tc>
      </w:tr>
      <w:tr w:rsidR="00AF7CD4" w14:paraId="133149FC"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5966CD61" w14:textId="09654483" w:rsidR="00AF7CD4" w:rsidRPr="00925A83" w:rsidRDefault="00BC4CE9" w:rsidP="00AF7CD4">
            <w:pPr>
              <w:pStyle w:val="Rentekst"/>
              <w:rPr>
                <w:b w:val="0"/>
                <w:bCs w:val="0"/>
              </w:rPr>
            </w:pPr>
            <w:r w:rsidRPr="00925A83">
              <w:rPr>
                <w:b w:val="0"/>
                <w:bCs w:val="0"/>
              </w:rPr>
              <w:t>the choice of focusing solely on high school students from coastal cities limits the generalizability of the findings. It is likely that students in coastal villages are going to be more aware of oceanic issues than most. The sample of convenience is easy to establish, but it needs to be established in the paper.</w:t>
            </w:r>
          </w:p>
        </w:tc>
        <w:tc>
          <w:tcPr>
            <w:tcW w:w="4531" w:type="dxa"/>
          </w:tcPr>
          <w:p w14:paraId="281203FB" w14:textId="77777777" w:rsidR="00D30EC6" w:rsidRDefault="00D30EC6" w:rsidP="00AF7CD4">
            <w:pPr>
              <w:pStyle w:val="Rentekst"/>
              <w:cnfStyle w:val="000000000000" w:firstRow="0" w:lastRow="0" w:firstColumn="0" w:lastColumn="0" w:oddVBand="0" w:evenVBand="0" w:oddHBand="0" w:evenHBand="0" w:firstRowFirstColumn="0" w:firstRowLastColumn="0" w:lastRowFirstColumn="0" w:lastRowLastColumn="0"/>
            </w:pPr>
            <w:r>
              <w:t>We added this sentence:</w:t>
            </w:r>
          </w:p>
          <w:p w14:paraId="7452286F" w14:textId="77777777" w:rsidR="00D30EC6" w:rsidRDefault="00D30EC6" w:rsidP="00AF7CD4">
            <w:pPr>
              <w:pStyle w:val="Rentekst"/>
              <w:cnfStyle w:val="000000000000" w:firstRow="0" w:lastRow="0" w:firstColumn="0" w:lastColumn="0" w:oddVBand="0" w:evenVBand="0" w:oddHBand="0" w:evenHBand="0" w:firstRowFirstColumn="0" w:firstRowLastColumn="0" w:lastRowFirstColumn="0" w:lastRowLastColumn="0"/>
            </w:pPr>
          </w:p>
          <w:p w14:paraId="2ADBED25" w14:textId="77777777" w:rsidR="00AF7CD4" w:rsidRDefault="00D30EC6" w:rsidP="00AF7CD4">
            <w:pPr>
              <w:pStyle w:val="Rentekst"/>
              <w:cnfStyle w:val="000000000000" w:firstRow="0" w:lastRow="0" w:firstColumn="0" w:lastColumn="0" w:oddVBand="0" w:evenVBand="0" w:oddHBand="0" w:evenHBand="0" w:firstRowFirstColumn="0" w:firstRowLastColumn="0" w:lastRowFirstColumn="0" w:lastRowLastColumn="0"/>
              <w:rPr>
                <w:lang w:val="en-US"/>
              </w:rPr>
            </w:pPr>
            <w:r w:rsidRPr="00D30EC6">
              <w:t xml:space="preserve">We chose to focus on high school student because of their category of “future generations”, notifying that they too are stakeholders within the context of pollution and solutions thereto. This is also clearly stated by Heads of State and Government and high level representatives that met at the </w:t>
            </w:r>
            <w:r w:rsidRPr="00D30EC6">
              <w:rPr>
                <w:lang w:val="en-US"/>
              </w:rPr>
              <w:t>United Nations Conference on Sustainable Development in Rio de Janeiro from 20 to 22 June 2012</w:t>
            </w:r>
            <w:r w:rsidRPr="00D30EC6">
              <w:rPr>
                <w:i/>
                <w:iCs/>
                <w:lang w:val="en-US"/>
              </w:rPr>
              <w:t xml:space="preserve"> and renewed their commitment to sustainable development </w:t>
            </w:r>
            <w:proofErr w:type="spellStart"/>
            <w:r w:rsidRPr="00D30EC6">
              <w:rPr>
                <w:i/>
                <w:iCs/>
                <w:lang w:val="en-US"/>
              </w:rPr>
              <w:t>no</w:t>
            </w:r>
            <w:proofErr w:type="spellEnd"/>
            <w:r w:rsidRPr="00D30EC6">
              <w:rPr>
                <w:i/>
                <w:iCs/>
                <w:lang w:val="en-US"/>
              </w:rPr>
              <w:t xml:space="preserve"> only for the present but also for future generations </w:t>
            </w:r>
            <w:r w:rsidRPr="00D30EC6">
              <w:rPr>
                <w:lang w:val="en-US"/>
              </w:rPr>
              <w:fldChar w:fldCharType="begin"/>
            </w:r>
            <w:r w:rsidRPr="00D30EC6">
              <w:rPr>
                <w:lang w:val="en-US"/>
              </w:rPr>
              <w:instrText xml:space="preserve"> ADDIN ZOTERO_ITEM CSL_CITATION {"citationID":"xKQT8Lqv","properties":{"formattedCitation":"(United Nations 2012)","plainCitation":"(United Nations 2012)","noteIndex":0},"citationItems":[{"id":464,"uris":["http://zotero.org/users/9399713/items/9ED3HDTH"],"itemData":{"id":464,"type":"webpage","abstract":"United Nations Sustainable Development Knowledge Platform - dedicated to improving the well being of present and future generations through the promotion of sustainable development.","language":"EN","license":"United Nations - Copyright 2015","title":"Future We Want - Outcome document .:. Sustainable Development Knowledge Platform","title-short":"Future We Want - Outcome document .","URL":"https://sustainabledevelopment.un.org/futurewewant.html","author":[{"family":"United Nations","given":""}],"accessed":{"date-parts":[["2024",5,7]]},"issued":{"date-parts":[["2012"]]}}}],"schema":"https://github.com/citation-style-language/schema/raw/master/csl-citation.json"} </w:instrText>
            </w:r>
            <w:r w:rsidRPr="00D30EC6">
              <w:rPr>
                <w:lang w:val="en-US"/>
              </w:rPr>
              <w:fldChar w:fldCharType="separate"/>
            </w:r>
            <w:r w:rsidRPr="00D30EC6">
              <w:rPr>
                <w:lang w:val="en-US"/>
              </w:rPr>
              <w:t>(United Nations 2012)</w:t>
            </w:r>
            <w:r w:rsidRPr="00D30EC6">
              <w:fldChar w:fldCharType="end"/>
            </w:r>
            <w:r w:rsidRPr="00D30EC6">
              <w:rPr>
                <w:lang w:val="en-US"/>
              </w:rPr>
              <w:t xml:space="preserve">. In addition, one of the drivers of the movement towards more ocean literacy was the lack of ocean topics on core curricula in the formal K-12 education system </w:t>
            </w:r>
            <w:r w:rsidRPr="00D30EC6">
              <w:rPr>
                <w:lang w:val="en-US"/>
              </w:rPr>
              <w:fldChar w:fldCharType="begin"/>
            </w:r>
            <w:r w:rsidRPr="00D30EC6">
              <w:rPr>
                <w:lang w:val="en-US"/>
              </w:rPr>
              <w:instrText xml:space="preserve"> ADDIN ZOTERO_ITEM CSL_CITATION {"citationID":"F1vsg5Xm","properties":{"formattedCitation":"(Cava et al. 2005)","plainCitation":"(Cava et al. 2005)","noteIndex":0},"citationItems":[{"id":463,"uris":["http://zotero.org/users/9399713/items/G36A7IRD"],"itemData":{"id":463,"type":"report","language":"en","source":"Zotero","title":"Science Content and Standards for Ocean Literacy: A Report on Ocean Literacy","author":[{"family":"Cava","given":"Francesca"},{"family":"Schoedinger","given":"Sarah"},{"family":"Strang","given":"Craig"},{"family":"Tuddenham","given":"Peter"}],"issued":{"date-parts":[["2005"]]}}}],"schema":"https://github.com/citation-style-language/schema/raw/master/csl-citation.json"} </w:instrText>
            </w:r>
            <w:r w:rsidRPr="00D30EC6">
              <w:rPr>
                <w:lang w:val="en-US"/>
              </w:rPr>
              <w:fldChar w:fldCharType="separate"/>
            </w:r>
            <w:r w:rsidRPr="00D30EC6">
              <w:rPr>
                <w:lang w:val="en-US"/>
              </w:rPr>
              <w:t>(Cava et al. 2005)</w:t>
            </w:r>
            <w:r w:rsidRPr="00D30EC6">
              <w:fldChar w:fldCharType="end"/>
            </w:r>
            <w:r w:rsidRPr="00D30EC6">
              <w:rPr>
                <w:lang w:val="en-US"/>
              </w:rPr>
              <w:t>.</w:t>
            </w:r>
          </w:p>
          <w:p w14:paraId="011FFC37" w14:textId="77777777" w:rsidR="007B6A79" w:rsidRDefault="007B6A79" w:rsidP="00AF7CD4">
            <w:pPr>
              <w:pStyle w:val="Rentekst"/>
              <w:cnfStyle w:val="000000000000" w:firstRow="0" w:lastRow="0" w:firstColumn="0" w:lastColumn="0" w:oddVBand="0" w:evenVBand="0" w:oddHBand="0" w:evenHBand="0" w:firstRowFirstColumn="0" w:firstRowLastColumn="0" w:lastRowFirstColumn="0" w:lastRowLastColumn="0"/>
            </w:pPr>
          </w:p>
          <w:p w14:paraId="6A79A97A" w14:textId="77777777" w:rsidR="007B6A79" w:rsidRDefault="007B6A79" w:rsidP="00AF7CD4">
            <w:pPr>
              <w:pStyle w:val="Rentekst"/>
              <w:cnfStyle w:val="000000000000" w:firstRow="0" w:lastRow="0" w:firstColumn="0" w:lastColumn="0" w:oddVBand="0" w:evenVBand="0" w:oddHBand="0" w:evenHBand="0" w:firstRowFirstColumn="0" w:firstRowLastColumn="0" w:lastRowFirstColumn="0" w:lastRowLastColumn="0"/>
            </w:pPr>
            <w:r>
              <w:t xml:space="preserve">And </w:t>
            </w:r>
          </w:p>
          <w:p w14:paraId="1AD2325D" w14:textId="77777777" w:rsidR="007B6A79" w:rsidRDefault="007B6A79" w:rsidP="00AF7CD4">
            <w:pPr>
              <w:pStyle w:val="Rentekst"/>
              <w:cnfStyle w:val="000000000000" w:firstRow="0" w:lastRow="0" w:firstColumn="0" w:lastColumn="0" w:oddVBand="0" w:evenVBand="0" w:oddHBand="0" w:evenHBand="0" w:firstRowFirstColumn="0" w:firstRowLastColumn="0" w:lastRowFirstColumn="0" w:lastRowLastColumn="0"/>
            </w:pPr>
          </w:p>
          <w:p w14:paraId="57E1F999" w14:textId="33DE71FB" w:rsidR="007B6A79" w:rsidRPr="00AF7CD4" w:rsidRDefault="007B6A79" w:rsidP="00AF7CD4">
            <w:pPr>
              <w:pStyle w:val="Rentekst"/>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lang w:val="en-US"/>
              </w:rPr>
              <w:t>The placement of these schools in coastal cities in Norway was a sample of convenience, with the main research partners located in these three cities that are relatively large in population size in Norway (2</w:t>
            </w:r>
            <w:r w:rsidRPr="00803971">
              <w:rPr>
                <w:rFonts w:ascii="Times New Roman" w:hAnsi="Times New Roman" w:cs="Times New Roman"/>
                <w:vertAlign w:val="superscript"/>
                <w:lang w:val="en-US"/>
              </w:rPr>
              <w:t>nd</w:t>
            </w:r>
            <w:r>
              <w:rPr>
                <w:rFonts w:ascii="Times New Roman" w:hAnsi="Times New Roman" w:cs="Times New Roman"/>
                <w:lang w:val="en-US"/>
              </w:rPr>
              <w:t xml:space="preserve">, </w:t>
            </w:r>
            <w:proofErr w:type="gramStart"/>
            <w:r>
              <w:rPr>
                <w:rFonts w:ascii="Times New Roman" w:hAnsi="Times New Roman" w:cs="Times New Roman"/>
                <w:lang w:val="en-US"/>
              </w:rPr>
              <w:t>4</w:t>
            </w:r>
            <w:r w:rsidRPr="00D85364">
              <w:rPr>
                <w:rFonts w:ascii="Times New Roman" w:hAnsi="Times New Roman" w:cs="Times New Roman"/>
                <w:vertAlign w:val="superscript"/>
                <w:lang w:val="en-US"/>
              </w:rPr>
              <w:t>th</w:t>
            </w:r>
            <w:proofErr w:type="gramEnd"/>
            <w:r>
              <w:rPr>
                <w:rFonts w:ascii="Times New Roman" w:hAnsi="Times New Roman" w:cs="Times New Roman"/>
                <w:lang w:val="en-US"/>
              </w:rPr>
              <w:t xml:space="preserve"> and 16</w:t>
            </w:r>
            <w:r w:rsidRPr="00803971">
              <w:rPr>
                <w:rFonts w:ascii="Times New Roman" w:hAnsi="Times New Roman" w:cs="Times New Roman"/>
                <w:vertAlign w:val="superscript"/>
                <w:lang w:val="en-US"/>
              </w:rPr>
              <w:t>th</w:t>
            </w:r>
            <w:r>
              <w:rPr>
                <w:rFonts w:ascii="Times New Roman" w:hAnsi="Times New Roman" w:cs="Times New Roman"/>
                <w:lang w:val="en-US"/>
              </w:rPr>
              <w:t xml:space="preserve"> largest)</w:t>
            </w:r>
            <w:r>
              <w:rPr>
                <w:rStyle w:val="Fotnotereferanse"/>
                <w:rFonts w:ascii="Times New Roman" w:hAnsi="Times New Roman" w:cs="Times New Roman"/>
                <w:lang w:val="en-US"/>
              </w:rPr>
              <w:footnoteReference w:id="1"/>
            </w:r>
            <w:r>
              <w:rPr>
                <w:rFonts w:ascii="Times New Roman" w:hAnsi="Times New Roman" w:cs="Times New Roman"/>
                <w:lang w:val="en-US"/>
              </w:rPr>
              <w:t>.</w:t>
            </w:r>
          </w:p>
        </w:tc>
      </w:tr>
      <w:tr w:rsidR="00AF7CD4" w14:paraId="5F507E69"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64F0157F" w14:textId="20652F0D" w:rsidR="00AF7CD4" w:rsidRPr="00925A83" w:rsidRDefault="00BC4CE9" w:rsidP="00BC4CE9">
            <w:pPr>
              <w:pStyle w:val="Rentekst"/>
              <w:rPr>
                <w:b w:val="0"/>
                <w:bCs w:val="0"/>
              </w:rPr>
            </w:pPr>
            <w:r w:rsidRPr="00925A83">
              <w:rPr>
                <w:b w:val="0"/>
                <w:bCs w:val="0"/>
              </w:rPr>
              <w:t>Moreover, I believe the conclusions taken from the outcomes of the games need to be qualified according to whom the players were and their coastal location in Norway.</w:t>
            </w:r>
            <w:r w:rsidRPr="00925A83">
              <w:rPr>
                <w:b w:val="0"/>
                <w:bCs w:val="0"/>
              </w:rPr>
              <w:br/>
            </w:r>
          </w:p>
        </w:tc>
        <w:tc>
          <w:tcPr>
            <w:tcW w:w="4531" w:type="dxa"/>
          </w:tcPr>
          <w:p w14:paraId="697597E1" w14:textId="5CE7C00F" w:rsidR="00AF7CD4" w:rsidRPr="00AF7CD4" w:rsidRDefault="007508AD" w:rsidP="00AF7CD4">
            <w:pPr>
              <w:pStyle w:val="Rentekst"/>
              <w:cnfStyle w:val="000000000000" w:firstRow="0" w:lastRow="0" w:firstColumn="0" w:lastColumn="0" w:oddVBand="0" w:evenVBand="0" w:oddHBand="0" w:evenHBand="0" w:firstRowFirstColumn="0" w:firstRowLastColumn="0" w:lastRowFirstColumn="0" w:lastRowLastColumn="0"/>
            </w:pPr>
            <w:r>
              <w:t>Ok – will update</w:t>
            </w:r>
          </w:p>
        </w:tc>
      </w:tr>
      <w:tr w:rsidR="00AF7CD4" w14:paraId="06818AC1"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2E0E5CA9" w14:textId="5F0CAC02" w:rsidR="00AF7CD4" w:rsidRPr="00925A83" w:rsidRDefault="00083D83" w:rsidP="00AF7CD4">
            <w:pPr>
              <w:pStyle w:val="Rentekst"/>
              <w:rPr>
                <w:b w:val="0"/>
                <w:bCs w:val="0"/>
              </w:rPr>
            </w:pPr>
            <w:r w:rsidRPr="00925A83">
              <w:rPr>
                <w:b w:val="0"/>
                <w:bCs w:val="0"/>
              </w:rPr>
              <w:t xml:space="preserve">the methodology section needs to explain the game design choices made by either the authors or House of Knowledge.  My understanding from reading this section is that </w:t>
            </w:r>
            <w:r w:rsidRPr="00925A83">
              <w:rPr>
                <w:b w:val="0"/>
                <w:bCs w:val="0"/>
              </w:rPr>
              <w:lastRenderedPageBreak/>
              <w:t>the game was designed in collaboration between SINTEF Ocean and House of Knowledge. The section spends a lot of time explaining the game itself, but little explaining the game design choices beyond the section between lines 274 and 277 explaining the logic of the game.</w:t>
            </w:r>
          </w:p>
        </w:tc>
        <w:tc>
          <w:tcPr>
            <w:tcW w:w="4531" w:type="dxa"/>
          </w:tcPr>
          <w:p w14:paraId="7805830D" w14:textId="47EBA548" w:rsidR="00AF7CD4" w:rsidRPr="00AF7CD4" w:rsidRDefault="00BF6CAB" w:rsidP="00AF7CD4">
            <w:pPr>
              <w:pStyle w:val="Rentekst"/>
              <w:cnfStyle w:val="000000000000" w:firstRow="0" w:lastRow="0" w:firstColumn="0" w:lastColumn="0" w:oddVBand="0" w:evenVBand="0" w:oddHBand="0" w:evenHBand="0" w:firstRowFirstColumn="0" w:firstRowLastColumn="0" w:lastRowFirstColumn="0" w:lastRowLastColumn="0"/>
            </w:pPr>
            <w:r>
              <w:lastRenderedPageBreak/>
              <w:t>This section is now greatly expanded</w:t>
            </w:r>
            <w:r w:rsidR="00712587">
              <w:t xml:space="preserve"> with the logic and development further detailed. </w:t>
            </w:r>
          </w:p>
        </w:tc>
      </w:tr>
      <w:tr w:rsidR="00AF7CD4" w14:paraId="75A15B3D"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32B4B97F" w14:textId="19F5CD2A" w:rsidR="00AF7CD4" w:rsidRPr="00925A83" w:rsidRDefault="001468DF" w:rsidP="00AF7CD4">
            <w:pPr>
              <w:pStyle w:val="Rentekst"/>
              <w:rPr>
                <w:b w:val="0"/>
                <w:bCs w:val="0"/>
              </w:rPr>
            </w:pPr>
            <w:r w:rsidRPr="00925A83">
              <w:rPr>
                <w:b w:val="0"/>
                <w:bCs w:val="0"/>
              </w:rPr>
              <w:t>For example, lines 285 and 286 mentions how the contextual cards are developed using sustainable development goals. There is no mention, however, of where these goals are coming from. Are they informed by a specific body of knowledge or literature? If yes, please specify and link to your game design choices. If no, please explain how they were generated and how they link to the game design.</w:t>
            </w:r>
          </w:p>
        </w:tc>
        <w:tc>
          <w:tcPr>
            <w:tcW w:w="4531" w:type="dxa"/>
          </w:tcPr>
          <w:p w14:paraId="5433FFDB" w14:textId="77777777" w:rsidR="00AF7CD4" w:rsidRDefault="00267650" w:rsidP="00AF7CD4">
            <w:pPr>
              <w:pStyle w:val="Rentekst"/>
              <w:cnfStyle w:val="000000000000" w:firstRow="0" w:lastRow="0" w:firstColumn="0" w:lastColumn="0" w:oddVBand="0" w:evenVBand="0" w:oddHBand="0" w:evenHBand="0" w:firstRowFirstColumn="0" w:firstRowLastColumn="0" w:lastRowFirstColumn="0" w:lastRowLastColumn="0"/>
            </w:pPr>
            <w:r>
              <w:t xml:space="preserve">This was already partially explained but we expanded and moved this section so it would be more visible: </w:t>
            </w:r>
          </w:p>
          <w:p w14:paraId="058155D5" w14:textId="77777777" w:rsidR="00267650" w:rsidRDefault="00267650" w:rsidP="00AF7CD4">
            <w:pPr>
              <w:pStyle w:val="Rentekst"/>
              <w:cnfStyle w:val="000000000000" w:firstRow="0" w:lastRow="0" w:firstColumn="0" w:lastColumn="0" w:oddVBand="0" w:evenVBand="0" w:oddHBand="0" w:evenHBand="0" w:firstRowFirstColumn="0" w:firstRowLastColumn="0" w:lastRowFirstColumn="0" w:lastRowLastColumn="0"/>
            </w:pPr>
          </w:p>
          <w:p w14:paraId="5A3D1D7E" w14:textId="4DC67238" w:rsidR="00267650" w:rsidRPr="00AF7CD4" w:rsidRDefault="00267650" w:rsidP="00AF7CD4">
            <w:pPr>
              <w:pStyle w:val="Rentekst"/>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i/>
                <w:iCs/>
                <w:szCs w:val="22"/>
              </w:rPr>
              <w:t xml:space="preserve">The logic behind the choice of these </w:t>
            </w:r>
            <w:r w:rsidRPr="000538F3">
              <w:rPr>
                <w:rFonts w:ascii="Times New Roman" w:hAnsi="Times New Roman" w:cs="Times New Roman"/>
                <w:szCs w:val="22"/>
              </w:rPr>
              <w:t xml:space="preserve">four SDGs were </w:t>
            </w:r>
            <w:r>
              <w:rPr>
                <w:rFonts w:ascii="Times New Roman" w:hAnsi="Times New Roman" w:cs="Times New Roman"/>
                <w:i/>
                <w:iCs/>
                <w:szCs w:val="22"/>
              </w:rPr>
              <w:t>based on the expertise of</w:t>
            </w:r>
            <w:r w:rsidRPr="000538F3">
              <w:rPr>
                <w:rFonts w:ascii="Times New Roman" w:hAnsi="Times New Roman" w:cs="Times New Roman"/>
                <w:szCs w:val="22"/>
              </w:rPr>
              <w:t xml:space="preserve"> the research team at the game conceptualization stage. They were selected through a process of coding all the SDGs and their </w:t>
            </w:r>
            <w:r>
              <w:rPr>
                <w:rFonts w:ascii="Times New Roman" w:hAnsi="Times New Roman" w:cs="Times New Roman"/>
                <w:i/>
                <w:iCs/>
                <w:szCs w:val="22"/>
              </w:rPr>
              <w:t>targets</w:t>
            </w:r>
            <w:r w:rsidRPr="000538F3">
              <w:rPr>
                <w:rFonts w:ascii="Times New Roman" w:hAnsi="Times New Roman" w:cs="Times New Roman"/>
                <w:szCs w:val="22"/>
              </w:rPr>
              <w:t xml:space="preserve"> in terms of their relevance and efficacy either for regulating the harvesting of jellyfish or the prevention of plastic pollution</w:t>
            </w:r>
            <w:r>
              <w:rPr>
                <w:rFonts w:ascii="Times New Roman" w:hAnsi="Times New Roman" w:cs="Times New Roman"/>
                <w:i/>
                <w:iCs/>
                <w:szCs w:val="22"/>
              </w:rPr>
              <w:t xml:space="preserve"> and chose for inclusion the SDGs that had elements of both pollution and sustainable use of marine resources included. At the target level of detail, the cards chosen were not difficult to choose qualitatively. The relevant targets were also specified on the back side of the cards so that the participants could read and understand this choice.</w:t>
            </w:r>
          </w:p>
        </w:tc>
      </w:tr>
      <w:tr w:rsidR="00AF7CD4" w14:paraId="56412175"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0F08CE2D" w14:textId="78D80D07" w:rsidR="00AF7CD4" w:rsidRPr="00925A83" w:rsidRDefault="001468DF" w:rsidP="00AF7CD4">
            <w:pPr>
              <w:pStyle w:val="Rentekst"/>
              <w:rPr>
                <w:b w:val="0"/>
                <w:bCs w:val="0"/>
              </w:rPr>
            </w:pPr>
            <w:r w:rsidRPr="00925A83">
              <w:rPr>
                <w:b w:val="0"/>
                <w:bCs w:val="0"/>
              </w:rPr>
              <w:t xml:space="preserve">Another unspecified game design choice comes between lines 295 and 297. The authors explain that they asked the student players to rank order their most important goals. What justifies this design solution? What was the theoretical thinking behind this choice? This part could have been done </w:t>
            </w:r>
            <w:proofErr w:type="gramStart"/>
            <w:r w:rsidRPr="00925A83">
              <w:rPr>
                <w:b w:val="0"/>
                <w:bCs w:val="0"/>
              </w:rPr>
              <w:t>many different ways</w:t>
            </w:r>
            <w:proofErr w:type="gramEnd"/>
            <w:r w:rsidRPr="00925A83">
              <w:rPr>
                <w:b w:val="0"/>
                <w:bCs w:val="0"/>
              </w:rPr>
              <w:t>. Please justify why you made the choice you made.</w:t>
            </w:r>
            <w:r w:rsidRPr="00925A83">
              <w:rPr>
                <w:b w:val="0"/>
                <w:bCs w:val="0"/>
              </w:rPr>
              <w:br/>
            </w:r>
          </w:p>
        </w:tc>
        <w:tc>
          <w:tcPr>
            <w:tcW w:w="4531" w:type="dxa"/>
          </w:tcPr>
          <w:p w14:paraId="5852AA27" w14:textId="77777777" w:rsidR="00AF7CD4" w:rsidRDefault="009D2295" w:rsidP="00AF7CD4">
            <w:pPr>
              <w:pStyle w:val="Rentekst"/>
              <w:cnfStyle w:val="000000000000" w:firstRow="0" w:lastRow="0" w:firstColumn="0" w:lastColumn="0" w:oddVBand="0" w:evenVBand="0" w:oddHBand="0" w:evenHBand="0" w:firstRowFirstColumn="0" w:firstRowLastColumn="0" w:lastRowFirstColumn="0" w:lastRowLastColumn="0"/>
            </w:pPr>
            <w:r>
              <w:t>We expanded on this now:</w:t>
            </w:r>
          </w:p>
          <w:p w14:paraId="6FBE2A9A" w14:textId="77777777" w:rsidR="009D2295" w:rsidRDefault="009D2295" w:rsidP="00AF7CD4">
            <w:pPr>
              <w:pStyle w:val="Rentekst"/>
              <w:cnfStyle w:val="000000000000" w:firstRow="0" w:lastRow="0" w:firstColumn="0" w:lastColumn="0" w:oddVBand="0" w:evenVBand="0" w:oddHBand="0" w:evenHBand="0" w:firstRowFirstColumn="0" w:firstRowLastColumn="0" w:lastRowFirstColumn="0" w:lastRowLastColumn="0"/>
            </w:pPr>
          </w:p>
          <w:p w14:paraId="6D753879" w14:textId="77777777" w:rsidR="009D2295" w:rsidRPr="007D62B3" w:rsidRDefault="009D2295" w:rsidP="009D2295">
            <w:pPr>
              <w:pStyle w:val="Bildetekst"/>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auto"/>
                <w:sz w:val="22"/>
                <w:szCs w:val="22"/>
                <w:lang w:val="en-US"/>
              </w:rPr>
            </w:pPr>
            <w:r>
              <w:rPr>
                <w:rFonts w:ascii="Times New Roman" w:hAnsi="Times New Roman" w:cs="Times New Roman"/>
                <w:i w:val="0"/>
                <w:iCs w:val="0"/>
                <w:color w:val="auto"/>
                <w:sz w:val="22"/>
                <w:szCs w:val="22"/>
                <w:lang w:val="en-GB"/>
              </w:rPr>
              <w:t>In the Serious game, t</w:t>
            </w:r>
            <w:r w:rsidRPr="003F66B5">
              <w:rPr>
                <w:rFonts w:ascii="Times New Roman" w:hAnsi="Times New Roman" w:cs="Times New Roman"/>
                <w:i w:val="0"/>
                <w:iCs w:val="0"/>
                <w:color w:val="auto"/>
                <w:sz w:val="22"/>
                <w:szCs w:val="22"/>
                <w:lang w:val="en-GB"/>
              </w:rPr>
              <w:t>he students had to select the three most important goals</w:t>
            </w:r>
            <w:r>
              <w:rPr>
                <w:rFonts w:ascii="Times New Roman" w:hAnsi="Times New Roman" w:cs="Times New Roman"/>
                <w:i w:val="0"/>
                <w:iCs w:val="0"/>
                <w:color w:val="auto"/>
                <w:sz w:val="22"/>
                <w:szCs w:val="22"/>
                <w:lang w:val="en-GB"/>
              </w:rPr>
              <w:t xml:space="preserve"> from their perspectives</w:t>
            </w:r>
            <w:r w:rsidRPr="003F66B5">
              <w:rPr>
                <w:rFonts w:ascii="Times New Roman" w:hAnsi="Times New Roman" w:cs="Times New Roman"/>
                <w:i w:val="0"/>
                <w:iCs w:val="0"/>
                <w:color w:val="auto"/>
                <w:sz w:val="22"/>
                <w:szCs w:val="22"/>
                <w:lang w:val="en-GB"/>
              </w:rPr>
              <w:t xml:space="preserve"> and rank them in terms of importance</w:t>
            </w:r>
            <w:r w:rsidRPr="003F66B5" w:rsidDel="00E13ADE">
              <w:rPr>
                <w:rFonts w:ascii="Times New Roman" w:hAnsi="Times New Roman" w:cs="Times New Roman"/>
                <w:i w:val="0"/>
                <w:iCs w:val="0"/>
                <w:color w:val="auto"/>
                <w:sz w:val="22"/>
                <w:szCs w:val="22"/>
                <w:lang w:val="en-GB"/>
              </w:rPr>
              <w:t xml:space="preserve"> </w:t>
            </w:r>
            <w:r w:rsidRPr="003F66B5">
              <w:rPr>
                <w:rFonts w:ascii="Times New Roman" w:hAnsi="Times New Roman" w:cs="Times New Roman"/>
                <w:i w:val="0"/>
                <w:iCs w:val="0"/>
                <w:color w:val="auto"/>
                <w:sz w:val="22"/>
                <w:szCs w:val="22"/>
                <w:lang w:val="en-GB"/>
              </w:rPr>
              <w:t xml:space="preserve">in the context of assessing microplastic pollution and jellyfish blooms and </w:t>
            </w:r>
            <w:r>
              <w:rPr>
                <w:rFonts w:ascii="Times New Roman" w:hAnsi="Times New Roman" w:cs="Times New Roman"/>
                <w:i w:val="0"/>
                <w:iCs w:val="0"/>
                <w:color w:val="auto"/>
                <w:sz w:val="22"/>
                <w:szCs w:val="22"/>
                <w:lang w:val="en-GB"/>
              </w:rPr>
              <w:t>their</w:t>
            </w:r>
            <w:r w:rsidRPr="003F66B5">
              <w:rPr>
                <w:rFonts w:ascii="Times New Roman" w:hAnsi="Times New Roman" w:cs="Times New Roman"/>
                <w:i w:val="0"/>
                <w:iCs w:val="0"/>
                <w:color w:val="auto"/>
                <w:sz w:val="22"/>
                <w:szCs w:val="22"/>
                <w:lang w:val="en-GB"/>
              </w:rPr>
              <w:t xml:space="preserve"> effect</w:t>
            </w:r>
            <w:r>
              <w:rPr>
                <w:rFonts w:ascii="Times New Roman" w:hAnsi="Times New Roman" w:cs="Times New Roman"/>
                <w:i w:val="0"/>
                <w:iCs w:val="0"/>
                <w:color w:val="auto"/>
                <w:sz w:val="22"/>
                <w:szCs w:val="22"/>
                <w:lang w:val="en-GB"/>
              </w:rPr>
              <w:t>s</w:t>
            </w:r>
            <w:r w:rsidRPr="003F66B5">
              <w:rPr>
                <w:rFonts w:ascii="Times New Roman" w:hAnsi="Times New Roman" w:cs="Times New Roman"/>
                <w:i w:val="0"/>
                <w:iCs w:val="0"/>
                <w:color w:val="auto"/>
                <w:sz w:val="22"/>
                <w:szCs w:val="22"/>
                <w:lang w:val="en-GB"/>
              </w:rPr>
              <w:t xml:space="preserve"> on coastal communities in Norway. </w:t>
            </w:r>
            <w:r>
              <w:rPr>
                <w:rFonts w:ascii="Times New Roman" w:hAnsi="Times New Roman" w:cs="Times New Roman"/>
                <w:i w:val="0"/>
                <w:iCs w:val="0"/>
                <w:color w:val="auto"/>
                <w:sz w:val="22"/>
                <w:szCs w:val="22"/>
                <w:lang w:val="en-GB"/>
              </w:rPr>
              <w:t>This was a choice made based on the</w:t>
            </w:r>
            <w:r w:rsidRPr="007D62B3">
              <w:rPr>
                <w:rFonts w:ascii="Times New Roman" w:hAnsi="Times New Roman" w:cs="Times New Roman"/>
                <w:i w:val="0"/>
                <w:iCs w:val="0"/>
                <w:color w:val="auto"/>
                <w:sz w:val="22"/>
                <w:szCs w:val="22"/>
                <w:lang w:val="en-GB"/>
              </w:rPr>
              <w:t xml:space="preserve"> three interconnected forms or concepts</w:t>
            </w:r>
            <w:r w:rsidRPr="007D62B3">
              <w:rPr>
                <w:lang w:val="en-US"/>
              </w:rPr>
              <w:t xml:space="preserve"> </w:t>
            </w:r>
            <w:r w:rsidRPr="007D62B3">
              <w:rPr>
                <w:rFonts w:ascii="Times New Roman" w:hAnsi="Times New Roman" w:cs="Times New Roman"/>
                <w:i w:val="0"/>
                <w:iCs w:val="0"/>
                <w:color w:val="auto"/>
                <w:sz w:val="22"/>
                <w:szCs w:val="22"/>
                <w:lang w:val="en-GB"/>
              </w:rPr>
              <w:t xml:space="preserve">of learning relevant when using serious games to develop knowledge </w:t>
            </w:r>
            <w:r>
              <w:rPr>
                <w:rFonts w:ascii="Times New Roman" w:hAnsi="Times New Roman" w:cs="Times New Roman"/>
                <w:i w:val="0"/>
                <w:iCs w:val="0"/>
                <w:color w:val="auto"/>
                <w:sz w:val="22"/>
                <w:szCs w:val="22"/>
                <w:lang w:val="en-GB"/>
              </w:rPr>
              <w:t>that frame this development, namely</w:t>
            </w:r>
            <w:r w:rsidRPr="007D62B3">
              <w:rPr>
                <w:rFonts w:ascii="Times New Roman" w:hAnsi="Times New Roman" w:cs="Times New Roman"/>
                <w:i w:val="0"/>
                <w:iCs w:val="0"/>
                <w:color w:val="auto"/>
                <w:sz w:val="22"/>
                <w:szCs w:val="22"/>
                <w:lang w:val="en-GB"/>
              </w:rPr>
              <w:t xml:space="preserve"> sociality, situatedness and experientiality</w:t>
            </w:r>
            <w:r>
              <w:rPr>
                <w:rFonts w:ascii="Times New Roman" w:hAnsi="Times New Roman" w:cs="Times New Roman"/>
                <w:i w:val="0"/>
                <w:iCs w:val="0"/>
                <w:color w:val="auto"/>
                <w:sz w:val="22"/>
                <w:szCs w:val="22"/>
                <w:lang w:val="en-GB"/>
              </w:rPr>
              <w:t xml:space="preserve">, with a special focus on the two latter – namely </w:t>
            </w:r>
            <w:r w:rsidRPr="00F56C6D">
              <w:rPr>
                <w:rFonts w:ascii="Times New Roman" w:hAnsi="Times New Roman" w:cs="Times New Roman"/>
                <w:i w:val="0"/>
                <w:iCs w:val="0"/>
                <w:color w:val="auto"/>
                <w:sz w:val="22"/>
                <w:szCs w:val="22"/>
                <w:lang w:val="en-GB"/>
              </w:rPr>
              <w:t>situatedness -  where situations produce knowledge through action and players have to actively engage with a situation that can be considered closer to reality than that created through passive forms of learning; and experientiality – or learning by having an experience, and having a requirement of reflecting on and analysing this experience.</w:t>
            </w:r>
            <w:r>
              <w:rPr>
                <w:rFonts w:ascii="Times New Roman" w:hAnsi="Times New Roman" w:cs="Times New Roman"/>
                <w:i w:val="0"/>
                <w:iCs w:val="0"/>
                <w:color w:val="auto"/>
                <w:sz w:val="22"/>
                <w:szCs w:val="22"/>
                <w:lang w:val="en-GB"/>
              </w:rPr>
              <w:t xml:space="preserve"> In this case, they were in an experimental decision-</w:t>
            </w:r>
            <w:r>
              <w:rPr>
                <w:rFonts w:ascii="Times New Roman" w:hAnsi="Times New Roman" w:cs="Times New Roman"/>
                <w:i w:val="0"/>
                <w:iCs w:val="0"/>
                <w:color w:val="auto"/>
                <w:sz w:val="22"/>
                <w:szCs w:val="22"/>
                <w:lang w:val="en-GB"/>
              </w:rPr>
              <w:lastRenderedPageBreak/>
              <w:t xml:space="preserve">making situation of the game and asked to make rational choices based on the knowledge at hand. </w:t>
            </w:r>
          </w:p>
          <w:p w14:paraId="5FDA56CF" w14:textId="66A39E20" w:rsidR="009D2295" w:rsidRPr="009D2295" w:rsidRDefault="009D2295" w:rsidP="00AF7CD4">
            <w:pPr>
              <w:pStyle w:val="Rentekst"/>
              <w:cnfStyle w:val="000000000000" w:firstRow="0" w:lastRow="0" w:firstColumn="0" w:lastColumn="0" w:oddVBand="0" w:evenVBand="0" w:oddHBand="0" w:evenHBand="0" w:firstRowFirstColumn="0" w:firstRowLastColumn="0" w:lastRowFirstColumn="0" w:lastRowLastColumn="0"/>
              <w:rPr>
                <w:lang w:val="en-US"/>
              </w:rPr>
            </w:pPr>
          </w:p>
        </w:tc>
      </w:tr>
      <w:tr w:rsidR="00AF7CD4" w14:paraId="70DA7FB0"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7F549ABD" w14:textId="0879B5C6" w:rsidR="00AF7CD4" w:rsidRPr="00925A83" w:rsidRDefault="0097764A" w:rsidP="00AF7CD4">
            <w:pPr>
              <w:pStyle w:val="Rentekst"/>
              <w:rPr>
                <w:b w:val="0"/>
                <w:bCs w:val="0"/>
              </w:rPr>
            </w:pPr>
            <w:r w:rsidRPr="00925A83">
              <w:rPr>
                <w:b w:val="0"/>
                <w:bCs w:val="0"/>
              </w:rPr>
              <w:lastRenderedPageBreak/>
              <w:t>My third main point rest on the learning aspect of the paper. Namely, the linkage between the theoretical section on learning and the results section needs to be bolstered. As it stands, both sections feel disconnected despite some minimal linkage her and there. The learning section on page 5 places emphasis on sociality, situatedness, and experientiality. These concepts need to be linked to the empirical section in a more systematic way using the survey responses of the participants.</w:t>
            </w:r>
          </w:p>
        </w:tc>
        <w:tc>
          <w:tcPr>
            <w:tcW w:w="4531" w:type="dxa"/>
          </w:tcPr>
          <w:p w14:paraId="4F56D2DE" w14:textId="77777777" w:rsidR="00AF7CD4" w:rsidRDefault="006564E4" w:rsidP="00AF7CD4">
            <w:pPr>
              <w:pStyle w:val="Rentekst"/>
              <w:cnfStyle w:val="000000000000" w:firstRow="0" w:lastRow="0" w:firstColumn="0" w:lastColumn="0" w:oddVBand="0" w:evenVBand="0" w:oddHBand="0" w:evenHBand="0" w:firstRowFirstColumn="0" w:firstRowLastColumn="0" w:lastRowFirstColumn="0" w:lastRowLastColumn="0"/>
            </w:pPr>
            <w:r>
              <w:t xml:space="preserve">I connected these session better, with first changing the introduction to the </w:t>
            </w:r>
            <w:proofErr w:type="gramStart"/>
            <w:r>
              <w:t xml:space="preserve">three </w:t>
            </w:r>
            <w:r w:rsidR="005B590D">
              <w:t xml:space="preserve"> concepts</w:t>
            </w:r>
            <w:proofErr w:type="gramEnd"/>
            <w:r w:rsidR="005B590D">
              <w:t xml:space="preserve"> and then following through on these in the discussion session:</w:t>
            </w:r>
          </w:p>
          <w:p w14:paraId="63CEA8FF" w14:textId="42B7BE43" w:rsidR="005B590D" w:rsidRDefault="005B590D" w:rsidP="00AF7CD4">
            <w:pPr>
              <w:pStyle w:val="Rentekst"/>
              <w:cnfStyle w:val="000000000000" w:firstRow="0" w:lastRow="0" w:firstColumn="0" w:lastColumn="0" w:oddVBand="0" w:evenVBand="0" w:oddHBand="0" w:evenHBand="0" w:firstRowFirstColumn="0" w:firstRowLastColumn="0" w:lastRowFirstColumn="0" w:lastRowLastColumn="0"/>
            </w:pPr>
            <w:r>
              <w:t>First – under the heading “Learning and Knowledge”:</w:t>
            </w:r>
          </w:p>
          <w:p w14:paraId="0A362CDC" w14:textId="77777777" w:rsidR="005B590D" w:rsidRDefault="005B590D" w:rsidP="005B590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B590D">
              <w:rPr>
                <w:rFonts w:ascii="Times New Roman" w:hAnsi="Times New Roman" w:cs="Times New Roman"/>
                <w:highlight w:val="yellow"/>
                <w:lang w:val="en-US"/>
              </w:rPr>
              <w:t xml:space="preserve">There are three forms of learning that become especially relevant when using serious games to develop knowledge, as these differentiate the learning that occurs in games from most other forms of learning activity. These three interconnected forms or concepts are </w:t>
            </w:r>
            <w:r w:rsidRPr="005B590D">
              <w:rPr>
                <w:rFonts w:ascii="Times New Roman" w:hAnsi="Times New Roman" w:cs="Times New Roman"/>
                <w:i/>
                <w:iCs/>
                <w:highlight w:val="yellow"/>
                <w:lang w:val="en-US"/>
              </w:rPr>
              <w:t>sociality</w:t>
            </w:r>
            <w:r w:rsidRPr="005B590D">
              <w:rPr>
                <w:rFonts w:ascii="Times New Roman" w:hAnsi="Times New Roman" w:cs="Times New Roman"/>
                <w:highlight w:val="yellow"/>
                <w:lang w:val="en-US"/>
              </w:rPr>
              <w:t xml:space="preserve">, </w:t>
            </w:r>
            <w:r w:rsidRPr="005B590D">
              <w:rPr>
                <w:rFonts w:ascii="Times New Roman" w:hAnsi="Times New Roman" w:cs="Times New Roman"/>
                <w:i/>
                <w:iCs/>
                <w:highlight w:val="yellow"/>
                <w:lang w:val="en-US"/>
              </w:rPr>
              <w:t>situatedness</w:t>
            </w:r>
            <w:r w:rsidRPr="005B590D">
              <w:rPr>
                <w:rFonts w:ascii="Times New Roman" w:hAnsi="Times New Roman" w:cs="Times New Roman"/>
                <w:highlight w:val="yellow"/>
                <w:lang w:val="en-US"/>
              </w:rPr>
              <w:t xml:space="preserve"> and </w:t>
            </w:r>
            <w:r w:rsidRPr="005B590D">
              <w:rPr>
                <w:rFonts w:ascii="Times New Roman" w:hAnsi="Times New Roman" w:cs="Times New Roman"/>
                <w:i/>
                <w:iCs/>
                <w:highlight w:val="yellow"/>
                <w:lang w:val="en-US"/>
              </w:rPr>
              <w:t xml:space="preserve">experientiality, </w:t>
            </w:r>
            <w:r w:rsidRPr="005B590D">
              <w:rPr>
                <w:rFonts w:ascii="Times New Roman" w:hAnsi="Times New Roman" w:cs="Times New Roman"/>
                <w:highlight w:val="yellow"/>
                <w:lang w:val="en-US"/>
              </w:rPr>
              <w:t>and the results of the gaming session presented for the purposes of this study will reflect upon these.</w:t>
            </w:r>
            <w:r w:rsidRPr="003F66B5">
              <w:rPr>
                <w:rFonts w:ascii="Times New Roman" w:hAnsi="Times New Roman" w:cs="Times New Roman"/>
                <w:lang w:val="en-US"/>
              </w:rPr>
              <w:t xml:space="preserve"> </w:t>
            </w:r>
          </w:p>
          <w:p w14:paraId="75A686B3" w14:textId="77777777" w:rsidR="001F679B" w:rsidRDefault="001F679B" w:rsidP="005B590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92E2CFB" w14:textId="42D197DA" w:rsidR="001F679B" w:rsidRDefault="001F679B" w:rsidP="005B590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And second paragraph under </w:t>
            </w:r>
            <w:r w:rsidR="00142F13">
              <w:rPr>
                <w:rFonts w:ascii="Times New Roman" w:hAnsi="Times New Roman" w:cs="Times New Roman"/>
                <w:lang w:val="en-US"/>
              </w:rPr>
              <w:t>“Discussion”:</w:t>
            </w:r>
          </w:p>
          <w:p w14:paraId="1A965177" w14:textId="77777777" w:rsidR="00142F13" w:rsidRDefault="00142F13" w:rsidP="005B590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7BDC9110" w14:textId="77777777" w:rsidR="007508AD" w:rsidRPr="007508AD" w:rsidRDefault="007508AD" w:rsidP="007508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lang w:val="en-US"/>
              </w:rPr>
            </w:pPr>
            <w:r w:rsidRPr="007508AD">
              <w:rPr>
                <w:rFonts w:ascii="Times New Roman" w:hAnsi="Times New Roman" w:cs="Times New Roman"/>
                <w:highlight w:val="yellow"/>
                <w:lang w:val="en-US"/>
              </w:rPr>
              <w:t xml:space="preserve">Keeping in mind the three forms of learning that the literature considers relevant when using serious games to develop knowledge, namely </w:t>
            </w:r>
            <w:r w:rsidRPr="007508AD">
              <w:rPr>
                <w:rFonts w:ascii="Times New Roman" w:hAnsi="Times New Roman" w:cs="Times New Roman"/>
                <w:i/>
                <w:iCs/>
                <w:highlight w:val="yellow"/>
                <w:lang w:val="en-US"/>
              </w:rPr>
              <w:t>sociality – where more or better learning occurs when the learning situation includes collaborative social interaction including both dialogue with peers and content experts</w:t>
            </w:r>
            <w:r w:rsidRPr="007508AD">
              <w:rPr>
                <w:rFonts w:ascii="Times New Roman" w:hAnsi="Times New Roman" w:cs="Times New Roman"/>
                <w:highlight w:val="yellow"/>
                <w:lang w:val="en-US"/>
              </w:rPr>
              <w:t xml:space="preserve">;  </w:t>
            </w:r>
            <w:bookmarkStart w:id="0" w:name="_Hlk165973244"/>
            <w:r w:rsidRPr="007508AD">
              <w:rPr>
                <w:rFonts w:ascii="Times New Roman" w:hAnsi="Times New Roman" w:cs="Times New Roman"/>
                <w:i/>
                <w:iCs/>
                <w:highlight w:val="yellow"/>
                <w:lang w:val="en-US"/>
              </w:rPr>
              <w:t xml:space="preserve">situatedness - </w:t>
            </w:r>
            <w:r w:rsidRPr="007508AD">
              <w:rPr>
                <w:rFonts w:ascii="Times New Roman" w:hAnsi="Times New Roman" w:cs="Times New Roman"/>
                <w:highlight w:val="yellow"/>
                <w:lang w:val="en-US"/>
              </w:rPr>
              <w:t xml:space="preserve"> where situations produce knowledge through action and players have to actively engage with a situation that can be considered closer to reality than that created through passive forms of learning; and </w:t>
            </w:r>
            <w:r w:rsidRPr="007508AD">
              <w:rPr>
                <w:rFonts w:ascii="Times New Roman" w:hAnsi="Times New Roman" w:cs="Times New Roman"/>
                <w:i/>
                <w:iCs/>
                <w:highlight w:val="yellow"/>
                <w:lang w:val="en-US"/>
              </w:rPr>
              <w:t>experientiality – or learning by having an experience, and having a requirement of reflecting on and analyzing this experience</w:t>
            </w:r>
            <w:r w:rsidRPr="007508AD">
              <w:rPr>
                <w:rFonts w:ascii="Times New Roman" w:hAnsi="Times New Roman" w:cs="Times New Roman"/>
                <w:highlight w:val="yellow"/>
                <w:lang w:val="en-US"/>
              </w:rPr>
              <w:t xml:space="preserve">. For the purposes of this study, we wanted to </w:t>
            </w:r>
            <w:bookmarkEnd w:id="0"/>
            <w:r w:rsidRPr="007508AD">
              <w:rPr>
                <w:rFonts w:ascii="Times New Roman" w:hAnsi="Times New Roman" w:cs="Times New Roman"/>
                <w:highlight w:val="yellow"/>
              </w:rPr>
              <w:t xml:space="preserve">bring more awareness and contextualization to the concept of SDGs and as such, we gave background information about the case of microplastics rising in the ocean and jellyfish blooms happening in selected areas of the world, including in Norway. The latter was done for the participants to gain knowledge and have a background in a real environmental problem, to which the SDGs can be related specifically, linked to both situatedness and experientiality, mixed with sociality. </w:t>
            </w:r>
          </w:p>
          <w:p w14:paraId="6BC14755" w14:textId="41BFF310" w:rsidR="005B590D" w:rsidRPr="009E1DDD" w:rsidRDefault="005B590D" w:rsidP="009E1DD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AF7CD4" w14:paraId="4F5AA417"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01243F0F" w14:textId="5A9C239A" w:rsidR="00AF7CD4" w:rsidRPr="00925A83" w:rsidRDefault="00200D67" w:rsidP="00AF7CD4">
            <w:pPr>
              <w:pStyle w:val="Rentekst"/>
              <w:rPr>
                <w:b w:val="0"/>
                <w:bCs w:val="0"/>
              </w:rPr>
            </w:pPr>
            <w:r w:rsidRPr="00925A83">
              <w:rPr>
                <w:b w:val="0"/>
                <w:bCs w:val="0"/>
              </w:rPr>
              <w:lastRenderedPageBreak/>
              <w:t>, I would like to see more of the pre-knowledge of the players in this section to better demonstrate that there was some learning. Lines 331-333 says many groups changed their priorities after playing. Why? Do you have a debrief of this?</w:t>
            </w:r>
          </w:p>
        </w:tc>
        <w:tc>
          <w:tcPr>
            <w:tcW w:w="4531" w:type="dxa"/>
          </w:tcPr>
          <w:p w14:paraId="57DB86E1" w14:textId="53717E1E" w:rsidR="00AF7CD4" w:rsidRDefault="0034422A" w:rsidP="00AF7CD4">
            <w:pPr>
              <w:pStyle w:val="Rentekst"/>
              <w:cnfStyle w:val="000000000000" w:firstRow="0" w:lastRow="0" w:firstColumn="0" w:lastColumn="0" w:oddVBand="0" w:evenVBand="0" w:oddHBand="0" w:evenHBand="0" w:firstRowFirstColumn="0" w:firstRowLastColumn="0" w:lastRowFirstColumn="0" w:lastRowLastColumn="0"/>
            </w:pPr>
            <w:r>
              <w:t xml:space="preserve">Unfortunately, as we state in the conclusion, there was no pre- and post-test done for this study. </w:t>
            </w:r>
            <w:r w:rsidR="00214E5A">
              <w:t xml:space="preserve">I did add this information, though the relevance of the results </w:t>
            </w:r>
            <w:proofErr w:type="gramStart"/>
            <w:r w:rsidR="00214E5A">
              <w:t>are</w:t>
            </w:r>
            <w:proofErr w:type="gramEnd"/>
            <w:r w:rsidR="00214E5A">
              <w:t xml:space="preserve"> limited but now also reported on in the results section. </w:t>
            </w:r>
          </w:p>
          <w:p w14:paraId="6C147FFA" w14:textId="77777777" w:rsidR="00214E5A" w:rsidRDefault="00214E5A" w:rsidP="00AF7CD4">
            <w:pPr>
              <w:pStyle w:val="Rentekst"/>
              <w:cnfStyle w:val="000000000000" w:firstRow="0" w:lastRow="0" w:firstColumn="0" w:lastColumn="0" w:oddVBand="0" w:evenVBand="0" w:oddHBand="0" w:evenHBand="0" w:firstRowFirstColumn="0" w:firstRowLastColumn="0" w:lastRowFirstColumn="0" w:lastRowLastColumn="0"/>
            </w:pPr>
          </w:p>
          <w:p w14:paraId="7205F24F" w14:textId="77777777" w:rsidR="00214E5A" w:rsidRDefault="00214E5A" w:rsidP="00AF7CD4">
            <w:pPr>
              <w:pStyle w:val="Ren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The game started with each participant filling out a questionnaire focusing primarily on demographics, but also four questions on their background knowledge and experience with both jellyfish and pollution. The survey was taken on their phones prior to the game starting and there was not post survey to assess learning, which we acknowledge would have greatly enhanced this study.</w:t>
            </w:r>
          </w:p>
          <w:p w14:paraId="4DDF2C64" w14:textId="77777777" w:rsidR="00786980" w:rsidRDefault="00786980" w:rsidP="00AF7CD4">
            <w:pPr>
              <w:pStyle w:val="Ren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535E46D" w14:textId="61687835" w:rsidR="00786980" w:rsidRPr="00786980" w:rsidRDefault="00786980" w:rsidP="00AF7CD4">
            <w:pPr>
              <w:pStyle w:val="Ren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86980">
              <w:rPr>
                <w:rFonts w:ascii="Times New Roman" w:hAnsi="Times New Roman" w:cs="Times New Roman"/>
                <w:b/>
                <w:bCs/>
              </w:rPr>
              <w:t xml:space="preserve">Results section now starts with this: </w:t>
            </w:r>
          </w:p>
          <w:p w14:paraId="672500CF" w14:textId="119D01CF" w:rsidR="00786980" w:rsidRDefault="00786980" w:rsidP="00AF7CD4">
            <w:pPr>
              <w:pStyle w:val="Ren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The pre-game survey showed that only 20% of the players had had no experience at all with jellyfish, and almost 70% considered them a natural part of the ocean environment though 25% considered them dangerous. In terms of plastic pollution, all players were either moderately worried (18%), very worried (41%) or extremely worried (41%).</w:t>
            </w:r>
          </w:p>
          <w:p w14:paraId="1BEF286D" w14:textId="77777777" w:rsidR="004E0B48" w:rsidRDefault="004E0B48" w:rsidP="00AF7CD4">
            <w:pPr>
              <w:pStyle w:val="Rentekst"/>
              <w:cnfStyle w:val="000000000000" w:firstRow="0" w:lastRow="0" w:firstColumn="0" w:lastColumn="0" w:oddVBand="0" w:evenVBand="0" w:oddHBand="0" w:evenHBand="0" w:firstRowFirstColumn="0" w:firstRowLastColumn="0" w:lastRowFirstColumn="0" w:lastRowLastColumn="0"/>
            </w:pPr>
          </w:p>
          <w:p w14:paraId="36A69D37" w14:textId="141540EF" w:rsidR="004E0B48" w:rsidRPr="00786980" w:rsidRDefault="004E0B48" w:rsidP="00AF7CD4">
            <w:pPr>
              <w:pStyle w:val="Rentekst"/>
              <w:cnfStyle w:val="000000000000" w:firstRow="0" w:lastRow="0" w:firstColumn="0" w:lastColumn="0" w:oddVBand="0" w:evenVBand="0" w:oddHBand="0" w:evenHBand="0" w:firstRowFirstColumn="0" w:firstRowLastColumn="0" w:lastRowFirstColumn="0" w:lastRowLastColumn="0"/>
              <w:rPr>
                <w:b/>
                <w:bCs/>
              </w:rPr>
            </w:pPr>
            <w:r w:rsidRPr="00786980">
              <w:rPr>
                <w:b/>
                <w:bCs/>
              </w:rPr>
              <w:t xml:space="preserve">We </w:t>
            </w:r>
            <w:r w:rsidR="00786980">
              <w:rPr>
                <w:b/>
                <w:bCs/>
              </w:rPr>
              <w:t>also</w:t>
            </w:r>
            <w:r w:rsidRPr="00786980">
              <w:rPr>
                <w:b/>
                <w:bCs/>
              </w:rPr>
              <w:t xml:space="preserve"> state at after table 1 that:</w:t>
            </w:r>
          </w:p>
          <w:p w14:paraId="21028993" w14:textId="77777777" w:rsidR="004E0B48" w:rsidRDefault="004E0B48" w:rsidP="00AF7CD4">
            <w:pPr>
              <w:pStyle w:val="Rentekst"/>
              <w:cnfStyle w:val="000000000000" w:firstRow="0" w:lastRow="0" w:firstColumn="0" w:lastColumn="0" w:oddVBand="0" w:evenVBand="0" w:oddHBand="0" w:evenHBand="0" w:firstRowFirstColumn="0" w:firstRowLastColumn="0" w:lastRowFirstColumn="0" w:lastRowLastColumn="0"/>
            </w:pPr>
          </w:p>
          <w:p w14:paraId="444EC43E" w14:textId="77777777" w:rsidR="004E0B48" w:rsidRDefault="004E0B48" w:rsidP="00AF7CD4">
            <w:pPr>
              <w:pStyle w:val="Ren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Since there was no post-game survey, the results only showed the baseline data for these groups. However the, qualitative data reflects their learning and at the end of the session, the students were asked to give oral feedback on the experience to work with marine plastic pollution and jellyfish blooms in a Serious games format to gain some understanding on whether or not they had gained an increase in ocean literacy as expressed by the seven principles presented by </w:t>
            </w:r>
            <w:r w:rsidRPr="001F2B64">
              <w:rPr>
                <w:rFonts w:ascii="Times New Roman" w:hAnsi="Times New Roman" w:cs="Times New Roman"/>
                <w:shd w:val="clear" w:color="auto" w:fill="E6E6E6"/>
              </w:rPr>
              <w:fldChar w:fldCharType="begin"/>
            </w:r>
            <w:r>
              <w:rPr>
                <w:rFonts w:ascii="Times New Roman" w:hAnsi="Times New Roman" w:cs="Times New Roman"/>
                <w:shd w:val="clear" w:color="auto" w:fill="E6E6E6"/>
              </w:rPr>
              <w:instrText xml:space="preserve"> ADDIN EN.CITE &lt;EndNote&gt;&lt;Cite&gt;&lt;Author&gt;Pantò&lt;/Author&gt;&lt;Year&gt;2019&lt;/Year&gt;&lt;RecNum&gt;3393&lt;/RecNum&gt;&lt;Pages&gt;248&lt;/Pages&gt;&lt;DisplayText&gt;(Pantò 2019b)&lt;/DisplayText&gt;&lt;record&gt;&lt;rec-number&gt;3393&lt;/rec-number&gt;&lt;foreign-keys&gt;&lt;key app="EN" db-id="9dwxxtsf0rftzyetd045p55bv0a0999zs2ss" timestamp="1657617083" guid="9e26034c-29f6-4aa7-9ecc-1c95485f83f7"&gt;3393&lt;/key&gt;&lt;/foreign-keys&gt;&lt;ref-type name="Journal Article"&gt;17&lt;/ref-type&gt;&lt;contributors&gt;&lt;authors&gt;&lt;author&gt;Pantò, Eleonora&lt;/author&gt;&lt;/authors&gt;&lt;/contributors&gt;&lt;titles&gt;&lt;title&gt;A game for learning ocean literacy: The ResponSEAble project&lt;/title&gt;&lt;/titles&gt;&lt;pages&gt;247-252&lt;/pages&gt;&lt;volume&gt;51&lt;/volume&gt;&lt;number&gt;3&lt;/number&gt;&lt;dates&gt;&lt;year&gt;2019&lt;/year&gt;&lt;/dates&gt;&lt;isbn&gt;1057-2317&lt;/isbn&gt;&lt;urls&gt;&lt;/urls&gt;&lt;/record&gt;&lt;/Cite&gt;&lt;/EndNote&gt;</w:instrText>
            </w:r>
            <w:r w:rsidRPr="001F2B64">
              <w:rPr>
                <w:rFonts w:ascii="Times New Roman" w:hAnsi="Times New Roman" w:cs="Times New Roman"/>
                <w:shd w:val="clear" w:color="auto" w:fill="E6E6E6"/>
              </w:rPr>
              <w:fldChar w:fldCharType="separate"/>
            </w:r>
            <w:r>
              <w:rPr>
                <w:rFonts w:ascii="Times New Roman" w:hAnsi="Times New Roman" w:cs="Times New Roman"/>
                <w:noProof/>
                <w:shd w:val="clear" w:color="auto" w:fill="E6E6E6"/>
              </w:rPr>
              <w:t>(Pantò 2019b)</w:t>
            </w:r>
            <w:r w:rsidRPr="001F2B64">
              <w:rPr>
                <w:rFonts w:ascii="Times New Roman" w:hAnsi="Times New Roman" w:cs="Times New Roman"/>
                <w:shd w:val="clear" w:color="auto" w:fill="E6E6E6"/>
              </w:rPr>
              <w:fldChar w:fldCharType="end"/>
            </w:r>
            <w:r>
              <w:rPr>
                <w:rFonts w:ascii="Times New Roman" w:hAnsi="Times New Roman" w:cs="Times New Roman"/>
              </w:rPr>
              <w:t>.</w:t>
            </w:r>
          </w:p>
          <w:p w14:paraId="405A35D6" w14:textId="77777777" w:rsidR="00FB64F7" w:rsidRDefault="00FB64F7" w:rsidP="00AF7CD4">
            <w:pPr>
              <w:pStyle w:val="Rentekst"/>
              <w:cnfStyle w:val="000000000000" w:firstRow="0" w:lastRow="0" w:firstColumn="0" w:lastColumn="0" w:oddVBand="0" w:evenVBand="0" w:oddHBand="0" w:evenHBand="0" w:firstRowFirstColumn="0" w:firstRowLastColumn="0" w:lastRowFirstColumn="0" w:lastRowLastColumn="0"/>
            </w:pPr>
          </w:p>
          <w:p w14:paraId="3D07F661" w14:textId="77777777" w:rsidR="00FB64F7" w:rsidRDefault="00FB64F7" w:rsidP="00AF7CD4">
            <w:pPr>
              <w:pStyle w:val="Rentekst"/>
              <w:cnfStyle w:val="000000000000" w:firstRow="0" w:lastRow="0" w:firstColumn="0" w:lastColumn="0" w:oddVBand="0" w:evenVBand="0" w:oddHBand="0" w:evenHBand="0" w:firstRowFirstColumn="0" w:firstRowLastColumn="0" w:lastRowFirstColumn="0" w:lastRowLastColumn="0"/>
            </w:pPr>
            <w:r>
              <w:t>There are also examples of this throughout, like this one:</w:t>
            </w:r>
          </w:p>
          <w:p w14:paraId="590EDF65" w14:textId="77777777" w:rsidR="00FB64F7" w:rsidRDefault="00FB64F7" w:rsidP="00AF7CD4">
            <w:pPr>
              <w:pStyle w:val="Rentekst"/>
              <w:cnfStyle w:val="000000000000" w:firstRow="0" w:lastRow="0" w:firstColumn="0" w:lastColumn="0" w:oddVBand="0" w:evenVBand="0" w:oddHBand="0" w:evenHBand="0" w:firstRowFirstColumn="0" w:firstRowLastColumn="0" w:lastRowFirstColumn="0" w:lastRowLastColumn="0"/>
            </w:pPr>
          </w:p>
          <w:p w14:paraId="38C89AF5" w14:textId="77777777" w:rsidR="00FB64F7" w:rsidRDefault="00FB64F7" w:rsidP="00AF7CD4">
            <w:pPr>
              <w:pStyle w:val="Ren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The group from Bergen said that their choice to prioritize SDG 14 was “</w:t>
            </w:r>
            <w:r w:rsidRPr="006E70D1">
              <w:rPr>
                <w:rFonts w:ascii="Times New Roman" w:hAnsi="Times New Roman" w:cs="Times New Roman"/>
                <w:i/>
                <w:iCs/>
              </w:rPr>
              <w:t>based on what we have been through now</w:t>
            </w:r>
            <w:r>
              <w:rPr>
                <w:rFonts w:ascii="Times New Roman" w:hAnsi="Times New Roman" w:cs="Times New Roman"/>
              </w:rPr>
              <w:t>”, demonstrating that they had gained more knowledge and arguably increased their ocean literacy in the process of playing the game and ranking the SDGs accordingly with the knowledge they gained through the gaming session.</w:t>
            </w:r>
          </w:p>
          <w:p w14:paraId="6C70EDC2" w14:textId="77777777" w:rsidR="00BA3964" w:rsidRDefault="00BA3964" w:rsidP="00AF7CD4">
            <w:pPr>
              <w:pStyle w:val="Rentekst"/>
              <w:cnfStyle w:val="000000000000" w:firstRow="0" w:lastRow="0" w:firstColumn="0" w:lastColumn="0" w:oddVBand="0" w:evenVBand="0" w:oddHBand="0" w:evenHBand="0" w:firstRowFirstColumn="0" w:firstRowLastColumn="0" w:lastRowFirstColumn="0" w:lastRowLastColumn="0"/>
            </w:pPr>
          </w:p>
          <w:p w14:paraId="28E78A41" w14:textId="77777777" w:rsidR="00BA3964" w:rsidRDefault="00BA3964" w:rsidP="00AF7CD4">
            <w:pPr>
              <w:pStyle w:val="Rentekst"/>
              <w:cnfStyle w:val="000000000000" w:firstRow="0" w:lastRow="0" w:firstColumn="0" w:lastColumn="0" w:oddVBand="0" w:evenVBand="0" w:oddHBand="0" w:evenHBand="0" w:firstRowFirstColumn="0" w:firstRowLastColumn="0" w:lastRowFirstColumn="0" w:lastRowLastColumn="0"/>
            </w:pPr>
            <w:r>
              <w:t xml:space="preserve">And </w:t>
            </w:r>
          </w:p>
          <w:p w14:paraId="4DB5D37D" w14:textId="77777777" w:rsidR="00BA3964" w:rsidRDefault="00BA3964" w:rsidP="00AF7CD4">
            <w:pPr>
              <w:pStyle w:val="Rentekst"/>
              <w:cnfStyle w:val="000000000000" w:firstRow="0" w:lastRow="0" w:firstColumn="0" w:lastColumn="0" w:oddVBand="0" w:evenVBand="0" w:oddHBand="0" w:evenHBand="0" w:firstRowFirstColumn="0" w:firstRowLastColumn="0" w:lastRowFirstColumn="0" w:lastRowLastColumn="0"/>
            </w:pPr>
          </w:p>
          <w:p w14:paraId="6693CE35" w14:textId="537F4D08" w:rsidR="00BA3964" w:rsidRPr="00AF7CD4" w:rsidRDefault="00BA3964" w:rsidP="00AF7CD4">
            <w:pPr>
              <w:pStyle w:val="Rentekst"/>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rPr>
              <w:t>Each group discussed, and mentioned that, for example, “I knew nothing about jellyfish [before playing the game]”.</w:t>
            </w:r>
          </w:p>
        </w:tc>
      </w:tr>
      <w:tr w:rsidR="00AF7CD4" w14:paraId="4550CA63"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053BF923" w14:textId="74BCE6FC" w:rsidR="00AF7CD4" w:rsidRPr="00925A83" w:rsidRDefault="00200D67" w:rsidP="00AF7CD4">
            <w:pPr>
              <w:pStyle w:val="Rentekst"/>
              <w:rPr>
                <w:b w:val="0"/>
                <w:bCs w:val="0"/>
              </w:rPr>
            </w:pPr>
            <w:r w:rsidRPr="00925A83">
              <w:rPr>
                <w:b w:val="0"/>
                <w:bCs w:val="0"/>
              </w:rPr>
              <w:lastRenderedPageBreak/>
              <w:t>there’s a reference for example on line 359 to one player’s not truly understanding what the economic argument was. That’s a good empirical marker to then see changes after having played the game. Was there a debriefing survey to ask players why they repositioned their game after playing? If yes, it would be important to add more of this information in the results section.</w:t>
            </w:r>
            <w:r w:rsidRPr="00925A83">
              <w:rPr>
                <w:b w:val="0"/>
                <w:bCs w:val="0"/>
              </w:rPr>
              <w:br/>
            </w:r>
          </w:p>
        </w:tc>
        <w:tc>
          <w:tcPr>
            <w:tcW w:w="4531" w:type="dxa"/>
          </w:tcPr>
          <w:p w14:paraId="68D16D08" w14:textId="4DCE0E90" w:rsidR="003D39F3" w:rsidRPr="00AF7CD4" w:rsidRDefault="00DA4368" w:rsidP="00AF7CD4">
            <w:pPr>
              <w:pStyle w:val="Rentekst"/>
              <w:cnfStyle w:val="000000000000" w:firstRow="0" w:lastRow="0" w:firstColumn="0" w:lastColumn="0" w:oddVBand="0" w:evenVBand="0" w:oddHBand="0" w:evenHBand="0" w:firstRowFirstColumn="0" w:firstRowLastColumn="0" w:lastRowFirstColumn="0" w:lastRowLastColumn="0"/>
            </w:pPr>
            <w:r>
              <w:t xml:space="preserve">See examples above! </w:t>
            </w:r>
          </w:p>
        </w:tc>
      </w:tr>
      <w:tr w:rsidR="00AF7CD4" w14:paraId="5B761CAF"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623C736D" w14:textId="49073BB3" w:rsidR="00AF7CD4" w:rsidRPr="00925A83" w:rsidRDefault="00E746B2" w:rsidP="00AF7CD4">
            <w:pPr>
              <w:pStyle w:val="Rentekst"/>
              <w:rPr>
                <w:b w:val="0"/>
                <w:bCs w:val="0"/>
              </w:rPr>
            </w:pPr>
            <w:r w:rsidRPr="00925A83">
              <w:rPr>
                <w:b w:val="0"/>
                <w:bCs w:val="0"/>
              </w:rPr>
              <w:t>I think the introduction could provide an overview of the findings to help guide the readers. A couple sentences could fit well after lines 86-88.</w:t>
            </w:r>
            <w:r w:rsidRPr="00925A83">
              <w:rPr>
                <w:b w:val="0"/>
                <w:bCs w:val="0"/>
              </w:rPr>
              <w:br/>
            </w:r>
          </w:p>
        </w:tc>
        <w:tc>
          <w:tcPr>
            <w:tcW w:w="4531" w:type="dxa"/>
          </w:tcPr>
          <w:p w14:paraId="07B15A70" w14:textId="77777777" w:rsidR="00AE045C" w:rsidRDefault="00B9223B" w:rsidP="00AF7CD4">
            <w:pPr>
              <w:pStyle w:val="Rentekst"/>
              <w:cnfStyle w:val="000000000000" w:firstRow="0" w:lastRow="0" w:firstColumn="0" w:lastColumn="0" w:oddVBand="0" w:evenVBand="0" w:oddHBand="0" w:evenHBand="0" w:firstRowFirstColumn="0" w:firstRowLastColumn="0" w:lastRowFirstColumn="0" w:lastRowLastColumn="0"/>
            </w:pPr>
            <w:r>
              <w:t xml:space="preserve">I added this at the end of the introduction: </w:t>
            </w:r>
          </w:p>
          <w:p w14:paraId="03D001B0" w14:textId="77777777" w:rsidR="00B9223B" w:rsidRDefault="00B9223B" w:rsidP="00B9223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9E73C8D" w14:textId="2C884BC8" w:rsidR="00B9223B" w:rsidRPr="003F66B5" w:rsidRDefault="00B9223B" w:rsidP="00B9223B">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F66B5">
              <w:rPr>
                <w:rFonts w:ascii="Times New Roman" w:hAnsi="Times New Roman" w:cs="Times New Roman"/>
              </w:rPr>
              <w:t>This article will set out by examining ocean literacy and serious games as a</w:t>
            </w:r>
            <w:r>
              <w:rPr>
                <w:rFonts w:ascii="Times New Roman" w:hAnsi="Times New Roman" w:cs="Times New Roman"/>
              </w:rPr>
              <w:t>n</w:t>
            </w:r>
            <w:r w:rsidRPr="003F66B5">
              <w:rPr>
                <w:rFonts w:ascii="Times New Roman" w:hAnsi="Times New Roman" w:cs="Times New Roman"/>
              </w:rPr>
              <w:t xml:space="preserve"> </w:t>
            </w:r>
            <w:r>
              <w:rPr>
                <w:rFonts w:ascii="Times New Roman" w:hAnsi="Times New Roman" w:cs="Times New Roman"/>
              </w:rPr>
              <w:t xml:space="preserve">innovative </w:t>
            </w:r>
            <w:r w:rsidRPr="003F66B5">
              <w:rPr>
                <w:rFonts w:ascii="Times New Roman" w:hAnsi="Times New Roman" w:cs="Times New Roman"/>
              </w:rPr>
              <w:t xml:space="preserve">methodology towards </w:t>
            </w:r>
            <w:r>
              <w:rPr>
                <w:rFonts w:ascii="Times New Roman" w:hAnsi="Times New Roman" w:cs="Times New Roman"/>
              </w:rPr>
              <w:t>increasing ocean literacy. We first discuss the concept of Ocean Literacy, followed by a focus on the pedagogy of gaming. After this we present the game itself, and report</w:t>
            </w:r>
            <w:r w:rsidRPr="003F66B5">
              <w:rPr>
                <w:rFonts w:ascii="Times New Roman" w:hAnsi="Times New Roman" w:cs="Times New Roman"/>
              </w:rPr>
              <w:t xml:space="preserve"> on results from three gaming sessions with high school students in three different regions of Norway</w:t>
            </w:r>
            <w:r>
              <w:rPr>
                <w:rFonts w:ascii="Times New Roman" w:hAnsi="Times New Roman" w:cs="Times New Roman"/>
              </w:rPr>
              <w:t xml:space="preserve">, and the narratives from these to exemplify the efficacy of using Serious </w:t>
            </w:r>
            <w:r w:rsidRPr="4854640B">
              <w:rPr>
                <w:rFonts w:ascii="Times New Roman" w:hAnsi="Times New Roman" w:cs="Times New Roman"/>
              </w:rPr>
              <w:t>games</w:t>
            </w:r>
            <w:r>
              <w:rPr>
                <w:rFonts w:ascii="Times New Roman" w:hAnsi="Times New Roman" w:cs="Times New Roman"/>
              </w:rPr>
              <w:t xml:space="preserve"> for Ocean Literacy. We conclude by considering the applicability of using this game as an educational tool for Ocean Literacy in the majority world as well, and with participants that are not part of the formal educational system. </w:t>
            </w:r>
          </w:p>
          <w:p w14:paraId="44250679" w14:textId="3753BBDB" w:rsidR="00B9223B" w:rsidRPr="00AF7CD4" w:rsidRDefault="00B9223B" w:rsidP="00AF7CD4">
            <w:pPr>
              <w:pStyle w:val="Rentekst"/>
              <w:cnfStyle w:val="000000000000" w:firstRow="0" w:lastRow="0" w:firstColumn="0" w:lastColumn="0" w:oddVBand="0" w:evenVBand="0" w:oddHBand="0" w:evenHBand="0" w:firstRowFirstColumn="0" w:firstRowLastColumn="0" w:lastRowFirstColumn="0" w:lastRowLastColumn="0"/>
            </w:pPr>
          </w:p>
        </w:tc>
      </w:tr>
      <w:tr w:rsidR="00AF7CD4" w14:paraId="62CD3B6F"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3B0A171A" w14:textId="58953A41" w:rsidR="00AF7CD4" w:rsidRPr="00925A83" w:rsidRDefault="00E746B2" w:rsidP="00AF7CD4">
            <w:pPr>
              <w:pStyle w:val="Rentekst"/>
              <w:rPr>
                <w:b w:val="0"/>
                <w:bCs w:val="0"/>
              </w:rPr>
            </w:pPr>
            <w:r w:rsidRPr="00925A83">
              <w:rPr>
                <w:b w:val="0"/>
                <w:bCs w:val="0"/>
              </w:rPr>
              <w:t>A couple of lines explaining why you choose students from coastal cities might be useful (lines 257-258). Was this a sample of convenience? In any case, please explain your choice.</w:t>
            </w:r>
            <w:r w:rsidRPr="00925A83">
              <w:rPr>
                <w:b w:val="0"/>
                <w:bCs w:val="0"/>
              </w:rPr>
              <w:br/>
            </w:r>
          </w:p>
        </w:tc>
        <w:tc>
          <w:tcPr>
            <w:tcW w:w="4531" w:type="dxa"/>
          </w:tcPr>
          <w:p w14:paraId="0D251617" w14:textId="2A26C652" w:rsidR="00AF7CD4" w:rsidRPr="00AF7CD4" w:rsidRDefault="004B5931" w:rsidP="00AF7CD4">
            <w:pPr>
              <w:pStyle w:val="Rentekst"/>
              <w:cnfStyle w:val="000000000000" w:firstRow="0" w:lastRow="0" w:firstColumn="0" w:lastColumn="0" w:oddVBand="0" w:evenVBand="0" w:oddHBand="0" w:evenHBand="0" w:firstRowFirstColumn="0" w:firstRowLastColumn="0" w:lastRowFirstColumn="0" w:lastRowLastColumn="0"/>
            </w:pPr>
            <w:r>
              <w:t>See above</w:t>
            </w:r>
          </w:p>
        </w:tc>
      </w:tr>
      <w:tr w:rsidR="00925A83" w14:paraId="451F5617"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1ED10A57" w14:textId="3900AFF8" w:rsidR="00925A83" w:rsidRPr="00925A83" w:rsidRDefault="00925A83" w:rsidP="00AF7CD4">
            <w:pPr>
              <w:pStyle w:val="Rentekst"/>
              <w:rPr>
                <w:b w:val="0"/>
                <w:bCs w:val="0"/>
              </w:rPr>
            </w:pPr>
            <w:r w:rsidRPr="00925A83">
              <w:rPr>
                <w:b w:val="0"/>
                <w:bCs w:val="0"/>
              </w:rPr>
              <w:t>Line 261 adding a one sentence description of what the snowball method is would be useful.</w:t>
            </w:r>
          </w:p>
        </w:tc>
        <w:tc>
          <w:tcPr>
            <w:tcW w:w="4531" w:type="dxa"/>
          </w:tcPr>
          <w:p w14:paraId="6F0BCF4F" w14:textId="77777777" w:rsidR="00925A83" w:rsidRDefault="000953ED" w:rsidP="00AF7CD4">
            <w:pPr>
              <w:pStyle w:val="Rentekst"/>
              <w:cnfStyle w:val="000000000000" w:firstRow="0" w:lastRow="0" w:firstColumn="0" w:lastColumn="0" w:oddVBand="0" w:evenVBand="0" w:oddHBand="0" w:evenHBand="0" w:firstRowFirstColumn="0" w:firstRowLastColumn="0" w:lastRowFirstColumn="0" w:lastRowLastColumn="0"/>
            </w:pPr>
            <w:r>
              <w:t xml:space="preserve">Added this sentence: </w:t>
            </w:r>
          </w:p>
          <w:p w14:paraId="5486740F" w14:textId="6AC46FE0" w:rsidR="000953ED" w:rsidRPr="000953ED" w:rsidRDefault="00AE4C8B" w:rsidP="00AF7CD4">
            <w:pPr>
              <w:pStyle w:val="Renteks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r>
              <w:rPr>
                <w:rFonts w:ascii="Times New Roman" w:eastAsia="Calibri" w:hAnsi="Times New Roman" w:cs="Times New Roman"/>
                <w:szCs w:val="22"/>
              </w:rPr>
              <w:t xml:space="preserve">The students were recruited using the </w:t>
            </w:r>
            <w:r w:rsidRPr="009F7153">
              <w:rPr>
                <w:rFonts w:ascii="Times New Roman" w:eastAsia="Calibri" w:hAnsi="Times New Roman" w:cs="Times New Roman"/>
                <w:szCs w:val="22"/>
              </w:rPr>
              <w:t>snowball method</w:t>
            </w:r>
            <w:r>
              <w:rPr>
                <w:rFonts w:ascii="Times New Roman" w:eastAsia="Calibri" w:hAnsi="Times New Roman" w:cs="Times New Roman"/>
                <w:szCs w:val="22"/>
              </w:rPr>
              <w:t xml:space="preserve"> </w:t>
            </w:r>
            <w:r w:rsidRPr="0091308E">
              <w:rPr>
                <w:rFonts w:ascii="Times New Roman" w:eastAsia="Calibri" w:hAnsi="Times New Roman" w:cs="Times New Roman"/>
                <w:szCs w:val="22"/>
              </w:rPr>
              <w:fldChar w:fldCharType="begin"/>
            </w:r>
            <w:r w:rsidRPr="0091308E">
              <w:rPr>
                <w:rFonts w:ascii="Times New Roman" w:eastAsia="Calibri" w:hAnsi="Times New Roman" w:cs="Times New Roman"/>
                <w:szCs w:val="22"/>
              </w:rPr>
              <w:instrText xml:space="preserve"> ADDIN EN.CITE &lt;EndNote&gt;&lt;Cite&gt;&lt;Author&gt;Biernacki&lt;/Author&gt;&lt;Year&gt;1981&lt;/Year&gt;&lt;RecNum&gt;2972&lt;/RecNum&gt;&lt;DisplayText&gt;(Biernacki and Waldorf 1981)&lt;/DisplayText&gt;&lt;record&gt;&lt;rec-number&gt;2972&lt;/rec-number&gt;&lt;foreign-keys&gt;&lt;key app="EN" db-id="9dwxxtsf0rftzyetd045p55bv0a0999zs2ss" timestamp="1619699779" guid="4e641258-f51e-45e9-83d8-ab208a55b70d"&gt;2972&lt;/key&gt;&lt;/foreign-keys&gt;&lt;ref-type name="Journal Article"&gt;17&lt;/ref-type&gt;&lt;contributors&gt;&lt;authors&gt;&lt;author&gt;Biernacki, Patrick&lt;/author&gt;&lt;author&gt;Waldorf, Dan&lt;/author&gt;&lt;/authors&gt;&lt;/contributors&gt;&lt;titles&gt;&lt;title&gt;Snowball Sampling: Problems and Techniques of Chain Referral Sampling&lt;/title&gt;&lt;secondary-title&gt;Sociological Methods &amp;amp; Research&lt;/secondary-title&gt;&lt;/titles&gt;&lt;periodical&gt;&lt;full-title&gt;Sociological Methods &amp;amp; Research&lt;/full-title&gt;&lt;/periodical&gt;&lt;pages&gt;141-163&lt;/pages&gt;&lt;volume&gt;10&lt;/volume&gt;&lt;number&gt;2&lt;/number&gt;&lt;dates&gt;&lt;year&gt;1981&lt;/year&gt;&lt;pub-dates&gt;&lt;date&gt;November 1, 1981&lt;/date&gt;&lt;/pub-dates&gt;&lt;/dates&gt;&lt;urls&gt;&lt;related-urls&gt;&lt;url&gt;http://smr.sagepub.com/content/10/2/141.abstract&lt;/url&gt;&lt;/related-urls&gt;&lt;/urls&gt;&lt;electronic-resource-num&gt;10.1177/004912418101000205&lt;/electronic-resource-num&gt;&lt;/record&gt;&lt;/Cite&gt;&lt;/EndNote&gt;</w:instrText>
            </w:r>
            <w:r w:rsidRPr="0091308E">
              <w:rPr>
                <w:rFonts w:ascii="Times New Roman" w:eastAsia="Calibri" w:hAnsi="Times New Roman" w:cs="Times New Roman"/>
                <w:szCs w:val="22"/>
              </w:rPr>
              <w:fldChar w:fldCharType="separate"/>
            </w:r>
            <w:r w:rsidRPr="0091308E">
              <w:rPr>
                <w:rFonts w:ascii="Times New Roman" w:eastAsia="Calibri" w:hAnsi="Times New Roman" w:cs="Times New Roman"/>
                <w:noProof/>
                <w:szCs w:val="22"/>
              </w:rPr>
              <w:t>(Biernacki and Waldorf 1981)</w:t>
            </w:r>
            <w:r w:rsidRPr="0091308E">
              <w:rPr>
                <w:rFonts w:ascii="Times New Roman" w:eastAsia="Calibri" w:hAnsi="Times New Roman" w:cs="Times New Roman"/>
                <w:szCs w:val="22"/>
              </w:rPr>
              <w:fldChar w:fldCharType="end"/>
            </w:r>
            <w:r w:rsidRPr="0091308E">
              <w:rPr>
                <w:rFonts w:ascii="Times New Roman" w:eastAsia="Calibri" w:hAnsi="Times New Roman" w:cs="Times New Roman"/>
              </w:rPr>
              <w:t xml:space="preserve">, a </w:t>
            </w:r>
            <w:r>
              <w:rPr>
                <w:rFonts w:ascii="Times New Roman" w:eastAsia="Calibri" w:hAnsi="Times New Roman" w:cs="Times New Roman"/>
              </w:rPr>
              <w:t xml:space="preserve">convenience </w:t>
            </w:r>
            <w:r w:rsidRPr="0091308E">
              <w:rPr>
                <w:rFonts w:ascii="Times New Roman" w:eastAsia="Calibri" w:hAnsi="Times New Roman" w:cs="Times New Roman"/>
              </w:rPr>
              <w:t>sampling method used when samples of participants with the target characteristics are note easily accessible to the research group</w:t>
            </w:r>
            <w:r>
              <w:rPr>
                <w:rFonts w:ascii="Times New Roman" w:eastAsia="Calibri" w:hAnsi="Times New Roman" w:cs="Times New Roman"/>
              </w:rPr>
              <w:t xml:space="preserve">, and existing subjects recruit further subjects to the study among their acquaintances until data saturation has been reached </w:t>
            </w:r>
            <w:r w:rsidRPr="008E0DC0">
              <w:rPr>
                <w:rFonts w:ascii="Times New Roman" w:hAnsi="Times New Roman" w:cs="Times New Roman"/>
                <w:lang w:val="en-US"/>
              </w:rPr>
              <w:fldChar w:fldCharType="begin"/>
            </w:r>
            <w:r w:rsidRPr="008E0DC0">
              <w:rPr>
                <w:rFonts w:ascii="Times New Roman" w:hAnsi="Times New Roman" w:cs="Times New Roman"/>
                <w:lang w:val="en-US"/>
              </w:rPr>
              <w:instrText xml:space="preserve"> ADDIN ZOTERO_ITEM CSL_CITATION {"citationID":"NljbfLL6","properties":{"formattedCitation":"(Naderifar, Goli, and Ghaljaie 2017)","plainCitation":"(Naderifar, Goli, and Ghaljaie 2017)","noteIndex":0},"citationItems":[{"id":465,"uris":["http://zotero.org/users/9399713/items/EKLPNYJM"],"itemData":{"id":465,"type":"article-journal","abstract":"Background and Objectives Snowball sampling is applied when samples with the target characteristics are not easily accessible. This research describes snowball sampling as a purposeful method of data collection in qualitative research. Methods This paper is a descriptive review of previous research papers. Data were gathered using English keywords, including “review,” “declaration,” “snowball,” and “chain referral,” as well as Persian keywords that are equivalents of the following: “purposeful sampling,” “snowball,” “qualitative research,” and “descriptive review.” The databases included Google Scholar, Scopus, Irandoc, ProQuest, Science Direct, SID, MagIran, Medline, and Cochrane. The search was limited to Persian and English articles written between 2005 and 2013. Results The preliminary search yielded 433 articles from PubMed, 88 articles from Scopus, 1 article from SID, and 18 articles from MagIran. Among 125 articles, methodological and non-research articles were omitted. Finally, 11 relevant articles, which met the criteria, were selected for review. Conclusions Different methods of snowball sampling can be applied to facilitate scientific research, provide community-based data, and hold health educational programs. Snowball sampling can be effectively used to analyze vulnerable groups or individuals under special care. In fact, it allows researchers to access susceptible populations. Thus, it is suggested to consider snowball sampling strategies while working with the attendees of educational programs or samples of research studies.","container-title":"Strides in Development of Medical Education","DOI":"10.5812/sdme.67670","ISSN":"2645-3525","issue":"3","language":"en","note":"publisher: Kerman University of Medical Sciences","source":"sdme.kmu.ac.ir","title":"Snowball Sampling: A Purposeful Method of Sampling in Qualitative Research","title-short":"Snowball Sampling","URL":"https://sdme.kmu.ac.ir/article_90598.html","volume":"14","author":[{"family":"Naderifar","given":"Mahin"},{"family":"Goli","given":"Hamideh"},{"family":"Ghaljaie","given":"Fereshteh"}],"accessed":{"date-parts":[["2024",5,7]]},"issued":{"date-parts":[["2017",9,30]]}}}],"schema":"https://github.com/citation-style-language/schema/raw/master/csl-citation.json"} </w:instrText>
            </w:r>
            <w:r w:rsidRPr="008E0DC0">
              <w:rPr>
                <w:rFonts w:ascii="Times New Roman" w:hAnsi="Times New Roman" w:cs="Times New Roman"/>
                <w:lang w:val="en-US"/>
              </w:rPr>
              <w:fldChar w:fldCharType="separate"/>
            </w:r>
            <w:r w:rsidRPr="008E0DC0">
              <w:rPr>
                <w:rFonts w:ascii="Times New Roman" w:hAnsi="Times New Roman" w:cs="Times New Roman"/>
                <w:lang w:val="en-US"/>
              </w:rPr>
              <w:t>(</w:t>
            </w:r>
            <w:proofErr w:type="spellStart"/>
            <w:r w:rsidRPr="008E0DC0">
              <w:rPr>
                <w:rFonts w:ascii="Times New Roman" w:hAnsi="Times New Roman" w:cs="Times New Roman"/>
                <w:lang w:val="en-US"/>
              </w:rPr>
              <w:t>Naderifar</w:t>
            </w:r>
            <w:proofErr w:type="spellEnd"/>
            <w:r w:rsidRPr="008E0DC0">
              <w:rPr>
                <w:rFonts w:ascii="Times New Roman" w:hAnsi="Times New Roman" w:cs="Times New Roman"/>
                <w:lang w:val="en-US"/>
              </w:rPr>
              <w:t xml:space="preserve">, Goli, and </w:t>
            </w:r>
            <w:proofErr w:type="spellStart"/>
            <w:r w:rsidRPr="008E0DC0">
              <w:rPr>
                <w:rFonts w:ascii="Times New Roman" w:hAnsi="Times New Roman" w:cs="Times New Roman"/>
                <w:lang w:val="en-US"/>
              </w:rPr>
              <w:t>Ghaljaie</w:t>
            </w:r>
            <w:proofErr w:type="spellEnd"/>
            <w:r w:rsidRPr="008E0DC0">
              <w:rPr>
                <w:rFonts w:ascii="Times New Roman" w:hAnsi="Times New Roman" w:cs="Times New Roman"/>
                <w:lang w:val="en-US"/>
              </w:rPr>
              <w:t xml:space="preserve"> 2017)</w:t>
            </w:r>
            <w:r w:rsidRPr="008E0DC0">
              <w:rPr>
                <w:rFonts w:ascii="Times New Roman" w:hAnsi="Times New Roman" w:cs="Times New Roman"/>
                <w:lang w:val="en-US"/>
              </w:rPr>
              <w:fldChar w:fldCharType="end"/>
            </w:r>
            <w:r w:rsidRPr="008E0DC0">
              <w:rPr>
                <w:rFonts w:ascii="Times New Roman" w:eastAsia="Calibri" w:hAnsi="Times New Roman" w:cs="Times New Roman"/>
                <w:szCs w:val="22"/>
              </w:rPr>
              <w:t xml:space="preserve">. </w:t>
            </w:r>
            <w:r w:rsidRPr="00D13EBE">
              <w:rPr>
                <w:rFonts w:ascii="Times New Roman" w:eastAsia="Calibri" w:hAnsi="Times New Roman" w:cs="Times New Roman"/>
                <w:lang w:val="en-US"/>
              </w:rPr>
              <w:t xml:space="preserve">The quality of the results sampled from this group far outweighs the relatively small number, as is often the case in qualitative research studies </w:t>
            </w:r>
            <w:r w:rsidRPr="00D13EBE">
              <w:rPr>
                <w:rFonts w:ascii="Times New Roman" w:eastAsia="Calibri" w:hAnsi="Times New Roman" w:cs="Times New Roman"/>
                <w:lang w:val="en-US"/>
              </w:rPr>
              <w:lastRenderedPageBreak/>
              <w:t>where large samples can be ineffective and do not provide the detailed and contextual information wanted by the researcher.</w:t>
            </w:r>
          </w:p>
        </w:tc>
      </w:tr>
      <w:tr w:rsidR="00AF7CD4" w14:paraId="39707297"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584243E6" w14:textId="5F74BF1A" w:rsidR="00AF7CD4" w:rsidRPr="00925A83" w:rsidRDefault="00925A83" w:rsidP="00AF7CD4">
            <w:pPr>
              <w:pStyle w:val="Rentekst"/>
              <w:rPr>
                <w:b w:val="0"/>
                <w:bCs w:val="0"/>
              </w:rPr>
            </w:pPr>
            <w:r w:rsidRPr="00925A83">
              <w:rPr>
                <w:b w:val="0"/>
                <w:bCs w:val="0"/>
              </w:rPr>
              <w:lastRenderedPageBreak/>
              <w:t>Lines 271-272 did you notice any differences in how players learned in the online game versus the physical one? If so, it might be interesting to put a few lines explaining what those where and what it might mean.</w:t>
            </w:r>
          </w:p>
        </w:tc>
        <w:tc>
          <w:tcPr>
            <w:tcW w:w="4531" w:type="dxa"/>
          </w:tcPr>
          <w:p w14:paraId="0133C09A" w14:textId="2A6DA316" w:rsidR="00DC6D4D" w:rsidRPr="00AF7CD4" w:rsidRDefault="00DA4368" w:rsidP="00AF7CD4">
            <w:pPr>
              <w:pStyle w:val="Rentekst"/>
              <w:cnfStyle w:val="000000000000" w:firstRow="0" w:lastRow="0" w:firstColumn="0" w:lastColumn="0" w:oddVBand="0" w:evenVBand="0" w:oddHBand="0" w:evenHBand="0" w:firstRowFirstColumn="0" w:firstRowLastColumn="0" w:lastRowFirstColumn="0" w:lastRowLastColumn="0"/>
            </w:pPr>
            <w:r>
              <w:t xml:space="preserve">No, not really – it was just more </w:t>
            </w:r>
            <w:r w:rsidR="008E5F94">
              <w:t xml:space="preserve">difficult to facilitate for us as researchers – but the results were the same. The discussions were hindered the way that it is for online discussions though. </w:t>
            </w:r>
          </w:p>
        </w:tc>
      </w:tr>
      <w:tr w:rsidR="00AF7CD4" w:rsidRPr="00AF7CD4" w14:paraId="49C2BB67" w14:textId="77777777" w:rsidTr="00AF7CD4">
        <w:tc>
          <w:tcPr>
            <w:cnfStyle w:val="001000000000" w:firstRow="0" w:lastRow="0" w:firstColumn="1" w:lastColumn="0" w:oddVBand="0" w:evenVBand="0" w:oddHBand="0" w:evenHBand="0" w:firstRowFirstColumn="0" w:firstRowLastColumn="0" w:lastRowFirstColumn="0" w:lastRowLastColumn="0"/>
            <w:tcW w:w="4531" w:type="dxa"/>
            <w:shd w:val="clear" w:color="auto" w:fill="D9E2F3" w:themeFill="accent1" w:themeFillTint="33"/>
          </w:tcPr>
          <w:p w14:paraId="063544E0" w14:textId="77777777" w:rsidR="00AF7CD4" w:rsidRPr="00AF7CD4" w:rsidRDefault="00AF7CD4" w:rsidP="00AF7CD4">
            <w:pPr>
              <w:pStyle w:val="Rentekst"/>
            </w:pPr>
            <w:r w:rsidRPr="00AF7CD4">
              <w:t>Referee: 2</w:t>
            </w:r>
          </w:p>
          <w:p w14:paraId="6E91CE0C" w14:textId="77777777" w:rsidR="00AF7CD4" w:rsidRPr="00AF7CD4" w:rsidRDefault="00AF7CD4" w:rsidP="00AF7CD4">
            <w:pPr>
              <w:pStyle w:val="Rentekst"/>
            </w:pPr>
          </w:p>
        </w:tc>
        <w:tc>
          <w:tcPr>
            <w:tcW w:w="4531" w:type="dxa"/>
            <w:shd w:val="clear" w:color="auto" w:fill="D9E2F3" w:themeFill="accent1" w:themeFillTint="33"/>
          </w:tcPr>
          <w:p w14:paraId="6A9AA542" w14:textId="77777777" w:rsidR="00AF7CD4" w:rsidRPr="00AF7CD4" w:rsidRDefault="00AF7CD4" w:rsidP="00AF7CD4">
            <w:pPr>
              <w:pStyle w:val="Rentekst"/>
              <w:cnfStyle w:val="000000000000" w:firstRow="0" w:lastRow="0" w:firstColumn="0" w:lastColumn="0" w:oddVBand="0" w:evenVBand="0" w:oddHBand="0" w:evenHBand="0" w:firstRowFirstColumn="0" w:firstRowLastColumn="0" w:lastRowFirstColumn="0" w:lastRowLastColumn="0"/>
              <w:rPr>
                <w:b/>
                <w:bCs/>
              </w:rPr>
            </w:pPr>
          </w:p>
        </w:tc>
      </w:tr>
      <w:tr w:rsidR="00AF7CD4" w14:paraId="052330DB"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6BE58FBF" w14:textId="2BB7E83C" w:rsidR="00AF7CD4" w:rsidRPr="00AF7CD4" w:rsidRDefault="00E83B71" w:rsidP="00AF7CD4">
            <w:pPr>
              <w:pStyle w:val="Rentekst"/>
              <w:rPr>
                <w:b w:val="0"/>
                <w:bCs w:val="0"/>
              </w:rPr>
            </w:pPr>
            <w:r w:rsidRPr="00E83B71">
              <w:rPr>
                <w:b w:val="0"/>
                <w:bCs w:val="0"/>
              </w:rPr>
              <w:t>The early definitions of OL cited at the start of the paper are highly contested and come from a knowledge deficit perspective… if only we tell people stuff about the ocean, their behaviour will change…. it would be useful to acknowledge this critique in the paper.</w:t>
            </w:r>
          </w:p>
        </w:tc>
        <w:tc>
          <w:tcPr>
            <w:tcW w:w="4531" w:type="dxa"/>
          </w:tcPr>
          <w:p w14:paraId="59C1F515" w14:textId="74816D09" w:rsidR="00E04CD6" w:rsidRDefault="00E04CD6" w:rsidP="00F7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 </w:t>
            </w:r>
            <w:r w:rsidR="00F70911">
              <w:rPr>
                <w:rFonts w:ascii="Times New Roman" w:hAnsi="Times New Roman" w:cs="Times New Roman"/>
              </w:rPr>
              <w:t xml:space="preserve">changed the sentence leading up to the </w:t>
            </w:r>
            <w:r w:rsidR="000B3E08">
              <w:rPr>
                <w:rFonts w:ascii="Times New Roman" w:hAnsi="Times New Roman" w:cs="Times New Roman"/>
              </w:rPr>
              <w:t>list of principles to reflect this:</w:t>
            </w:r>
          </w:p>
          <w:p w14:paraId="665E8ED8" w14:textId="77777777" w:rsidR="000B3E08" w:rsidRDefault="000B3E08" w:rsidP="00F7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p w14:paraId="579ADCCD" w14:textId="6B159277" w:rsidR="000B3E08" w:rsidRDefault="000B3E08" w:rsidP="00F7091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Pr>
                <w:rFonts w:ascii="Times New Roman" w:hAnsi="Times New Roman" w:cs="Times New Roman"/>
              </w:rPr>
              <w:t>While acknowledging that t</w:t>
            </w:r>
            <w:r w:rsidRPr="003F66B5">
              <w:rPr>
                <w:rFonts w:ascii="Times New Roman" w:hAnsi="Times New Roman" w:cs="Times New Roman"/>
              </w:rPr>
              <w:t xml:space="preserve">hese principles </w:t>
            </w:r>
            <w:r>
              <w:rPr>
                <w:rFonts w:ascii="Times New Roman" w:hAnsi="Times New Roman" w:cs="Times New Roman"/>
                <w:lang w:val="en-US"/>
              </w:rPr>
              <w:t>are</w:t>
            </w:r>
            <w:r w:rsidRPr="003C74F0">
              <w:rPr>
                <w:rFonts w:ascii="Times New Roman" w:hAnsi="Times New Roman" w:cs="Times New Roman"/>
                <w:lang w:val="en-US"/>
              </w:rPr>
              <w:t xml:space="preserve"> critiqued </w:t>
            </w:r>
            <w:r>
              <w:rPr>
                <w:rFonts w:ascii="Times New Roman" w:hAnsi="Times New Roman" w:cs="Times New Roman"/>
                <w:lang w:val="en-US"/>
              </w:rPr>
              <w:t>for not encompassing among others</w:t>
            </w:r>
            <w:r w:rsidRPr="003C74F0">
              <w:rPr>
                <w:rFonts w:ascii="Times New Roman" w:hAnsi="Times New Roman" w:cs="Times New Roman"/>
                <w:lang w:val="en-US"/>
              </w:rPr>
              <w:t xml:space="preserve"> the contributions that Indigenous perspectives and worldviews </w:t>
            </w:r>
            <w:r w:rsidRPr="003C74F0">
              <w:rPr>
                <w:rFonts w:ascii="Times New Roman" w:hAnsi="Times New Roman" w:cs="Times New Roman"/>
                <w:lang w:val="nb-NO"/>
              </w:rPr>
              <w:fldChar w:fldCharType="begin"/>
            </w:r>
            <w:r w:rsidRPr="003C74F0">
              <w:rPr>
                <w:rFonts w:ascii="Times New Roman" w:hAnsi="Times New Roman" w:cs="Times New Roman"/>
                <w:lang w:val="en-US"/>
              </w:rPr>
              <w:instrText xml:space="preserve"> ADDIN ZOTERO_ITEM CSL_CITATION {"citationID":"T5AEXEFN","properties":{"formattedCitation":"(MacNeil et al. 2021)","plainCitation":"(MacNeil et al. 2021)","noteIndex":0},"citationItems":[{"id":458,"uris":["http://zotero.org/users/9399713/items/F32W543Y"],"itemData":{"id":458,"type":"article-journal","abstract":"The term \"ocean literacy\" originated in the early 2000s from American ocean science researchers and educators to strengthen ocean science education in the national curriculum. Worldwide, it has been adapted to reflect a more multidisciplinary approach to understanding humans' relationships with the ocean. Research from the Understanding Ocean Literacy in Canada national study (2019-2020) (Ammendolia et al., 2020; Glithero, 2020; Hoover, 2020; MacNeil, 2020; Ostertag &amp; Ammendolia, 2020; Yumagulova, 2020) identified ocean literacy as a limiting term, unable to capture the scope of Canadian experiences with the ocean continuum (land, freshwater, coastal areas, sea ice, open ocean), and inadequate in encapsulating different worldviews and across different linguistic communities. We discuss the challenges of contextualizing an international term within Canada and present ideas to move toward more inclusive terminology, examining the challenges still ahead in developing relevant terminology and bridging with international initiatives.","container-title":"Canadian Journal of Environmental Education (CJEE)","ISSN":"1205-5352","issue":"1","language":"en","license":"Copyright (c) 2021 Canadian Journal of Environmental Education (CJEE)","note":"number: 1","page":"233-252","source":"cjee.lakeheadu.ca","title":"Coming to Terms with Ocean Literacy","volume":"24","author":[{"family":"MacNeil","given":"Sarah"},{"family":"Hoover","given":"Carie"},{"family":"Ostertag","given":"Julia"},{"family":"Yumagulova","given":"Lilia"},{"family":"Glithero","given":"Lisa (Diz)"}],"issued":{"date-parts":[["2021",6,7]]}}}],"schema":"https://github.com/citation-style-language/schema/raw/master/csl-citation.json"} </w:instrText>
            </w:r>
            <w:r w:rsidRPr="003C74F0">
              <w:rPr>
                <w:rFonts w:ascii="Times New Roman" w:hAnsi="Times New Roman" w:cs="Times New Roman"/>
                <w:lang w:val="nb-NO"/>
              </w:rPr>
              <w:fldChar w:fldCharType="separate"/>
            </w:r>
            <w:r w:rsidRPr="003C74F0">
              <w:rPr>
                <w:rFonts w:ascii="Times New Roman" w:hAnsi="Times New Roman" w:cs="Times New Roman"/>
                <w:lang w:val="en-US"/>
              </w:rPr>
              <w:t>(MacNeil et al. 2021)</w:t>
            </w:r>
            <w:r w:rsidRPr="003C74F0">
              <w:rPr>
                <w:rFonts w:ascii="Times New Roman" w:hAnsi="Times New Roman" w:cs="Times New Roman"/>
              </w:rPr>
              <w:fldChar w:fldCharType="end"/>
            </w:r>
            <w:r>
              <w:rPr>
                <w:rFonts w:ascii="Times New Roman" w:hAnsi="Times New Roman" w:cs="Times New Roman"/>
                <w:lang w:val="en-US"/>
              </w:rPr>
              <w:t>, for the purposes of this study we will frame our study around these</w:t>
            </w:r>
            <w:r w:rsidRPr="003F66B5">
              <w:rPr>
                <w:rFonts w:ascii="Times New Roman" w:hAnsi="Times New Roman" w:cs="Times New Roman"/>
              </w:rPr>
              <w:t>:</w:t>
            </w:r>
          </w:p>
          <w:p w14:paraId="60C87451" w14:textId="69EF3AC5" w:rsidR="00387DB4" w:rsidRPr="00E04CD6" w:rsidRDefault="00387DB4" w:rsidP="00C368F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AF7CD4" w14:paraId="1E9E0D80"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2AE72C1B" w14:textId="3BC4112B" w:rsidR="00AF7CD4" w:rsidRPr="00AF7CD4" w:rsidRDefault="002C4368" w:rsidP="00AF7CD4">
            <w:pPr>
              <w:pStyle w:val="Rentekst"/>
              <w:rPr>
                <w:b w:val="0"/>
                <w:bCs w:val="0"/>
              </w:rPr>
            </w:pPr>
            <w:r w:rsidRPr="002C4368">
              <w:rPr>
                <w:b w:val="0"/>
                <w:bCs w:val="0"/>
              </w:rPr>
              <w:t>This signals the OL can be an approach strategically deployed by marine policy makers to support certain outcomes for coastal communities facing defined challenges. The explicit use of OL as a means of shifting community views (often euphemistically called education or capacity building), which is potentially quite controversial depending upon the positionality and approach of the OL ‘educator’, should be noted in the paper.</w:t>
            </w:r>
            <w:r w:rsidRPr="002C4368">
              <w:rPr>
                <w:b w:val="0"/>
                <w:bCs w:val="0"/>
              </w:rPr>
              <w:br/>
            </w:r>
          </w:p>
        </w:tc>
        <w:tc>
          <w:tcPr>
            <w:tcW w:w="4531" w:type="dxa"/>
          </w:tcPr>
          <w:p w14:paraId="559AC0BC" w14:textId="77777777" w:rsidR="00C35724" w:rsidRDefault="003272B2" w:rsidP="00AF7CD4">
            <w:pPr>
              <w:pStyle w:val="Rentekst"/>
              <w:cnfStyle w:val="000000000000" w:firstRow="0" w:lastRow="0" w:firstColumn="0" w:lastColumn="0" w:oddVBand="0" w:evenVBand="0" w:oddHBand="0" w:evenHBand="0" w:firstRowFirstColumn="0" w:firstRowLastColumn="0" w:lastRowFirstColumn="0" w:lastRowLastColumn="0"/>
              <w:rPr>
                <w:lang w:val="en-US"/>
              </w:rPr>
            </w:pPr>
            <w:r>
              <w:rPr>
                <w:lang w:val="en-US"/>
              </w:rPr>
              <w:t>I rewrote the sentence in the introduction to reflect this important perspective:</w:t>
            </w:r>
          </w:p>
          <w:p w14:paraId="467FB9FD" w14:textId="77777777" w:rsidR="003272B2" w:rsidRDefault="003272B2" w:rsidP="00AF7CD4">
            <w:pPr>
              <w:pStyle w:val="Rentekst"/>
              <w:cnfStyle w:val="000000000000" w:firstRow="0" w:lastRow="0" w:firstColumn="0" w:lastColumn="0" w:oddVBand="0" w:evenVBand="0" w:oddHBand="0" w:evenHBand="0" w:firstRowFirstColumn="0" w:firstRowLastColumn="0" w:lastRowFirstColumn="0" w:lastRowLastColumn="0"/>
              <w:rPr>
                <w:lang w:val="en-US"/>
              </w:rPr>
            </w:pPr>
          </w:p>
          <w:p w14:paraId="0193CFF8" w14:textId="54FC1D36" w:rsidR="003272B2" w:rsidRPr="00C35724" w:rsidRDefault="003272B2" w:rsidP="00AF7CD4">
            <w:pPr>
              <w:pStyle w:val="Rentekst"/>
              <w:cnfStyle w:val="000000000000" w:firstRow="0" w:lastRow="0" w:firstColumn="0" w:lastColumn="0" w:oddVBand="0" w:evenVBand="0" w:oddHBand="0" w:evenHBand="0" w:firstRowFirstColumn="0" w:firstRowLastColumn="0" w:lastRowFirstColumn="0" w:lastRowLastColumn="0"/>
              <w:rPr>
                <w:lang w:val="en-US"/>
              </w:rPr>
            </w:pPr>
            <w:r>
              <w:rPr>
                <w:rFonts w:ascii="Times New Roman" w:hAnsi="Times New Roman" w:cs="Times New Roman"/>
              </w:rPr>
              <w:t>R</w:t>
            </w:r>
            <w:r w:rsidRPr="003F66B5">
              <w:rPr>
                <w:rFonts w:ascii="Times New Roman" w:hAnsi="Times New Roman" w:cs="Times New Roman"/>
              </w:rPr>
              <w:t xml:space="preserve">esearch </w:t>
            </w:r>
            <w:r>
              <w:rPr>
                <w:rFonts w:ascii="Times New Roman" w:hAnsi="Times New Roman" w:cs="Times New Roman"/>
              </w:rPr>
              <w:t>has</w:t>
            </w:r>
            <w:r w:rsidRPr="003F66B5">
              <w:rPr>
                <w:rFonts w:ascii="Times New Roman" w:hAnsi="Times New Roman" w:cs="Times New Roman"/>
              </w:rPr>
              <w:t xml:space="preserve"> demonstrate</w:t>
            </w:r>
            <w:r>
              <w:rPr>
                <w:rFonts w:ascii="Times New Roman" w:hAnsi="Times New Roman" w:cs="Times New Roman"/>
              </w:rPr>
              <w:t xml:space="preserve">d that the ocean is fundamental for life on Earth and human prosperity, and learning and sharing knowledge to </w:t>
            </w:r>
            <w:r w:rsidR="00757F80">
              <w:rPr>
                <w:rFonts w:ascii="Times New Roman" w:hAnsi="Times New Roman" w:cs="Times New Roman"/>
              </w:rPr>
              <w:t xml:space="preserve">sometimes </w:t>
            </w:r>
            <w:r>
              <w:rPr>
                <w:rFonts w:ascii="Times New Roman" w:hAnsi="Times New Roman" w:cs="Times New Roman"/>
              </w:rPr>
              <w:t>shift community perceptions through education or capacity building around ocean literacy is critical, though it should be noted that it arguably also can be considered controversial, depending on the approach or positionality of the ocean literacy educator.</w:t>
            </w:r>
          </w:p>
        </w:tc>
      </w:tr>
      <w:tr w:rsidR="00E57545" w:rsidRPr="00E57545" w14:paraId="51EB2B4A" w14:textId="77777777" w:rsidTr="00AF7CD4">
        <w:tc>
          <w:tcPr>
            <w:cnfStyle w:val="001000000000" w:firstRow="0" w:lastRow="0" w:firstColumn="1" w:lastColumn="0" w:oddVBand="0" w:evenVBand="0" w:oddHBand="0" w:evenHBand="0" w:firstRowFirstColumn="0" w:firstRowLastColumn="0" w:lastRowFirstColumn="0" w:lastRowLastColumn="0"/>
            <w:tcW w:w="4531" w:type="dxa"/>
          </w:tcPr>
          <w:p w14:paraId="078B5593" w14:textId="0E4CC167" w:rsidR="00E57545" w:rsidRPr="00E57545" w:rsidRDefault="00E57545" w:rsidP="00AF7CD4">
            <w:pPr>
              <w:pStyle w:val="Rentekst"/>
              <w:rPr>
                <w:b w:val="0"/>
                <w:bCs w:val="0"/>
              </w:rPr>
            </w:pPr>
            <w:r w:rsidRPr="00E57545">
              <w:rPr>
                <w:b w:val="0"/>
                <w:bCs w:val="0"/>
              </w:rPr>
              <w:t>Further discussion on the possible role of serious games as a tool for widespread action to tackle plastic pollution would strengthen the paper. For example, there are unanswered questions about the scaling of the approach, how it might work outside the formal education sector, and how it might work in countries of the global majority.</w:t>
            </w:r>
            <w:r w:rsidRPr="00E57545">
              <w:rPr>
                <w:b w:val="0"/>
                <w:bCs w:val="0"/>
              </w:rPr>
              <w:br/>
            </w:r>
          </w:p>
        </w:tc>
        <w:tc>
          <w:tcPr>
            <w:tcW w:w="4531" w:type="dxa"/>
          </w:tcPr>
          <w:p w14:paraId="3967F7B2" w14:textId="6F0F7A19" w:rsidR="00E57545" w:rsidRDefault="00ED2DF2" w:rsidP="00AF7CD4">
            <w:pPr>
              <w:pStyle w:val="Rentekst"/>
              <w:cnfStyle w:val="000000000000" w:firstRow="0" w:lastRow="0" w:firstColumn="0" w:lastColumn="0" w:oddVBand="0" w:evenVBand="0" w:oddHBand="0" w:evenHBand="0" w:firstRowFirstColumn="0" w:firstRowLastColumn="0" w:lastRowFirstColumn="0" w:lastRowLastColumn="0"/>
              <w:rPr>
                <w:lang w:val="en-US"/>
              </w:rPr>
            </w:pPr>
            <w:r>
              <w:rPr>
                <w:lang w:val="en-US"/>
              </w:rPr>
              <w:t>I added this sentence in the end of the introduction:</w:t>
            </w:r>
          </w:p>
          <w:p w14:paraId="70288864" w14:textId="77777777" w:rsidR="00ED2DF2" w:rsidRDefault="00ED2DF2" w:rsidP="00AF7CD4">
            <w:pPr>
              <w:pStyle w:val="Rentekst"/>
              <w:cnfStyle w:val="000000000000" w:firstRow="0" w:lastRow="0" w:firstColumn="0" w:lastColumn="0" w:oddVBand="0" w:evenVBand="0" w:oddHBand="0" w:evenHBand="0" w:firstRowFirstColumn="0" w:firstRowLastColumn="0" w:lastRowFirstColumn="0" w:lastRowLastColumn="0"/>
              <w:rPr>
                <w:lang w:val="en-US"/>
              </w:rPr>
            </w:pPr>
          </w:p>
          <w:p w14:paraId="5AEAEBD9" w14:textId="77777777" w:rsidR="00ED2DF2" w:rsidRDefault="00ED2DF2" w:rsidP="00AF7CD4">
            <w:pPr>
              <w:pStyle w:val="Ren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conclude by considering the applicability of using this game as an educational tool for Ocean Literacy in the majority world as well, and with participants that are not part of the formal educational system.</w:t>
            </w:r>
          </w:p>
          <w:p w14:paraId="61A351D2" w14:textId="77777777" w:rsidR="00ED2DF2" w:rsidRDefault="00ED2DF2" w:rsidP="00AF7CD4">
            <w:pPr>
              <w:pStyle w:val="Rentekst"/>
              <w:cnfStyle w:val="000000000000" w:firstRow="0" w:lastRow="0" w:firstColumn="0" w:lastColumn="0" w:oddVBand="0" w:evenVBand="0" w:oddHBand="0" w:evenHBand="0" w:firstRowFirstColumn="0" w:firstRowLastColumn="0" w:lastRowFirstColumn="0" w:lastRowLastColumn="0"/>
              <w:rPr>
                <w:lang w:val="en-US"/>
              </w:rPr>
            </w:pPr>
          </w:p>
          <w:p w14:paraId="075E90F1" w14:textId="0652F5FA" w:rsidR="00ED2DF2" w:rsidRPr="00ED2DF2" w:rsidRDefault="00ED2DF2" w:rsidP="00AF7CD4">
            <w:pPr>
              <w:pStyle w:val="Renteks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And expanded upon this in the conclusion. Thank you for this suggestion. </w:t>
            </w:r>
          </w:p>
        </w:tc>
      </w:tr>
    </w:tbl>
    <w:p w14:paraId="222663F1" w14:textId="77777777" w:rsidR="00AF7CD4" w:rsidRDefault="00AF7CD4" w:rsidP="00430C72">
      <w:pPr>
        <w:pStyle w:val="Rentekst"/>
      </w:pPr>
    </w:p>
    <w:sectPr w:rsidR="00AF7CD4" w:rsidSect="004546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B0B65" w14:textId="77777777" w:rsidR="007B6A79" w:rsidRDefault="007B6A79" w:rsidP="007B6A79">
      <w:pPr>
        <w:spacing w:after="0" w:line="240" w:lineRule="auto"/>
      </w:pPr>
      <w:r>
        <w:separator/>
      </w:r>
    </w:p>
  </w:endnote>
  <w:endnote w:type="continuationSeparator" w:id="0">
    <w:p w14:paraId="26EB81C7" w14:textId="77777777" w:rsidR="007B6A79" w:rsidRDefault="007B6A79" w:rsidP="007B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D77B4" w14:textId="77777777" w:rsidR="007B6A79" w:rsidRDefault="007B6A79" w:rsidP="007B6A79">
      <w:pPr>
        <w:spacing w:after="0" w:line="240" w:lineRule="auto"/>
      </w:pPr>
      <w:r>
        <w:separator/>
      </w:r>
    </w:p>
  </w:footnote>
  <w:footnote w:type="continuationSeparator" w:id="0">
    <w:p w14:paraId="35710815" w14:textId="77777777" w:rsidR="007B6A79" w:rsidRDefault="007B6A79" w:rsidP="007B6A79">
      <w:pPr>
        <w:spacing w:after="0" w:line="240" w:lineRule="auto"/>
      </w:pPr>
      <w:r>
        <w:continuationSeparator/>
      </w:r>
    </w:p>
  </w:footnote>
  <w:footnote w:id="1">
    <w:p w14:paraId="77C776FB" w14:textId="77777777" w:rsidR="007B6A79" w:rsidRPr="00DE5A38" w:rsidRDefault="007B6A79" w:rsidP="007B6A79">
      <w:pPr>
        <w:pStyle w:val="Fotnotetekst"/>
        <w:rPr>
          <w:lang w:val="en-US"/>
        </w:rPr>
      </w:pPr>
      <w:r>
        <w:rPr>
          <w:rStyle w:val="Fotnotereferanse"/>
        </w:rPr>
        <w:footnoteRef/>
      </w:r>
      <w:r w:rsidRPr="00DE5A38">
        <w:rPr>
          <w:lang w:val="en-US"/>
        </w:rPr>
        <w:t xml:space="preserve"> </w:t>
      </w:r>
      <w:r w:rsidRPr="00DE5A38">
        <w:rPr>
          <w:rFonts w:ascii="Times New Roman" w:hAnsi="Times New Roman" w:cs="Times New Roman"/>
          <w:sz w:val="16"/>
          <w:szCs w:val="16"/>
          <w:lang w:val="en-US"/>
        </w:rPr>
        <w:t>Population statistics</w:t>
      </w:r>
      <w:r>
        <w:rPr>
          <w:rFonts w:ascii="Times New Roman" w:hAnsi="Times New Roman" w:cs="Times New Roman"/>
          <w:sz w:val="16"/>
          <w:szCs w:val="16"/>
          <w:lang w:val="en-US"/>
        </w:rPr>
        <w:t xml:space="preserve"> Norway 2023</w:t>
      </w:r>
      <w:r w:rsidRPr="00DE5A38">
        <w:rPr>
          <w:rFonts w:ascii="Times New Roman" w:hAnsi="Times New Roman" w:cs="Times New Roman"/>
          <w:sz w:val="16"/>
          <w:szCs w:val="16"/>
          <w:lang w:val="en-US"/>
        </w:rPr>
        <w:t xml:space="preserve">: </w:t>
      </w:r>
      <w:hyperlink r:id="rId1" w:history="1">
        <w:r w:rsidRPr="00DE5A38">
          <w:rPr>
            <w:rStyle w:val="Hyperkobling"/>
            <w:rFonts w:ascii="Times New Roman" w:hAnsi="Times New Roman" w:cs="Times New Roman"/>
            <w:sz w:val="16"/>
            <w:szCs w:val="16"/>
            <w:lang w:val="en-US"/>
          </w:rPr>
          <w:t>https://www.ssb.no/statbank/table/05277/tableViewLayout1/</w:t>
        </w:r>
      </w:hyperlink>
      <w:r w:rsidRPr="00DE5A38">
        <w:rPr>
          <w:sz w:val="16"/>
          <w:szCs w:val="16"/>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D4"/>
    <w:rsid w:val="000000CC"/>
    <w:rsid w:val="000249FC"/>
    <w:rsid w:val="000721AD"/>
    <w:rsid w:val="00073305"/>
    <w:rsid w:val="00083D83"/>
    <w:rsid w:val="000953ED"/>
    <w:rsid w:val="000A2718"/>
    <w:rsid w:val="000B3E08"/>
    <w:rsid w:val="001253A6"/>
    <w:rsid w:val="00142F13"/>
    <w:rsid w:val="001468DF"/>
    <w:rsid w:val="00151FC9"/>
    <w:rsid w:val="001F679B"/>
    <w:rsid w:val="00200D67"/>
    <w:rsid w:val="00212E2E"/>
    <w:rsid w:val="00214E5A"/>
    <w:rsid w:val="00242351"/>
    <w:rsid w:val="00267650"/>
    <w:rsid w:val="002C4368"/>
    <w:rsid w:val="00316918"/>
    <w:rsid w:val="003272B2"/>
    <w:rsid w:val="0034422A"/>
    <w:rsid w:val="00387DB4"/>
    <w:rsid w:val="003B3FF8"/>
    <w:rsid w:val="003D39F3"/>
    <w:rsid w:val="00401DF9"/>
    <w:rsid w:val="004165F1"/>
    <w:rsid w:val="00430C72"/>
    <w:rsid w:val="0045466B"/>
    <w:rsid w:val="00463308"/>
    <w:rsid w:val="004B5931"/>
    <w:rsid w:val="004E0B48"/>
    <w:rsid w:val="00515507"/>
    <w:rsid w:val="005B590D"/>
    <w:rsid w:val="005D23F8"/>
    <w:rsid w:val="006564E4"/>
    <w:rsid w:val="006610F4"/>
    <w:rsid w:val="00712587"/>
    <w:rsid w:val="007508AD"/>
    <w:rsid w:val="00757F80"/>
    <w:rsid w:val="00786980"/>
    <w:rsid w:val="00786FD3"/>
    <w:rsid w:val="007B6A79"/>
    <w:rsid w:val="007D3BB5"/>
    <w:rsid w:val="008145FD"/>
    <w:rsid w:val="008E0E01"/>
    <w:rsid w:val="008E5F94"/>
    <w:rsid w:val="00925A83"/>
    <w:rsid w:val="009678E2"/>
    <w:rsid w:val="00972780"/>
    <w:rsid w:val="0097764A"/>
    <w:rsid w:val="009B77C1"/>
    <w:rsid w:val="009D2295"/>
    <w:rsid w:val="009E1DDD"/>
    <w:rsid w:val="009E40F3"/>
    <w:rsid w:val="00AC6AD7"/>
    <w:rsid w:val="00AE045C"/>
    <w:rsid w:val="00AE4C8B"/>
    <w:rsid w:val="00AF7CD4"/>
    <w:rsid w:val="00B15476"/>
    <w:rsid w:val="00B47485"/>
    <w:rsid w:val="00B9223B"/>
    <w:rsid w:val="00BA3964"/>
    <w:rsid w:val="00BC2ED0"/>
    <w:rsid w:val="00BC4CE9"/>
    <w:rsid w:val="00BC7002"/>
    <w:rsid w:val="00BF6CAB"/>
    <w:rsid w:val="00C35724"/>
    <w:rsid w:val="00C368F6"/>
    <w:rsid w:val="00D15007"/>
    <w:rsid w:val="00D301CF"/>
    <w:rsid w:val="00D30EC6"/>
    <w:rsid w:val="00D476C2"/>
    <w:rsid w:val="00DA4368"/>
    <w:rsid w:val="00DB6FAB"/>
    <w:rsid w:val="00DC6D4D"/>
    <w:rsid w:val="00DE5462"/>
    <w:rsid w:val="00E04CD6"/>
    <w:rsid w:val="00E57545"/>
    <w:rsid w:val="00E746B2"/>
    <w:rsid w:val="00E83B71"/>
    <w:rsid w:val="00E87621"/>
    <w:rsid w:val="00ED2DF2"/>
    <w:rsid w:val="00ED688A"/>
    <w:rsid w:val="00EF4F70"/>
    <w:rsid w:val="00F13C83"/>
    <w:rsid w:val="00F70911"/>
    <w:rsid w:val="00FB64F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8917"/>
  <w15:chartTrackingRefBased/>
  <w15:docId w15:val="{1FA7A3DA-2B35-4D9E-B2F8-CDCCCB46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02"/>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achelsstyle">
    <w:name w:val="Rachels style"/>
    <w:basedOn w:val="Normal"/>
    <w:link w:val="RachelsstyleChar"/>
    <w:autoRedefine/>
    <w:qFormat/>
    <w:rsid w:val="00BC7002"/>
    <w:rPr>
      <w:rFonts w:ascii="Times New Roman" w:hAnsi="Times New Roman"/>
      <w:lang w:val="en-US"/>
    </w:rPr>
  </w:style>
  <w:style w:type="character" w:customStyle="1" w:styleId="RachelsstyleChar">
    <w:name w:val="Rachels style Char"/>
    <w:basedOn w:val="Standardskriftforavsnitt"/>
    <w:link w:val="Rachelsstyle"/>
    <w:rsid w:val="00BC7002"/>
    <w:rPr>
      <w:rFonts w:ascii="Times New Roman" w:hAnsi="Times New Roman"/>
      <w:lang w:val="en-US"/>
    </w:rPr>
  </w:style>
  <w:style w:type="paragraph" w:styleId="Rentekst">
    <w:name w:val="Plain Text"/>
    <w:basedOn w:val="Normal"/>
    <w:link w:val="RentekstTegn"/>
    <w:uiPriority w:val="99"/>
    <w:unhideWhenUsed/>
    <w:rsid w:val="00AF7CD4"/>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AF7CD4"/>
    <w:rPr>
      <w:rFonts w:ascii="Calibri" w:hAnsi="Calibri"/>
      <w:szCs w:val="21"/>
    </w:rPr>
  </w:style>
  <w:style w:type="table" w:styleId="Tabellrutenett">
    <w:name w:val="Table Grid"/>
    <w:basedOn w:val="Vanligtabell"/>
    <w:uiPriority w:val="39"/>
    <w:rsid w:val="00AF7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5">
    <w:name w:val="Grid Table 1 Light Accent 5"/>
    <w:basedOn w:val="Vanligtabell"/>
    <w:uiPriority w:val="46"/>
    <w:rsid w:val="00AF7CD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Fotnotereferanse">
    <w:name w:val="footnote reference"/>
    <w:basedOn w:val="Standardskriftforavsnitt"/>
    <w:uiPriority w:val="99"/>
    <w:semiHidden/>
    <w:unhideWhenUsed/>
    <w:rsid w:val="00E04CD6"/>
    <w:rPr>
      <w:vertAlign w:val="superscript"/>
    </w:rPr>
  </w:style>
  <w:style w:type="character" w:styleId="Hyperkobling">
    <w:name w:val="Hyperlink"/>
    <w:basedOn w:val="Standardskriftforavsnitt"/>
    <w:uiPriority w:val="99"/>
    <w:unhideWhenUsed/>
    <w:rsid w:val="007B6A79"/>
    <w:rPr>
      <w:color w:val="0563C1" w:themeColor="hyperlink"/>
      <w:u w:val="single"/>
    </w:rPr>
  </w:style>
  <w:style w:type="paragraph" w:styleId="Fotnotetekst">
    <w:name w:val="footnote text"/>
    <w:basedOn w:val="Normal"/>
    <w:link w:val="FotnotetekstTegn"/>
    <w:unhideWhenUsed/>
    <w:rsid w:val="007B6A79"/>
    <w:pPr>
      <w:spacing w:after="0" w:line="240" w:lineRule="auto"/>
    </w:pPr>
    <w:rPr>
      <w:sz w:val="20"/>
      <w:szCs w:val="20"/>
      <w:lang w:val="nb-NO"/>
    </w:rPr>
  </w:style>
  <w:style w:type="character" w:customStyle="1" w:styleId="FotnotetekstTegn">
    <w:name w:val="Fotnotetekst Tegn"/>
    <w:basedOn w:val="Standardskriftforavsnitt"/>
    <w:link w:val="Fotnotetekst"/>
    <w:rsid w:val="007B6A79"/>
    <w:rPr>
      <w:sz w:val="20"/>
      <w:szCs w:val="20"/>
      <w:lang w:val="nb-NO"/>
    </w:rPr>
  </w:style>
  <w:style w:type="paragraph" w:styleId="Bildetekst">
    <w:name w:val="caption"/>
    <w:basedOn w:val="Normal"/>
    <w:next w:val="Normal"/>
    <w:uiPriority w:val="35"/>
    <w:unhideWhenUsed/>
    <w:qFormat/>
    <w:rsid w:val="009D2295"/>
    <w:pPr>
      <w:spacing w:after="200" w:line="240" w:lineRule="auto"/>
    </w:pPr>
    <w:rPr>
      <w:i/>
      <w:iCs/>
      <w:color w:val="44546A" w:themeColor="text2"/>
      <w:sz w:val="18"/>
      <w:szCs w:val="1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sb.no/statbank/table/05277/tableViewLayou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3830</Words>
  <Characters>20305</Characters>
  <Application>Microsoft Office Word</Application>
  <DocSecurity>0</DocSecurity>
  <Lines>169</Lines>
  <Paragraphs>48</Paragraphs>
  <ScaleCrop>false</ScaleCrop>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Tiller</dc:creator>
  <cp:keywords/>
  <dc:description/>
  <cp:lastModifiedBy>Rachel Tiller</cp:lastModifiedBy>
  <cp:revision>82</cp:revision>
  <dcterms:created xsi:type="dcterms:W3CDTF">2022-09-29T07:47:00Z</dcterms:created>
  <dcterms:modified xsi:type="dcterms:W3CDTF">2024-05-07T10:29:00Z</dcterms:modified>
</cp:coreProperties>
</file>