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F2C7" w14:textId="77777777" w:rsidR="0000376B" w:rsidRPr="00735A27" w:rsidRDefault="0000376B" w:rsidP="000037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48277489"/>
      <w:r w:rsidRPr="00735A27">
        <w:rPr>
          <w:rFonts w:ascii="Times New Roman" w:hAnsi="Times New Roman" w:cs="Times New Roman"/>
          <w:b/>
          <w:bCs/>
          <w:sz w:val="40"/>
          <w:szCs w:val="40"/>
        </w:rPr>
        <w:t xml:space="preserve">Selective near-infrared laser programming for </w:t>
      </w:r>
      <w:r w:rsidRPr="00735A27">
        <w:rPr>
          <w:rFonts w:ascii="Times New Roman" w:hAnsi="Times New Roman" w:cs="Times New Roman" w:hint="eastAsia"/>
          <w:b/>
          <w:bCs/>
          <w:sz w:val="40"/>
          <w:szCs w:val="40"/>
        </w:rPr>
        <w:t>s</w:t>
      </w:r>
      <w:r w:rsidRPr="00735A27">
        <w:rPr>
          <w:rFonts w:ascii="Times New Roman" w:hAnsi="Times New Roman" w:cs="Times New Roman"/>
          <w:b/>
          <w:bCs/>
          <w:sz w:val="40"/>
          <w:szCs w:val="40"/>
        </w:rPr>
        <w:t>hape memory polymer - carbon nanotube composite material 4D printing</w:t>
      </w:r>
    </w:p>
    <w:bookmarkEnd w:id="0"/>
    <w:p w14:paraId="7A9BB154" w14:textId="77777777" w:rsidR="0000376B" w:rsidRDefault="0000376B" w:rsidP="0000376B"/>
    <w:p w14:paraId="41EED93A" w14:textId="77777777" w:rsidR="0000376B" w:rsidRPr="00735A27" w:rsidRDefault="0000376B" w:rsidP="0000376B">
      <w:pPr>
        <w:rPr>
          <w:rFonts w:ascii="Times New Roman" w:hAnsi="Times New Roman" w:cs="Times New Roman"/>
          <w:sz w:val="24"/>
          <w:szCs w:val="28"/>
        </w:rPr>
      </w:pPr>
      <w:r w:rsidRPr="00735A27">
        <w:rPr>
          <w:rFonts w:ascii="Times New Roman" w:hAnsi="Times New Roman" w:cs="Times New Roman"/>
          <w:sz w:val="24"/>
          <w:szCs w:val="28"/>
        </w:rPr>
        <w:t>Honggeng Li</w:t>
      </w:r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>1, 2, #</w:t>
      </w:r>
      <w:r>
        <w:rPr>
          <w:rFonts w:ascii="Times New Roman" w:hAnsi="Times New Roman" w:cs="Times New Roman" w:hint="eastAsia"/>
          <w:sz w:val="24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Pr="00735A27">
        <w:rPr>
          <w:rFonts w:ascii="Times New Roman" w:hAnsi="Times New Roman" w:cs="Times New Roman"/>
          <w:sz w:val="24"/>
          <w:szCs w:val="28"/>
        </w:rPr>
        <w:t>, Zhe Chen</w:t>
      </w:r>
      <w:bookmarkStart w:id="1" w:name="_Hlk147999796"/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>1, 2,</w:t>
      </w:r>
      <w:bookmarkEnd w:id="1"/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 xml:space="preserve"> #</w:t>
      </w:r>
      <w:r w:rsidRPr="00735A2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35A27">
        <w:rPr>
          <w:rFonts w:ascii="Times New Roman" w:hAnsi="Times New Roman" w:cs="Times New Roman"/>
          <w:sz w:val="24"/>
          <w:szCs w:val="28"/>
        </w:rPr>
        <w:t>Shouyi</w:t>
      </w:r>
      <w:proofErr w:type="spellEnd"/>
      <w:r w:rsidRPr="00735A27">
        <w:rPr>
          <w:rFonts w:ascii="Times New Roman" w:hAnsi="Times New Roman" w:cs="Times New Roman"/>
          <w:sz w:val="24"/>
          <w:szCs w:val="28"/>
        </w:rPr>
        <w:t xml:space="preserve"> Yu</w:t>
      </w:r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>1, 2</w:t>
      </w:r>
      <w:r w:rsidRPr="00735A2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35A27">
        <w:rPr>
          <w:rFonts w:ascii="Times New Roman" w:hAnsi="Times New Roman" w:cs="Times New Roman" w:hint="eastAsia"/>
          <w:sz w:val="24"/>
          <w:szCs w:val="28"/>
        </w:rPr>
        <w:t>Bingcong</w:t>
      </w:r>
      <w:proofErr w:type="spellEnd"/>
      <w:r w:rsidRPr="00735A27">
        <w:rPr>
          <w:rFonts w:ascii="Times New Roman" w:hAnsi="Times New Roman" w:cs="Times New Roman"/>
          <w:sz w:val="24"/>
          <w:szCs w:val="28"/>
        </w:rPr>
        <w:t xml:space="preserve"> </w:t>
      </w:r>
      <w:r w:rsidRPr="00735A27">
        <w:rPr>
          <w:rFonts w:ascii="Times New Roman" w:hAnsi="Times New Roman" w:cs="Times New Roman" w:hint="eastAsia"/>
          <w:sz w:val="24"/>
          <w:szCs w:val="28"/>
        </w:rPr>
        <w:t>Jian</w:t>
      </w:r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>1, 2</w:t>
      </w:r>
      <w:r w:rsidRPr="00735A27">
        <w:rPr>
          <w:rFonts w:ascii="Times New Roman" w:hAnsi="Times New Roman" w:cs="Times New Roman" w:hint="eastAsia"/>
          <w:sz w:val="24"/>
          <w:szCs w:val="28"/>
        </w:rPr>
        <w:t>,</w:t>
      </w:r>
      <w:r w:rsidRPr="00735A27">
        <w:rPr>
          <w:rFonts w:ascii="Times New Roman" w:hAnsi="Times New Roman" w:cs="Times New Roman"/>
          <w:sz w:val="24"/>
          <w:szCs w:val="28"/>
        </w:rPr>
        <w:t xml:space="preserve"> </w:t>
      </w:r>
      <w:r w:rsidRPr="00735A27">
        <w:rPr>
          <w:rFonts w:ascii="Times New Roman" w:hAnsi="Times New Roman" w:cs="Times New Roman" w:hint="eastAsia"/>
          <w:sz w:val="24"/>
          <w:szCs w:val="28"/>
        </w:rPr>
        <w:t>Hanlin</w:t>
      </w:r>
      <w:r w:rsidRPr="00735A27">
        <w:rPr>
          <w:rFonts w:ascii="Times New Roman" w:hAnsi="Times New Roman" w:cs="Times New Roman"/>
          <w:sz w:val="24"/>
          <w:szCs w:val="28"/>
        </w:rPr>
        <w:t xml:space="preserve"> </w:t>
      </w:r>
      <w:r w:rsidRPr="00735A27">
        <w:rPr>
          <w:rFonts w:ascii="Times New Roman" w:hAnsi="Times New Roman" w:cs="Times New Roman" w:hint="eastAsia"/>
          <w:sz w:val="24"/>
          <w:szCs w:val="28"/>
        </w:rPr>
        <w:t>Yin</w:t>
      </w:r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>1, 2</w:t>
      </w:r>
      <w:r w:rsidRPr="00735A27">
        <w:rPr>
          <w:rFonts w:ascii="Times New Roman" w:hAnsi="Times New Roman" w:cs="Times New Roman" w:hint="eastAsia"/>
          <w:sz w:val="24"/>
          <w:szCs w:val="28"/>
        </w:rPr>
        <w:t>,</w:t>
      </w:r>
      <w:r w:rsidRPr="00735A27">
        <w:rPr>
          <w:rFonts w:ascii="Times New Roman" w:hAnsi="Times New Roman" w:cs="Times New Roman"/>
          <w:sz w:val="24"/>
          <w:szCs w:val="28"/>
        </w:rPr>
        <w:t xml:space="preserve"> Qi Ge</w:t>
      </w:r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>1, 2, *</w:t>
      </w:r>
    </w:p>
    <w:p w14:paraId="03106DB3" w14:textId="77777777" w:rsidR="0000376B" w:rsidRPr="00CA2A98" w:rsidRDefault="0000376B" w:rsidP="0000376B">
      <w:pPr>
        <w:rPr>
          <w:rFonts w:ascii="Times New Roman" w:hAnsi="Times New Roman" w:cs="Times New Roman"/>
          <w:sz w:val="24"/>
          <w:szCs w:val="28"/>
        </w:rPr>
      </w:pPr>
    </w:p>
    <w:p w14:paraId="284D2786" w14:textId="77777777" w:rsidR="0000376B" w:rsidRPr="00735A27" w:rsidRDefault="0000376B" w:rsidP="0000376B">
      <w:pPr>
        <w:rPr>
          <w:rFonts w:ascii="Times New Roman" w:hAnsi="Times New Roman" w:cs="Times New Roman"/>
          <w:sz w:val="24"/>
          <w:szCs w:val="28"/>
        </w:rPr>
      </w:pPr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735A27">
        <w:rPr>
          <w:rFonts w:ascii="Times New Roman" w:hAnsi="Times New Roman" w:cs="Times New Roman"/>
          <w:sz w:val="24"/>
          <w:szCs w:val="28"/>
        </w:rPr>
        <w:t xml:space="preserve">Shenzhen Key Laboratory of Soft Mechanics &amp; Smart Manufacturing, Southern University of Science and Technology, Shenzhen 518055, China. </w:t>
      </w:r>
    </w:p>
    <w:p w14:paraId="32F1FBB3" w14:textId="77777777" w:rsidR="0000376B" w:rsidRPr="00735A27" w:rsidRDefault="0000376B" w:rsidP="0000376B">
      <w:pPr>
        <w:rPr>
          <w:rFonts w:ascii="Times New Roman" w:hAnsi="Times New Roman" w:cs="Times New Roman"/>
          <w:sz w:val="24"/>
          <w:szCs w:val="28"/>
        </w:rPr>
      </w:pPr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735A27">
        <w:rPr>
          <w:rFonts w:ascii="Times New Roman" w:hAnsi="Times New Roman" w:cs="Times New Roman"/>
          <w:sz w:val="24"/>
          <w:szCs w:val="28"/>
        </w:rPr>
        <w:t>Department of Mechanical and Energy Engineering, Southern University of Science and Technology, Shenzhen 518055, China.</w:t>
      </w:r>
    </w:p>
    <w:p w14:paraId="40C61ADD" w14:textId="77777777" w:rsidR="00701D07" w:rsidRPr="00E0195C" w:rsidRDefault="00701D07" w:rsidP="00701D07">
      <w:pPr>
        <w:rPr>
          <w:rFonts w:ascii="Times New Roman" w:hAnsi="Times New Roman" w:cs="Times New Roman" w:hint="eastAsia"/>
          <w:sz w:val="24"/>
          <w:szCs w:val="28"/>
        </w:rPr>
      </w:pPr>
      <w:r w:rsidRPr="002467AF">
        <w:rPr>
          <w:rFonts w:ascii="Times New Roman" w:hAnsi="Times New Roman" w:cs="Times New Roman" w:hint="eastAsia"/>
          <w:sz w:val="24"/>
          <w:szCs w:val="28"/>
          <w:vertAlign w:val="superscript"/>
        </w:rPr>
        <w:t>3</w:t>
      </w:r>
      <w:r w:rsidRPr="002467AF">
        <w:rPr>
          <w:rFonts w:ascii="Times New Roman" w:hAnsi="Times New Roman" w:cs="Times New Roman"/>
          <w:sz w:val="24"/>
          <w:szCs w:val="28"/>
        </w:rPr>
        <w:t xml:space="preserve">School of </w:t>
      </w:r>
      <w:r w:rsidRPr="00F665C3">
        <w:rPr>
          <w:rFonts w:ascii="Times New Roman" w:hAnsi="Times New Roman" w:cs="Times New Roman"/>
          <w:sz w:val="24"/>
          <w:szCs w:val="28"/>
        </w:rPr>
        <w:t>Advanced Engineering</w:t>
      </w:r>
      <w:r w:rsidRPr="002467AF">
        <w:rPr>
          <w:rFonts w:ascii="Times New Roman" w:hAnsi="Times New Roman" w:cs="Times New Roman"/>
          <w:sz w:val="24"/>
          <w:szCs w:val="28"/>
        </w:rPr>
        <w:t>, Great Bay University, Dongguan 523000</w:t>
      </w:r>
      <w:r>
        <w:rPr>
          <w:rFonts w:ascii="Times New Roman" w:hAnsi="Times New Roman" w:cs="Times New Roman" w:hint="eastAsia"/>
          <w:sz w:val="24"/>
          <w:szCs w:val="28"/>
        </w:rPr>
        <w:t>,</w:t>
      </w:r>
      <w:r w:rsidRPr="002467AF">
        <w:rPr>
          <w:rFonts w:ascii="Times New Roman" w:hAnsi="Times New Roman" w:cs="Times New Roman"/>
          <w:sz w:val="24"/>
          <w:szCs w:val="28"/>
        </w:rPr>
        <w:t xml:space="preserve"> China</w:t>
      </w:r>
    </w:p>
    <w:p w14:paraId="0851DF77" w14:textId="77777777" w:rsidR="0000376B" w:rsidRPr="00701D07" w:rsidRDefault="0000376B" w:rsidP="0000376B">
      <w:pPr>
        <w:rPr>
          <w:rFonts w:ascii="Times New Roman" w:hAnsi="Times New Roman" w:cs="Times New Roman"/>
          <w:sz w:val="24"/>
          <w:szCs w:val="28"/>
        </w:rPr>
      </w:pPr>
    </w:p>
    <w:p w14:paraId="47F69F1D" w14:textId="77777777" w:rsidR="0000376B" w:rsidRPr="00735A27" w:rsidRDefault="0000376B" w:rsidP="0000376B">
      <w:pPr>
        <w:rPr>
          <w:rFonts w:ascii="Times New Roman" w:hAnsi="Times New Roman" w:cs="Times New Roman"/>
          <w:sz w:val="24"/>
          <w:szCs w:val="28"/>
        </w:rPr>
      </w:pPr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>#</w:t>
      </w:r>
      <w:r w:rsidRPr="00735A27">
        <w:rPr>
          <w:rFonts w:ascii="Times New Roman" w:hAnsi="Times New Roman" w:cs="Times New Roman"/>
          <w:sz w:val="24"/>
          <w:szCs w:val="28"/>
        </w:rPr>
        <w:t>These authors contributed equally: Honggeng Li, Zhe Chen.</w:t>
      </w:r>
    </w:p>
    <w:p w14:paraId="5B42EEEE" w14:textId="77777777" w:rsidR="0000376B" w:rsidRDefault="0000376B" w:rsidP="0000376B">
      <w:pPr>
        <w:rPr>
          <w:rFonts w:ascii="Times New Roman" w:hAnsi="Times New Roman" w:cs="Times New Roman"/>
          <w:sz w:val="24"/>
          <w:szCs w:val="28"/>
        </w:rPr>
      </w:pPr>
      <w:r w:rsidRPr="00735A27"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Pr="00735A27">
        <w:rPr>
          <w:rFonts w:ascii="Times New Roman" w:hAnsi="Times New Roman" w:cs="Times New Roman"/>
          <w:sz w:val="24"/>
          <w:szCs w:val="28"/>
        </w:rPr>
        <w:t>Corresponding Author: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1D500AC" w14:textId="77777777" w:rsidR="0000376B" w:rsidRDefault="0000376B" w:rsidP="0000376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H</w:t>
      </w:r>
      <w:r>
        <w:rPr>
          <w:rFonts w:ascii="Times New Roman" w:hAnsi="Times New Roman" w:cs="Times New Roman"/>
          <w:sz w:val="24"/>
          <w:szCs w:val="28"/>
        </w:rPr>
        <w:t xml:space="preserve">onggeng Li. Email: </w:t>
      </w:r>
      <w:r w:rsidRPr="007364DE">
        <w:rPr>
          <w:rFonts w:ascii="Times New Roman" w:hAnsi="Times New Roman" w:cs="Times New Roman"/>
          <w:sz w:val="24"/>
          <w:szCs w:val="28"/>
        </w:rPr>
        <w:t>lihonggeng@hnu.edu.cn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38782A7" w14:textId="77777777" w:rsidR="0000376B" w:rsidRPr="00735A27" w:rsidRDefault="0000376B" w:rsidP="0000376B">
      <w:pPr>
        <w:rPr>
          <w:rFonts w:ascii="Times New Roman" w:hAnsi="Times New Roman" w:cs="Times New Roman"/>
          <w:sz w:val="24"/>
          <w:szCs w:val="28"/>
        </w:rPr>
      </w:pPr>
      <w:r w:rsidRPr="00735A27">
        <w:rPr>
          <w:rFonts w:ascii="Times New Roman" w:hAnsi="Times New Roman" w:cs="Times New Roman"/>
          <w:sz w:val="24"/>
          <w:szCs w:val="28"/>
        </w:rPr>
        <w:t>Qi Ge. Email: geq@sustech.edu.cn.</w:t>
      </w:r>
    </w:p>
    <w:p w14:paraId="7261E058" w14:textId="77777777" w:rsidR="000B4E4A" w:rsidRPr="0000376B" w:rsidRDefault="000B4E4A" w:rsidP="000B4E4A">
      <w:pPr>
        <w:pStyle w:val="a7"/>
        <w:ind w:left="357" w:firstLineChars="0" w:firstLine="0"/>
        <w:rPr>
          <w:rFonts w:ascii="Times New Roman" w:hAnsi="Times New Roman" w:cs="Times New Roman"/>
          <w:i/>
          <w:iCs/>
          <w:color w:val="0070C0"/>
        </w:rPr>
      </w:pPr>
    </w:p>
    <w:p w14:paraId="06EA256E" w14:textId="77777777" w:rsidR="000B4E4A" w:rsidRPr="000B4E4A" w:rsidRDefault="000B4E4A" w:rsidP="000B4E4A">
      <w:pPr>
        <w:pStyle w:val="a7"/>
        <w:ind w:left="357" w:firstLineChars="0" w:firstLine="0"/>
        <w:rPr>
          <w:rFonts w:ascii="Times New Roman" w:hAnsi="Times New Roman" w:cs="Times New Roman"/>
          <w:color w:val="0070C0"/>
        </w:rPr>
      </w:pPr>
    </w:p>
    <w:p w14:paraId="2E7DEA02" w14:textId="77777777" w:rsidR="000B4E4A" w:rsidRPr="000B4E4A" w:rsidRDefault="000B4E4A" w:rsidP="000B4E4A">
      <w:pPr>
        <w:pStyle w:val="a7"/>
        <w:ind w:left="357" w:firstLineChars="0" w:firstLine="0"/>
        <w:rPr>
          <w:rFonts w:ascii="Times New Roman" w:hAnsi="Times New Roman" w:cs="Times New Roman"/>
          <w:i/>
          <w:iCs/>
          <w:color w:val="0070C0"/>
        </w:rPr>
      </w:pPr>
    </w:p>
    <w:p w14:paraId="6F17F540" w14:textId="77777777" w:rsidR="000B4E4A" w:rsidRDefault="000B4E4A" w:rsidP="000B4E4A">
      <w:pPr>
        <w:pStyle w:val="a7"/>
        <w:ind w:left="357" w:firstLineChars="0" w:firstLine="0"/>
        <w:rPr>
          <w:rFonts w:ascii="Times New Roman" w:hAnsi="Times New Roman" w:cs="Times New Roman"/>
          <w:i/>
          <w:iCs/>
          <w:color w:val="0070C0"/>
        </w:rPr>
      </w:pPr>
    </w:p>
    <w:p w14:paraId="3FA203C6" w14:textId="2F87280B" w:rsidR="000B4E4A" w:rsidRPr="00BD743C" w:rsidRDefault="000B4E4A" w:rsidP="00BD743C">
      <w:pPr>
        <w:rPr>
          <w:rFonts w:ascii="Times New Roman" w:hAnsi="Times New Roman" w:cs="Times New Roman"/>
          <w:i/>
          <w:iCs/>
          <w:color w:val="0070C0"/>
        </w:rPr>
      </w:pPr>
      <w:r>
        <w:rPr>
          <w:noProof/>
        </w:rPr>
        <w:lastRenderedPageBreak/>
        <w:drawing>
          <wp:inline distT="0" distB="0" distL="0" distR="0" wp14:anchorId="18A0A4EC" wp14:editId="7E68BC12">
            <wp:extent cx="5208602" cy="5666909"/>
            <wp:effectExtent l="0" t="0" r="0" b="0"/>
            <wp:docPr id="3535221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549" cy="5678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79BCB" w14:textId="728BD42B" w:rsidR="000B4E4A" w:rsidRPr="00BD743C" w:rsidRDefault="000B4E4A" w:rsidP="00BD743C">
      <w:pPr>
        <w:rPr>
          <w:rFonts w:ascii="Times New Roman" w:hAnsi="Times New Roman" w:cs="Times New Roman"/>
          <w:b/>
          <w:bCs/>
          <w:sz w:val="22"/>
          <w:szCs w:val="24"/>
        </w:rPr>
      </w:pPr>
      <w:r w:rsidRPr="00BD743C">
        <w:rPr>
          <w:rFonts w:ascii="Times New Roman" w:hAnsi="Times New Roman" w:cs="Times New Roman"/>
          <w:b/>
          <w:bCs/>
          <w:sz w:val="22"/>
          <w:szCs w:val="24"/>
        </w:rPr>
        <w:t xml:space="preserve">Figure </w:t>
      </w:r>
      <w:r w:rsidR="00BD743C">
        <w:rPr>
          <w:rFonts w:ascii="Times New Roman" w:hAnsi="Times New Roman" w:cs="Times New Roman" w:hint="eastAsia"/>
          <w:b/>
          <w:bCs/>
          <w:sz w:val="22"/>
          <w:szCs w:val="24"/>
        </w:rPr>
        <w:t>S</w:t>
      </w:r>
      <w:r w:rsidRPr="00BD743C">
        <w:rPr>
          <w:rFonts w:ascii="Times New Roman" w:hAnsi="Times New Roman" w:cs="Times New Roman"/>
          <w:b/>
          <w:bCs/>
          <w:sz w:val="22"/>
          <w:szCs w:val="24"/>
        </w:rPr>
        <w:t xml:space="preserve">1. The properties of IBBA-CNT with different content of CNT. </w:t>
      </w:r>
      <w:r w:rsidRPr="00BD743C">
        <w:rPr>
          <w:rFonts w:ascii="Times New Roman" w:hAnsi="Times New Roman" w:cs="Times New Roman"/>
          <w:sz w:val="22"/>
          <w:szCs w:val="24"/>
        </w:rPr>
        <w:t>(a) Quasi static tensile test results at room temperature; (b) Quasi-static tensile test results at programm</w:t>
      </w:r>
      <w:r w:rsidRPr="00BD743C">
        <w:rPr>
          <w:rFonts w:ascii="Times New Roman" w:hAnsi="Times New Roman" w:cs="Times New Roman" w:hint="eastAsia"/>
          <w:sz w:val="22"/>
          <w:szCs w:val="24"/>
        </w:rPr>
        <w:t>ing</w:t>
      </w:r>
      <w:r w:rsidRPr="00BD743C">
        <w:rPr>
          <w:rFonts w:ascii="Times New Roman" w:hAnsi="Times New Roman" w:cs="Times New Roman"/>
          <w:sz w:val="22"/>
          <w:szCs w:val="24"/>
        </w:rPr>
        <w:t xml:space="preserve"> temperature; (</w:t>
      </w:r>
      <w:r w:rsidRPr="00BD743C">
        <w:rPr>
          <w:rFonts w:ascii="Times New Roman" w:hAnsi="Times New Roman" w:cs="Times New Roman" w:hint="eastAsia"/>
          <w:sz w:val="22"/>
          <w:szCs w:val="24"/>
        </w:rPr>
        <w:t>c</w:t>
      </w:r>
      <w:r w:rsidRPr="00BD743C">
        <w:rPr>
          <w:rFonts w:ascii="Times New Roman" w:hAnsi="Times New Roman" w:cs="Times New Roman"/>
          <w:sz w:val="22"/>
          <w:szCs w:val="24"/>
        </w:rPr>
        <w:t>) Experimental results of near-infrared photothermal effect; (</w:t>
      </w:r>
      <w:r w:rsidRPr="00BD743C">
        <w:rPr>
          <w:rFonts w:ascii="Times New Roman" w:hAnsi="Times New Roman" w:cs="Times New Roman" w:hint="eastAsia"/>
          <w:sz w:val="22"/>
          <w:szCs w:val="24"/>
        </w:rPr>
        <w:t>d</w:t>
      </w:r>
      <w:r w:rsidRPr="00BD743C">
        <w:rPr>
          <w:rFonts w:ascii="Times New Roman" w:hAnsi="Times New Roman" w:cs="Times New Roman"/>
          <w:sz w:val="22"/>
          <w:szCs w:val="24"/>
        </w:rPr>
        <w:t xml:space="preserve">) Combustion of </w:t>
      </w:r>
      <w:r w:rsidRPr="00BD743C">
        <w:rPr>
          <w:rFonts w:ascii="Times New Roman" w:hAnsi="Times New Roman" w:cs="Times New Roman" w:hint="eastAsia"/>
          <w:sz w:val="22"/>
          <w:szCs w:val="24"/>
        </w:rPr>
        <w:t>IBBA</w:t>
      </w:r>
      <w:r w:rsidRPr="00BD743C">
        <w:rPr>
          <w:rFonts w:ascii="Times New Roman" w:hAnsi="Times New Roman" w:cs="Times New Roman"/>
          <w:sz w:val="22"/>
          <w:szCs w:val="24"/>
        </w:rPr>
        <w:t>-</w:t>
      </w:r>
      <w:r w:rsidRPr="00BD743C">
        <w:rPr>
          <w:rFonts w:ascii="Times New Roman" w:hAnsi="Times New Roman" w:cs="Times New Roman" w:hint="eastAsia"/>
          <w:sz w:val="22"/>
          <w:szCs w:val="24"/>
        </w:rPr>
        <w:t>CNT</w:t>
      </w:r>
      <w:r w:rsidRPr="00BD743C">
        <w:rPr>
          <w:rFonts w:ascii="Times New Roman" w:hAnsi="Times New Roman" w:cs="Times New Roman"/>
          <w:sz w:val="22"/>
          <w:szCs w:val="24"/>
        </w:rPr>
        <w:t xml:space="preserve"> with high CNT content under near infrared irradiation; (</w:t>
      </w:r>
      <w:r w:rsidRPr="00BD743C">
        <w:rPr>
          <w:rFonts w:ascii="Times New Roman" w:hAnsi="Times New Roman" w:cs="Times New Roman" w:hint="eastAsia"/>
          <w:sz w:val="22"/>
          <w:szCs w:val="24"/>
        </w:rPr>
        <w:t>e</w:t>
      </w:r>
      <w:r w:rsidRPr="00BD743C">
        <w:rPr>
          <w:rFonts w:ascii="Times New Roman" w:hAnsi="Times New Roman" w:cs="Times New Roman"/>
          <w:sz w:val="22"/>
          <w:szCs w:val="24"/>
        </w:rPr>
        <w:t>) The rheological properties of the precursors</w:t>
      </w:r>
      <w:r w:rsidRPr="00BD743C">
        <w:rPr>
          <w:rFonts w:ascii="Times New Roman" w:hAnsi="Times New Roman" w:cs="Times New Roman" w:hint="eastAsia"/>
          <w:sz w:val="22"/>
          <w:szCs w:val="24"/>
        </w:rPr>
        <w:t>.</w:t>
      </w:r>
    </w:p>
    <w:p w14:paraId="2A011679" w14:textId="77777777" w:rsidR="00261852" w:rsidRPr="00BD743C" w:rsidRDefault="00261852"/>
    <w:p w14:paraId="13E5581A" w14:textId="77777777" w:rsidR="00B91E97" w:rsidRPr="00B91E97" w:rsidRDefault="00B91E97" w:rsidP="00B91E97">
      <w:pPr>
        <w:rPr>
          <w:rFonts w:ascii="Times New Roman" w:hAnsi="Times New Roman" w:cs="Times New Roman"/>
          <w:sz w:val="24"/>
          <w:szCs w:val="28"/>
        </w:rPr>
      </w:pPr>
      <w:r w:rsidRPr="00B91E97">
        <w:rPr>
          <w:rFonts w:ascii="Times New Roman" w:hAnsi="Times New Roman" w:cs="Times New Roman"/>
          <w:sz w:val="24"/>
          <w:szCs w:val="28"/>
        </w:rPr>
        <w:t xml:space="preserve">CNT content has no significant effect on the mechanical properties of </w:t>
      </w:r>
      <w:r w:rsidRPr="00B91E97">
        <w:rPr>
          <w:rFonts w:ascii="Times New Roman" w:hAnsi="Times New Roman" w:cs="Times New Roman" w:hint="eastAsia"/>
          <w:sz w:val="24"/>
          <w:szCs w:val="28"/>
        </w:rPr>
        <w:t>IBBA-CNT</w:t>
      </w:r>
      <w:r w:rsidRPr="00B91E97">
        <w:rPr>
          <w:rFonts w:ascii="Times New Roman" w:hAnsi="Times New Roman" w:cs="Times New Roman"/>
          <w:sz w:val="24"/>
          <w:szCs w:val="28"/>
        </w:rPr>
        <w:t xml:space="preserve"> (Fig</w:t>
      </w:r>
      <w:r w:rsidRPr="00B91E97">
        <w:rPr>
          <w:rFonts w:ascii="Times New Roman" w:hAnsi="Times New Roman" w:cs="Times New Roman" w:hint="eastAsia"/>
          <w:sz w:val="24"/>
          <w:szCs w:val="28"/>
        </w:rPr>
        <w:t>ure</w:t>
      </w:r>
      <w:r w:rsidRPr="00B91E97">
        <w:rPr>
          <w:rFonts w:ascii="Times New Roman" w:hAnsi="Times New Roman" w:cs="Times New Roman"/>
          <w:sz w:val="24"/>
          <w:szCs w:val="28"/>
        </w:rPr>
        <w:t xml:space="preserve"> </w:t>
      </w:r>
      <w:r w:rsidRPr="00B91E97">
        <w:rPr>
          <w:rFonts w:ascii="Times New Roman" w:hAnsi="Times New Roman" w:cs="Times New Roman" w:hint="eastAsia"/>
          <w:sz w:val="24"/>
          <w:szCs w:val="28"/>
        </w:rPr>
        <w:t>R</w:t>
      </w:r>
      <w:r w:rsidRPr="00B91E97">
        <w:rPr>
          <w:rFonts w:ascii="Times New Roman" w:hAnsi="Times New Roman" w:cs="Times New Roman"/>
          <w:sz w:val="24"/>
          <w:szCs w:val="28"/>
        </w:rPr>
        <w:t>1a-b), but has a significant effect on the photothermal conversion rate (Fig</w:t>
      </w:r>
      <w:r w:rsidRPr="00B91E97">
        <w:rPr>
          <w:rFonts w:ascii="Times New Roman" w:hAnsi="Times New Roman" w:cs="Times New Roman" w:hint="eastAsia"/>
          <w:sz w:val="24"/>
          <w:szCs w:val="28"/>
        </w:rPr>
        <w:t>ure</w:t>
      </w:r>
      <w:r w:rsidRPr="00B91E97">
        <w:rPr>
          <w:rFonts w:ascii="Times New Roman" w:hAnsi="Times New Roman" w:cs="Times New Roman"/>
          <w:sz w:val="24"/>
          <w:szCs w:val="28"/>
        </w:rPr>
        <w:t xml:space="preserve"> </w:t>
      </w:r>
      <w:r w:rsidRPr="00B91E97">
        <w:rPr>
          <w:rFonts w:ascii="Times New Roman" w:hAnsi="Times New Roman" w:cs="Times New Roman" w:hint="eastAsia"/>
          <w:sz w:val="24"/>
          <w:szCs w:val="28"/>
        </w:rPr>
        <w:t>R</w:t>
      </w:r>
      <w:r w:rsidRPr="00B91E97">
        <w:rPr>
          <w:rFonts w:ascii="Times New Roman" w:hAnsi="Times New Roman" w:cs="Times New Roman"/>
          <w:sz w:val="24"/>
          <w:szCs w:val="28"/>
        </w:rPr>
        <w:t>1c). IBBA</w:t>
      </w:r>
      <w:r w:rsidRPr="00B91E97">
        <w:rPr>
          <w:rFonts w:ascii="Times New Roman" w:hAnsi="Times New Roman" w:cs="Times New Roman" w:hint="eastAsia"/>
          <w:sz w:val="24"/>
          <w:szCs w:val="28"/>
        </w:rPr>
        <w:t>-</w:t>
      </w:r>
      <w:r w:rsidRPr="00B91E97">
        <w:rPr>
          <w:rFonts w:ascii="Times New Roman" w:hAnsi="Times New Roman" w:cs="Times New Roman"/>
          <w:sz w:val="24"/>
          <w:szCs w:val="28"/>
        </w:rPr>
        <w:t>CNT with more than 0.05wt%</w:t>
      </w:r>
      <w:r w:rsidRPr="00B91E97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B91E97">
        <w:rPr>
          <w:rFonts w:ascii="Times New Roman" w:hAnsi="Times New Roman" w:cs="Times New Roman"/>
          <w:sz w:val="24"/>
          <w:szCs w:val="28"/>
        </w:rPr>
        <w:t>CNT will rapidly rise to more than 150 ℃ within 7</w:t>
      </w:r>
      <w:r w:rsidRPr="00B91E97">
        <w:rPr>
          <w:rFonts w:ascii="Times New Roman" w:hAnsi="Times New Roman" w:cs="Times New Roman" w:hint="eastAsia"/>
          <w:sz w:val="24"/>
          <w:szCs w:val="28"/>
        </w:rPr>
        <w:t>s</w:t>
      </w:r>
      <w:r w:rsidRPr="00B91E97">
        <w:rPr>
          <w:rFonts w:ascii="Times New Roman" w:hAnsi="Times New Roman" w:cs="Times New Roman"/>
          <w:sz w:val="24"/>
          <w:szCs w:val="28"/>
        </w:rPr>
        <w:t xml:space="preserve"> (Fig</w:t>
      </w:r>
      <w:r w:rsidRPr="00B91E97">
        <w:rPr>
          <w:rFonts w:ascii="Times New Roman" w:hAnsi="Times New Roman" w:cs="Times New Roman" w:hint="eastAsia"/>
          <w:sz w:val="24"/>
          <w:szCs w:val="28"/>
        </w:rPr>
        <w:t>ure R</w:t>
      </w:r>
      <w:r w:rsidRPr="00B91E97">
        <w:rPr>
          <w:rFonts w:ascii="Times New Roman" w:hAnsi="Times New Roman" w:cs="Times New Roman"/>
          <w:sz w:val="24"/>
          <w:szCs w:val="28"/>
        </w:rPr>
        <w:t>1c). This temperature rise efficiency is too fast to control the programming temperature of SMP.</w:t>
      </w:r>
      <w:r w:rsidRPr="00B91E97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B91E97">
        <w:rPr>
          <w:rFonts w:ascii="Times New Roman" w:hAnsi="Times New Roman" w:cs="Times New Roman"/>
          <w:sz w:val="24"/>
          <w:szCs w:val="28"/>
        </w:rPr>
        <w:t xml:space="preserve">More importantly, as shown in </w:t>
      </w:r>
      <w:r w:rsidRPr="00B91E97">
        <w:rPr>
          <w:rFonts w:ascii="Times New Roman" w:hAnsi="Times New Roman" w:cs="Times New Roman" w:hint="eastAsia"/>
          <w:sz w:val="24"/>
          <w:szCs w:val="28"/>
        </w:rPr>
        <w:t>F</w:t>
      </w:r>
      <w:r w:rsidRPr="00B91E97">
        <w:rPr>
          <w:rFonts w:ascii="Times New Roman" w:hAnsi="Times New Roman" w:cs="Times New Roman"/>
          <w:sz w:val="24"/>
          <w:szCs w:val="28"/>
        </w:rPr>
        <w:t xml:space="preserve">igure </w:t>
      </w:r>
      <w:r w:rsidRPr="00B91E97">
        <w:rPr>
          <w:rFonts w:ascii="Times New Roman" w:hAnsi="Times New Roman" w:cs="Times New Roman" w:hint="eastAsia"/>
          <w:sz w:val="24"/>
          <w:szCs w:val="28"/>
        </w:rPr>
        <w:t>R</w:t>
      </w:r>
      <w:r w:rsidRPr="00B91E97">
        <w:rPr>
          <w:rFonts w:ascii="Times New Roman" w:hAnsi="Times New Roman" w:cs="Times New Roman"/>
          <w:sz w:val="24"/>
          <w:szCs w:val="28"/>
        </w:rPr>
        <w:t>1d, IBBA</w:t>
      </w:r>
      <w:r w:rsidRPr="00B91E97">
        <w:rPr>
          <w:rFonts w:ascii="Times New Roman" w:hAnsi="Times New Roman" w:cs="Times New Roman" w:hint="eastAsia"/>
          <w:sz w:val="24"/>
          <w:szCs w:val="28"/>
        </w:rPr>
        <w:t>-</w:t>
      </w:r>
      <w:r w:rsidRPr="00B91E97">
        <w:rPr>
          <w:rFonts w:ascii="Times New Roman" w:hAnsi="Times New Roman" w:cs="Times New Roman"/>
          <w:sz w:val="24"/>
          <w:szCs w:val="28"/>
        </w:rPr>
        <w:t>CNT with high CNT content will be ignited by near-infrared laser.</w:t>
      </w:r>
      <w:r w:rsidRPr="00B91E97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B91E97">
        <w:rPr>
          <w:rFonts w:ascii="Times New Roman" w:hAnsi="Times New Roman" w:cs="Times New Roman"/>
          <w:sz w:val="24"/>
          <w:szCs w:val="28"/>
        </w:rPr>
        <w:t xml:space="preserve">Therefore, we chose </w:t>
      </w:r>
      <w:r w:rsidRPr="00B91E97">
        <w:rPr>
          <w:rFonts w:ascii="Times New Roman" w:hAnsi="Times New Roman" w:cs="Times New Roman" w:hint="eastAsia"/>
          <w:sz w:val="24"/>
          <w:szCs w:val="28"/>
        </w:rPr>
        <w:t>IBBA-CNT</w:t>
      </w:r>
      <w:r w:rsidRPr="00B91E97">
        <w:rPr>
          <w:rFonts w:ascii="Times New Roman" w:hAnsi="Times New Roman" w:cs="Times New Roman"/>
          <w:sz w:val="24"/>
          <w:szCs w:val="28"/>
        </w:rPr>
        <w:t xml:space="preserve"> with 0.05wt%</w:t>
      </w:r>
      <w:r w:rsidRPr="00B91E97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B91E97">
        <w:rPr>
          <w:rFonts w:ascii="Times New Roman" w:hAnsi="Times New Roman" w:cs="Times New Roman"/>
          <w:sz w:val="24"/>
          <w:szCs w:val="28"/>
        </w:rPr>
        <w:t>CNT.</w:t>
      </w:r>
    </w:p>
    <w:p w14:paraId="4566CD78" w14:textId="0AD04CBD" w:rsidR="00B91E97" w:rsidRPr="006B459E" w:rsidRDefault="00B91E97">
      <w:pPr>
        <w:rPr>
          <w:rFonts w:ascii="Times New Roman" w:hAnsi="Times New Roman" w:cs="Times New Roman"/>
          <w:sz w:val="24"/>
          <w:szCs w:val="28"/>
        </w:rPr>
      </w:pPr>
      <w:r w:rsidRPr="00B91E97">
        <w:rPr>
          <w:rFonts w:ascii="Times New Roman" w:hAnsi="Times New Roman" w:cs="Times New Roman"/>
          <w:sz w:val="24"/>
          <w:szCs w:val="28"/>
        </w:rPr>
        <w:t>Increasing CNT content has no effect on the rheological properties of IBBA precursor</w:t>
      </w:r>
      <w:r w:rsidRPr="00B91E97">
        <w:rPr>
          <w:rFonts w:ascii="Times New Roman" w:hAnsi="Times New Roman" w:cs="Times New Roman" w:hint="eastAsia"/>
          <w:sz w:val="24"/>
          <w:szCs w:val="28"/>
        </w:rPr>
        <w:t xml:space="preserve"> (Figure R1e).</w:t>
      </w:r>
    </w:p>
    <w:sectPr w:rsidR="00B91E97" w:rsidRPr="006B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9AB2" w14:textId="77777777" w:rsidR="00B5356C" w:rsidRDefault="00B5356C" w:rsidP="000B4E4A">
      <w:r>
        <w:separator/>
      </w:r>
    </w:p>
  </w:endnote>
  <w:endnote w:type="continuationSeparator" w:id="0">
    <w:p w14:paraId="64EEB327" w14:textId="77777777" w:rsidR="00B5356C" w:rsidRDefault="00B5356C" w:rsidP="000B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F223" w14:textId="77777777" w:rsidR="00B5356C" w:rsidRDefault="00B5356C" w:rsidP="000B4E4A">
      <w:r>
        <w:separator/>
      </w:r>
    </w:p>
  </w:footnote>
  <w:footnote w:type="continuationSeparator" w:id="0">
    <w:p w14:paraId="271A677E" w14:textId="77777777" w:rsidR="00B5356C" w:rsidRDefault="00B5356C" w:rsidP="000B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8D"/>
    <w:rsid w:val="0000376B"/>
    <w:rsid w:val="000B4E4A"/>
    <w:rsid w:val="00261852"/>
    <w:rsid w:val="0031454D"/>
    <w:rsid w:val="004C7121"/>
    <w:rsid w:val="006B459E"/>
    <w:rsid w:val="00701D07"/>
    <w:rsid w:val="00A1661C"/>
    <w:rsid w:val="00B5356C"/>
    <w:rsid w:val="00B91E97"/>
    <w:rsid w:val="00BD743C"/>
    <w:rsid w:val="00C73C8D"/>
    <w:rsid w:val="00E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D5DBF"/>
  <w15:chartTrackingRefBased/>
  <w15:docId w15:val="{DAEEA169-CBE1-4799-BE1D-7691426F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E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E4A"/>
    <w:rPr>
      <w:sz w:val="18"/>
      <w:szCs w:val="18"/>
    </w:rPr>
  </w:style>
  <w:style w:type="paragraph" w:styleId="a7">
    <w:name w:val="List Paragraph"/>
    <w:basedOn w:val="a"/>
    <w:uiPriority w:val="34"/>
    <w:qFormat/>
    <w:rsid w:val="000B4E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Honggeng Li</dc:creator>
  <cp:keywords/>
  <dc:description/>
  <cp:lastModifiedBy>Honggeng Li</cp:lastModifiedBy>
  <cp:revision>8</cp:revision>
  <dcterms:created xsi:type="dcterms:W3CDTF">2024-03-26T08:58:00Z</dcterms:created>
  <dcterms:modified xsi:type="dcterms:W3CDTF">2024-03-28T12:42:00Z</dcterms:modified>
</cp:coreProperties>
</file>