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3C7F3" w14:textId="1AD71D1C" w:rsidR="004211E4" w:rsidRDefault="004211E4" w:rsidP="008464CA">
      <w:pPr>
        <w:spacing w:line="480" w:lineRule="auto"/>
        <w:rPr>
          <w:b/>
          <w:bCs/>
        </w:rPr>
      </w:pPr>
      <w:r w:rsidRPr="00C63C1F">
        <w:rPr>
          <w:b/>
          <w:bCs/>
        </w:rPr>
        <w:t xml:space="preserve">Human </w:t>
      </w:r>
      <w:r w:rsidR="00041E0E">
        <w:rPr>
          <w:b/>
          <w:bCs/>
        </w:rPr>
        <w:t>r</w:t>
      </w:r>
      <w:r w:rsidRPr="00C63C1F">
        <w:rPr>
          <w:b/>
          <w:bCs/>
        </w:rPr>
        <w:t xml:space="preserve">ights and </w:t>
      </w:r>
      <w:r w:rsidR="00041E0E">
        <w:rPr>
          <w:b/>
          <w:bCs/>
        </w:rPr>
        <w:t>t</w:t>
      </w:r>
      <w:r w:rsidRPr="00C63C1F">
        <w:rPr>
          <w:b/>
          <w:bCs/>
        </w:rPr>
        <w:t xml:space="preserve">axation in </w:t>
      </w:r>
      <w:r w:rsidR="0024182E">
        <w:rPr>
          <w:b/>
          <w:bCs/>
        </w:rPr>
        <w:t>the</w:t>
      </w:r>
      <w:r w:rsidRPr="00C63C1F">
        <w:rPr>
          <w:b/>
          <w:bCs/>
        </w:rPr>
        <w:t xml:space="preserve"> </w:t>
      </w:r>
      <w:r w:rsidR="00041E0E">
        <w:rPr>
          <w:b/>
          <w:bCs/>
        </w:rPr>
        <w:t>d</w:t>
      </w:r>
      <w:r w:rsidRPr="00C63C1F">
        <w:rPr>
          <w:b/>
          <w:bCs/>
        </w:rPr>
        <w:t xml:space="preserve">igital </w:t>
      </w:r>
      <w:r w:rsidR="00041E0E">
        <w:rPr>
          <w:b/>
          <w:bCs/>
        </w:rPr>
        <w:t>e</w:t>
      </w:r>
      <w:r w:rsidRPr="00C63C1F">
        <w:rPr>
          <w:b/>
          <w:bCs/>
        </w:rPr>
        <w:t>conomy</w:t>
      </w:r>
      <w:r>
        <w:rPr>
          <w:b/>
          <w:bCs/>
        </w:rPr>
        <w:t xml:space="preserve">: </w:t>
      </w:r>
      <w:r w:rsidR="00041E0E">
        <w:rPr>
          <w:b/>
          <w:bCs/>
        </w:rPr>
        <w:t>d</w:t>
      </w:r>
      <w:r>
        <w:rPr>
          <w:b/>
          <w:bCs/>
        </w:rPr>
        <w:t xml:space="preserve">ata </w:t>
      </w:r>
      <w:r w:rsidR="00041E0E">
        <w:rPr>
          <w:b/>
          <w:bCs/>
        </w:rPr>
        <w:t>t</w:t>
      </w:r>
      <w:r>
        <w:rPr>
          <w:b/>
          <w:bCs/>
        </w:rPr>
        <w:t xml:space="preserve">ax and the </w:t>
      </w:r>
      <w:r w:rsidR="00041E0E">
        <w:rPr>
          <w:b/>
          <w:bCs/>
        </w:rPr>
        <w:t>r</w:t>
      </w:r>
      <w:r>
        <w:rPr>
          <w:b/>
          <w:bCs/>
        </w:rPr>
        <w:t xml:space="preserve">ight to </w:t>
      </w:r>
      <w:r w:rsidR="00041E0E">
        <w:rPr>
          <w:b/>
          <w:bCs/>
        </w:rPr>
        <w:t>s</w:t>
      </w:r>
      <w:r>
        <w:rPr>
          <w:b/>
          <w:bCs/>
        </w:rPr>
        <w:t xml:space="preserve">cience </w:t>
      </w:r>
    </w:p>
    <w:p w14:paraId="554A16CA" w14:textId="77777777" w:rsidR="004211E4" w:rsidRDefault="004211E4" w:rsidP="008464CA">
      <w:pPr>
        <w:spacing w:line="480" w:lineRule="auto"/>
      </w:pPr>
    </w:p>
    <w:p w14:paraId="247C596F" w14:textId="008555F1" w:rsidR="00D667A6" w:rsidRDefault="002D65F7" w:rsidP="008464CA">
      <w:pPr>
        <w:spacing w:line="480" w:lineRule="auto"/>
        <w:ind w:left="284" w:right="284"/>
        <w:rPr>
          <w:b/>
          <w:bCs/>
        </w:rPr>
      </w:pPr>
      <w:r w:rsidRPr="002D65F7">
        <w:rPr>
          <w:b/>
          <w:bCs/>
        </w:rPr>
        <w:t>Abstract:</w:t>
      </w:r>
      <w:r w:rsidR="00B7128A">
        <w:rPr>
          <w:b/>
          <w:bCs/>
        </w:rPr>
        <w:t xml:space="preserve"> </w:t>
      </w:r>
      <w:r w:rsidR="00B7128A">
        <w:t>Data tax (DT) could re-establish states’ legitimacy by govern</w:t>
      </w:r>
      <w:r w:rsidR="0024182E">
        <w:t>ing</w:t>
      </w:r>
      <w:r w:rsidR="00B7128A">
        <w:t xml:space="preserve"> economic actors and promotin</w:t>
      </w:r>
      <w:r w:rsidR="0024182E">
        <w:t>g</w:t>
      </w:r>
      <w:r w:rsidR="00B7128A">
        <w:t xml:space="preserve"> social solidarity and welfare through benefits. </w:t>
      </w:r>
      <w:r w:rsidR="00D667A6">
        <w:t>However, the overall</w:t>
      </w:r>
      <w:r w:rsidR="00D667A6" w:rsidRPr="00D667A6">
        <w:t xml:space="preserve"> </w:t>
      </w:r>
      <w:r w:rsidR="00D667A6">
        <w:t>impact of DT will depend on d</w:t>
      </w:r>
      <w:r w:rsidR="00B7128A">
        <w:t xml:space="preserve">ecisions about what social benefits DT funds (universal basic income or less expensive public goods) and whether benefits will entrench or challenge harmful business models and practices. </w:t>
      </w:r>
      <w:r w:rsidR="00D667A6">
        <w:t xml:space="preserve">Focusing on the right to science (RtS), the paper argues that </w:t>
      </w:r>
      <w:r w:rsidR="00B7128A">
        <w:t>DT could realise the RtS</w:t>
      </w:r>
      <w:r w:rsidR="00D667A6">
        <w:t xml:space="preserve"> in the digital age through taxation that exacted not only data rent but also rent on the scientific heritage. Finally, the paper emphasises the need for international coordination to ensure that DT is equitably shared among developed and less developed countries.</w:t>
      </w:r>
    </w:p>
    <w:p w14:paraId="2CD628F8" w14:textId="77777777" w:rsidR="00D667A6" w:rsidRDefault="00D667A6" w:rsidP="008464CA">
      <w:pPr>
        <w:spacing w:line="480" w:lineRule="auto"/>
        <w:ind w:left="284" w:right="284"/>
        <w:rPr>
          <w:b/>
          <w:bCs/>
        </w:rPr>
      </w:pPr>
    </w:p>
    <w:p w14:paraId="533B153C" w14:textId="4482EAB2" w:rsidR="002D65F7" w:rsidRPr="002D65F7" w:rsidRDefault="002D65F7" w:rsidP="008464CA">
      <w:pPr>
        <w:spacing w:line="480" w:lineRule="auto"/>
        <w:ind w:left="284" w:right="284"/>
        <w:rPr>
          <w:b/>
          <w:bCs/>
        </w:rPr>
      </w:pPr>
      <w:r w:rsidRPr="002D65F7">
        <w:rPr>
          <w:b/>
          <w:bCs/>
        </w:rPr>
        <w:t>Key words:</w:t>
      </w:r>
      <w:r>
        <w:rPr>
          <w:b/>
          <w:bCs/>
        </w:rPr>
        <w:t xml:space="preserve"> </w:t>
      </w:r>
      <w:r w:rsidR="008464CA">
        <w:rPr>
          <w:i/>
          <w:iCs/>
        </w:rPr>
        <w:t>International H</w:t>
      </w:r>
      <w:r w:rsidR="008464CA" w:rsidRPr="00B7128A">
        <w:rPr>
          <w:i/>
          <w:iCs/>
        </w:rPr>
        <w:t xml:space="preserve">uman </w:t>
      </w:r>
      <w:r w:rsidR="008464CA">
        <w:rPr>
          <w:i/>
          <w:iCs/>
        </w:rPr>
        <w:t>R</w:t>
      </w:r>
      <w:r w:rsidR="008464CA" w:rsidRPr="00B7128A">
        <w:rPr>
          <w:i/>
          <w:iCs/>
        </w:rPr>
        <w:t>ights</w:t>
      </w:r>
      <w:r w:rsidR="008464CA">
        <w:rPr>
          <w:i/>
          <w:iCs/>
        </w:rPr>
        <w:t xml:space="preserve"> Law</w:t>
      </w:r>
      <w:r w:rsidR="008464CA" w:rsidRPr="00B7128A">
        <w:rPr>
          <w:i/>
          <w:iCs/>
        </w:rPr>
        <w:t>;</w:t>
      </w:r>
      <w:r w:rsidR="008464CA">
        <w:rPr>
          <w:i/>
          <w:iCs/>
        </w:rPr>
        <w:t xml:space="preserve"> human rights and tax; </w:t>
      </w:r>
      <w:r w:rsidRPr="00B7128A">
        <w:rPr>
          <w:i/>
          <w:iCs/>
        </w:rPr>
        <w:t xml:space="preserve">data tax; </w:t>
      </w:r>
      <w:r w:rsidR="00B7128A" w:rsidRPr="00B7128A">
        <w:rPr>
          <w:i/>
          <w:iCs/>
        </w:rPr>
        <w:t>right to science; universal basic income</w:t>
      </w:r>
    </w:p>
    <w:p w14:paraId="3F2E95E6" w14:textId="77777777" w:rsidR="002D65F7" w:rsidRDefault="002D65F7" w:rsidP="008464CA">
      <w:pPr>
        <w:spacing w:line="480" w:lineRule="auto"/>
      </w:pPr>
    </w:p>
    <w:p w14:paraId="502C9A1D" w14:textId="4CE9551A" w:rsidR="00D667A6" w:rsidRPr="00D667A6" w:rsidRDefault="00FC3A20" w:rsidP="008464CA">
      <w:pPr>
        <w:spacing w:line="480" w:lineRule="auto"/>
        <w:rPr>
          <w:b/>
          <w:bCs/>
        </w:rPr>
      </w:pPr>
      <w:r>
        <w:rPr>
          <w:b/>
          <w:bCs/>
        </w:rPr>
        <w:t xml:space="preserve">1 </w:t>
      </w:r>
      <w:r w:rsidR="00D667A6" w:rsidRPr="00D667A6">
        <w:rPr>
          <w:b/>
          <w:bCs/>
        </w:rPr>
        <w:t>Introduction</w:t>
      </w:r>
    </w:p>
    <w:p w14:paraId="43D96FEB" w14:textId="77777777" w:rsidR="00D667A6" w:rsidRDefault="00D667A6" w:rsidP="008464CA">
      <w:pPr>
        <w:spacing w:line="480" w:lineRule="auto"/>
      </w:pPr>
    </w:p>
    <w:p w14:paraId="49A9C270" w14:textId="55788A49" w:rsidR="00071C24" w:rsidRDefault="00E540F2" w:rsidP="008464CA">
      <w:pPr>
        <w:spacing w:line="480" w:lineRule="auto"/>
      </w:pPr>
      <w:r>
        <w:t>L</w:t>
      </w:r>
      <w:r w:rsidR="00EB269F">
        <w:t>egal scholars have long investigated the social justice implications of the digitisation of the economy and the datafication of social life</w:t>
      </w:r>
      <w:r w:rsidR="005807EE">
        <w:t xml:space="preserve">, </w:t>
      </w:r>
      <w:r w:rsidR="004211E4">
        <w:lastRenderedPageBreak/>
        <w:t>relatively</w:t>
      </w:r>
      <w:r w:rsidR="005807EE">
        <w:t xml:space="preserve"> little reflection</w:t>
      </w:r>
      <w:r w:rsidR="004211E4">
        <w:t xml:space="preserve"> has been devoted</w:t>
      </w:r>
      <w:r w:rsidR="005807EE">
        <w:t xml:space="preserve"> </w:t>
      </w:r>
      <w:r w:rsidR="004211E4">
        <w:t>to</w:t>
      </w:r>
      <w:r w:rsidR="005807EE">
        <w:t xml:space="preserve"> how law can address these implications. A</w:t>
      </w:r>
      <w:r>
        <w:t>ccording to Golia,</w:t>
      </w:r>
      <w:r w:rsidR="00EB269F">
        <w:t xml:space="preserve"> </w:t>
      </w:r>
      <w:r w:rsidR="005807EE">
        <w:t xml:space="preserve">even </w:t>
      </w:r>
      <w:r w:rsidR="00EB269F">
        <w:t>the digital constitutionalism literature</w:t>
      </w:r>
      <w:r>
        <w:t xml:space="preserve"> which has a special focus on adapting constitutional values to our digital age</w:t>
      </w:r>
      <w:r w:rsidR="005807EE" w:rsidRPr="005807EE">
        <w:t xml:space="preserve"> </w:t>
      </w:r>
      <w:r w:rsidR="005807EE">
        <w:t>has largely sidestepped the challenges of digital or informational capitalis</w:t>
      </w:r>
      <w:r w:rsidR="00B12E89">
        <w:t>m, particularly,</w:t>
      </w:r>
      <w:r w:rsidR="005807EE">
        <w:t xml:space="preserve"> </w:t>
      </w:r>
      <w:r w:rsidR="00B12E89">
        <w:t>i</w:t>
      </w:r>
      <w:r w:rsidR="005807EE">
        <w:t xml:space="preserve">ssues of extraction and redistribution of </w:t>
      </w:r>
      <w:r w:rsidR="004211E4">
        <w:t xml:space="preserve">economic </w:t>
      </w:r>
      <w:r w:rsidR="005807EE">
        <w:t>value</w:t>
      </w:r>
      <w:r w:rsidR="00B12E89">
        <w:t>.</w:t>
      </w:r>
      <w:r w:rsidR="007D129A">
        <w:rPr>
          <w:rStyle w:val="FootnoteReference"/>
        </w:rPr>
        <w:footnoteReference w:id="1"/>
      </w:r>
      <w:r w:rsidR="005807EE">
        <w:t xml:space="preserve"> </w:t>
      </w:r>
      <w:r w:rsidR="00B12E89">
        <w:t xml:space="preserve">This is unfortunate. </w:t>
      </w:r>
      <w:r w:rsidR="00685FA5">
        <w:t>L</w:t>
      </w:r>
      <w:r w:rsidR="00B12E89">
        <w:t>ong saddled by challenges from economic globalisation and neoliberal capitalism,</w:t>
      </w:r>
      <w:r w:rsidR="005807EE">
        <w:t xml:space="preserve"> </w:t>
      </w:r>
      <w:r w:rsidR="00685FA5">
        <w:t xml:space="preserve">political institutions </w:t>
      </w:r>
      <w:r w:rsidR="00B12E89">
        <w:t>must</w:t>
      </w:r>
      <w:r w:rsidR="005807EE">
        <w:t xml:space="preserve"> re-establish their legitimacy</w:t>
      </w:r>
      <w:r w:rsidR="00B12E89">
        <w:t xml:space="preserve"> in this changed political economy or risk total irrelevance. This </w:t>
      </w:r>
      <w:r w:rsidR="00F87B59">
        <w:t>article</w:t>
      </w:r>
      <w:r w:rsidR="00B12E89">
        <w:t xml:space="preserve"> joins others in this collection in arguing that states</w:t>
      </w:r>
      <w:r w:rsidR="0052761F">
        <w:t>, through new tax</w:t>
      </w:r>
      <w:r w:rsidR="00C038A9">
        <w:t xml:space="preserve"> laws</w:t>
      </w:r>
      <w:r w:rsidR="0052761F">
        <w:t>,</w:t>
      </w:r>
      <w:r w:rsidR="00B12E89">
        <w:t xml:space="preserve"> could </w:t>
      </w:r>
      <w:r w:rsidR="009121C3">
        <w:t>re-establish legitimacy</w:t>
      </w:r>
      <w:r w:rsidR="00B12E89">
        <w:t xml:space="preserve"> by</w:t>
      </w:r>
      <w:r w:rsidR="005807EE">
        <w:t xml:space="preserve"> exhibit</w:t>
      </w:r>
      <w:r w:rsidR="00B12E89">
        <w:t>ing</w:t>
      </w:r>
      <w:r w:rsidR="005807EE">
        <w:t xml:space="preserve"> capacity to govern economic actors</w:t>
      </w:r>
      <w:r w:rsidR="00B12E89">
        <w:t>,</w:t>
      </w:r>
      <w:r w:rsidR="005807EE">
        <w:t xml:space="preserve"> whose power appear</w:t>
      </w:r>
      <w:r w:rsidR="009121C3">
        <w:t>s</w:t>
      </w:r>
      <w:r w:rsidR="005807EE">
        <w:t xml:space="preserve"> to exceed theirs</w:t>
      </w:r>
      <w:r w:rsidR="00B12E89">
        <w:t>,</w:t>
      </w:r>
      <w:r w:rsidR="005807EE">
        <w:t xml:space="preserve"> </w:t>
      </w:r>
      <w:r w:rsidR="00B12E89">
        <w:t xml:space="preserve">and </w:t>
      </w:r>
      <w:r w:rsidR="0052761F">
        <w:t>promote</w:t>
      </w:r>
      <w:r w:rsidR="00B12E89">
        <w:t xml:space="preserve"> </w:t>
      </w:r>
      <w:r w:rsidR="0052761F">
        <w:t>social solidarity</w:t>
      </w:r>
      <w:r w:rsidR="00685FA5">
        <w:t xml:space="preserve"> and welfare by ensuring benefits to everyone</w:t>
      </w:r>
      <w:r w:rsidR="005807EE">
        <w:t>.</w:t>
      </w:r>
      <w:r w:rsidR="0052761F">
        <w:t xml:space="preserve"> </w:t>
      </w:r>
    </w:p>
    <w:p w14:paraId="43CD54B5" w14:textId="77777777" w:rsidR="00071C24" w:rsidRDefault="00071C24" w:rsidP="008464CA">
      <w:pPr>
        <w:spacing w:line="480" w:lineRule="auto"/>
      </w:pPr>
    </w:p>
    <w:p w14:paraId="24DD322F" w14:textId="4F2A06CC" w:rsidR="004A71BB" w:rsidRDefault="004211E4" w:rsidP="008464CA">
      <w:pPr>
        <w:spacing w:line="480" w:lineRule="auto"/>
      </w:pPr>
      <w:r>
        <w:t>In</w:t>
      </w:r>
      <w:r w:rsidR="00F87B59">
        <w:t xml:space="preserve"> this article</w:t>
      </w:r>
      <w:r>
        <w:t xml:space="preserve">, I engage in an </w:t>
      </w:r>
      <w:r w:rsidR="0067225A">
        <w:t>analysis</w:t>
      </w:r>
      <w:r>
        <w:t xml:space="preserve"> </w:t>
      </w:r>
      <w:r w:rsidR="00DD206F">
        <w:t xml:space="preserve">of </w:t>
      </w:r>
      <w:r>
        <w:t xml:space="preserve">data </w:t>
      </w:r>
      <w:r w:rsidR="00DD206F">
        <w:t>tax</w:t>
      </w:r>
      <w:r>
        <w:t xml:space="preserve"> (DT)</w:t>
      </w:r>
      <w:r w:rsidR="00DD206F">
        <w:t xml:space="preserve"> as a tool of economic redistribution in the digital age</w:t>
      </w:r>
      <w:r w:rsidR="007E139E">
        <w:t>.</w:t>
      </w:r>
      <w:r w:rsidR="00DD206F">
        <w:t xml:space="preserve"> </w:t>
      </w:r>
      <w:r w:rsidR="000E13BE">
        <w:t>I a</w:t>
      </w:r>
      <w:r w:rsidR="007E139E">
        <w:t>nalys</w:t>
      </w:r>
      <w:r w:rsidR="000E13BE">
        <w:t>e</w:t>
      </w:r>
      <w:r w:rsidR="007E139E">
        <w:t xml:space="preserve"> DT</w:t>
      </w:r>
      <w:r w:rsidR="00DD206F">
        <w:t xml:space="preserve"> </w:t>
      </w:r>
      <w:r>
        <w:t>against</w:t>
      </w:r>
      <w:r w:rsidR="000E13BE">
        <w:t xml:space="preserve"> </w:t>
      </w:r>
      <w:r w:rsidR="00620B74">
        <w:t>relevant</w:t>
      </w:r>
      <w:r w:rsidR="00DD206F">
        <w:t xml:space="preserve"> provisions of international human rights law.</w:t>
      </w:r>
      <w:r>
        <w:t xml:space="preserve"> I give particular emphasis to the right to science (RtS) embodied in </w:t>
      </w:r>
      <w:r w:rsidR="002D65F7">
        <w:t>A</w:t>
      </w:r>
      <w:r>
        <w:t xml:space="preserve">rticle </w:t>
      </w:r>
      <w:r w:rsidR="00F31CC2">
        <w:t xml:space="preserve">17.1 </w:t>
      </w:r>
      <w:r>
        <w:t>of the Universal Declaration of Human Rights (UDHR) and</w:t>
      </w:r>
      <w:r w:rsidR="00F31CC2">
        <w:t xml:space="preserve"> </w:t>
      </w:r>
      <w:r w:rsidR="002D65F7">
        <w:t>A</w:t>
      </w:r>
      <w:r w:rsidR="00F31CC2">
        <w:t>rticle 15.1(b) of</w:t>
      </w:r>
      <w:r>
        <w:t xml:space="preserve"> the International Covenant on Eco</w:t>
      </w:r>
      <w:r w:rsidR="00682D9B">
        <w:t>n</w:t>
      </w:r>
      <w:r>
        <w:t xml:space="preserve">omic, Social and </w:t>
      </w:r>
      <w:r>
        <w:lastRenderedPageBreak/>
        <w:t>Cultural Rights (ICESCR).</w:t>
      </w:r>
      <w:r w:rsidR="000E13BE" w:rsidRPr="000E13BE">
        <w:t xml:space="preserve"> </w:t>
      </w:r>
      <w:r w:rsidR="004A71BB">
        <w:t xml:space="preserve">RtS provides valuable guidance. </w:t>
      </w:r>
      <w:r w:rsidR="005B1EB4">
        <w:t>It</w:t>
      </w:r>
      <w:r w:rsidR="004A71BB">
        <w:t xml:space="preserve"> embodies three social interests relating to science and its applications: avoiding or protecting from harmful applications of science (protection from harm); sharing in the benefits of scien</w:t>
      </w:r>
      <w:r w:rsidR="005B1EB4">
        <w:t xml:space="preserve">tific and technological </w:t>
      </w:r>
      <w:r w:rsidR="004A71BB">
        <w:t xml:space="preserve">progress (benefit sharing); and participation in </w:t>
      </w:r>
      <w:r w:rsidR="005B1EB4">
        <w:t xml:space="preserve">the </w:t>
      </w:r>
      <w:r w:rsidR="004A71BB">
        <w:t>scien</w:t>
      </w:r>
      <w:r w:rsidR="005B1EB4">
        <w:t>tific enterprise</w:t>
      </w:r>
      <w:r w:rsidR="004A71BB">
        <w:t xml:space="preserve"> (participation). As a comprehensive framework for making </w:t>
      </w:r>
      <w:r w:rsidR="00E8230D">
        <w:t>technolog</w:t>
      </w:r>
      <w:r w:rsidR="005B1EB4">
        <w:t>ical progress</w:t>
      </w:r>
      <w:r w:rsidR="00E8230D">
        <w:t xml:space="preserve"> </w:t>
      </w:r>
      <w:r w:rsidR="005B1EB4">
        <w:t>serve the common good</w:t>
      </w:r>
      <w:r w:rsidR="004A71BB">
        <w:t xml:space="preserve">, it </w:t>
      </w:r>
      <w:r w:rsidR="005B1EB4">
        <w:t>obliges states</w:t>
      </w:r>
      <w:r w:rsidR="004A71BB">
        <w:t xml:space="preserve"> to pursue these three potentially competing interests simultaneously</w:t>
      </w:r>
      <w:r w:rsidR="00DC6C94">
        <w:t>.</w:t>
      </w:r>
      <w:r w:rsidR="008B7E05" w:rsidRPr="00DC6C94">
        <w:rPr>
          <w:rStyle w:val="FootnoteReference"/>
        </w:rPr>
        <w:footnoteReference w:id="2"/>
      </w:r>
      <w:r w:rsidR="004A71BB" w:rsidRPr="004A71BB">
        <w:t xml:space="preserve"> </w:t>
      </w:r>
      <w:r w:rsidR="004A71BB">
        <w:t xml:space="preserve">Using RtS, I </w:t>
      </w:r>
      <w:r w:rsidR="0067225A">
        <w:t>look at the implications of various</w:t>
      </w:r>
      <w:r w:rsidR="004A71BB">
        <w:t xml:space="preserve"> social benefit</w:t>
      </w:r>
      <w:r w:rsidR="0067225A">
        <w:t>s that</w:t>
      </w:r>
      <w:r w:rsidR="004A71BB">
        <w:t xml:space="preserve"> DT might fund </w:t>
      </w:r>
      <w:r w:rsidR="0067225A">
        <w:t xml:space="preserve">including </w:t>
      </w:r>
      <w:r w:rsidR="004A71BB">
        <w:t>universal</w:t>
      </w:r>
      <w:r w:rsidR="0067225A">
        <w:t xml:space="preserve"> basic</w:t>
      </w:r>
      <w:r w:rsidR="004A71BB">
        <w:t xml:space="preserve"> income</w:t>
      </w:r>
      <w:r w:rsidR="0067225A">
        <w:t xml:space="preserve"> (UBI)</w:t>
      </w:r>
      <w:r w:rsidR="004A71BB">
        <w:t xml:space="preserve"> </w:t>
      </w:r>
      <w:r w:rsidR="0067225A">
        <w:t>and other public goods. I also examine</w:t>
      </w:r>
      <w:r w:rsidR="004A71BB">
        <w:t xml:space="preserve"> </w:t>
      </w:r>
      <w:r w:rsidR="0067225A">
        <w:t>how</w:t>
      </w:r>
      <w:r w:rsidR="004A71BB">
        <w:t xml:space="preserve"> DT </w:t>
      </w:r>
      <w:r w:rsidR="0067225A">
        <w:t>related</w:t>
      </w:r>
      <w:r w:rsidR="004A71BB">
        <w:t xml:space="preserve"> to</w:t>
      </w:r>
      <w:r w:rsidR="0067225A">
        <w:t xml:space="preserve"> what might be called technological gains tax which</w:t>
      </w:r>
      <w:r w:rsidR="004A71BB">
        <w:t xml:space="preserve"> </w:t>
      </w:r>
      <w:r w:rsidR="0067225A">
        <w:t>recognised that the scientific heritage</w:t>
      </w:r>
      <w:r w:rsidR="005B1EB4">
        <w:t xml:space="preserve"> which underpinned technological progress</w:t>
      </w:r>
      <w:r w:rsidR="0067225A">
        <w:t xml:space="preserve"> pertained to humanity and </w:t>
      </w:r>
      <w:r w:rsidR="004A71BB">
        <w:t>exact</w:t>
      </w:r>
      <w:r w:rsidR="005B1EB4">
        <w:t>ed</w:t>
      </w:r>
      <w:r w:rsidR="004A71BB">
        <w:t xml:space="preserve"> rent</w:t>
      </w:r>
      <w:r w:rsidR="0067225A">
        <w:t xml:space="preserve"> from corporations that privatised</w:t>
      </w:r>
      <w:r w:rsidR="004A71BB">
        <w:t xml:space="preserve"> </w:t>
      </w:r>
      <w:r w:rsidR="005B1EB4">
        <w:t>the</w:t>
      </w:r>
      <w:r w:rsidR="0067225A">
        <w:t xml:space="preserve"> benefits</w:t>
      </w:r>
      <w:r w:rsidR="005B1EB4">
        <w:t xml:space="preserve"> from such progress</w:t>
      </w:r>
      <w:r w:rsidR="004A71BB">
        <w:t>.</w:t>
      </w:r>
    </w:p>
    <w:p w14:paraId="70FC17F1" w14:textId="77777777" w:rsidR="00685FA5" w:rsidRDefault="00685FA5" w:rsidP="008464CA">
      <w:pPr>
        <w:spacing w:line="480" w:lineRule="auto"/>
      </w:pPr>
    </w:p>
    <w:p w14:paraId="36BCDFA6" w14:textId="20C830FB" w:rsidR="0060367D" w:rsidRDefault="007E139E" w:rsidP="008464CA">
      <w:pPr>
        <w:spacing w:line="480" w:lineRule="auto"/>
      </w:pPr>
      <w:r>
        <w:t xml:space="preserve">The exploration of new taxes from a human rights lens is timely. </w:t>
      </w:r>
      <w:r w:rsidR="0052761F" w:rsidRPr="00685FA5">
        <w:t>Human rights advocates</w:t>
      </w:r>
      <w:r w:rsidR="0052761F">
        <w:t xml:space="preserve"> are increasingly recognising the crucial importance of engaging with the </w:t>
      </w:r>
      <w:r w:rsidR="0052761F" w:rsidRPr="00685FA5">
        <w:t>human rights implication</w:t>
      </w:r>
      <w:r w:rsidR="005B1EB4">
        <w:t>s</w:t>
      </w:r>
      <w:r w:rsidR="0052761F" w:rsidRPr="00685FA5">
        <w:t xml:space="preserve"> of taxation policies</w:t>
      </w:r>
      <w:r w:rsidR="0052761F">
        <w:t>.</w:t>
      </w:r>
      <w:r w:rsidR="00CC6254">
        <w:t xml:space="preserve"> </w:t>
      </w:r>
      <w:r w:rsidR="00C038A9">
        <w:t>T</w:t>
      </w:r>
      <w:r w:rsidR="002C2BCB">
        <w:t xml:space="preserve">he idea of </w:t>
      </w:r>
      <w:r w:rsidR="0052761F" w:rsidRPr="00685FA5">
        <w:t>tax</w:t>
      </w:r>
      <w:r w:rsidR="005351FA">
        <w:t>ing</w:t>
      </w:r>
      <w:r w:rsidR="0052761F" w:rsidRPr="00685FA5">
        <w:t xml:space="preserve"> </w:t>
      </w:r>
      <w:r w:rsidR="005351FA">
        <w:t>data</w:t>
      </w:r>
      <w:r w:rsidR="0052761F" w:rsidRPr="00685FA5">
        <w:t xml:space="preserve"> </w:t>
      </w:r>
      <w:r w:rsidR="002C2BCB">
        <w:t>should and will be a</w:t>
      </w:r>
      <w:r w:rsidR="00C038A9">
        <w:t>n</w:t>
      </w:r>
      <w:r w:rsidR="002C2BCB">
        <w:t xml:space="preserve"> </w:t>
      </w:r>
      <w:r w:rsidR="00C038A9">
        <w:t>important</w:t>
      </w:r>
      <w:r w:rsidR="002C2BCB">
        <w:t xml:space="preserve"> human rights concern</w:t>
      </w:r>
      <w:r w:rsidR="0052761F">
        <w:t xml:space="preserve">. </w:t>
      </w:r>
      <w:r w:rsidR="002C2BCB">
        <w:t xml:space="preserve">Proposed by tax scholars, DT </w:t>
      </w:r>
      <w:r w:rsidR="00C038A9">
        <w:t xml:space="preserve">makes </w:t>
      </w:r>
      <w:r w:rsidR="00C038A9" w:rsidRPr="00685FA5">
        <w:t>data an object of taxation, underscor</w:t>
      </w:r>
      <w:r w:rsidR="00C038A9">
        <w:t>es</w:t>
      </w:r>
      <w:r w:rsidR="00C038A9" w:rsidRPr="00685FA5">
        <w:t xml:space="preserve"> the rise of data as a factor of </w:t>
      </w:r>
      <w:r w:rsidR="00C038A9" w:rsidRPr="00685FA5">
        <w:lastRenderedPageBreak/>
        <w:t>production</w:t>
      </w:r>
      <w:r w:rsidR="00C038A9">
        <w:t>,</w:t>
      </w:r>
      <w:r w:rsidR="00C038A9" w:rsidRPr="00685FA5">
        <w:t xml:space="preserve"> and seeks to correct the socially unjust effects of taxation policies ignoring data’s role in value creation</w:t>
      </w:r>
      <w:r w:rsidR="00C038A9">
        <w:t>.</w:t>
      </w:r>
      <w:r w:rsidR="008F13ED">
        <w:t xml:space="preserve"> As a new tax, DT </w:t>
      </w:r>
      <w:r w:rsidR="00420B98">
        <w:t>can</w:t>
      </w:r>
      <w:r w:rsidR="008F13ED">
        <w:t xml:space="preserve"> create </w:t>
      </w:r>
      <w:r w:rsidR="00071C24">
        <w:t xml:space="preserve">greater </w:t>
      </w:r>
      <w:r w:rsidR="008F13ED">
        <w:t xml:space="preserve">fiscal space for </w:t>
      </w:r>
      <w:r w:rsidR="0060367D">
        <w:t>UBI</w:t>
      </w:r>
      <w:r w:rsidR="00420B98">
        <w:t xml:space="preserve"> a</w:t>
      </w:r>
      <w:r w:rsidR="00AD0F7B">
        <w:t xml:space="preserve">s </w:t>
      </w:r>
      <w:r w:rsidR="00420B98">
        <w:t>Vipra</w:t>
      </w:r>
      <w:r w:rsidR="0060367D">
        <w:t xml:space="preserve"> (</w:t>
      </w:r>
      <w:r w:rsidR="00420B98">
        <w:t xml:space="preserve">in this </w:t>
      </w:r>
      <w:r>
        <w:t>symposium issue</w:t>
      </w:r>
      <w:r w:rsidR="00420B98">
        <w:t>)</w:t>
      </w:r>
      <w:r w:rsidR="0060367D">
        <w:t xml:space="preserve"> argues</w:t>
      </w:r>
      <w:r w:rsidR="00420B98">
        <w:t xml:space="preserve">, or </w:t>
      </w:r>
      <w:r w:rsidR="00AD0F7B">
        <w:t>otherwise support the creation of certain</w:t>
      </w:r>
      <w:r w:rsidR="001213DF">
        <w:t xml:space="preserve"> less expensive</w:t>
      </w:r>
      <w:r w:rsidR="00AD0F7B">
        <w:t xml:space="preserve"> public goods such as the funding of underfunded medical research as Fasan (in this </w:t>
      </w:r>
      <w:r>
        <w:t>symposium issue</w:t>
      </w:r>
      <w:r w:rsidR="00AD0F7B">
        <w:t>) argues</w:t>
      </w:r>
      <w:r w:rsidR="008F13ED">
        <w:t>. Moreover,</w:t>
      </w:r>
      <w:r w:rsidR="00C038A9">
        <w:t xml:space="preserve"> </w:t>
      </w:r>
      <w:r w:rsidR="008F13ED">
        <w:t>a</w:t>
      </w:r>
      <w:r w:rsidR="00840AC6">
        <w:t>s a tax with</w:t>
      </w:r>
      <w:r w:rsidR="005351FA">
        <w:t xml:space="preserve"> Pigouvian</w:t>
      </w:r>
      <w:r w:rsidR="00F2003B">
        <w:rPr>
          <w:rStyle w:val="FootnoteReference"/>
        </w:rPr>
        <w:footnoteReference w:id="3"/>
      </w:r>
      <w:r w:rsidR="005351FA">
        <w:t xml:space="preserve"> potential</w:t>
      </w:r>
      <w:r w:rsidR="00B56120" w:rsidRPr="00B56120">
        <w:t xml:space="preserve"> </w:t>
      </w:r>
      <w:r w:rsidR="00B56120">
        <w:t xml:space="preserve">to </w:t>
      </w:r>
      <w:r w:rsidR="00B56120" w:rsidRPr="00685FA5">
        <w:t>discourag</w:t>
      </w:r>
      <w:r w:rsidR="00B56120">
        <w:t>e</w:t>
      </w:r>
      <w:r w:rsidR="00B56120" w:rsidRPr="00685FA5">
        <w:t xml:space="preserve"> excessive datafication and its harms</w:t>
      </w:r>
      <w:r w:rsidR="00840AC6">
        <w:t>,</w:t>
      </w:r>
      <w:r w:rsidR="005351FA">
        <w:t xml:space="preserve"> </w:t>
      </w:r>
      <w:r w:rsidR="008F13ED">
        <w:t>DT</w:t>
      </w:r>
      <w:r w:rsidR="00B56120">
        <w:t xml:space="preserve"> </w:t>
      </w:r>
      <w:r w:rsidR="008F13ED">
        <w:t>can also help</w:t>
      </w:r>
      <w:r w:rsidR="00B56120">
        <w:t xml:space="preserve"> protect against harms to privacy and other human rights.</w:t>
      </w:r>
      <w:r w:rsidR="008F13ED">
        <w:t xml:space="preserve"> </w:t>
      </w:r>
    </w:p>
    <w:p w14:paraId="327D6279" w14:textId="77777777" w:rsidR="001213DF" w:rsidRDefault="001213DF" w:rsidP="008464CA">
      <w:pPr>
        <w:spacing w:line="480" w:lineRule="auto"/>
      </w:pPr>
    </w:p>
    <w:p w14:paraId="51EF073A" w14:textId="5F6231E6" w:rsidR="00460E1A" w:rsidRPr="00AC29EF" w:rsidRDefault="0060367D" w:rsidP="008464CA">
      <w:pPr>
        <w:spacing w:line="480" w:lineRule="auto"/>
        <w:rPr>
          <w:highlight w:val="yellow"/>
        </w:rPr>
      </w:pPr>
      <w:r w:rsidRPr="0060367D">
        <w:t xml:space="preserve">I argue that </w:t>
      </w:r>
      <w:r>
        <w:t>the human rights implications of</w:t>
      </w:r>
      <w:r w:rsidRPr="0060367D">
        <w:t xml:space="preserve"> DT</w:t>
      </w:r>
      <w:r>
        <w:t xml:space="preserve"> depend </w:t>
      </w:r>
      <w:r w:rsidR="00C54D14">
        <w:t>on other decisions pertaining to what kind of</w:t>
      </w:r>
      <w:r w:rsidR="001213DF">
        <w:t xml:space="preserve"> </w:t>
      </w:r>
      <w:r>
        <w:t>benefit</w:t>
      </w:r>
      <w:r w:rsidR="001213DF">
        <w:t>s</w:t>
      </w:r>
      <w:r w:rsidR="00C54D14">
        <w:t xml:space="preserve"> (e.g., UBI or specific public services or goods)</w:t>
      </w:r>
      <w:r w:rsidR="007D129A">
        <w:t xml:space="preserve"> it will fund</w:t>
      </w:r>
      <w:r w:rsidR="00C54D14">
        <w:t xml:space="preserve"> and whether</w:t>
      </w:r>
      <w:r>
        <w:t xml:space="preserve"> </w:t>
      </w:r>
      <w:r w:rsidR="00C54D14">
        <w:t xml:space="preserve">benefits will </w:t>
      </w:r>
      <w:r w:rsidR="001213DF">
        <w:t>entrench</w:t>
      </w:r>
      <w:r w:rsidR="00C54D14">
        <w:t xml:space="preserve"> or challenge</w:t>
      </w:r>
      <w:r w:rsidR="001213DF">
        <w:t xml:space="preserve"> </w:t>
      </w:r>
      <w:r w:rsidR="001213DF" w:rsidRPr="001213DF">
        <w:t>harmful</w:t>
      </w:r>
      <w:r w:rsidR="001213DF">
        <w:t xml:space="preserve"> business models and practices in the digital economy.</w:t>
      </w:r>
      <w:r w:rsidR="001213DF" w:rsidRPr="001213DF">
        <w:t xml:space="preserve"> </w:t>
      </w:r>
      <w:r w:rsidR="001646D2">
        <w:t>I also argue that DT</w:t>
      </w:r>
      <w:r w:rsidR="000810FA">
        <w:t xml:space="preserve"> </w:t>
      </w:r>
      <w:r w:rsidR="00C54D14">
        <w:t xml:space="preserve">could </w:t>
      </w:r>
      <w:r w:rsidR="000810FA">
        <w:t>advance</w:t>
      </w:r>
      <w:r w:rsidR="00346492">
        <w:t xml:space="preserve"> RtS in the digital age by functioning as a tax on both data </w:t>
      </w:r>
      <w:r w:rsidR="00346492" w:rsidRPr="00346492">
        <w:rPr>
          <w:i/>
          <w:iCs/>
        </w:rPr>
        <w:t>and</w:t>
      </w:r>
      <w:r w:rsidR="00346492">
        <w:t xml:space="preserve"> technology</w:t>
      </w:r>
      <w:r w:rsidR="000810FA">
        <w:t xml:space="preserve">. </w:t>
      </w:r>
      <w:r w:rsidR="00BC5DF0">
        <w:t>Finally,</w:t>
      </w:r>
      <w:r w:rsidR="007D129A">
        <w:t xml:space="preserve"> </w:t>
      </w:r>
      <w:r w:rsidR="00BC5DF0">
        <w:t>I emphasis</w:t>
      </w:r>
      <w:r w:rsidR="007D129A">
        <w:t>e</w:t>
      </w:r>
      <w:r w:rsidR="00AC29EF">
        <w:t xml:space="preserve"> the problem with taxing data in a world where data is concentrated in technologically more developed countries and</w:t>
      </w:r>
      <w:r w:rsidR="007D129A">
        <w:t xml:space="preserve"> the need</w:t>
      </w:r>
      <w:r w:rsidR="00BC5DF0">
        <w:t xml:space="preserve"> </w:t>
      </w:r>
      <w:r w:rsidR="007D129A">
        <w:t>to ensure that</w:t>
      </w:r>
      <w:r w:rsidR="00BC5DF0">
        <w:t xml:space="preserve"> DT </w:t>
      </w:r>
      <w:r w:rsidR="007D129A">
        <w:t>did not lead to more inequality</w:t>
      </w:r>
      <w:r w:rsidR="00BC5DF0">
        <w:t xml:space="preserve"> </w:t>
      </w:r>
      <w:r w:rsidR="007D129A">
        <w:t>between states</w:t>
      </w:r>
      <w:r w:rsidR="00AC29EF">
        <w:t>.</w:t>
      </w:r>
    </w:p>
    <w:p w14:paraId="2F026884" w14:textId="77777777" w:rsidR="004A71BB" w:rsidRDefault="004A71BB" w:rsidP="008464CA">
      <w:pPr>
        <w:spacing w:line="480" w:lineRule="auto"/>
        <w:rPr>
          <w:b/>
          <w:bCs/>
        </w:rPr>
      </w:pPr>
    </w:p>
    <w:p w14:paraId="2E7AF085" w14:textId="7EBB1F58" w:rsidR="002C2BCB" w:rsidRPr="00334AED" w:rsidRDefault="00FC3A20" w:rsidP="008464CA">
      <w:pPr>
        <w:spacing w:line="480" w:lineRule="auto"/>
        <w:rPr>
          <w:b/>
          <w:bCs/>
        </w:rPr>
      </w:pPr>
      <w:r>
        <w:rPr>
          <w:b/>
          <w:bCs/>
        </w:rPr>
        <w:t xml:space="preserve">2 </w:t>
      </w:r>
      <w:r w:rsidR="002C2BCB">
        <w:rPr>
          <w:b/>
          <w:bCs/>
        </w:rPr>
        <w:t>The</w:t>
      </w:r>
      <w:r w:rsidR="002C2BCB" w:rsidRPr="00334AED">
        <w:rPr>
          <w:b/>
          <w:bCs/>
        </w:rPr>
        <w:t xml:space="preserve"> human rights </w:t>
      </w:r>
      <w:r w:rsidR="002C2BCB">
        <w:rPr>
          <w:b/>
          <w:bCs/>
        </w:rPr>
        <w:t>turn to</w:t>
      </w:r>
      <w:r w:rsidR="002C2BCB" w:rsidRPr="00334AED">
        <w:rPr>
          <w:b/>
          <w:bCs/>
        </w:rPr>
        <w:t xml:space="preserve"> taxation</w:t>
      </w:r>
    </w:p>
    <w:p w14:paraId="3D69EF77" w14:textId="77777777" w:rsidR="002C2BCB" w:rsidRDefault="002C2BCB" w:rsidP="008464CA">
      <w:pPr>
        <w:spacing w:line="480" w:lineRule="auto"/>
      </w:pPr>
    </w:p>
    <w:p w14:paraId="24147735" w14:textId="55213924" w:rsidR="002C2BCB" w:rsidRDefault="002C2BCB" w:rsidP="008464CA">
      <w:pPr>
        <w:spacing w:line="480" w:lineRule="auto"/>
      </w:pPr>
      <w:r>
        <w:t xml:space="preserve">Taxation policies determine whether governments have sufficient fiscal space to realise the human rights of citizens and residents through the provision of social services and government programs. </w:t>
      </w:r>
      <w:r w:rsidRPr="005E4FD9">
        <w:t>Whether taxation policies distribute burdens and privileges among different groups in society progressively or otherwise, they have crucial implications for material equality within nations</w:t>
      </w:r>
      <w:r>
        <w:t xml:space="preserve">. Internationally, </w:t>
      </w:r>
      <w:r w:rsidRPr="005E4FD9">
        <w:t>taxation policies also influence whether needed revenues will flow to or away from less developed countries, thus impacting equality among nations</w:t>
      </w:r>
      <w:r w:rsidR="00DC6C94">
        <w:t>.</w:t>
      </w:r>
      <w:r w:rsidR="008B7E05" w:rsidRPr="00DC6C94">
        <w:rPr>
          <w:rStyle w:val="FootnoteReference"/>
        </w:rPr>
        <w:footnoteReference w:id="4"/>
      </w:r>
      <w:r>
        <w:t xml:space="preserve"> </w:t>
      </w:r>
      <w:r w:rsidRPr="005E4FD9">
        <w:t>The efforts of groups like</w:t>
      </w:r>
      <w:r w:rsidR="001529BF">
        <w:t xml:space="preserve"> the</w:t>
      </w:r>
      <w:r w:rsidRPr="005E4FD9">
        <w:t xml:space="preserve"> Tax Justice Network in scrutinising tax cuts for the superrich, closing international tax havens,</w:t>
      </w:r>
      <w:r w:rsidRPr="00DC6C94">
        <w:t xml:space="preserve"> </w:t>
      </w:r>
      <w:r w:rsidRPr="005E4FD9">
        <w:t>promoting financial transparency</w:t>
      </w:r>
      <w:r w:rsidRPr="009C3CB0">
        <w:t xml:space="preserve"> (automatic bank information-sharing and registration of beneficial ownership), </w:t>
      </w:r>
      <w:r w:rsidRPr="005E4FD9">
        <w:t xml:space="preserve">unitary taxation and the UN Tax Convention provide illustration of some of the work that </w:t>
      </w:r>
      <w:r w:rsidR="001529BF">
        <w:t>is</w:t>
      </w:r>
      <w:r w:rsidR="001529BF" w:rsidRPr="005E4FD9">
        <w:t xml:space="preserve"> </w:t>
      </w:r>
      <w:r w:rsidRPr="005E4FD9">
        <w:t>being done to bring a human rights lens to international taxation policies</w:t>
      </w:r>
      <w:r>
        <w:t xml:space="preserve">. We are seeing </w:t>
      </w:r>
      <w:r w:rsidRPr="005E4FD9">
        <w:t>some UN human rights bodies</w:t>
      </w:r>
      <w:r w:rsidRPr="009C3CB0">
        <w:t xml:space="preserve"> </w:t>
      </w:r>
      <w:r>
        <w:t xml:space="preserve">(e.g., </w:t>
      </w:r>
      <w:r w:rsidRPr="009C3CB0">
        <w:t>UN Committee on the Rights of the Child</w:t>
      </w:r>
      <w:r>
        <w:t xml:space="preserve"> </w:t>
      </w:r>
      <w:r>
        <w:lastRenderedPageBreak/>
        <w:t>which investigated</w:t>
      </w:r>
      <w:r w:rsidRPr="009C3CB0">
        <w:t xml:space="preserve"> Ireland’s tax policies’ facilitation of profit shifting)</w:t>
      </w:r>
      <w:r>
        <w:t xml:space="preserve"> </w:t>
      </w:r>
      <w:r w:rsidRPr="005E4FD9">
        <w:t>involved in the push for tax reforms</w:t>
      </w:r>
      <w:r w:rsidR="00DC6C94">
        <w:t>.</w:t>
      </w:r>
      <w:r w:rsidR="008B7E05" w:rsidRPr="00DC6C94">
        <w:rPr>
          <w:rStyle w:val="FootnoteReference"/>
        </w:rPr>
        <w:footnoteReference w:id="5"/>
      </w:r>
    </w:p>
    <w:p w14:paraId="402DF0F7" w14:textId="77777777" w:rsidR="002C2BCB" w:rsidRDefault="002C2BCB" w:rsidP="008464CA">
      <w:pPr>
        <w:spacing w:line="480" w:lineRule="auto"/>
      </w:pPr>
    </w:p>
    <w:p w14:paraId="03919088" w14:textId="769A0C31" w:rsidR="00054683" w:rsidRDefault="002C2BCB" w:rsidP="008464CA">
      <w:pPr>
        <w:spacing w:line="480" w:lineRule="auto"/>
      </w:pPr>
      <w:r w:rsidRPr="005E4FD9">
        <w:t>Important proposals to revitalise social and economic rights require funding and often entail taxation in some form</w:t>
      </w:r>
      <w:r>
        <w:t xml:space="preserve">. </w:t>
      </w:r>
      <w:r w:rsidRPr="005E4FD9">
        <w:t xml:space="preserve">Chief of these proposals is the expansion of the systems of social protection which is a recognised human right under </w:t>
      </w:r>
      <w:r w:rsidR="00F35660">
        <w:t>A</w:t>
      </w:r>
      <w:r w:rsidRPr="005E4FD9">
        <w:t>rticle 22 of the Universal Declaration of Human Rights (UDHR) through the establishment of universal basic income</w:t>
      </w:r>
      <w:r>
        <w:t xml:space="preserve"> (UBI). As United Nations Special Rapporteur for Human Rights and Extreme Poverty, Philip Alston </w:t>
      </w:r>
      <w:r w:rsidRPr="00AF5DE3">
        <w:t xml:space="preserve">argued that </w:t>
      </w:r>
      <w:r w:rsidRPr="005E4FD9">
        <w:t>in the face of increasing job insecurity as a result of globalisation, the rights to social security and an adequate standard of living are best secured through the establishment of UBI</w:t>
      </w:r>
      <w:r w:rsidR="00DC6C94">
        <w:t>.</w:t>
      </w:r>
      <w:r w:rsidR="008B7E05" w:rsidRPr="00DC6C94">
        <w:rPr>
          <w:rStyle w:val="FootnoteReference"/>
        </w:rPr>
        <w:footnoteReference w:id="6"/>
      </w:r>
      <w:r>
        <w:t xml:space="preserve"> His argument provides </w:t>
      </w:r>
      <w:r w:rsidRPr="005E4FD9">
        <w:t>an explicitly human rights grounding for UBI</w:t>
      </w:r>
      <w:r>
        <w:t xml:space="preserve">, a topic that has attracted renewed discussion. However, UBI remains a politically controversial proposition and disagreement exists over its human rights implications. Some of the more compelling critiques of UBI point out that </w:t>
      </w:r>
      <w:r w:rsidRPr="005E4FD9">
        <w:t xml:space="preserve">a UBI that provided social security and an adequate standard of living for everyone </w:t>
      </w:r>
      <w:proofErr w:type="gramStart"/>
      <w:r w:rsidRPr="005E4FD9">
        <w:t>has to</w:t>
      </w:r>
      <w:proofErr w:type="gramEnd"/>
      <w:r w:rsidRPr="005E4FD9">
        <w:t xml:space="preserve"> be substantial in amount; however, a substantial UBI will be so expensive as to entail negative human </w:t>
      </w:r>
      <w:r w:rsidRPr="005E4FD9">
        <w:lastRenderedPageBreak/>
        <w:t>rights consequences</w:t>
      </w:r>
      <w:r>
        <w:t xml:space="preserve">. Human rights lawyer and economist Philip Harvey argued, for example, that a substantial UBI had an </w:t>
      </w:r>
      <w:r w:rsidR="00054683">
        <w:t>‘</w:t>
      </w:r>
      <w:r>
        <w:t>opportunity cost</w:t>
      </w:r>
      <w:r w:rsidR="00054683">
        <w:t>’</w:t>
      </w:r>
      <w:r>
        <w:t xml:space="preserve"> in that its implementation would preclude the provision of other social services needed to fully realise other economic and social rights recognised under the UDHR</w:t>
      </w:r>
      <w:r w:rsidR="00DC6C94">
        <w:t>.</w:t>
      </w:r>
      <w:r w:rsidR="008B7E05" w:rsidRPr="00DC6C94">
        <w:rPr>
          <w:rStyle w:val="FootnoteReference"/>
        </w:rPr>
        <w:footnoteReference w:id="7"/>
      </w:r>
      <w:r>
        <w:t xml:space="preserve"> </w:t>
      </w:r>
    </w:p>
    <w:p w14:paraId="12D38EA4" w14:textId="77777777" w:rsidR="00054683" w:rsidRDefault="00054683" w:rsidP="008464CA">
      <w:pPr>
        <w:spacing w:line="480" w:lineRule="auto"/>
      </w:pPr>
    </w:p>
    <w:p w14:paraId="3D81FCDC" w14:textId="2756DDA7" w:rsidR="002C2BCB" w:rsidRDefault="00C70128" w:rsidP="008464CA">
      <w:pPr>
        <w:spacing w:line="480" w:lineRule="auto"/>
      </w:pPr>
      <w:r>
        <w:t>While Fasan (in this symposium issue) does not engage in a critique of UB</w:t>
      </w:r>
      <w:r w:rsidR="000E13BE">
        <w:t>I</w:t>
      </w:r>
      <w:r>
        <w:t xml:space="preserve">, </w:t>
      </w:r>
      <w:r w:rsidR="00460E1A">
        <w:t xml:space="preserve">she </w:t>
      </w:r>
      <w:r>
        <w:t xml:space="preserve">has argued </w:t>
      </w:r>
      <w:r w:rsidR="000E13BE">
        <w:t xml:space="preserve">for </w:t>
      </w:r>
      <w:r w:rsidR="00054683">
        <w:t>a</w:t>
      </w:r>
      <w:r w:rsidR="000E13BE">
        <w:t xml:space="preserve"> more</w:t>
      </w:r>
      <w:r>
        <w:t xml:space="preserve"> </w:t>
      </w:r>
      <w:r w:rsidR="00460E1A">
        <w:t>modest</w:t>
      </w:r>
      <w:r w:rsidR="00054683">
        <w:t xml:space="preserve"> and targeted</w:t>
      </w:r>
      <w:r w:rsidR="00460E1A">
        <w:t xml:space="preserve"> use for</w:t>
      </w:r>
      <w:r w:rsidR="00054683">
        <w:t xml:space="preserve"> ‘data capital tax’, namely, to fund underfunded medical research. This suggestion is meant to show that DT could</w:t>
      </w:r>
      <w:r w:rsidR="00E54CD9">
        <w:t xml:space="preserve"> enable the state to support</w:t>
      </w:r>
      <w:r w:rsidR="00054683">
        <w:t xml:space="preserve"> </w:t>
      </w:r>
      <w:r w:rsidR="00E54CD9">
        <w:t>neglected medical research that benefited people’s health</w:t>
      </w:r>
      <w:r w:rsidR="00054683">
        <w:t>.</w:t>
      </w:r>
      <w:r>
        <w:t xml:space="preserve">  </w:t>
      </w:r>
      <w:r w:rsidR="004A71BB">
        <w:t>A m</w:t>
      </w:r>
      <w:r w:rsidR="00054683">
        <w:t>ore</w:t>
      </w:r>
      <w:r w:rsidR="004A71BB">
        <w:t xml:space="preserve"> </w:t>
      </w:r>
      <w:r w:rsidR="00054683">
        <w:t>commonly suggested</w:t>
      </w:r>
      <w:r w:rsidR="00E54CD9">
        <w:t xml:space="preserve"> alternative to UBI</w:t>
      </w:r>
      <w:r w:rsidR="00054683">
        <w:t xml:space="preserve"> is</w:t>
      </w:r>
      <w:r w:rsidR="002C2BCB" w:rsidRPr="005E4FD9">
        <w:t xml:space="preserve"> a job guarantee for those able to work (coupled with targeted social protection for those unable to work)</w:t>
      </w:r>
      <w:r w:rsidR="002C2BCB">
        <w:t xml:space="preserve">. It is argued that </w:t>
      </w:r>
      <w:r w:rsidR="002C2BCB" w:rsidRPr="005E4FD9">
        <w:t>a job guarantee is a more realistic, lower-cost alternative to UBI that moreover addressed challenges to the right to work in the context of increased automation</w:t>
      </w:r>
      <w:r w:rsidR="002C2BCB">
        <w:t>.</w:t>
      </w:r>
      <w:r w:rsidR="002C2BCB" w:rsidRPr="00DC6C94">
        <w:rPr>
          <w:rStyle w:val="FootnoteReference"/>
        </w:rPr>
        <w:footnoteReference w:id="8"/>
      </w:r>
      <w:r w:rsidR="002C2BCB">
        <w:t xml:space="preserve"> Regardless of where advocates stand on the UBI versus the cheaper alternatives </w:t>
      </w:r>
      <w:r w:rsidR="002C2BCB">
        <w:lastRenderedPageBreak/>
        <w:t xml:space="preserve">debate, it is clear that </w:t>
      </w:r>
      <w:r w:rsidR="002C2BCB" w:rsidRPr="005E4FD9">
        <w:t>the existence</w:t>
      </w:r>
      <w:r w:rsidR="00E54CD9">
        <w:t xml:space="preserve"> and sufficiency</w:t>
      </w:r>
      <w:r w:rsidR="002C2BCB" w:rsidRPr="005E4FD9">
        <w:t xml:space="preserve"> of funding sources is a major consideration in the justification of the options that should be pursued</w:t>
      </w:r>
      <w:r w:rsidR="002C2BCB">
        <w:t xml:space="preserve">. </w:t>
      </w:r>
    </w:p>
    <w:p w14:paraId="3ECE688D" w14:textId="77777777" w:rsidR="002C2BCB" w:rsidRDefault="002C2BCB" w:rsidP="008464CA">
      <w:pPr>
        <w:spacing w:line="480" w:lineRule="auto"/>
      </w:pPr>
    </w:p>
    <w:p w14:paraId="0F8DC0E4" w14:textId="2E0DCF1A" w:rsidR="002C2BCB" w:rsidRDefault="00E54CD9" w:rsidP="008464CA">
      <w:pPr>
        <w:spacing w:line="480" w:lineRule="auto"/>
      </w:pPr>
      <w:r>
        <w:t>Clearly</w:t>
      </w:r>
      <w:r w:rsidR="002C2BCB">
        <w:t xml:space="preserve">, </w:t>
      </w:r>
      <w:r w:rsidR="002C2BCB" w:rsidRPr="005E4FD9">
        <w:t>new taxes that allow for ambitious government programs s</w:t>
      </w:r>
      <w:r>
        <w:t>hould interest human rights advocates</w:t>
      </w:r>
      <w:r w:rsidR="002C2BCB">
        <w:t xml:space="preserve">. For example, </w:t>
      </w:r>
      <w:r w:rsidR="002C2BCB" w:rsidRPr="005E4FD9">
        <w:t xml:space="preserve">the expansion of social protection, which is crucial post-COVID, could be funded from new taxes </w:t>
      </w:r>
      <w:r w:rsidR="00C70128">
        <w:t>including</w:t>
      </w:r>
      <w:r w:rsidR="002C2BCB" w:rsidRPr="005E4FD9">
        <w:t xml:space="preserve"> </w:t>
      </w:r>
      <w:r w:rsidR="00C70128">
        <w:t>DT</w:t>
      </w:r>
      <w:r w:rsidR="00C54D14">
        <w:t>.</w:t>
      </w:r>
      <w:r w:rsidR="008B7E05" w:rsidRPr="00DC6C94">
        <w:rPr>
          <w:rStyle w:val="FootnoteReference"/>
        </w:rPr>
        <w:footnoteReference w:id="9"/>
      </w:r>
      <w:r w:rsidR="002C2BCB">
        <w:t xml:space="preserve"> DT is an example of </w:t>
      </w:r>
      <w:r w:rsidR="002C2BCB" w:rsidRPr="005E4FD9">
        <w:t>a number of proposed tax reforms which problematise the inadequacy of existing taxation policies for our age</w:t>
      </w:r>
      <w:r w:rsidR="002C2BCB">
        <w:t>.</w:t>
      </w:r>
      <w:r w:rsidR="00DA409B">
        <w:rPr>
          <w:rStyle w:val="FootnoteReference"/>
        </w:rPr>
        <w:footnoteReference w:id="10"/>
      </w:r>
      <w:r w:rsidR="002C2BCB">
        <w:t xml:space="preserve"> They theorise </w:t>
      </w:r>
      <w:r w:rsidR="002C2BCB" w:rsidRPr="005E4FD9">
        <w:t>how new wealth is being created in a data-rich economy but is escaping taxation or redistribution to benefit ordinary people</w:t>
      </w:r>
      <w:r w:rsidR="002C2BCB">
        <w:t xml:space="preserve">. </w:t>
      </w:r>
    </w:p>
    <w:p w14:paraId="2E239CC5" w14:textId="77777777" w:rsidR="005E4FD9" w:rsidRDefault="005E4FD9" w:rsidP="008464CA">
      <w:pPr>
        <w:spacing w:line="480" w:lineRule="auto"/>
      </w:pPr>
    </w:p>
    <w:p w14:paraId="37DBF1BA" w14:textId="1C5D4990" w:rsidR="005E4FD9" w:rsidRPr="00334AED" w:rsidRDefault="00FC3A20" w:rsidP="008464CA">
      <w:pPr>
        <w:spacing w:line="480" w:lineRule="auto"/>
        <w:rPr>
          <w:b/>
          <w:bCs/>
        </w:rPr>
      </w:pPr>
      <w:r>
        <w:rPr>
          <w:b/>
          <w:bCs/>
        </w:rPr>
        <w:t xml:space="preserve">3 </w:t>
      </w:r>
      <w:r w:rsidR="00BC0AF3">
        <w:rPr>
          <w:b/>
          <w:bCs/>
        </w:rPr>
        <w:t>S</w:t>
      </w:r>
      <w:r w:rsidR="005E4FD9" w:rsidRPr="00334AED">
        <w:rPr>
          <w:b/>
          <w:bCs/>
        </w:rPr>
        <w:t>haring</w:t>
      </w:r>
      <w:r w:rsidR="00BC0AF3">
        <w:rPr>
          <w:b/>
          <w:bCs/>
        </w:rPr>
        <w:t xml:space="preserve"> wealth while protecting from har</w:t>
      </w:r>
      <w:r w:rsidR="00C54D14">
        <w:rPr>
          <w:b/>
          <w:bCs/>
        </w:rPr>
        <w:t>m</w:t>
      </w:r>
      <w:r w:rsidR="002D65F7">
        <w:rPr>
          <w:b/>
          <w:bCs/>
        </w:rPr>
        <w:t>: some considerations for DT</w:t>
      </w:r>
    </w:p>
    <w:p w14:paraId="0BD536AE" w14:textId="77777777" w:rsidR="005E4FD9" w:rsidRDefault="005E4FD9" w:rsidP="008464CA">
      <w:pPr>
        <w:spacing w:line="480" w:lineRule="auto"/>
      </w:pPr>
    </w:p>
    <w:p w14:paraId="35862508" w14:textId="7CEF907B" w:rsidR="00B5767D" w:rsidRDefault="005E4FD9" w:rsidP="008464CA">
      <w:pPr>
        <w:spacing w:line="480" w:lineRule="auto"/>
      </w:pPr>
      <w:r>
        <w:t>The new context of the digital economy, however, not only provides new opportunities for generating funding for promoting social solidarity and people’s welfare but also demands protections against new harms such as those entailed by surveillance capitalism.</w:t>
      </w:r>
      <w:r w:rsidR="00DA409B">
        <w:rPr>
          <w:rStyle w:val="FootnoteReference"/>
        </w:rPr>
        <w:footnoteReference w:id="11"/>
      </w:r>
      <w:r>
        <w:t xml:space="preserve"> </w:t>
      </w:r>
      <w:r>
        <w:lastRenderedPageBreak/>
        <w:t>Indeed, among the mainstream of the human rights movement, the need for protection is probably more appreciated than the need for wealth sharing</w:t>
      </w:r>
      <w:r w:rsidR="00DC6C94">
        <w:t>.</w:t>
      </w:r>
      <w:r w:rsidR="008B7E05" w:rsidRPr="00DC6C94">
        <w:rPr>
          <w:rStyle w:val="FootnoteReference"/>
        </w:rPr>
        <w:footnoteReference w:id="12"/>
      </w:r>
      <w:r>
        <w:t xml:space="preserve"> </w:t>
      </w:r>
      <w:r w:rsidR="00DC6C94">
        <w:t>However, a</w:t>
      </w:r>
      <w:r>
        <w:t>s we have seen in the foregoing discussion about the opportunity cost of UBI,</w:t>
      </w:r>
      <w:r w:rsidR="00DC6C94">
        <w:t xml:space="preserve"> a proposed course of action may advance human rights in one sense (e.g., expand the social safety net) but may still </w:t>
      </w:r>
      <w:r w:rsidR="00DA409B">
        <w:t>have a suboptimal</w:t>
      </w:r>
      <w:r>
        <w:t xml:space="preserve"> overall or net impact on human rights. A course of action that produces optimal overall human rights outcome should create synergies rather than tensions between the achievement of various human rights.</w:t>
      </w:r>
      <w:r w:rsidRPr="005F39C4">
        <w:t xml:space="preserve"> </w:t>
      </w:r>
    </w:p>
    <w:p w14:paraId="78A68891" w14:textId="77777777" w:rsidR="00BC0AF3" w:rsidRDefault="00BC0AF3" w:rsidP="008464CA">
      <w:pPr>
        <w:spacing w:line="480" w:lineRule="auto"/>
      </w:pPr>
    </w:p>
    <w:p w14:paraId="704AD911" w14:textId="7BC553E0" w:rsidR="005E4FD9" w:rsidRDefault="00DC6C94" w:rsidP="008464CA">
      <w:pPr>
        <w:spacing w:line="480" w:lineRule="auto"/>
      </w:pPr>
      <w:r>
        <w:t xml:space="preserve">Thus, </w:t>
      </w:r>
      <w:r w:rsidR="00DB7DA2">
        <w:t xml:space="preserve">taxation that aimed towards benefit or wealth-sharing in the digital economy by expanding the safety net or </w:t>
      </w:r>
      <w:r w:rsidR="00843713">
        <w:t>through</w:t>
      </w:r>
      <w:r w:rsidR="00DB7DA2">
        <w:t xml:space="preserve"> other </w:t>
      </w:r>
      <w:r w:rsidR="00843713">
        <w:t>means</w:t>
      </w:r>
      <w:r w:rsidR="005E4FD9">
        <w:t xml:space="preserve"> can be harmful to human rights </w:t>
      </w:r>
      <w:r w:rsidR="00843713">
        <w:t>overall</w:t>
      </w:r>
      <w:r w:rsidR="00DB7DA2">
        <w:t xml:space="preserve"> if it contributed to entrenching harms to other human rights</w:t>
      </w:r>
      <w:r w:rsidR="005E4FD9">
        <w:t xml:space="preserve">. </w:t>
      </w:r>
      <w:r>
        <w:t>As</w:t>
      </w:r>
      <w:r w:rsidR="00BC0AF3">
        <w:t xml:space="preserve"> </w:t>
      </w:r>
      <w:r>
        <w:t>an example,</w:t>
      </w:r>
      <w:r w:rsidR="00843713">
        <w:t xml:space="preserve"> expanding the safety net through</w:t>
      </w:r>
      <w:r w:rsidR="00BC0AF3">
        <w:t xml:space="preserve"> </w:t>
      </w:r>
      <w:r w:rsidR="005E4FD9">
        <w:t xml:space="preserve">UBI may well provide relief to those displaced by automation but in the same breath it may also </w:t>
      </w:r>
      <w:r w:rsidR="005E4FD9" w:rsidRPr="00D75BED">
        <w:t>become a palliative</w:t>
      </w:r>
      <w:r w:rsidR="005E4FD9" w:rsidRPr="001A7B9B">
        <w:t xml:space="preserve"> </w:t>
      </w:r>
      <w:r w:rsidR="005E4FD9">
        <w:t xml:space="preserve">that </w:t>
      </w:r>
      <w:r w:rsidR="005E4FD9" w:rsidRPr="00D75BED">
        <w:t>reconcile</w:t>
      </w:r>
      <w:r w:rsidR="005E4FD9">
        <w:t>s</w:t>
      </w:r>
      <w:r w:rsidR="005E4FD9" w:rsidRPr="00D75BED">
        <w:t xml:space="preserve"> society to</w:t>
      </w:r>
      <w:r w:rsidR="005E4FD9" w:rsidRPr="001A7B9B">
        <w:rPr>
          <w:lang w:val="en-GB"/>
        </w:rPr>
        <w:t xml:space="preserve"> </w:t>
      </w:r>
      <w:r w:rsidR="005E4FD9" w:rsidRPr="00D75BED">
        <w:rPr>
          <w:lang w:val="en-GB"/>
        </w:rPr>
        <w:t>unrestrained profit-seeking</w:t>
      </w:r>
      <w:r w:rsidR="005E4FD9">
        <w:rPr>
          <w:lang w:val="en-GB"/>
        </w:rPr>
        <w:t xml:space="preserve"> in which technology is used to make jobs more exploitative or to disappear employment relations</w:t>
      </w:r>
      <w:r w:rsidR="006B3FA5">
        <w:rPr>
          <w:lang w:val="en-GB"/>
        </w:rPr>
        <w:t xml:space="preserve"> </w:t>
      </w:r>
      <w:r w:rsidR="006B3FA5" w:rsidRPr="009B4CE1">
        <w:t>as characterised by democratic labour law</w:t>
      </w:r>
      <w:r w:rsidR="00843713">
        <w:rPr>
          <w:lang w:val="en-GB"/>
        </w:rPr>
        <w:t>.</w:t>
      </w:r>
      <w:r w:rsidR="008B7E05" w:rsidRPr="00DC6C94">
        <w:rPr>
          <w:rStyle w:val="FootnoteReference"/>
        </w:rPr>
        <w:footnoteReference w:id="13"/>
      </w:r>
      <w:r w:rsidR="00843713">
        <w:t xml:space="preserve"> In this scenario</w:t>
      </w:r>
      <w:r w:rsidR="005E4FD9" w:rsidRPr="00D75BED">
        <w:t xml:space="preserve">, UBI </w:t>
      </w:r>
      <w:r w:rsidR="00843713">
        <w:t>could</w:t>
      </w:r>
      <w:r w:rsidR="005E4FD9" w:rsidRPr="00D75BED">
        <w:t xml:space="preserve"> </w:t>
      </w:r>
      <w:r w:rsidR="005E4FD9">
        <w:t>neutralis</w:t>
      </w:r>
      <w:r w:rsidR="00843713">
        <w:t>e</w:t>
      </w:r>
      <w:r w:rsidR="005E4FD9">
        <w:t xml:space="preserve"> </w:t>
      </w:r>
      <w:r w:rsidR="005E4FD9" w:rsidRPr="00D75BED">
        <w:t>calls for greater market regulation</w:t>
      </w:r>
      <w:r w:rsidR="005E4FD9">
        <w:t xml:space="preserve"> and labo</w:t>
      </w:r>
      <w:r w:rsidR="002D65F7">
        <w:t>u</w:t>
      </w:r>
      <w:r w:rsidR="005E4FD9">
        <w:t>r law reforms</w:t>
      </w:r>
      <w:r w:rsidR="005E4FD9" w:rsidRPr="00D75BED">
        <w:t xml:space="preserve">, contributing to the entrenchment </w:t>
      </w:r>
      <w:r w:rsidR="005E4FD9" w:rsidRPr="00D75BED">
        <w:lastRenderedPageBreak/>
        <w:t>of rather than challenging the status quo</w:t>
      </w:r>
      <w:r w:rsidR="005E4FD9">
        <w:t>, and therefore</w:t>
      </w:r>
      <w:r w:rsidR="005E4FD9" w:rsidRPr="00D75BED">
        <w:t xml:space="preserve"> may be detrimental to human rights</w:t>
      </w:r>
      <w:r w:rsidR="005E4FD9">
        <w:t xml:space="preserve"> in the long term.</w:t>
      </w:r>
      <w:r w:rsidR="00DA409B">
        <w:rPr>
          <w:rStyle w:val="FootnoteReference"/>
        </w:rPr>
        <w:footnoteReference w:id="14"/>
      </w:r>
      <w:r w:rsidR="005E4FD9">
        <w:t xml:space="preserve"> </w:t>
      </w:r>
      <w:r w:rsidR="00BC0AF3">
        <w:t xml:space="preserve">However, </w:t>
      </w:r>
      <w:r w:rsidR="00DA409B">
        <w:t xml:space="preserve">such </w:t>
      </w:r>
      <w:r w:rsidR="00BC0AF3">
        <w:t xml:space="preserve">critiques of UBI are not insurmountable. </w:t>
      </w:r>
      <w:r w:rsidR="00C44A1D">
        <w:t>Th</w:t>
      </w:r>
      <w:r w:rsidR="005E4FD9">
        <w:t>e</w:t>
      </w:r>
      <w:r w:rsidR="00C44A1D">
        <w:t>y do not deny that</w:t>
      </w:r>
      <w:r w:rsidR="005E4FD9">
        <w:t xml:space="preserve"> UBI help</w:t>
      </w:r>
      <w:r w:rsidR="00C44A1D">
        <w:t>s</w:t>
      </w:r>
      <w:r w:rsidR="005E4FD9">
        <w:t>,</w:t>
      </w:r>
      <w:r w:rsidR="00C44A1D">
        <w:t xml:space="preserve"> but </w:t>
      </w:r>
      <w:r w:rsidR="00DA409B">
        <w:t>they</w:t>
      </w:r>
      <w:r w:rsidR="00820A47">
        <w:t xml:space="preserve"> do</w:t>
      </w:r>
      <w:r w:rsidR="00DA409B">
        <w:t xml:space="preserve"> </w:t>
      </w:r>
      <w:r w:rsidR="00C44A1D">
        <w:t>imply that</w:t>
      </w:r>
      <w:r w:rsidR="005E4FD9">
        <w:t xml:space="preserve"> its justification and limitations need to be made clear</w:t>
      </w:r>
      <w:r w:rsidR="00BC0AF3">
        <w:t>.</w:t>
      </w:r>
      <w:r w:rsidR="005E4FD9">
        <w:t xml:space="preserve"> </w:t>
      </w:r>
      <w:r w:rsidR="004A71BB">
        <w:t xml:space="preserve">They demand that </w:t>
      </w:r>
      <w:r w:rsidR="005E4FD9">
        <w:t>UBI</w:t>
      </w:r>
      <w:r w:rsidR="00BC0AF3">
        <w:t xml:space="preserve"> should be reframed</w:t>
      </w:r>
      <w:r w:rsidR="005E4FD9">
        <w:t xml:space="preserve"> so that it accompanies and strengthens rather than competes with other reforms aimed at challenging unequal and exploitative relations</w:t>
      </w:r>
      <w:r w:rsidR="00DA409B">
        <w:t>.</w:t>
      </w:r>
      <w:r w:rsidR="008B7E05" w:rsidRPr="00DC6C94">
        <w:rPr>
          <w:rStyle w:val="FootnoteReference"/>
        </w:rPr>
        <w:footnoteReference w:id="15"/>
      </w:r>
    </w:p>
    <w:p w14:paraId="4A51108B" w14:textId="77777777" w:rsidR="004A71BB" w:rsidRDefault="004A71BB" w:rsidP="008464CA">
      <w:pPr>
        <w:spacing w:line="480" w:lineRule="auto"/>
      </w:pPr>
    </w:p>
    <w:p w14:paraId="281725EA" w14:textId="24605C4E" w:rsidR="005E4FD9" w:rsidRPr="001F780F" w:rsidRDefault="005F3B0A" w:rsidP="008464CA">
      <w:pPr>
        <w:spacing w:line="480" w:lineRule="auto"/>
      </w:pPr>
      <w:r>
        <w:t>To see how DT is superior to other proposals for sharing the wealth of the digital economy, consider d</w:t>
      </w:r>
      <w:r w:rsidR="00C44A1D">
        <w:t>ata dividends</w:t>
      </w:r>
      <w:r>
        <w:t xml:space="preserve"> which</w:t>
      </w:r>
      <w:r w:rsidR="00C44A1D">
        <w:t xml:space="preserve"> has been one popularly proposed way of capturing wealth to benefit individuals. Like DT, data dividends presume that data is valuable; proponents of data dividends propose that data’s value should then be apportioned to individuals on the basis that they contributed to value creation. </w:t>
      </w:r>
      <w:r w:rsidR="005E4FD9">
        <w:t>California Governor Gavin Newsom, for example, had originally suggested that the California privacy law implied payment of data dividends to Californians, echoing similar ideas that social media companies, for example, should pay users for using their data</w:t>
      </w:r>
      <w:r>
        <w:t>.</w:t>
      </w:r>
      <w:r w:rsidR="008B7E05" w:rsidRPr="00DC6C94">
        <w:rPr>
          <w:rStyle w:val="FootnoteReference"/>
        </w:rPr>
        <w:footnoteReference w:id="16"/>
      </w:r>
      <w:r w:rsidR="00D16A20">
        <w:t xml:space="preserve"> </w:t>
      </w:r>
      <w:r w:rsidR="00C44A1D">
        <w:t>P</w:t>
      </w:r>
      <w:r w:rsidR="005E4FD9">
        <w:t>utting aside the question of administrative complexity</w:t>
      </w:r>
      <w:r w:rsidR="00D16A20">
        <w:t xml:space="preserve"> or practical impossibility of computing the value of individual data</w:t>
      </w:r>
      <w:r w:rsidR="005E4FD9">
        <w:t>,</w:t>
      </w:r>
      <w:r>
        <w:rPr>
          <w:rStyle w:val="FootnoteReference"/>
        </w:rPr>
        <w:footnoteReference w:id="17"/>
      </w:r>
      <w:r w:rsidR="005E4FD9">
        <w:t xml:space="preserve"> taxing big </w:t>
      </w:r>
      <w:r w:rsidR="005E4FD9">
        <w:lastRenderedPageBreak/>
        <w:t xml:space="preserve">data </w:t>
      </w:r>
      <w:r w:rsidR="00C44A1D">
        <w:t>(</w:t>
      </w:r>
      <w:r w:rsidR="005E4FD9">
        <w:t>to fund social services</w:t>
      </w:r>
      <w:r w:rsidR="00C44A1D">
        <w:t xml:space="preserve"> among others)</w:t>
      </w:r>
      <w:r w:rsidR="005E4FD9">
        <w:t xml:space="preserve"> was preferable to data dividends </w:t>
      </w:r>
      <w:r w:rsidR="00C44A1D">
        <w:t>because</w:t>
      </w:r>
      <w:r w:rsidR="004A71BB">
        <w:t xml:space="preserve"> </w:t>
      </w:r>
      <w:r w:rsidR="00D16A20">
        <w:t>while both entailed</w:t>
      </w:r>
      <w:r w:rsidR="004A71BB">
        <w:t xml:space="preserve"> </w:t>
      </w:r>
      <w:r w:rsidR="00D16A20">
        <w:t>benefit or</w:t>
      </w:r>
      <w:r w:rsidR="004A71BB">
        <w:t xml:space="preserve"> wealth</w:t>
      </w:r>
      <w:r w:rsidR="00D16A20">
        <w:t xml:space="preserve"> sharing,</w:t>
      </w:r>
      <w:r w:rsidR="004A71BB">
        <w:t xml:space="preserve"> </w:t>
      </w:r>
      <w:r w:rsidR="00D16A20">
        <w:t xml:space="preserve">DT </w:t>
      </w:r>
      <w:r w:rsidR="004A71BB">
        <w:t>avoid</w:t>
      </w:r>
      <w:r w:rsidR="005934C1">
        <w:t>ed</w:t>
      </w:r>
      <w:r w:rsidR="004A71BB">
        <w:t xml:space="preserve"> harm </w:t>
      </w:r>
      <w:r w:rsidR="005934C1">
        <w:t>to human rights where</w:t>
      </w:r>
      <w:r w:rsidR="004A71BB">
        <w:t xml:space="preserve"> data dividends</w:t>
      </w:r>
      <w:r w:rsidR="005934C1">
        <w:t xml:space="preserve"> would</w:t>
      </w:r>
      <w:r w:rsidR="004A71BB">
        <w:t xml:space="preserve"> </w:t>
      </w:r>
      <w:r w:rsidR="005934C1">
        <w:t>likely entail harm</w:t>
      </w:r>
      <w:r w:rsidR="004A71BB">
        <w:t>.</w:t>
      </w:r>
      <w:r w:rsidR="001F780F">
        <w:t xml:space="preserve"> </w:t>
      </w:r>
      <w:r w:rsidR="005934C1">
        <w:t>This was because a</w:t>
      </w:r>
      <w:r w:rsidR="005E4FD9" w:rsidRPr="00C64805">
        <w:t>ssign</w:t>
      </w:r>
      <w:r w:rsidR="001F780F">
        <w:t>ing</w:t>
      </w:r>
      <w:r w:rsidR="005E4FD9" w:rsidRPr="00C64805">
        <w:t xml:space="preserve"> monetary value to individual personal data may also enable corporations to assert that individuals’ privacy rights to such data has been sold or surrendered to them. Surely, the right to privacy means more than creating data dividends for those who can successfully negotiate with corporations to obtain them; the protection of privacy in its </w:t>
      </w:r>
      <w:proofErr w:type="spellStart"/>
      <w:r w:rsidR="005E4FD9" w:rsidRPr="00C64805">
        <w:t>dignitarian</w:t>
      </w:r>
      <w:proofErr w:type="spellEnd"/>
      <w:r w:rsidR="005E4FD9" w:rsidRPr="00C64805">
        <w:t xml:space="preserve"> meaning</w:t>
      </w:r>
      <w:r w:rsidR="002D65F7">
        <w:rPr>
          <w:rStyle w:val="FootnoteReference"/>
        </w:rPr>
        <w:footnoteReference w:id="18"/>
      </w:r>
      <w:r w:rsidR="005E4FD9" w:rsidRPr="00C64805">
        <w:t xml:space="preserve"> seems in tension with its commoditisation. Unlike data dividends, DT promises to capture wealth from data for redistribution to ordinary people without being entangled in such complications over the meaning and future of the right to privacy.</w:t>
      </w:r>
      <w:r w:rsidR="005E4FD9">
        <w:t xml:space="preserve"> </w:t>
      </w:r>
    </w:p>
    <w:p w14:paraId="2D5D4F8C" w14:textId="77777777" w:rsidR="001F780F" w:rsidRPr="004A34BB" w:rsidRDefault="001F780F" w:rsidP="008464CA">
      <w:pPr>
        <w:spacing w:line="480" w:lineRule="auto"/>
        <w:rPr>
          <w:highlight w:val="yellow"/>
        </w:rPr>
      </w:pPr>
    </w:p>
    <w:p w14:paraId="40590D56" w14:textId="75899861" w:rsidR="005E4FD9" w:rsidRDefault="005934C1" w:rsidP="008464CA">
      <w:pPr>
        <w:spacing w:line="480" w:lineRule="auto"/>
      </w:pPr>
      <w:r>
        <w:t>To the</w:t>
      </w:r>
      <w:r w:rsidR="001F780F">
        <w:t xml:space="preserve"> contra</w:t>
      </w:r>
      <w:r>
        <w:t>ry</w:t>
      </w:r>
      <w:r w:rsidR="001F780F">
        <w:t>,</w:t>
      </w:r>
      <w:r w:rsidR="005E4FD9" w:rsidRPr="00777D2F">
        <w:t xml:space="preserve"> DT</w:t>
      </w:r>
      <w:r>
        <w:t xml:space="preserve"> ha</w:t>
      </w:r>
      <w:r w:rsidR="001F780F">
        <w:t>s</w:t>
      </w:r>
      <w:r w:rsidR="005E4FD9" w:rsidRPr="00777D2F">
        <w:t xml:space="preserve"> Pigouvian </w:t>
      </w:r>
      <w:r w:rsidR="005E4FD9">
        <w:t>potential</w:t>
      </w:r>
      <w:r w:rsidR="005E4FD9" w:rsidRPr="00777D2F">
        <w:t xml:space="preserve">. Like sin taxes on alcohol and tobacco, for example, taxing big data could be regarded, at least in theory, as a discouragement of excessive collection, storage and processing of data, and all the attendant harms to privacy and other human rights that excessive datafication entails. Indeed, if DT </w:t>
      </w:r>
      <w:r w:rsidR="005E4FD9" w:rsidRPr="00777D2F">
        <w:lastRenderedPageBreak/>
        <w:t>functioned to discourage excessive datafication, whether DT funded UBI</w:t>
      </w:r>
      <w:r>
        <w:t>,</w:t>
      </w:r>
      <w:r w:rsidR="005E4FD9" w:rsidRPr="00777D2F">
        <w:t xml:space="preserve"> social services</w:t>
      </w:r>
      <w:r>
        <w:t xml:space="preserve"> or a specific public good</w:t>
      </w:r>
      <w:r w:rsidR="005E4FD9" w:rsidRPr="00777D2F">
        <w:t xml:space="preserve">, DT would have contributed to challenge surveillance capitalism, not entrench it. This does not mean discouraging excessive datafication can or should only come in the form of taxing data; indeed, other reforms such as stronger privacy protections and more democratic mechanisms for governing data may be needed to achieve that end. Whether DT </w:t>
      </w:r>
      <w:proofErr w:type="gramStart"/>
      <w:r w:rsidR="005E4FD9" w:rsidRPr="00777D2F">
        <w:t>actually discouraged</w:t>
      </w:r>
      <w:proofErr w:type="gramEnd"/>
      <w:r w:rsidR="005E4FD9" w:rsidRPr="00777D2F">
        <w:t xml:space="preserve"> the harms to human rights emanating from excessive datafication may depend on the existence of other protective mechanisms which complement it in the same manner that UBI needs to be complemented with other reforms</w:t>
      </w:r>
      <w:r>
        <w:t>.</w:t>
      </w:r>
      <w:r w:rsidR="008B7E05" w:rsidRPr="00DC6C94">
        <w:rPr>
          <w:rStyle w:val="FootnoteReference"/>
        </w:rPr>
        <w:footnoteReference w:id="19"/>
      </w:r>
    </w:p>
    <w:p w14:paraId="336178EE" w14:textId="77777777" w:rsidR="005E4FD9" w:rsidRDefault="005E4FD9" w:rsidP="008464CA">
      <w:pPr>
        <w:spacing w:line="480" w:lineRule="auto"/>
      </w:pPr>
    </w:p>
    <w:p w14:paraId="3D691063" w14:textId="2CE0FE4B" w:rsidR="005E4FD9" w:rsidRPr="00A11757" w:rsidRDefault="00FC3A20" w:rsidP="008464CA">
      <w:pPr>
        <w:spacing w:line="480" w:lineRule="auto"/>
        <w:rPr>
          <w:b/>
          <w:bCs/>
        </w:rPr>
      </w:pPr>
      <w:r>
        <w:rPr>
          <w:b/>
          <w:bCs/>
        </w:rPr>
        <w:t xml:space="preserve">4 </w:t>
      </w:r>
      <w:r w:rsidR="005E4FD9">
        <w:rPr>
          <w:b/>
          <w:bCs/>
        </w:rPr>
        <w:t>Exacting</w:t>
      </w:r>
      <w:r w:rsidR="005E4FD9" w:rsidRPr="00762F15">
        <w:rPr>
          <w:b/>
          <w:bCs/>
        </w:rPr>
        <w:t xml:space="preserve"> rent on data </w:t>
      </w:r>
      <w:r w:rsidR="0047679E" w:rsidRPr="0047679E">
        <w:rPr>
          <w:b/>
          <w:bCs/>
          <w:i/>
          <w:iCs/>
        </w:rPr>
        <w:t>and</w:t>
      </w:r>
      <w:r w:rsidR="005E4FD9" w:rsidRPr="00762F15">
        <w:rPr>
          <w:b/>
          <w:bCs/>
        </w:rPr>
        <w:t xml:space="preserve"> technology</w:t>
      </w:r>
      <w:r w:rsidR="0047679E">
        <w:rPr>
          <w:b/>
          <w:bCs/>
        </w:rPr>
        <w:t xml:space="preserve">: </w:t>
      </w:r>
      <w:r w:rsidR="00A843BE">
        <w:rPr>
          <w:b/>
          <w:bCs/>
        </w:rPr>
        <w:t>DT as a technological gains tax</w:t>
      </w:r>
    </w:p>
    <w:p w14:paraId="02A67C36" w14:textId="77777777" w:rsidR="005E4FD9" w:rsidRDefault="005E4FD9" w:rsidP="008464CA">
      <w:pPr>
        <w:spacing w:line="480" w:lineRule="auto"/>
      </w:pPr>
    </w:p>
    <w:p w14:paraId="47F7D9B7" w14:textId="0358DDFF" w:rsidR="005E4FD9" w:rsidRDefault="005E4FD9" w:rsidP="008464CA">
      <w:pPr>
        <w:spacing w:line="480" w:lineRule="auto"/>
      </w:pPr>
      <w:r>
        <w:t xml:space="preserve">Where </w:t>
      </w:r>
      <w:r w:rsidR="00F17C6B">
        <w:t>RtS</w:t>
      </w:r>
      <w:r>
        <w:t xml:space="preserve"> and </w:t>
      </w:r>
      <w:r w:rsidR="00D224B0">
        <w:t xml:space="preserve">some theories of </w:t>
      </w:r>
      <w:r w:rsidR="00F17C6B">
        <w:t>DT</w:t>
      </w:r>
      <w:r>
        <w:t xml:space="preserve"> appear to differ is in their </w:t>
      </w:r>
      <w:r w:rsidR="005934C1">
        <w:t>emphasis</w:t>
      </w:r>
      <w:r>
        <w:t xml:space="preserve"> of where value emanates.</w:t>
      </w:r>
      <w:r w:rsidR="00F17C6B">
        <w:t xml:space="preserve"> RtS </w:t>
      </w:r>
      <w:r w:rsidR="005934C1">
        <w:t>refers to</w:t>
      </w:r>
      <w:r w:rsidR="00F17C6B">
        <w:t xml:space="preserve"> ‘benefits’ </w:t>
      </w:r>
      <w:r w:rsidR="005934C1">
        <w:t>that</w:t>
      </w:r>
      <w:r w:rsidR="00F17C6B">
        <w:t xml:space="preserve"> aris</w:t>
      </w:r>
      <w:r w:rsidR="005934C1">
        <w:t>e</w:t>
      </w:r>
      <w:r w:rsidR="00F17C6B">
        <w:t xml:space="preserve"> from </w:t>
      </w:r>
      <w:r w:rsidR="005934C1">
        <w:t>‘</w:t>
      </w:r>
      <w:r w:rsidR="00F17C6B">
        <w:t>scientific progress</w:t>
      </w:r>
      <w:r w:rsidR="005934C1">
        <w:t xml:space="preserve">’ and the </w:t>
      </w:r>
      <w:r w:rsidR="00D224B0">
        <w:t>‘</w:t>
      </w:r>
      <w:r w:rsidR="005934C1">
        <w:t>application of science</w:t>
      </w:r>
      <w:r w:rsidR="00D224B0">
        <w:t>’</w:t>
      </w:r>
      <w:r w:rsidR="005934C1">
        <w:t xml:space="preserve"> (i.e., technology)</w:t>
      </w:r>
      <w:r w:rsidR="00F17C6B">
        <w:t>, whereas</w:t>
      </w:r>
      <w:r w:rsidR="00D224B0">
        <w:t xml:space="preserve"> some theories of</w:t>
      </w:r>
      <w:r w:rsidR="00F17C6B">
        <w:t xml:space="preserve"> DT </w:t>
      </w:r>
      <w:r w:rsidR="007632F6">
        <w:t>emphasis</w:t>
      </w:r>
      <w:r w:rsidR="00F17C6B">
        <w:t>e that in a digital economy, value largely derives from big data.</w:t>
      </w:r>
      <w:r>
        <w:t xml:space="preserve"> </w:t>
      </w:r>
      <w:r w:rsidR="00F17C6B">
        <w:t xml:space="preserve">Thus, </w:t>
      </w:r>
      <w:r w:rsidR="00D224B0">
        <w:t xml:space="preserve">these theories of </w:t>
      </w:r>
      <w:r>
        <w:t>DT assume that what needed to be captured</w:t>
      </w:r>
      <w:r w:rsidR="00F17C6B">
        <w:t xml:space="preserve"> and distributed</w:t>
      </w:r>
      <w:r>
        <w:t xml:space="preserve"> was the value of big data. </w:t>
      </w:r>
      <w:r w:rsidR="00D224B0">
        <w:t>In</w:t>
      </w:r>
      <w:r>
        <w:t xml:space="preserve"> </w:t>
      </w:r>
      <w:proofErr w:type="spellStart"/>
      <w:r w:rsidR="00EB06E7">
        <w:t>Omri</w:t>
      </w:r>
      <w:proofErr w:type="spellEnd"/>
      <w:r w:rsidR="00EB06E7">
        <w:t xml:space="preserve"> </w:t>
      </w:r>
      <w:r>
        <w:t>Marian</w:t>
      </w:r>
      <w:r w:rsidR="00D224B0">
        <w:t>’s theory</w:t>
      </w:r>
      <w:r>
        <w:t xml:space="preserve">, </w:t>
      </w:r>
      <w:r w:rsidR="007E6454">
        <w:t xml:space="preserve">the value of big data </w:t>
      </w:r>
      <w:r w:rsidR="007E6454">
        <w:lastRenderedPageBreak/>
        <w:t xml:space="preserve">corresponded with its volume not necessarily its realised monetary </w:t>
      </w:r>
      <w:proofErr w:type="gramStart"/>
      <w:r w:rsidR="007E6454">
        <w:t>value;</w:t>
      </w:r>
      <w:proofErr w:type="gramEnd"/>
      <w:r w:rsidR="007E6454">
        <w:t xml:space="preserve"> </w:t>
      </w:r>
      <w:proofErr w:type="spellStart"/>
      <w:r w:rsidR="007E6454">
        <w:t>ie</w:t>
      </w:r>
      <w:proofErr w:type="spellEnd"/>
      <w:r w:rsidR="007E6454">
        <w:t xml:space="preserve">, </w:t>
      </w:r>
      <w:r>
        <w:t>corporations</w:t>
      </w:r>
      <w:r w:rsidR="00D224B0">
        <w:t xml:space="preserve"> should be taxed</w:t>
      </w:r>
      <w:r>
        <w:t xml:space="preserve"> based on the volume of data they collected, stored and processed rather than the monetary value they realised from big data</w:t>
      </w:r>
      <w:r w:rsidR="00D224B0">
        <w:t>.</w:t>
      </w:r>
      <w:r w:rsidR="002D65F7">
        <w:rPr>
          <w:rStyle w:val="FootnoteReference"/>
        </w:rPr>
        <w:footnoteReference w:id="20"/>
      </w:r>
      <w:r w:rsidR="00D224B0">
        <w:t xml:space="preserve"> </w:t>
      </w:r>
      <w:r w:rsidR="00A616B8">
        <w:t>T</w:t>
      </w:r>
      <w:r w:rsidR="00D224B0">
        <w:t>his</w:t>
      </w:r>
      <w:r>
        <w:t xml:space="preserve"> recognised that data was the new currency or tax base.</w:t>
      </w:r>
      <w:r w:rsidR="00A616B8">
        <w:t xml:space="preserve"> According to Marian, in a data-rich market economy, the ability to collect, store and process increasingly voluminous data was the best proxy for ‘ability to pay’, indeed better than monetary income itself.</w:t>
      </w:r>
      <w:r w:rsidR="00A616B8" w:rsidRPr="00DC6C94">
        <w:rPr>
          <w:rStyle w:val="FootnoteReference"/>
        </w:rPr>
        <w:footnoteReference w:id="21"/>
      </w:r>
      <w:r w:rsidR="00A616B8">
        <w:t xml:space="preserve"> Taxation policies that insisted on taxing monetary income rather than data ignored the impact of big data on value creation and the markedly different abilities of corporations to collect, store and process them, thereby allowing corporations that had the best ability to pay to remain insufficiently taxed. While tax reforms such as the digital services tax may capture some of the monetary income realised from digital services, e.g., online advertising, such reforms will remain inadequate until data itself rather than merely realised income is taxed.</w:t>
      </w:r>
      <w:r w:rsidR="00A616B8">
        <w:rPr>
          <w:rStyle w:val="FootnoteReference"/>
        </w:rPr>
        <w:footnoteReference w:id="22"/>
      </w:r>
    </w:p>
    <w:p w14:paraId="411E5BF5" w14:textId="77777777" w:rsidR="00D224B0" w:rsidRDefault="00D224B0" w:rsidP="008464CA">
      <w:pPr>
        <w:spacing w:line="480" w:lineRule="auto"/>
      </w:pPr>
    </w:p>
    <w:p w14:paraId="14825DC3" w14:textId="21082DE9" w:rsidR="001E1F6A" w:rsidRDefault="001F780F" w:rsidP="008464CA">
      <w:pPr>
        <w:spacing w:line="480" w:lineRule="auto"/>
      </w:pPr>
      <w:r>
        <w:t>In this symposium issue,</w:t>
      </w:r>
      <w:r w:rsidR="007632F6">
        <w:t xml:space="preserve"> Vipra supports the emphasis on big data and justifies largely ignoring other factors such as algorithm</w:t>
      </w:r>
      <w:r w:rsidR="00B56139">
        <w:t>s</w:t>
      </w:r>
      <w:r w:rsidR="007632F6">
        <w:t xml:space="preserve"> and computing power which are private properties of corporations.</w:t>
      </w:r>
      <w:r w:rsidR="00B56139">
        <w:t xml:space="preserve"> Her concern is the </w:t>
      </w:r>
      <w:r w:rsidR="00F17C6B">
        <w:t xml:space="preserve">pauperisation that arise from the inability of masses of people to sell their intellectual labour as a result of the rise of AI </w:t>
      </w:r>
      <w:r w:rsidR="00B56139">
        <w:t xml:space="preserve">and </w:t>
      </w:r>
      <w:r w:rsidR="00B56139">
        <w:lastRenderedPageBreak/>
        <w:t xml:space="preserve">her proposal is to </w:t>
      </w:r>
      <w:r w:rsidR="00F17C6B">
        <w:t>counter</w:t>
      </w:r>
      <w:r w:rsidR="00B56139">
        <w:t xml:space="preserve"> this</w:t>
      </w:r>
      <w:r w:rsidR="00F17C6B">
        <w:t xml:space="preserve"> through UBI that was funded by DT. </w:t>
      </w:r>
      <w:r w:rsidR="00B56139">
        <w:t>Big data was, Vipra argues, a proper subject of ‘rent’ i.e., taxation in the form of</w:t>
      </w:r>
      <w:r w:rsidR="009E6842">
        <w:t xml:space="preserve"> DT</w:t>
      </w:r>
      <w:r w:rsidR="00B56139">
        <w:t>.</w:t>
      </w:r>
      <w:r w:rsidR="009E6842">
        <w:t xml:space="preserve"> Vipra</w:t>
      </w:r>
      <w:r w:rsidR="00B56139">
        <w:t>’s</w:t>
      </w:r>
      <w:r w:rsidR="009E6842">
        <w:t xml:space="preserve"> notion of ‘data rent’ </w:t>
      </w:r>
      <w:r w:rsidR="00B56139">
        <w:t>is</w:t>
      </w:r>
      <w:r w:rsidR="009E6842">
        <w:t xml:space="preserve"> fashion</w:t>
      </w:r>
      <w:r w:rsidR="00B56139">
        <w:t>ed</w:t>
      </w:r>
      <w:r w:rsidR="009E6842">
        <w:t xml:space="preserve"> from </w:t>
      </w:r>
      <w:r w:rsidR="001E1F6A">
        <w:t>Thomas Paine’s t</w:t>
      </w:r>
      <w:r w:rsidR="009E6842">
        <w:t>heory</w:t>
      </w:r>
      <w:r w:rsidR="001E1F6A">
        <w:t xml:space="preserve"> of ‘ground rent’</w:t>
      </w:r>
      <w:r w:rsidR="009E6842">
        <w:t xml:space="preserve">. In </w:t>
      </w:r>
      <w:r w:rsidR="001E1F6A">
        <w:t xml:space="preserve">Paine’s </w:t>
      </w:r>
      <w:r w:rsidR="001E1F6A" w:rsidRPr="004B1D50">
        <w:rPr>
          <w:i/>
          <w:iCs/>
        </w:rPr>
        <w:t>Agrarian Justice</w:t>
      </w:r>
      <w:r w:rsidR="009E6842">
        <w:t>,</w:t>
      </w:r>
      <w:r w:rsidR="001E1F6A">
        <w:t xml:space="preserve"> he theorised the justice of </w:t>
      </w:r>
      <w:r w:rsidR="009E6842">
        <w:t>exacting a tax (ground rent)</w:t>
      </w:r>
      <w:r w:rsidR="001E1F6A">
        <w:t xml:space="preserve"> from landowners and distributing </w:t>
      </w:r>
      <w:r w:rsidR="009E6842">
        <w:t>it</w:t>
      </w:r>
      <w:r w:rsidR="001E1F6A">
        <w:t xml:space="preserve"> as a payment to all</w:t>
      </w:r>
      <w:r w:rsidR="009E6842">
        <w:t xml:space="preserve"> (a form of UBI)</w:t>
      </w:r>
      <w:r w:rsidR="001E1F6A">
        <w:t xml:space="preserve"> in recognition</w:t>
      </w:r>
      <w:r w:rsidR="009E6842">
        <w:t xml:space="preserve"> of</w:t>
      </w:r>
      <w:r w:rsidR="00862B05">
        <w:t xml:space="preserve"> the fact</w:t>
      </w:r>
      <w:r w:rsidR="001E1F6A">
        <w:t xml:space="preserve"> </w:t>
      </w:r>
      <w:r w:rsidR="009E6842">
        <w:t>that</w:t>
      </w:r>
      <w:r w:rsidR="001E1F6A">
        <w:t xml:space="preserve"> land</w:t>
      </w:r>
      <w:r w:rsidR="009E6842">
        <w:t>, though now privately owned, b</w:t>
      </w:r>
      <w:r w:rsidR="001E1F6A">
        <w:t>e</w:t>
      </w:r>
      <w:r w:rsidR="009E6842">
        <w:t xml:space="preserve">longed to and should benefit everyone in common as </w:t>
      </w:r>
      <w:r w:rsidR="00862B05">
        <w:t>it used to be before enclosure</w:t>
      </w:r>
      <w:r w:rsidR="007632F6">
        <w:t>.</w:t>
      </w:r>
      <w:r w:rsidR="008B7E05" w:rsidRPr="00DC6C94">
        <w:rPr>
          <w:rStyle w:val="FootnoteReference"/>
        </w:rPr>
        <w:footnoteReference w:id="23"/>
      </w:r>
      <w:r w:rsidR="009E6842">
        <w:t xml:space="preserve"> </w:t>
      </w:r>
      <w:r w:rsidR="00862B05">
        <w:t>Vipra’s notion of data rent rehearse</w:t>
      </w:r>
      <w:r w:rsidR="00B56139">
        <w:t>s</w:t>
      </w:r>
      <w:r w:rsidR="00862B05">
        <w:t xml:space="preserve"> Paine’s solution but in the context of the rise of Artificial Intelligence greatly devaluing intellectual labour and thus preventing masses of people from making a living from such intellectual labour. The theory relies on the</w:t>
      </w:r>
      <w:r w:rsidR="00893EEA">
        <w:t xml:space="preserve"> argued</w:t>
      </w:r>
      <w:r w:rsidR="00862B05">
        <w:t xml:space="preserve"> correspondence between data and </w:t>
      </w:r>
      <w:r w:rsidR="00EA28DA">
        <w:t xml:space="preserve">‘economically relevant intellectual capacity’. </w:t>
      </w:r>
      <w:proofErr w:type="gramStart"/>
      <w:r w:rsidR="00893EEA">
        <w:t>Similar to</w:t>
      </w:r>
      <w:proofErr w:type="gramEnd"/>
      <w:r w:rsidR="00893EEA">
        <w:t xml:space="preserve"> Vipra, other proponents of UBI as a solution to AI-induced job displacement also theorise that the value created by AI partly belongs to the masses of people given that their data have contributed to the big data necessary to evolve AI capacities.</w:t>
      </w:r>
      <w:r w:rsidR="00A95B51" w:rsidRPr="00DC6C94">
        <w:rPr>
          <w:rStyle w:val="FootnoteReference"/>
        </w:rPr>
        <w:footnoteReference w:id="24"/>
      </w:r>
      <w:r w:rsidR="002B4E1D">
        <w:t xml:space="preserve"> </w:t>
      </w:r>
    </w:p>
    <w:p w14:paraId="478B7B8D" w14:textId="77777777" w:rsidR="00B5767D" w:rsidRDefault="00B5767D" w:rsidP="008464CA">
      <w:pPr>
        <w:spacing w:line="480" w:lineRule="auto"/>
      </w:pPr>
    </w:p>
    <w:p w14:paraId="57C1B7E5" w14:textId="3B8081F5" w:rsidR="005E4FD9" w:rsidRDefault="00393A84" w:rsidP="008464CA">
      <w:pPr>
        <w:spacing w:line="480" w:lineRule="auto"/>
      </w:pPr>
      <w:r>
        <w:t>However, t</w:t>
      </w:r>
      <w:r w:rsidR="005E4FD9">
        <w:t xml:space="preserve">he assertion that value arises from big data clearly involves a conceptual shortcut. Data </w:t>
      </w:r>
      <w:r w:rsidR="005E4FD9" w:rsidRPr="006B1B00">
        <w:t>them</w:t>
      </w:r>
      <w:r w:rsidR="005E4FD9">
        <w:t>selves have no value unless converted into things like insights, predictions, and data products which are of benefit to someone</w:t>
      </w:r>
      <w:r w:rsidR="00AB52BE">
        <w:t>, whether this be realised as monetary value or not</w:t>
      </w:r>
      <w:r w:rsidR="005E4FD9">
        <w:t xml:space="preserve">. As corporations sell these predictions and data products to advertisers and the behavioural futures markets, corporations realise the value of data as monetary gain; </w:t>
      </w:r>
      <w:r w:rsidR="00AB52BE">
        <w:t xml:space="preserve">but </w:t>
      </w:r>
      <w:r w:rsidR="005E4FD9">
        <w:t xml:space="preserve">corporations may well use insights etc. in other ways to benefit themselves through greater operational efficiency or what not. </w:t>
      </w:r>
      <w:r w:rsidR="00AB52BE">
        <w:t>S</w:t>
      </w:r>
      <w:r w:rsidR="005E4FD9">
        <w:t>tates, communities, non-profits or others</w:t>
      </w:r>
      <w:r w:rsidR="00AB52BE">
        <w:t xml:space="preserve"> too</w:t>
      </w:r>
      <w:r w:rsidR="005E4FD9">
        <w:t xml:space="preserve"> may as well use insights, predictions, and data products derived from big data for their own or the common good</w:t>
      </w:r>
      <w:r w:rsidR="00AB52BE">
        <w:t xml:space="preserve"> without these things being any monetary value</w:t>
      </w:r>
      <w:r w:rsidR="005E4FD9">
        <w:t xml:space="preserve">. The point is that data is not inherently valuable but is imbued with value through being related to other data through the application of advanced analytic techniques. Big data does not analyse itself after all; you crucially need </w:t>
      </w:r>
      <w:r w:rsidR="005E4FD9" w:rsidRPr="00BA6E12">
        <w:t>data</w:t>
      </w:r>
      <w:r w:rsidR="005E4FD9">
        <w:t xml:space="preserve"> </w:t>
      </w:r>
      <w:r w:rsidR="005E4FD9" w:rsidRPr="00BA6E12">
        <w:rPr>
          <w:i/>
          <w:iCs/>
        </w:rPr>
        <w:t>scientists</w:t>
      </w:r>
      <w:r w:rsidR="005E4FD9">
        <w:t xml:space="preserve"> to convert data to the kind of value that can be of benefit to someone. </w:t>
      </w:r>
      <w:r w:rsidR="005829A3">
        <w:t>For</w:t>
      </w:r>
      <w:r w:rsidR="005E4FD9">
        <w:t xml:space="preserve"> big data</w:t>
      </w:r>
      <w:r w:rsidR="005829A3">
        <w:t xml:space="preserve"> to have value, </w:t>
      </w:r>
      <w:r w:rsidR="005E4FD9">
        <w:t>all the</w:t>
      </w:r>
      <w:r w:rsidR="005829A3">
        <w:t xml:space="preserve"> needed</w:t>
      </w:r>
      <w:r w:rsidR="005E4FD9">
        <w:t xml:space="preserve"> analytic techniques, sociological </w:t>
      </w:r>
      <w:r w:rsidR="005E4FD9">
        <w:lastRenderedPageBreak/>
        <w:t>knowledge, technological infrastructure, etc.</w:t>
      </w:r>
      <w:r w:rsidR="005829A3">
        <w:t xml:space="preserve"> must combine and be</w:t>
      </w:r>
      <w:r w:rsidR="005E4FD9">
        <w:t xml:space="preserve"> applied to convert data into value.</w:t>
      </w:r>
    </w:p>
    <w:p w14:paraId="7BFEFC77" w14:textId="77777777" w:rsidR="005829A3" w:rsidRDefault="005829A3" w:rsidP="008464CA">
      <w:pPr>
        <w:spacing w:line="480" w:lineRule="auto"/>
      </w:pPr>
    </w:p>
    <w:p w14:paraId="6EA3FFA3" w14:textId="16BABEBB" w:rsidR="005E4FD9" w:rsidRDefault="005829A3" w:rsidP="008464CA">
      <w:pPr>
        <w:spacing w:line="480" w:lineRule="auto"/>
      </w:pPr>
      <w:r>
        <w:t xml:space="preserve">In contrast with Vipra, I argue that other factors that are combined with big data, ie, algorithms and computing power are also proper subjects of rent. </w:t>
      </w:r>
      <w:r w:rsidR="005E4FD9">
        <w:t>This is where RtS come</w:t>
      </w:r>
      <w:r w:rsidR="002B4E1D">
        <w:t>s</w:t>
      </w:r>
      <w:r w:rsidR="005E4FD9">
        <w:t xml:space="preserve"> into play</w:t>
      </w:r>
      <w:r w:rsidR="002B4E1D">
        <w:t xml:space="preserve">; we also need to pay attention to data </w:t>
      </w:r>
      <w:r w:rsidR="002B4E1D" w:rsidRPr="002B4E1D">
        <w:rPr>
          <w:i/>
          <w:iCs/>
        </w:rPr>
        <w:t>science</w:t>
      </w:r>
      <w:r w:rsidR="002B4E1D">
        <w:t xml:space="preserve"> </w:t>
      </w:r>
      <w:r w:rsidR="00C03C07">
        <w:t xml:space="preserve">and infrastructure </w:t>
      </w:r>
      <w:r w:rsidR="002B4E1D">
        <w:t>rather than merely data</w:t>
      </w:r>
      <w:r w:rsidR="005E4FD9">
        <w:t xml:space="preserve">. </w:t>
      </w:r>
      <w:r w:rsidR="00A843BE">
        <w:t>S</w:t>
      </w:r>
      <w:r w:rsidR="0047679E">
        <w:t>cientific ideas</w:t>
      </w:r>
      <w:r w:rsidR="00082906">
        <w:t xml:space="preserve"> and discoveries</w:t>
      </w:r>
      <w:r w:rsidR="0047679E">
        <w:t xml:space="preserve"> </w:t>
      </w:r>
      <w:r w:rsidR="00A66B1F">
        <w:t>(the labours of generations of scientists)</w:t>
      </w:r>
      <w:r w:rsidR="0047679E">
        <w:t xml:space="preserve"> </w:t>
      </w:r>
      <w:r w:rsidR="00A843BE">
        <w:t xml:space="preserve">underpin </w:t>
      </w:r>
      <w:r w:rsidR="00082906">
        <w:t>technological progress</w:t>
      </w:r>
      <w:r w:rsidR="0047679E">
        <w:t xml:space="preserve">; this is as much true of digital technologies as other technologies. </w:t>
      </w:r>
      <w:r w:rsidR="00A843BE">
        <w:t>RtS underscores that these</w:t>
      </w:r>
      <w:r w:rsidR="0047679E">
        <w:t xml:space="preserve"> scientific ideas </w:t>
      </w:r>
      <w:r w:rsidR="00A66B1F">
        <w:t>are the heritage of humanity</w:t>
      </w:r>
      <w:r w:rsidR="00A843BE">
        <w:t xml:space="preserve"> and problematises the privatisation of its benefits</w:t>
      </w:r>
      <w:r w:rsidR="00A66B1F">
        <w:t xml:space="preserve">. </w:t>
      </w:r>
      <w:r w:rsidR="00A843BE">
        <w:t>M</w:t>
      </w:r>
      <w:r w:rsidR="00A66B1F">
        <w:t xml:space="preserve">ore concretely, </w:t>
      </w:r>
      <w:r w:rsidR="00A843BE">
        <w:t xml:space="preserve">as </w:t>
      </w:r>
      <w:r w:rsidR="00A66B1F">
        <w:t>Mazucatto</w:t>
      </w:r>
      <w:r w:rsidR="00516D15" w:rsidRPr="00516D15">
        <w:t xml:space="preserve"> </w:t>
      </w:r>
      <w:r w:rsidR="00516D15">
        <w:t>had underscored, states have contributed to technological innovations in the form of, among others, public investment specially in the early high-risk stage of research that led to technological innovations.</w:t>
      </w:r>
      <w:r w:rsidR="008B7E05" w:rsidRPr="00DC6C94">
        <w:rPr>
          <w:rStyle w:val="FootnoteReference"/>
        </w:rPr>
        <w:footnoteReference w:id="25"/>
      </w:r>
      <w:r w:rsidR="00A66B1F">
        <w:t xml:space="preserve"> Apple’s </w:t>
      </w:r>
      <w:r w:rsidR="00682D9B">
        <w:t>iPhone</w:t>
      </w:r>
      <w:r w:rsidR="00A66B1F">
        <w:t xml:space="preserve"> thus could not have been possible without the component technologies (the internet,</w:t>
      </w:r>
      <w:r w:rsidR="002B4E1D">
        <w:t xml:space="preserve"> the microchip,</w:t>
      </w:r>
      <w:r w:rsidR="00A66B1F">
        <w:t xml:space="preserve"> the touch screen, etc.) which were developed </w:t>
      </w:r>
      <w:r w:rsidR="00D4040B">
        <w:t>with substantial</w:t>
      </w:r>
      <w:r w:rsidR="00A66B1F">
        <w:t xml:space="preserve"> public investment. If, as Paine and V</w:t>
      </w:r>
      <w:r w:rsidR="00082906">
        <w:t xml:space="preserve">ipra have suggested, the exaction of rent from corporations which privatised what is supposedly common property was important to restore social justice, then </w:t>
      </w:r>
      <w:r w:rsidR="00682D9B">
        <w:t>we</w:t>
      </w:r>
      <w:r w:rsidR="00082906">
        <w:t xml:space="preserve"> had been missing mechanisms for the recovery of rent on the scientific </w:t>
      </w:r>
      <w:r w:rsidR="00082906">
        <w:lastRenderedPageBreak/>
        <w:t>heritage</w:t>
      </w:r>
      <w:r>
        <w:t xml:space="preserve"> as well</w:t>
      </w:r>
      <w:r w:rsidR="00082906">
        <w:t xml:space="preserve">. </w:t>
      </w:r>
      <w:r w:rsidR="002B4E1D">
        <w:t>We have also been missing mechanisms for ‘pre-distribution</w:t>
      </w:r>
      <w:r w:rsidR="00516D15">
        <w:t>’</w:t>
      </w:r>
      <w:r w:rsidR="002B4E1D">
        <w:t xml:space="preserve"> by which part of the gains from technological innovations that have been commercialised should return to the public.</w:t>
      </w:r>
      <w:r w:rsidR="00516D15">
        <w:rPr>
          <w:rStyle w:val="FootnoteReference"/>
        </w:rPr>
        <w:footnoteReference w:id="26"/>
      </w:r>
      <w:r w:rsidR="002B4E1D">
        <w:t xml:space="preserve"> </w:t>
      </w:r>
      <w:r w:rsidR="005E4FD9">
        <w:t xml:space="preserve">Failing to capture rent on scientific and technological progress was socially unjust because it meant a few corporations undeservedly benefited from the labours of generations of scientists, </w:t>
      </w:r>
      <w:r w:rsidR="002B4E1D">
        <w:t>and</w:t>
      </w:r>
      <w:r w:rsidR="005E4FD9">
        <w:t xml:space="preserve"> public funding by the state, while ordinary people were excluded </w:t>
      </w:r>
      <w:r>
        <w:t xml:space="preserve">from </w:t>
      </w:r>
      <w:r w:rsidR="008B7E05">
        <w:t>what is supposed to be</w:t>
      </w:r>
      <w:r w:rsidR="005E4FD9">
        <w:t xml:space="preserve"> a common inheritance.</w:t>
      </w:r>
    </w:p>
    <w:p w14:paraId="1F6345E1" w14:textId="77777777" w:rsidR="005E4FD9" w:rsidRDefault="005E4FD9" w:rsidP="008464CA">
      <w:pPr>
        <w:spacing w:line="480" w:lineRule="auto"/>
      </w:pPr>
    </w:p>
    <w:p w14:paraId="61EEFE05" w14:textId="0105E57F" w:rsidR="00CC41A2" w:rsidRDefault="00CC41A2" w:rsidP="008464CA">
      <w:pPr>
        <w:spacing w:line="480" w:lineRule="auto"/>
      </w:pPr>
      <w:r>
        <w:t xml:space="preserve">Thus, I argue that </w:t>
      </w:r>
      <w:r w:rsidR="008B7E05">
        <w:t xml:space="preserve">DT </w:t>
      </w:r>
      <w:r>
        <w:t xml:space="preserve">could be thought of </w:t>
      </w:r>
      <w:r w:rsidR="000810FA">
        <w:t xml:space="preserve">not only as ‘data rent’ but also as rent </w:t>
      </w:r>
      <w:r>
        <w:t xml:space="preserve">on data </w:t>
      </w:r>
      <w:r w:rsidRPr="00CC41A2">
        <w:rPr>
          <w:i/>
          <w:iCs/>
        </w:rPr>
        <w:t>and</w:t>
      </w:r>
      <w:r>
        <w:t xml:space="preserve"> technology. Big data need not be strictly differentiated from other factors (algorithms and computational power) with which it is combined to create value.</w:t>
      </w:r>
      <w:r w:rsidR="00A616B8">
        <w:t xml:space="preserve"> </w:t>
      </w:r>
      <w:r w:rsidR="00C03C07">
        <w:t>Even though</w:t>
      </w:r>
      <w:r w:rsidR="00A843BE">
        <w:t>, as Marian proposed,</w:t>
      </w:r>
      <w:r w:rsidR="001646D2">
        <w:t xml:space="preserve"> for administrative simplicity,</w:t>
      </w:r>
      <w:r w:rsidR="00C03C07">
        <w:t xml:space="preserve"> the</w:t>
      </w:r>
      <w:r w:rsidR="001646D2">
        <w:t xml:space="preserve"> computation of</w:t>
      </w:r>
      <w:r w:rsidR="00C03C07">
        <w:t xml:space="preserve"> </w:t>
      </w:r>
      <w:r w:rsidR="001646D2">
        <w:t>DT</w:t>
      </w:r>
      <w:r w:rsidR="00C03C07">
        <w:t xml:space="preserve"> itself </w:t>
      </w:r>
      <w:r w:rsidR="00AB52BE">
        <w:t>could</w:t>
      </w:r>
      <w:r w:rsidR="00C03C07">
        <w:t xml:space="preserve"> be b</w:t>
      </w:r>
      <w:r w:rsidR="001646D2">
        <w:t>ased</w:t>
      </w:r>
      <w:r w:rsidR="00C03C07">
        <w:t xml:space="preserve"> </w:t>
      </w:r>
      <w:r w:rsidR="001646D2">
        <w:t>only</w:t>
      </w:r>
      <w:r w:rsidR="00C503E9">
        <w:t xml:space="preserve"> on</w:t>
      </w:r>
      <w:r w:rsidR="001646D2">
        <w:t xml:space="preserve"> </w:t>
      </w:r>
      <w:r w:rsidR="00C03C07">
        <w:t xml:space="preserve">the volume of data and </w:t>
      </w:r>
      <w:r w:rsidR="00682D9B">
        <w:t>no</w:t>
      </w:r>
      <w:r w:rsidR="00C03C07">
        <w:t xml:space="preserve"> other things, DT tax</w:t>
      </w:r>
      <w:r w:rsidR="001646D2">
        <w:t>ed</w:t>
      </w:r>
      <w:r w:rsidR="00C03C07">
        <w:t xml:space="preserve"> </w:t>
      </w:r>
      <w:r w:rsidR="00A616B8">
        <w:t xml:space="preserve">the ability to collect, store and process increasingly voluminous data </w:t>
      </w:r>
      <w:r w:rsidR="00C03C07">
        <w:t xml:space="preserve">which depended on technological factors. </w:t>
      </w:r>
      <w:r w:rsidR="000810FA">
        <w:t xml:space="preserve">From this light, DT functioned to introduce a kind of technological gains tax with respect to data </w:t>
      </w:r>
      <w:r w:rsidR="000810FA" w:rsidRPr="000810FA">
        <w:rPr>
          <w:i/>
          <w:iCs/>
        </w:rPr>
        <w:t>science</w:t>
      </w:r>
      <w:r w:rsidR="000810FA">
        <w:t xml:space="preserve"> and its application in monetising or deriving economic value from big data, a measure that had been missing from previous eras of technological progress.</w:t>
      </w:r>
    </w:p>
    <w:p w14:paraId="5EF9F05F" w14:textId="77777777" w:rsidR="008B7E05" w:rsidRDefault="008B7E05" w:rsidP="008464CA">
      <w:pPr>
        <w:spacing w:line="480" w:lineRule="auto"/>
      </w:pPr>
    </w:p>
    <w:p w14:paraId="73055F0E" w14:textId="77777777" w:rsidR="00A22EA1" w:rsidRPr="00BA3A91" w:rsidRDefault="00A22EA1" w:rsidP="00A22EA1">
      <w:pPr>
        <w:spacing w:line="480" w:lineRule="auto"/>
        <w:rPr>
          <w:b/>
          <w:bCs/>
        </w:rPr>
      </w:pPr>
      <w:r>
        <w:rPr>
          <w:b/>
          <w:bCs/>
        </w:rPr>
        <w:lastRenderedPageBreak/>
        <w:t xml:space="preserve">5 </w:t>
      </w:r>
      <w:r w:rsidRPr="00BA3A91">
        <w:rPr>
          <w:b/>
          <w:bCs/>
        </w:rPr>
        <w:t>International dimensions</w:t>
      </w:r>
      <w:r>
        <w:rPr>
          <w:b/>
          <w:bCs/>
        </w:rPr>
        <w:t xml:space="preserve"> and feasibility of DT</w:t>
      </w:r>
    </w:p>
    <w:p w14:paraId="301C8583" w14:textId="77777777" w:rsidR="00A22EA1" w:rsidRDefault="00A22EA1" w:rsidP="00A22EA1">
      <w:pPr>
        <w:spacing w:line="480" w:lineRule="auto"/>
      </w:pPr>
    </w:p>
    <w:p w14:paraId="513ABBF2" w14:textId="77777777" w:rsidR="00A22EA1" w:rsidRDefault="00A22EA1" w:rsidP="00A22EA1">
      <w:pPr>
        <w:spacing w:line="480" w:lineRule="auto"/>
      </w:pPr>
      <w:r>
        <w:t>So far, we have discussed DT at the level of the state which could impose it on corporations to benefit citizens and residents in some way and protect them from harm. Especially when DT is suggested to fund the expansion of social protection such as UBI, we have imagined the decision-making and implementation to take place at the level of the taxing state. However, if the elaboration and implementation of DT were to lead to an overall positive human rights outcome, the impact of the implied taxation policies</w:t>
      </w:r>
      <w:r w:rsidRPr="001E51B7">
        <w:t xml:space="preserve"> </w:t>
      </w:r>
      <w:r>
        <w:t xml:space="preserve">on international equality should also be of concern. As mentioned, internationally, taxation policies influence whether needed revenues will flow to or away from less developed countries, thus impacting equality among nations. If we were to seriously insist that the benefit of big data should belong to everyone, then DT should be equitably shared internationally. </w:t>
      </w:r>
    </w:p>
    <w:p w14:paraId="55490615" w14:textId="77777777" w:rsidR="00A22EA1" w:rsidRDefault="00A22EA1" w:rsidP="00A22EA1">
      <w:pPr>
        <w:spacing w:line="480" w:lineRule="auto"/>
      </w:pPr>
    </w:p>
    <w:p w14:paraId="6D7B454B" w14:textId="67B0B27F" w:rsidR="00A22EA1" w:rsidRDefault="00A22EA1" w:rsidP="00A22EA1">
      <w:pPr>
        <w:spacing w:line="480" w:lineRule="auto"/>
      </w:pPr>
      <w:r>
        <w:t>Marian</w:t>
      </w:r>
      <w:r w:rsidRPr="00FC3A20">
        <w:t xml:space="preserve"> </w:t>
      </w:r>
      <w:r>
        <w:t>has highlighted that states could easily enforce DT within their territorial jurisdictions given that data flows through some physical infrastructure which states can effectively control.</w:t>
      </w:r>
      <w:r w:rsidRPr="00DC6C94">
        <w:rPr>
          <w:rStyle w:val="FootnoteReference"/>
        </w:rPr>
        <w:footnoteReference w:id="27"/>
      </w:r>
      <w:r>
        <w:t xml:space="preserve"> This might be a practical advantage that makes DT attractive to states desirous to raise revenues without waiting for an international </w:t>
      </w:r>
      <w:r>
        <w:lastRenderedPageBreak/>
        <w:t xml:space="preserve">agreement to be formed or the need for coordinating with other states. Christians and Magalhães (in this symposium issue) also argue that redoing digital services tax as income tax by expanding the withholding tax system to include certain digital service fees would enable states to tax tech companies without coordination with other states including, importantly, the United States. But if DT were collected where the infrastructure for the flows of big data </w:t>
      </w:r>
      <w:r w:rsidR="00682D9B">
        <w:t>exists</w:t>
      </w:r>
      <w:r>
        <w:t xml:space="preserve"> and benefited only those countries, then, this raises concern about the justice of not sharing the value of big data with everyone. As Brauner</w:t>
      </w:r>
      <w:r w:rsidRPr="00FC3A20">
        <w:t xml:space="preserve"> </w:t>
      </w:r>
      <w:r>
        <w:t>argues, if countries benefit in proportion to how much data flows through the infrastructure they host in their territories, the jurisdictions with the most developed infrastructure for big data will likely benefit the most.</w:t>
      </w:r>
      <w:r w:rsidRPr="00DC6C94">
        <w:rPr>
          <w:rStyle w:val="FootnoteReference"/>
        </w:rPr>
        <w:footnoteReference w:id="28"/>
      </w:r>
      <w:r>
        <w:t xml:space="preserve"> Moreover, not needing international coordination, data taxes enforced unilaterally like the digital services tax will have the side effect that nations will compete to attract corporations through more lenient tax policies rather than unite over their more just taxation.</w:t>
      </w:r>
      <w:r w:rsidRPr="00DC6C94">
        <w:rPr>
          <w:rStyle w:val="FootnoteReference"/>
        </w:rPr>
        <w:footnoteReference w:id="29"/>
      </w:r>
      <w:r>
        <w:t xml:space="preserve">  </w:t>
      </w:r>
    </w:p>
    <w:p w14:paraId="2D1E3D24" w14:textId="77777777" w:rsidR="00A22EA1" w:rsidRDefault="00A22EA1" w:rsidP="00A22EA1">
      <w:pPr>
        <w:spacing w:line="480" w:lineRule="auto"/>
      </w:pPr>
    </w:p>
    <w:p w14:paraId="7C1C6152" w14:textId="5F2FC683" w:rsidR="00A22EA1" w:rsidRDefault="00A22EA1" w:rsidP="00A22EA1">
      <w:pPr>
        <w:spacing w:line="480" w:lineRule="auto"/>
      </w:pPr>
      <w:r>
        <w:t xml:space="preserve">It is thus important to consider the feasibility of DT not only as a tax that can be administered and collected domestically, challenging and important that question may already be, but also as a tax that is regulated by international rules that ensure it is equitably shared </w:t>
      </w:r>
      <w:r>
        <w:lastRenderedPageBreak/>
        <w:t xml:space="preserve">across developed and developing countries alike.  More familiar concerns with income taxation of multinational corporations cast a shadow on the question of DT’s feasibility as a tax with international implications. The main troubles with business tax lie in the ability of multinationals to shift their profits to tax havens, and the reaction of states, acting independently of other states, to counter the erosion of their own tax bases by lowering their tax rates and/or introducing measures like financial secrecy that exacerbate the problem. </w:t>
      </w:r>
      <w:r w:rsidR="00682D9B">
        <w:t>Both</w:t>
      </w:r>
      <w:r>
        <w:t xml:space="preserve"> problems result from decisions made by states.</w:t>
      </w:r>
      <w:r w:rsidRPr="00EB61B5">
        <w:rPr>
          <w:rStyle w:val="FootnoteReference"/>
        </w:rPr>
        <w:t xml:space="preserve"> </w:t>
      </w:r>
      <w:r>
        <w:t xml:space="preserve"> Hugo and </w:t>
      </w:r>
      <w:r w:rsidRPr="00EB61B5">
        <w:rPr>
          <w:lang w:val="en-GB"/>
        </w:rPr>
        <w:t>Løvold</w:t>
      </w:r>
      <w:r>
        <w:t xml:space="preserve"> have emphasised that harmful tax competition is a cookie-cutter instance of an ‘international cooperation problem where individual rationality is at odds with collective rationality’.</w:t>
      </w:r>
      <w:r>
        <w:rPr>
          <w:rStyle w:val="FootnoteReference"/>
        </w:rPr>
        <w:footnoteReference w:id="30"/>
      </w:r>
      <w:r>
        <w:t xml:space="preserve"> Thus, the feasibility question is largely a question of how to convince states to work together and share taxes in a fair manner.</w:t>
      </w:r>
    </w:p>
    <w:p w14:paraId="67CE7F6C" w14:textId="77777777" w:rsidR="00A22EA1" w:rsidRDefault="00A22EA1" w:rsidP="00A22EA1">
      <w:pPr>
        <w:spacing w:line="480" w:lineRule="auto"/>
      </w:pPr>
    </w:p>
    <w:p w14:paraId="77FB3D27" w14:textId="77777777" w:rsidR="00A22EA1" w:rsidRDefault="00A22EA1" w:rsidP="00A22EA1">
      <w:pPr>
        <w:spacing w:line="480" w:lineRule="auto"/>
      </w:pPr>
      <w:r>
        <w:t xml:space="preserve">On the bright side, states are not unfamiliar with the notion that tax competition is harmful to everyone in the long run and that it must be stemmed through international cooperation and the development of international law. A century of international tax treaty-making attests to this. This includes the OECD’s success in forging the two most significant multilateral tax agreements and its current efforts to </w:t>
      </w:r>
      <w:r>
        <w:lastRenderedPageBreak/>
        <w:t>facilitate international negotiations on solutions to the tax challenges of the digital economy.</w:t>
      </w:r>
      <w:r>
        <w:rPr>
          <w:rStyle w:val="FootnoteReference"/>
        </w:rPr>
        <w:footnoteReference w:id="31"/>
      </w:r>
      <w:r>
        <w:t xml:space="preserve"> In the EU, this history also includes the 1967 decision to create </w:t>
      </w:r>
      <w:r w:rsidRPr="005068E3">
        <w:t>a</w:t>
      </w:r>
      <w:r>
        <w:t>n EU-wide</w:t>
      </w:r>
      <w:r w:rsidRPr="005068E3">
        <w:t xml:space="preserve"> system of Value Added Tax (VAT) as part of the programme to create a single market</w:t>
      </w:r>
      <w:r>
        <w:t xml:space="preserve"> and the non-binding 1997 Code of Conduct on business tax that encouraged non-competition in tax matters</w:t>
      </w:r>
      <w:r w:rsidRPr="005068E3">
        <w:t>.</w:t>
      </w:r>
      <w:r>
        <w:rPr>
          <w:rStyle w:val="FootnoteReference"/>
        </w:rPr>
        <w:footnoteReference w:id="32"/>
      </w:r>
      <w:r>
        <w:t xml:space="preserve"> Hugo and </w:t>
      </w:r>
      <w:r w:rsidRPr="00EB61B5">
        <w:rPr>
          <w:lang w:val="en-GB"/>
        </w:rPr>
        <w:t>Løvold</w:t>
      </w:r>
      <w:r>
        <w:rPr>
          <w:lang w:val="en-GB"/>
        </w:rPr>
        <w:t>, furthermore, note that today the 20 largest economies support the so-called ‘ABC of tax transparency’ originally proposed by the Tax Justice Network, namely, automatic exchange of financial information, beneficial ownership transparency, and country-by-country reporting, which build towards a system of unitary taxation.</w:t>
      </w:r>
      <w:r>
        <w:rPr>
          <w:rStyle w:val="FootnoteReference"/>
          <w:lang w:val="en-GB"/>
        </w:rPr>
        <w:footnoteReference w:id="33"/>
      </w:r>
    </w:p>
    <w:p w14:paraId="7C660916" w14:textId="77777777" w:rsidR="00A22EA1" w:rsidRDefault="00A22EA1" w:rsidP="00A22EA1">
      <w:pPr>
        <w:spacing w:line="480" w:lineRule="auto"/>
      </w:pPr>
    </w:p>
    <w:p w14:paraId="71777E03" w14:textId="77777777" w:rsidR="00A22EA1" w:rsidRDefault="00A22EA1" w:rsidP="00A22EA1">
      <w:pPr>
        <w:spacing w:line="480" w:lineRule="auto"/>
      </w:pPr>
      <w:r>
        <w:t>The new watershed moment for international cooperation on this matter is the recognition by many non-European and developing countries that solutions need to be even more globalised than what the OECD is already currently pioneering.</w:t>
      </w:r>
      <w:r w:rsidRPr="00EB61B5">
        <w:rPr>
          <w:rStyle w:val="FootnoteReference"/>
        </w:rPr>
        <w:footnoteReference w:id="34"/>
      </w:r>
      <w:r>
        <w:t xml:space="preserve"> A key idea championed by advocates of </w:t>
      </w:r>
      <w:r w:rsidRPr="00590CD8">
        <w:t>the UN tax convention is unitary taxatio</w:t>
      </w:r>
      <w:r>
        <w:t>n</w:t>
      </w:r>
      <w:r w:rsidRPr="00590CD8">
        <w:t xml:space="preserve"> whereby every state is enabled to tax multinational groups on their global income in proportion to that country’s share in the multinational </w:t>
      </w:r>
      <w:r w:rsidRPr="00590CD8">
        <w:lastRenderedPageBreak/>
        <w:t>groups’ workers and sales.</w:t>
      </w:r>
      <w:r w:rsidRPr="00590CD8">
        <w:rPr>
          <w:rStyle w:val="FootnoteReference"/>
        </w:rPr>
        <w:footnoteReference w:id="35"/>
      </w:r>
      <w:r>
        <w:t xml:space="preserve"> International fairness is operationalised by seeing the tax base as global (the multinationals’ global income) as well as having a formula for sharing it that is accepted as fair across developed and developing countries. </w:t>
      </w:r>
    </w:p>
    <w:p w14:paraId="102A1E06" w14:textId="77777777" w:rsidR="00A22EA1" w:rsidRDefault="00A22EA1" w:rsidP="00A22EA1">
      <w:pPr>
        <w:spacing w:line="480" w:lineRule="auto"/>
      </w:pPr>
    </w:p>
    <w:p w14:paraId="3ACE7311" w14:textId="77777777" w:rsidR="00A22EA1" w:rsidRDefault="00A22EA1" w:rsidP="00A22EA1">
      <w:pPr>
        <w:spacing w:line="480" w:lineRule="auto"/>
      </w:pPr>
      <w:r>
        <w:t>The foregoing reflection implies that DT proponents not only must but can aspire towards global cooperation; anything less will fall short.</w:t>
      </w:r>
      <w:r>
        <w:rPr>
          <w:rStyle w:val="FootnoteReference"/>
        </w:rPr>
        <w:footnoteReference w:id="36"/>
      </w:r>
      <w:r>
        <w:t xml:space="preserve"> Thus, if DT were established within the EU, that might signify a level of international cooperation that improved fairness within the EU. But that would still attract the same criticisms as those levelled against the OECD’s proposals on the taxation of multinationals, namely, that the net impact on developing countries is negative (See, Oxfam 2021; McCarthy 2022).  Ensuring international fairness in DT could learn from the current proposal for a UN tax convention. That is, states need to imagine the tax base as global (and as I have argued, the right to science helps in this regard). Moreover, </w:t>
      </w:r>
      <w:r w:rsidRPr="002C4D8B">
        <w:t xml:space="preserve">a </w:t>
      </w:r>
      <w:r>
        <w:t xml:space="preserve">fair </w:t>
      </w:r>
      <w:r w:rsidRPr="002C4D8B">
        <w:t xml:space="preserve">formula for sharing </w:t>
      </w:r>
      <w:r>
        <w:t>DT</w:t>
      </w:r>
      <w:r w:rsidRPr="002C4D8B">
        <w:t xml:space="preserve"> across jurisdictions</w:t>
      </w:r>
      <w:r>
        <w:t xml:space="preserve"> must be found. </w:t>
      </w:r>
    </w:p>
    <w:p w14:paraId="49EBC45F" w14:textId="1D1B9E0F" w:rsidR="005E4FD9" w:rsidRDefault="00797366" w:rsidP="008464CA">
      <w:pPr>
        <w:spacing w:line="480" w:lineRule="auto"/>
      </w:pPr>
      <w:r>
        <w:t xml:space="preserve">    </w:t>
      </w:r>
    </w:p>
    <w:p w14:paraId="74D9458D" w14:textId="1E8385D8" w:rsidR="005E4FD9" w:rsidRPr="00F438B2" w:rsidRDefault="00FC3A20" w:rsidP="008464CA">
      <w:pPr>
        <w:spacing w:line="480" w:lineRule="auto"/>
        <w:rPr>
          <w:b/>
          <w:bCs/>
        </w:rPr>
      </w:pPr>
      <w:r>
        <w:rPr>
          <w:b/>
          <w:bCs/>
        </w:rPr>
        <w:t xml:space="preserve">6 </w:t>
      </w:r>
      <w:r w:rsidR="005E4FD9" w:rsidRPr="00F438B2">
        <w:rPr>
          <w:b/>
          <w:bCs/>
        </w:rPr>
        <w:t>Conclusion</w:t>
      </w:r>
    </w:p>
    <w:p w14:paraId="29DFE6B0" w14:textId="70131F74" w:rsidR="005E4FD9" w:rsidRDefault="005E4FD9" w:rsidP="008464CA">
      <w:pPr>
        <w:spacing w:line="480" w:lineRule="auto"/>
      </w:pPr>
    </w:p>
    <w:p w14:paraId="2B5595EB" w14:textId="5A57C5C3" w:rsidR="00BC5DF0" w:rsidRDefault="001345EA" w:rsidP="008464CA">
      <w:pPr>
        <w:spacing w:line="480" w:lineRule="auto"/>
      </w:pPr>
      <w:r>
        <w:lastRenderedPageBreak/>
        <w:t>S</w:t>
      </w:r>
      <w:r w:rsidR="00E12FF9">
        <w:t>tates c</w:t>
      </w:r>
      <w:r w:rsidR="00D91EAF">
        <w:t>an</w:t>
      </w:r>
      <w:r w:rsidR="00E12FF9">
        <w:t xml:space="preserve"> enhance their </w:t>
      </w:r>
      <w:r>
        <w:t>relevance</w:t>
      </w:r>
      <w:r w:rsidR="005669FB">
        <w:t xml:space="preserve"> in the digital age</w:t>
      </w:r>
      <w:r>
        <w:t xml:space="preserve"> through </w:t>
      </w:r>
      <w:r w:rsidR="00BC5DF0">
        <w:t>taxation</w:t>
      </w:r>
      <w:r w:rsidR="00E12FF9">
        <w:t xml:space="preserve"> </w:t>
      </w:r>
      <w:r>
        <w:t>that</w:t>
      </w:r>
      <w:r w:rsidR="00E12FF9">
        <w:t xml:space="preserve"> </w:t>
      </w:r>
      <w:r w:rsidR="00C76C12">
        <w:t>impac</w:t>
      </w:r>
      <w:r w:rsidR="00D91EAF">
        <w:t>t</w:t>
      </w:r>
      <w:r w:rsidR="00E12FF9">
        <w:t xml:space="preserve"> </w:t>
      </w:r>
      <w:r w:rsidR="005669FB">
        <w:t>corporation</w:t>
      </w:r>
      <w:r w:rsidR="00E12FF9">
        <w:t>s</w:t>
      </w:r>
      <w:r w:rsidR="005669FB">
        <w:t>’ collect</w:t>
      </w:r>
      <w:r w:rsidR="00BC5DF0">
        <w:t>ion</w:t>
      </w:r>
      <w:r w:rsidR="00E12FF9">
        <w:t>,</w:t>
      </w:r>
      <w:r w:rsidR="005669FB">
        <w:t xml:space="preserve"> stor</w:t>
      </w:r>
      <w:r w:rsidR="00BC5DF0">
        <w:t>age</w:t>
      </w:r>
      <w:r w:rsidR="005669FB">
        <w:t xml:space="preserve"> and process</w:t>
      </w:r>
      <w:r w:rsidR="00BC5DF0">
        <w:t>ing of</w:t>
      </w:r>
      <w:r w:rsidR="005669FB">
        <w:t xml:space="preserve"> data in way</w:t>
      </w:r>
      <w:r w:rsidR="00BC5DF0">
        <w:t>s</w:t>
      </w:r>
      <w:r w:rsidR="005669FB">
        <w:t xml:space="preserve"> that not only</w:t>
      </w:r>
      <w:r w:rsidR="00E12FF9">
        <w:t xml:space="preserve"> ensur</w:t>
      </w:r>
      <w:r w:rsidR="005669FB">
        <w:t>e</w:t>
      </w:r>
      <w:r w:rsidR="00E12FF9">
        <w:t xml:space="preserve"> </w:t>
      </w:r>
      <w:r w:rsidR="00C76C12">
        <w:t xml:space="preserve">citizens and residents benefit </w:t>
      </w:r>
      <w:r w:rsidR="00BC5DF0">
        <w:t>therefrom</w:t>
      </w:r>
      <w:r w:rsidR="005669FB">
        <w:t xml:space="preserve"> but </w:t>
      </w:r>
      <w:r w:rsidR="00C76C12">
        <w:t xml:space="preserve">also </w:t>
      </w:r>
      <w:r w:rsidR="005669FB">
        <w:t xml:space="preserve">protect </w:t>
      </w:r>
      <w:r w:rsidR="00C76C12">
        <w:t xml:space="preserve">them </w:t>
      </w:r>
      <w:r w:rsidR="005669FB">
        <w:t xml:space="preserve">against harms to </w:t>
      </w:r>
      <w:r w:rsidR="00D91EAF">
        <w:t xml:space="preserve">their </w:t>
      </w:r>
      <w:r w:rsidR="005669FB">
        <w:t>privacy and other rights</w:t>
      </w:r>
      <w:r w:rsidR="00E12FF9">
        <w:t>.</w:t>
      </w:r>
      <w:r>
        <w:t xml:space="preserve"> </w:t>
      </w:r>
      <w:r w:rsidR="00682D9B">
        <w:t>Regarding</w:t>
      </w:r>
      <w:r w:rsidR="00FE0EEE">
        <w:t xml:space="preserve"> benefit</w:t>
      </w:r>
      <w:r w:rsidR="00D91EAF">
        <w:t>-</w:t>
      </w:r>
      <w:r w:rsidR="00FE0EEE">
        <w:t>s</w:t>
      </w:r>
      <w:r w:rsidR="00D91EAF">
        <w:t>haring</w:t>
      </w:r>
      <w:r w:rsidR="00FE0EEE">
        <w:t xml:space="preserve">, </w:t>
      </w:r>
      <w:r>
        <w:t xml:space="preserve">I </w:t>
      </w:r>
      <w:r w:rsidR="00BC5DF0">
        <w:t>urged</w:t>
      </w:r>
      <w:r>
        <w:t xml:space="preserve"> that</w:t>
      </w:r>
      <w:r w:rsidR="00BC5DF0">
        <w:t xml:space="preserve"> careful thought must be put to what </w:t>
      </w:r>
      <w:r w:rsidR="000814A7">
        <w:t xml:space="preserve">social </w:t>
      </w:r>
      <w:r w:rsidR="00BC5DF0">
        <w:t>benefits</w:t>
      </w:r>
      <w:r>
        <w:t xml:space="preserve"> </w:t>
      </w:r>
      <w:r w:rsidR="00BC5DF0">
        <w:t>DT should fund</w:t>
      </w:r>
      <w:r w:rsidR="00FE0EEE">
        <w:t xml:space="preserve"> to ensure optimal outcomes</w:t>
      </w:r>
      <w:r w:rsidR="00D91EAF">
        <w:t xml:space="preserve"> for society</w:t>
      </w:r>
      <w:r w:rsidR="00C76C12">
        <w:t>.</w:t>
      </w:r>
      <w:r w:rsidR="000814A7">
        <w:t xml:space="preserve"> </w:t>
      </w:r>
      <w:r w:rsidR="003752FE">
        <w:t xml:space="preserve">Ambitiously, DT could expand </w:t>
      </w:r>
      <w:r w:rsidR="00FE0EEE">
        <w:t xml:space="preserve">the system of </w:t>
      </w:r>
      <w:r w:rsidR="003752FE">
        <w:t>social protection such as through</w:t>
      </w:r>
      <w:r w:rsidR="000814A7">
        <w:t xml:space="preserve"> UBI</w:t>
      </w:r>
      <w:r w:rsidR="003752FE">
        <w:t>,</w:t>
      </w:r>
      <w:r w:rsidR="000814A7">
        <w:t xml:space="preserve"> </w:t>
      </w:r>
      <w:r w:rsidR="003752FE">
        <w:t>but this presumes</w:t>
      </w:r>
      <w:r w:rsidR="00FE0EEE">
        <w:t xml:space="preserve"> DT will deliver extremely substantially; the</w:t>
      </w:r>
      <w:r w:rsidR="003752FE">
        <w:t xml:space="preserve"> </w:t>
      </w:r>
      <w:r w:rsidR="00FE0EEE">
        <w:t>impact on</w:t>
      </w:r>
      <w:r w:rsidR="003752FE">
        <w:t xml:space="preserve"> other rights must </w:t>
      </w:r>
      <w:r w:rsidR="00FE0EEE">
        <w:t xml:space="preserve">also be </w:t>
      </w:r>
      <w:r w:rsidR="003752FE">
        <w:t>considered. Less ambitiously, DT could fund other public goods</w:t>
      </w:r>
      <w:r w:rsidR="00FE0EEE">
        <w:t>, but what exactly depends on the fiscal space it creates and the socio-economic priorities of states</w:t>
      </w:r>
      <w:r w:rsidR="003752FE">
        <w:t>.</w:t>
      </w:r>
      <w:r w:rsidR="00BC5DF0">
        <w:t xml:space="preserve"> </w:t>
      </w:r>
      <w:r w:rsidR="00682D9B">
        <w:t>Regarding</w:t>
      </w:r>
      <w:r w:rsidR="00FE0EEE">
        <w:t xml:space="preserve"> harm</w:t>
      </w:r>
      <w:r w:rsidR="00D91EAF">
        <w:t xml:space="preserve"> avoidance</w:t>
      </w:r>
      <w:r w:rsidR="00FE0EEE">
        <w:t xml:space="preserve">, </w:t>
      </w:r>
      <w:r w:rsidR="00BC5DF0">
        <w:t>I have emphasised the importance of DT’s Pigouvian potential to its overall human rights impact</w:t>
      </w:r>
      <w:r w:rsidR="00AF6992">
        <w:t>. Given this importance,</w:t>
      </w:r>
      <w:r w:rsidR="00BC5DF0">
        <w:t xml:space="preserve"> </w:t>
      </w:r>
      <w:r w:rsidR="00AF6992">
        <w:t>DT</w:t>
      </w:r>
      <w:r w:rsidR="00BC5DF0">
        <w:t xml:space="preserve"> </w:t>
      </w:r>
      <w:r w:rsidR="00AF6992">
        <w:t>is</w:t>
      </w:r>
      <w:r w:rsidR="00BC5DF0">
        <w:t xml:space="preserve"> be</w:t>
      </w:r>
      <w:r w:rsidR="00AF6992">
        <w:t xml:space="preserve">tter considered not as a </w:t>
      </w:r>
      <w:r w:rsidR="00682D9B">
        <w:t>stand-alone</w:t>
      </w:r>
      <w:r w:rsidR="00AF6992">
        <w:t xml:space="preserve"> proposal but should form part of a package of</w:t>
      </w:r>
      <w:r w:rsidR="00BC5DF0">
        <w:t xml:space="preserve"> law reforms that strengthened privacy and human rights protections against the harms of surveillance capitalism. </w:t>
      </w:r>
    </w:p>
    <w:p w14:paraId="7B2D96DA" w14:textId="77777777" w:rsidR="00BC5DF0" w:rsidRDefault="00BC5DF0" w:rsidP="008464CA">
      <w:pPr>
        <w:spacing w:line="480" w:lineRule="auto"/>
      </w:pPr>
    </w:p>
    <w:p w14:paraId="314EC411" w14:textId="2A23A36D" w:rsidR="00E12FF9" w:rsidRDefault="00AF6992" w:rsidP="008464CA">
      <w:pPr>
        <w:spacing w:line="480" w:lineRule="auto"/>
      </w:pPr>
      <w:r>
        <w:t>Previous eras of technological progress have not seen tax used to recognise that science and the benefits of its applications belong to humanity. DT make</w:t>
      </w:r>
      <w:r w:rsidR="00D91EAF">
        <w:t>s</w:t>
      </w:r>
      <w:r>
        <w:t xml:space="preserve"> this possible in the digital age. </w:t>
      </w:r>
      <w:r w:rsidR="000814A7">
        <w:t>While</w:t>
      </w:r>
      <w:r w:rsidR="00BC5DF0">
        <w:t xml:space="preserve"> the</w:t>
      </w:r>
      <w:r w:rsidR="000814A7">
        <w:t xml:space="preserve"> rise of data as a factor of production is important to recognise,</w:t>
      </w:r>
      <w:r w:rsidR="001345EA">
        <w:t xml:space="preserve"> </w:t>
      </w:r>
      <w:r w:rsidR="000814A7">
        <w:t>I have argued that DT does not have to be seen as focused on extracting the value of big data</w:t>
      </w:r>
      <w:r w:rsidR="00C76C12">
        <w:t xml:space="preserve"> </w:t>
      </w:r>
      <w:r w:rsidR="000814A7">
        <w:t>independently</w:t>
      </w:r>
      <w:r w:rsidR="00BC5DF0">
        <w:t xml:space="preserve"> </w:t>
      </w:r>
      <w:r w:rsidR="000814A7">
        <w:t>of the technological factors</w:t>
      </w:r>
      <w:r w:rsidR="00C76C12">
        <w:t xml:space="preserve"> that </w:t>
      </w:r>
      <w:r w:rsidR="00C76C12">
        <w:lastRenderedPageBreak/>
        <w:t>combine with data to produce value</w:t>
      </w:r>
      <w:r w:rsidR="000814A7">
        <w:t xml:space="preserve">. Rather, states could </w:t>
      </w:r>
      <w:r w:rsidR="00C76C12">
        <w:t xml:space="preserve">also </w:t>
      </w:r>
      <w:r w:rsidR="000814A7">
        <w:t>present DT as</w:t>
      </w:r>
      <w:r w:rsidR="00C76C12">
        <w:t xml:space="preserve"> </w:t>
      </w:r>
      <w:r>
        <w:t xml:space="preserve">rent on both data and technology. </w:t>
      </w:r>
      <w:r w:rsidR="000814A7">
        <w:t xml:space="preserve">Finally, </w:t>
      </w:r>
      <w:r w:rsidR="00D91EAF">
        <w:t xml:space="preserve">I have argued that implementing DT as a unilateral tax is in tension with the human rights approach to DT which required that the benefit be shared equitably among states through international coordination. </w:t>
      </w:r>
    </w:p>
    <w:p w14:paraId="0FEF3628" w14:textId="51D5570E" w:rsidR="00D667A6" w:rsidRDefault="00041E0E" w:rsidP="008464CA">
      <w:pPr>
        <w:spacing w:line="480" w:lineRule="auto"/>
      </w:pPr>
      <w:r>
        <w:t xml:space="preserve"> </w:t>
      </w:r>
    </w:p>
    <w:p w14:paraId="6A8E337B" w14:textId="77777777" w:rsidR="0007091A" w:rsidRDefault="0007091A" w:rsidP="008464CA">
      <w:pPr>
        <w:spacing w:line="480" w:lineRule="auto"/>
        <w:rPr>
          <w:b/>
          <w:bCs/>
        </w:rPr>
      </w:pPr>
      <w:r>
        <w:rPr>
          <w:b/>
          <w:bCs/>
        </w:rPr>
        <w:t>Disclosure statements</w:t>
      </w:r>
    </w:p>
    <w:p w14:paraId="2425D32A" w14:textId="0CFC3BC5" w:rsidR="0007091A" w:rsidRDefault="0007091A" w:rsidP="0007091A">
      <w:pPr>
        <w:spacing w:line="480" w:lineRule="auto"/>
      </w:pPr>
      <w:r>
        <w:t>Acknowledgments: I acknowledge Angelo Jr Golia and Thomas Streinz who commented on a draft of this paper</w:t>
      </w:r>
      <w:r w:rsidR="00AE0F29">
        <w:t>, and Cy Rago for the constant support</w:t>
      </w:r>
      <w:r>
        <w:t>.</w:t>
      </w:r>
    </w:p>
    <w:p w14:paraId="0F875BF6" w14:textId="7C4953EE" w:rsidR="0007091A" w:rsidRPr="0007091A" w:rsidRDefault="0007091A" w:rsidP="0007091A">
      <w:pPr>
        <w:spacing w:line="480" w:lineRule="auto"/>
      </w:pPr>
      <w:r w:rsidRPr="0007091A">
        <w:t xml:space="preserve">Data Availability: The data that support the findings of this study are openly available </w:t>
      </w:r>
      <w:r>
        <w:t>a</w:t>
      </w:r>
      <w:r w:rsidRPr="0007091A">
        <w:t>n</w:t>
      </w:r>
      <w:r>
        <w:t>d have been cited in the article.</w:t>
      </w:r>
    </w:p>
    <w:p w14:paraId="364576EC" w14:textId="1381F965" w:rsidR="0007091A" w:rsidRPr="0007091A" w:rsidRDefault="0007091A" w:rsidP="008464CA">
      <w:pPr>
        <w:spacing w:line="480" w:lineRule="auto"/>
        <w:rPr>
          <w:b/>
          <w:bCs/>
        </w:rPr>
      </w:pPr>
      <w:r w:rsidRPr="0007091A">
        <w:t>Funding:</w:t>
      </w:r>
      <w:r w:rsidRPr="0007091A">
        <w:rPr>
          <w:b/>
          <w:bCs/>
        </w:rPr>
        <w:t xml:space="preserve"> </w:t>
      </w:r>
      <w:r w:rsidRPr="0007091A">
        <w:t xml:space="preserve">This work was supported by the </w:t>
      </w:r>
      <w:r>
        <w:t>Cyber Security Cooperative Research Centre (CSCRC)</w:t>
      </w:r>
      <w:r w:rsidRPr="0007091A">
        <w:t>. The funder had no role in study design, data collection and analysis, decision to publish, or preparation of the manuscript.</w:t>
      </w:r>
    </w:p>
    <w:p w14:paraId="1EC53078" w14:textId="431C7872" w:rsidR="00D667A6" w:rsidRPr="0007091A" w:rsidRDefault="00D667A6" w:rsidP="008464CA">
      <w:pPr>
        <w:spacing w:line="480" w:lineRule="auto"/>
        <w:rPr>
          <w:b/>
          <w:bCs/>
        </w:rPr>
      </w:pPr>
      <w:r w:rsidRPr="0007091A">
        <w:t>Competing interests</w:t>
      </w:r>
      <w:r w:rsidR="0007091A" w:rsidRPr="0007091A">
        <w:t>:</w:t>
      </w:r>
      <w:r w:rsidR="0007091A">
        <w:rPr>
          <w:b/>
          <w:bCs/>
        </w:rPr>
        <w:t xml:space="preserve"> </w:t>
      </w:r>
      <w:r w:rsidRPr="00D667A6">
        <w:t>The author has no conflicts of interest to declare</w:t>
      </w:r>
      <w:r>
        <w:t>.</w:t>
      </w:r>
    </w:p>
    <w:p w14:paraId="7679C56D" w14:textId="77777777" w:rsidR="0007091A" w:rsidRDefault="0007091A" w:rsidP="008464CA">
      <w:pPr>
        <w:spacing w:line="480" w:lineRule="auto"/>
      </w:pPr>
    </w:p>
    <w:p w14:paraId="42480FE3" w14:textId="77777777" w:rsidR="005E4FD9" w:rsidRDefault="005E4FD9" w:rsidP="008464CA">
      <w:pPr>
        <w:spacing w:line="480" w:lineRule="auto"/>
      </w:pPr>
    </w:p>
    <w:p w14:paraId="105DDEB8" w14:textId="457B202D" w:rsidR="00E540F2" w:rsidRDefault="00E540F2" w:rsidP="008464CA">
      <w:pPr>
        <w:spacing w:line="480" w:lineRule="auto"/>
      </w:pPr>
    </w:p>
    <w:sectPr w:rsidR="00E540F2" w:rsidSect="003E11CD">
      <w:pgSz w:w="11906" w:h="16838"/>
      <w:pgMar w:top="1440" w:right="3686"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4E85E" w14:textId="77777777" w:rsidR="00D679CF" w:rsidRDefault="00D679CF" w:rsidP="002C2BCB">
      <w:r>
        <w:separator/>
      </w:r>
    </w:p>
  </w:endnote>
  <w:endnote w:type="continuationSeparator" w:id="0">
    <w:p w14:paraId="7B4FE61D" w14:textId="77777777" w:rsidR="00D679CF" w:rsidRDefault="00D679CF" w:rsidP="002C2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59AA8" w14:textId="77777777" w:rsidR="00D679CF" w:rsidRDefault="00D679CF" w:rsidP="002C2BCB">
      <w:r>
        <w:separator/>
      </w:r>
    </w:p>
  </w:footnote>
  <w:footnote w:type="continuationSeparator" w:id="0">
    <w:p w14:paraId="6D934529" w14:textId="77777777" w:rsidR="00D679CF" w:rsidRDefault="00D679CF" w:rsidP="002C2BCB">
      <w:r>
        <w:continuationSeparator/>
      </w:r>
    </w:p>
  </w:footnote>
  <w:footnote w:id="1">
    <w:p w14:paraId="56CD6AD6" w14:textId="0C7A6E67" w:rsidR="007D129A" w:rsidRDefault="007D129A">
      <w:pPr>
        <w:pStyle w:val="FootnoteText"/>
      </w:pPr>
      <w:r>
        <w:rPr>
          <w:rStyle w:val="FootnoteReference"/>
        </w:rPr>
        <w:footnoteRef/>
      </w:r>
      <w:r>
        <w:t xml:space="preserve"> </w:t>
      </w:r>
      <w:r>
        <w:fldChar w:fldCharType="begin"/>
      </w:r>
      <w:r w:rsidR="006C1FF8">
        <w:instrText xml:space="preserve"> ADDIN ZOTERO_ITEM CSL_CITATION {"citationID":"mojrQksD","properties":{"formattedCitation":"Angelo Jr Golia, \\uc0\\u8216{}Data Capital Tax within the Puzzle of (Economic) Digital Constitutionalism: Questions for a Comprehensive Research and Policy Agenda\\uc0\\u8217{} ({\\i{}The Digital Constitutionalist}, 23 May 2023) &lt;https://digi-con.org/data-capital-tax-within-the-puzzle-of-economic-digital-constitutionalism-questions-for-a-comprehensive-research-and-policy-agenda/&gt; accessed 15 January 2024.","plainCitation":"Angelo Jr Golia, ‘Data Capital Tax within the Puzzle of (Economic) Digital Constitutionalism: Questions for a Comprehensive Research and Policy Agenda’ (The Digital Constitutionalist, 23 May 2023) &lt;https://digi-con.org/data-capital-tax-within-the-puzzle-of-economic-digital-constitutionalism-questions-for-a-comprehensive-research-and-policy-agenda/&gt; accessed 15 January 2024.","dontUpdate":true,"noteIndex":1},"citationItems":[{"id":8287,"uris":["http://zotero.org/users/985088/items/98J8PFUA"],"itemData":{"id":8287,"type":"post-weblog","abstract":"This blogpost is part of the research project “The principle of progressivity in the digital economy. Possibility for a \"Data Capital Tax\" in Italian and European constitutional law”, funded by the Ministero Università e Ricerca-MUR (Call: MUR_Montalcini 2020). I have greatly profited from conversations with Thomas Streinz, Giovanni De Gregorio, and Oren Perez. I am.","container-title":"The Digital Constitutionalist","genre":"Academic blog","language":"en-US","title":"Data Capital Tax within the Puzzle of (Economic) Digital Constitutionalism: Questions for a Comprehensive Research and Policy Agenda","title-short":"Data Capital Tax within the Puzzle of (Economic) Digital Constitutionalism","URL":"https://digi-con.org/data-capital-tax-within-the-puzzle-of-economic-digital-constitutionalism-questions-for-a-comprehensive-research-and-policy-agenda/","author":[{"family":"Golia","given":"Angelo Jr"}],"accessed":{"date-parts":[["2024",1,15]]},"issued":{"date-parts":[["2023",5,23]]}}}],"schema":"https://github.com/citation-style-language/schema/raw/master/csl-citation.json"} </w:instrText>
      </w:r>
      <w:r>
        <w:fldChar w:fldCharType="separate"/>
      </w:r>
      <w:r w:rsidRPr="007D129A">
        <w:rPr>
          <w:rFonts w:ascii="Calibri" w:cs="Calibri"/>
          <w:lang w:val="en-GB"/>
        </w:rPr>
        <w:t>A Jr Golia, ‘Data Capital Tax within the Puzzle of (Economic) Digital Constitutionalism: Questions for a Comprehensive Research and Policy Agenda’ (</w:t>
      </w:r>
      <w:r w:rsidRPr="00516D15">
        <w:rPr>
          <w:rFonts w:ascii="Calibri" w:cs="Calibri"/>
          <w:lang w:val="en-GB"/>
        </w:rPr>
        <w:t>The Digital Constitutionalist</w:t>
      </w:r>
      <w:r w:rsidR="00516D15">
        <w:rPr>
          <w:rFonts w:ascii="Calibri" w:cs="Calibri"/>
          <w:lang w:val="en-GB"/>
        </w:rPr>
        <w:t xml:space="preserve"> Blog</w:t>
      </w:r>
      <w:r w:rsidRPr="007D129A">
        <w:rPr>
          <w:rFonts w:ascii="Calibri" w:cs="Calibri"/>
          <w:lang w:val="en-GB"/>
        </w:rPr>
        <w:t xml:space="preserve"> 2023) &lt;https://digi-con.org/data-capital-tax-within-the-puzzle-of-economic-digital-constitutionalism-questions-for-a-comprehensive-research-and-policy-agenda/&gt; accessed 15 January 2024.</w:t>
      </w:r>
      <w:r>
        <w:fldChar w:fldCharType="end"/>
      </w:r>
    </w:p>
  </w:footnote>
  <w:footnote w:id="2">
    <w:p w14:paraId="3BE69EA4" w14:textId="7BC15C81" w:rsidR="008B7E05" w:rsidRDefault="008B7E05">
      <w:pPr>
        <w:pStyle w:val="FootnoteText"/>
      </w:pPr>
      <w:r w:rsidRPr="00DC6C94">
        <w:rPr>
          <w:rStyle w:val="FootnoteReference"/>
        </w:rPr>
        <w:footnoteRef/>
      </w:r>
      <w:r>
        <w:t xml:space="preserve"> </w:t>
      </w:r>
      <w:r>
        <w:fldChar w:fldCharType="begin"/>
      </w:r>
      <w:r w:rsidR="006C1FF8">
        <w:instrText xml:space="preserve"> ADDIN ZOTERO_ITEM CSL_CITATION {"citationID":"9jORBBXM","properties":{"formattedCitation":"Jayson Lamchek, \\uc0\\u8216{}Ensuring Data Science and Its Applications Benefit Humanity: Data Monetization and the Right to Science\\uc0\\u8217{} (2023) 23 Human Rights Law Review 1.","plainCitation":"Jayson Lamchek, ‘Ensuring Data Science and Its Applications Benefit Humanity: Data Monetization and the Right to Science’ (2023) 23 Human Rights Law Review 1.","dontUpdate":true,"noteIndex":3},"citationItems":[{"id":8234,"uris":["http://zotero.org/users/985088/items/SAQ7BD2S"],"itemData":{"id":8234,"type":"article-journal","abstract":"This paper analyses the human right to science (RtS) in relation to data science (DS) and its applications, particularly, data monetization. It advances an approach that balances three aspects of RtS, namely, protection from harmful science, benefit-sharing and participation in science and derives three corresponding sets of state duties. First, RtS implies the duty to end data monetization in so far as it entails practices harmful to human rights, including unlawful interference with privacy. Second, while data monetization exists, RtS entails the duty to distribute monetary benefits through an RtS-based universal basic income (UBI). Third, RtS entails the duty to facilitate ordinary people’s participation in DS and prioritize non-profit pro-social uses of DS as in citizen or community DS. The proposed RtS analysis of DS engages policy responses to artificial intelligence (AI) and material inequality, namely, AI regulation, monetary benefits from data, UBI and the ‘data for good’ movement. No new data were generated or analysed in support of this research.","container-title":"Human Rights Law Review","DOI":"10.1093/hrlr/ngad018","ISSN":"1461-7781","issue":"3","journalAbbreviation":"Human Rights Law Review","page":"1-23","source":"Silverchair","title":"Ensuring Data Science and Its Applications Benefit Humanity: Data Monetization and the Right to Science","title-short":"Ensuring Data Science and Its Applications Benefit Humanity","volume":"23","author":[{"family":"Lamchek","given":"Jayson"}],"issued":{"date-parts":[["2023",9,1]]}}}],"schema":"https://github.com/citation-style-language/schema/raw/master/csl-citation.json"} </w:instrText>
      </w:r>
      <w:r>
        <w:fldChar w:fldCharType="separate"/>
      </w:r>
      <w:r w:rsidR="001213DF" w:rsidRPr="001213DF">
        <w:rPr>
          <w:rFonts w:ascii="Calibri" w:cs="Calibri"/>
          <w:lang w:val="en-GB"/>
        </w:rPr>
        <w:t>J Lamchek, ‘Ensuring Data Science and Its Applications Benefit Humanity: Data Monetization and the Right to Science’ 23</w:t>
      </w:r>
      <w:r w:rsidR="00B76750">
        <w:rPr>
          <w:rFonts w:ascii="Calibri" w:cs="Calibri"/>
          <w:lang w:val="en-GB"/>
        </w:rPr>
        <w:t xml:space="preserve"> </w:t>
      </w:r>
      <w:r w:rsidR="00B76750" w:rsidRPr="001213DF">
        <w:rPr>
          <w:rFonts w:ascii="Calibri" w:cs="Calibri"/>
          <w:lang w:val="en-GB"/>
        </w:rPr>
        <w:t>(2023)</w:t>
      </w:r>
      <w:r w:rsidR="001213DF" w:rsidRPr="001213DF">
        <w:rPr>
          <w:rFonts w:ascii="Calibri" w:cs="Calibri"/>
          <w:lang w:val="en-GB"/>
        </w:rPr>
        <w:t xml:space="preserve"> Human Rights Law Review 1</w:t>
      </w:r>
      <w:r w:rsidR="00516D15">
        <w:rPr>
          <w:rFonts w:ascii="Calibri" w:cs="Calibri"/>
          <w:lang w:val="en-GB"/>
        </w:rPr>
        <w:t>-23</w:t>
      </w:r>
      <w:r w:rsidR="001213DF" w:rsidRPr="001213DF">
        <w:rPr>
          <w:rFonts w:ascii="Calibri" w:cs="Calibri"/>
          <w:lang w:val="en-GB"/>
        </w:rPr>
        <w:t>.</w:t>
      </w:r>
      <w:r>
        <w:fldChar w:fldCharType="end"/>
      </w:r>
    </w:p>
  </w:footnote>
  <w:footnote w:id="3">
    <w:p w14:paraId="3B0BD125" w14:textId="433BD5C1" w:rsidR="00F2003B" w:rsidRPr="00682D9B" w:rsidRDefault="00F2003B" w:rsidP="00682D9B">
      <w:pPr>
        <w:rPr>
          <w:rFonts w:ascii="Arial" w:eastAsia="Times New Roman" w:hAnsi="Arial" w:cs="Arial"/>
          <w:sz w:val="22"/>
          <w:szCs w:val="22"/>
          <w:lang w:eastAsia="en-GB"/>
        </w:rPr>
      </w:pPr>
      <w:r>
        <w:rPr>
          <w:rStyle w:val="FootnoteReference"/>
        </w:rPr>
        <w:footnoteRef/>
      </w:r>
      <w:r>
        <w:t xml:space="preserve"> </w:t>
      </w:r>
      <w:r w:rsidR="006C1FF8" w:rsidRPr="00682D9B">
        <w:rPr>
          <w:rFonts w:ascii="Aptos" w:hAnsi="Aptos"/>
          <w:sz w:val="20"/>
          <w:szCs w:val="20"/>
        </w:rPr>
        <w:t>A</w:t>
      </w:r>
      <w:r w:rsidRPr="00682D9B">
        <w:rPr>
          <w:rFonts w:ascii="Aptos" w:hAnsi="Aptos"/>
          <w:sz w:val="20"/>
          <w:szCs w:val="20"/>
        </w:rPr>
        <w:t xml:space="preserve"> ‘Pigouvian tax’</w:t>
      </w:r>
      <w:r w:rsidR="006C1FF8" w:rsidRPr="00682D9B">
        <w:rPr>
          <w:rFonts w:ascii="Aptos" w:hAnsi="Aptos"/>
          <w:sz w:val="20"/>
          <w:szCs w:val="20"/>
        </w:rPr>
        <w:t xml:space="preserve"> is a tax on firms that engage in activities like smoking or environmental pollution that result in social costs or what economists call negative externalities. The </w:t>
      </w:r>
      <w:r w:rsidR="006C1FF8" w:rsidRPr="00682D9B">
        <w:rPr>
          <w:rFonts w:ascii="Aptos" w:eastAsia="Times New Roman" w:hAnsi="Aptos" w:cs="Arial"/>
          <w:sz w:val="20"/>
          <w:szCs w:val="20"/>
          <w:lang w:eastAsia="en-GB"/>
        </w:rPr>
        <w:t>tax can be seen as a fee imposed on an actor equal in amount to the expected social costs of that activity, ensuring that the activity takes place only to the extent i</w:t>
      </w:r>
      <w:r w:rsidR="00620B74" w:rsidRPr="00682D9B">
        <w:rPr>
          <w:rFonts w:ascii="Aptos" w:eastAsia="Times New Roman" w:hAnsi="Aptos" w:cs="Arial"/>
          <w:sz w:val="20"/>
          <w:szCs w:val="20"/>
          <w:lang w:eastAsia="en-GB"/>
        </w:rPr>
        <w:t>t</w:t>
      </w:r>
      <w:r w:rsidR="006C1FF8" w:rsidRPr="00682D9B">
        <w:rPr>
          <w:rFonts w:ascii="Aptos" w:eastAsia="Times New Roman" w:hAnsi="Aptos" w:cs="Arial"/>
          <w:sz w:val="20"/>
          <w:szCs w:val="20"/>
          <w:lang w:eastAsia="en-GB"/>
        </w:rPr>
        <w:t xml:space="preserve"> produces some good that exceeds the expected social cost</w:t>
      </w:r>
      <w:r w:rsidR="00620B74" w:rsidRPr="00682D9B">
        <w:rPr>
          <w:rFonts w:ascii="Aptos" w:eastAsia="Times New Roman" w:hAnsi="Aptos" w:cs="Arial"/>
          <w:sz w:val="20"/>
          <w:szCs w:val="20"/>
          <w:lang w:eastAsia="en-GB"/>
        </w:rPr>
        <w:t>s</w:t>
      </w:r>
      <w:r w:rsidR="006C1FF8" w:rsidRPr="00682D9B">
        <w:rPr>
          <w:rFonts w:ascii="Aptos" w:eastAsia="Times New Roman" w:hAnsi="Aptos" w:cs="Arial"/>
          <w:sz w:val="20"/>
          <w:szCs w:val="20"/>
          <w:lang w:eastAsia="en-GB"/>
        </w:rPr>
        <w:t xml:space="preserve">. </w:t>
      </w:r>
      <w:r w:rsidR="006C1FF8" w:rsidRPr="00682D9B">
        <w:rPr>
          <w:rFonts w:ascii="Aptos" w:eastAsia="Times New Roman" w:hAnsi="Aptos" w:cs="Arial"/>
          <w:sz w:val="20"/>
          <w:szCs w:val="20"/>
          <w:lang w:eastAsia="en-GB"/>
        </w:rPr>
        <w:fldChar w:fldCharType="begin"/>
      </w:r>
      <w:r w:rsidR="006C1FF8" w:rsidRPr="00682D9B">
        <w:rPr>
          <w:rFonts w:ascii="Aptos" w:eastAsia="Times New Roman" w:hAnsi="Aptos" w:cs="Arial"/>
          <w:sz w:val="20"/>
          <w:szCs w:val="20"/>
          <w:lang w:eastAsia="en-GB"/>
        </w:rPr>
        <w:instrText xml:space="preserve"> ADDIN ZOTERO_ITEM CSL_CITATION {"citationID":"kqB0tQwT","properties":{"formattedCitation":"Jonathan S Masur and Eric A Posner, \\uc0\\u8216{}Toward a Pigouvian State\\uc0\\u8217{} (20151201) 164 University of Pennsylvania Law Review 93.","plainCitation":"Jonathan S Masur and Eric A Posner, ‘Toward a Pigouvian State’ (20151201) 164 University of Pennsylvania Law Review 93.","noteIndex":4},"citationItems":[{"id":8412,"uris":["http://zotero.org/users/985088/items/JA9B8Q2X"],"itemData":{"id":8412,"type":"article-journal","container-title":"University of Pennsylvania Law Review","ISSN":"00419907","issue":"Issue 1","language":"en","page":"93-148","source":"research.ebsco.com","title":"Toward a Pigouvian State","volume":"164","author":[{"family":"Masur","given":"Jonathan S."},{"family":"Posner","given":"Eric A."}],"issued":{"literal":"20151201"}}}],"schema":"https://github.com/citation-style-language/schema/raw/master/csl-citation.json"} </w:instrText>
      </w:r>
      <w:r w:rsidR="006C1FF8" w:rsidRPr="00682D9B">
        <w:rPr>
          <w:rFonts w:ascii="Aptos" w:eastAsia="Times New Roman" w:hAnsi="Aptos" w:cs="Arial"/>
          <w:sz w:val="20"/>
          <w:szCs w:val="20"/>
          <w:lang w:eastAsia="en-GB"/>
        </w:rPr>
        <w:fldChar w:fldCharType="separate"/>
      </w:r>
      <w:r w:rsidR="006C1FF8" w:rsidRPr="00682D9B">
        <w:rPr>
          <w:rFonts w:ascii="Aptos" w:hAnsi="Aptos" w:cs="Arial"/>
          <w:sz w:val="20"/>
          <w:szCs w:val="20"/>
          <w:lang w:val="en-GB"/>
        </w:rPr>
        <w:t xml:space="preserve">J Masur and E Posner, ‘Toward a Pigouvian State’ </w:t>
      </w:r>
      <w:r w:rsidR="00682D9B">
        <w:rPr>
          <w:rFonts w:ascii="Aptos" w:hAnsi="Aptos" w:cs="Arial"/>
          <w:sz w:val="20"/>
          <w:szCs w:val="20"/>
          <w:lang w:val="en-GB"/>
        </w:rPr>
        <w:t xml:space="preserve">164 (1) </w:t>
      </w:r>
      <w:r w:rsidR="006C1FF8" w:rsidRPr="00682D9B">
        <w:rPr>
          <w:rFonts w:ascii="Aptos" w:hAnsi="Aptos" w:cs="Arial"/>
          <w:sz w:val="20"/>
          <w:szCs w:val="20"/>
          <w:lang w:val="en-GB"/>
        </w:rPr>
        <w:t>(2015) 164 University of Pennsylvania Law Review 93.</w:t>
      </w:r>
      <w:r w:rsidR="006C1FF8" w:rsidRPr="00682D9B">
        <w:rPr>
          <w:rFonts w:ascii="Aptos" w:eastAsia="Times New Roman" w:hAnsi="Aptos" w:cs="Arial"/>
          <w:sz w:val="20"/>
          <w:szCs w:val="20"/>
          <w:lang w:eastAsia="en-GB"/>
        </w:rPr>
        <w:fldChar w:fldCharType="end"/>
      </w:r>
    </w:p>
  </w:footnote>
  <w:footnote w:id="4">
    <w:p w14:paraId="3EE9096F" w14:textId="698425C0" w:rsidR="008B7E05" w:rsidRDefault="008B7E05">
      <w:pPr>
        <w:pStyle w:val="FootnoteText"/>
      </w:pPr>
      <w:r w:rsidRPr="00DC6C94">
        <w:rPr>
          <w:rStyle w:val="FootnoteReference"/>
        </w:rPr>
        <w:footnoteRef/>
      </w:r>
      <w:r>
        <w:t xml:space="preserve"> </w:t>
      </w:r>
      <w:r>
        <w:fldChar w:fldCharType="begin"/>
      </w:r>
      <w:r w:rsidR="006C1FF8">
        <w:instrText xml:space="preserve"> ADDIN ZOTERO_ITEM CSL_CITATION {"citationID":"UQ8ppP8M","properties":{"formattedCitation":"Philip Alston, \\uc0\\u8216{}Tax Policy Is Human Rights Policy: The Irish Debate\\uc0\\u8217{}; Philip Alston and Nikki Reisch (eds), {\\i{}Tax, Inequality, and Human Rights} (Oxford University Press 2019).","plainCitation":"Philip Alston, ‘Tax Policy Is Human Rights Policy: The Irish Debate’; Philip Alston and Nikki Reisch (eds), Tax, Inequality, and Human Rights (Oxford University Press 2019).","dontUpdate":true,"noteIndex":5},"citationItems":[{"id":1234,"uris":["http://zotero.org/users/985088/items/F5DADL7I"],"itemData":{"id":1234,"type":"document","title":"Tax Policy is Human Rights Policy: The Irish Debate","author":[{"family":"Alston","given":"Philip"}],"issued":{"date-parts":[["2015",2,12]]}}},{"id":1232,"uris":["http://zotero.org/users/985088/items/L9LI8GMI"],"itemData":{"id":1232,"type":"book","event-place":"New York","publisher":"Oxford University Press","publisher-place":"New York","title":"Tax, Inequality, and Human Rights","editor":[{"family":"Alston","given":"Philip"},{"family":"Reisch","given":"Nikki"}],"issued":{"date-parts":[["2019"]]}}}],"schema":"https://github.com/citation-style-language/schema/raw/master/csl-citation.json"} </w:instrText>
      </w:r>
      <w:r>
        <w:fldChar w:fldCharType="separate"/>
      </w:r>
      <w:r w:rsidRPr="008B7E05">
        <w:rPr>
          <w:rFonts w:ascii="Calibri" w:cs="Calibri"/>
          <w:lang w:val="en-GB"/>
        </w:rPr>
        <w:t xml:space="preserve">P Alston, ‘Tax Policy </w:t>
      </w:r>
      <w:r w:rsidR="00F35660">
        <w:rPr>
          <w:rFonts w:ascii="Calibri" w:cs="Calibri"/>
          <w:lang w:val="en-GB"/>
        </w:rPr>
        <w:t>i</w:t>
      </w:r>
      <w:r w:rsidRPr="008B7E05">
        <w:rPr>
          <w:rFonts w:ascii="Calibri" w:cs="Calibri"/>
          <w:lang w:val="en-GB"/>
        </w:rPr>
        <w:t>s Human Rights Policy: The Irish Debate’</w:t>
      </w:r>
      <w:r w:rsidR="006E14E5">
        <w:rPr>
          <w:rFonts w:ascii="Calibri" w:cs="Calibri"/>
          <w:lang w:val="en-GB"/>
        </w:rPr>
        <w:t xml:space="preserve">, </w:t>
      </w:r>
      <w:r w:rsidR="006E14E5" w:rsidRPr="006E14E5">
        <w:rPr>
          <w:rFonts w:ascii="Calibri" w:cs="Calibri"/>
          <w:lang w:val="en-US"/>
        </w:rPr>
        <w:t>12 February 2015</w:t>
      </w:r>
      <w:r w:rsidRPr="008B7E05">
        <w:rPr>
          <w:rFonts w:ascii="Calibri" w:cs="Calibri"/>
          <w:lang w:val="en-GB"/>
        </w:rPr>
        <w:t xml:space="preserve">; P Alston and N Reisch (eds), </w:t>
      </w:r>
      <w:r w:rsidRPr="008B7E05">
        <w:rPr>
          <w:rFonts w:ascii="Calibri" w:cs="Calibri"/>
          <w:i/>
          <w:iCs/>
          <w:lang w:val="en-GB"/>
        </w:rPr>
        <w:t>Tax, Inequality, and Human Rights</w:t>
      </w:r>
      <w:r w:rsidRPr="008B7E05">
        <w:rPr>
          <w:rFonts w:ascii="Calibri" w:cs="Calibri"/>
          <w:lang w:val="en-GB"/>
        </w:rPr>
        <w:t xml:space="preserve"> (Oxford University Press 2019).</w:t>
      </w:r>
      <w:r>
        <w:fldChar w:fldCharType="end"/>
      </w:r>
    </w:p>
  </w:footnote>
  <w:footnote w:id="5">
    <w:p w14:paraId="01B77E57" w14:textId="0DA93263" w:rsidR="008B7E05" w:rsidRDefault="008B7E05">
      <w:pPr>
        <w:pStyle w:val="FootnoteText"/>
      </w:pPr>
      <w:r w:rsidRPr="00DC6C94">
        <w:rPr>
          <w:rStyle w:val="FootnoteReference"/>
        </w:rPr>
        <w:footnoteRef/>
      </w:r>
      <w:r>
        <w:t xml:space="preserve"> </w:t>
      </w:r>
      <w:r>
        <w:fldChar w:fldCharType="begin"/>
      </w:r>
      <w:r w:rsidR="006C1FF8">
        <w:instrText xml:space="preserve"> ADDIN ZOTERO_ITEM CSL_CITATION {"citationID":"7q8zghnn","properties":{"formattedCitation":"UN Committeee on the Rights of the Child, \\uc0\\u8216{}Concluding Observations on the Combined Fifth and Sixth Periodic Reports of Ireland\\uc0\\u8217{}.","plainCitation":"UN Committeee on the Rights of the Child, ‘Concluding Observations on the Combined Fifth and Sixth Periodic Reports of Ireland’.","dontUpdate":true,"noteIndex":6},"citationItems":[{"id":8239,"uris":["http://zotero.org/users/985088/items/WIFT6PT8"],"itemData":{"id":8239,"type":"document","publisher":"United Nations","title":"Concluding observations on the combined fifth and sixth periodic reports of Ireland","author":[{"family":"UN Committeee on the Rights of the Child","given":""}],"issued":{"date-parts":[["2023",2,28]]}}}],"schema":"https://github.com/citation-style-language/schema/raw/master/csl-citation.json"} </w:instrText>
      </w:r>
      <w:r>
        <w:fldChar w:fldCharType="separate"/>
      </w:r>
      <w:r w:rsidRPr="008B7E05">
        <w:rPr>
          <w:rFonts w:ascii="Calibri" w:cs="Calibri"/>
          <w:lang w:val="en-GB"/>
        </w:rPr>
        <w:t>UN Committee on the Rights of the Child, ‘Concluding Observations on the Combined Fifth and Sixth Periodic Reports of Ireland’</w:t>
      </w:r>
      <w:r w:rsidR="00656095">
        <w:rPr>
          <w:rFonts w:ascii="Calibri" w:cs="Calibri"/>
          <w:lang w:val="en-GB"/>
        </w:rPr>
        <w:t xml:space="preserve">, </w:t>
      </w:r>
      <w:r w:rsidR="00656095" w:rsidRPr="00656095">
        <w:rPr>
          <w:rFonts w:ascii="Calibri" w:cs="Calibri"/>
          <w:lang w:val="en-GB"/>
        </w:rPr>
        <w:t>CRC/C/IRL/CO/5-6</w:t>
      </w:r>
      <w:r w:rsidR="00656095">
        <w:rPr>
          <w:rFonts w:ascii="Calibri" w:cs="Calibri"/>
          <w:lang w:val="en-GB"/>
        </w:rPr>
        <w:t>, 28 Feb 2023</w:t>
      </w:r>
      <w:r w:rsidRPr="008B7E05">
        <w:rPr>
          <w:rFonts w:ascii="Calibri" w:cs="Calibri"/>
          <w:lang w:val="en-GB"/>
        </w:rPr>
        <w:t>.</w:t>
      </w:r>
      <w:r>
        <w:fldChar w:fldCharType="end"/>
      </w:r>
    </w:p>
  </w:footnote>
  <w:footnote w:id="6">
    <w:p w14:paraId="7F64AAA3" w14:textId="2EFEA834" w:rsidR="008B7E05" w:rsidRDefault="008B7E05">
      <w:pPr>
        <w:pStyle w:val="FootnoteText"/>
      </w:pPr>
      <w:r w:rsidRPr="00DC6C94">
        <w:rPr>
          <w:rStyle w:val="FootnoteReference"/>
        </w:rPr>
        <w:footnoteRef/>
      </w:r>
      <w:r>
        <w:t xml:space="preserve"> </w:t>
      </w:r>
      <w:r>
        <w:fldChar w:fldCharType="begin"/>
      </w:r>
      <w:r w:rsidR="006C1FF8">
        <w:instrText xml:space="preserve"> ADDIN ZOTERO_ITEM CSL_CITATION {"citationID":"JsznfSGj","properties":{"formattedCitation":"Philip Alston, \\uc0\\u8216{}Universal Basic Income as a Social Rights-Based Antidote to Growing Economic Insecurity\\uc0\\u8217{} in Katherine Young (ed), {\\i{}The Future of Economic and Social Rights} (Cambridge University Press 2019).","plainCitation":"Philip Alston, ‘Universal Basic Income as a Social Rights-Based Antidote to Growing Economic Insecurity’ in Katherine Young (ed), The Future of Economic and Social Rights (Cambridge University Press 2019).","dontUpdate":true,"noteIndex":7},"citationItems":[{"id":1339,"uris":["http://zotero.org/users/985088/items/4HNVDBHW"],"itemData":{"id":1339,"type":"chapter","container-title":"The Future of Economic and Social Rights","event-place":"Cambridge, U.K.","page":"377-404","publisher":"Cambridge University Press","publisher-place":"Cambridge, U.K.","title":"Universal Basic Income as a Social Rights-Based Antidote to Growing Economic Insecurity","author":[{"family":"Alston","given":"Philip"}],"editor":[{"family":"Young","given":"Katherine"}],"issued":{"date-parts":[["2019"]]}}}],"schema":"https://github.com/citation-style-language/schema/raw/master/csl-citation.json"} </w:instrText>
      </w:r>
      <w:r>
        <w:fldChar w:fldCharType="separate"/>
      </w:r>
      <w:r w:rsidRPr="008B7E05">
        <w:rPr>
          <w:rFonts w:ascii="Calibri" w:cs="Calibri"/>
          <w:lang w:val="en-GB"/>
        </w:rPr>
        <w:t xml:space="preserve">P Alston, ‘Universal Basic Income as a Social Rights-Based Antidote to Growing Economic Insecurity’ in K Young (ed), </w:t>
      </w:r>
      <w:r w:rsidRPr="008B7E05">
        <w:rPr>
          <w:rFonts w:ascii="Calibri" w:cs="Calibri"/>
          <w:i/>
          <w:iCs/>
          <w:lang w:val="en-GB"/>
        </w:rPr>
        <w:t>The Future of Economic and Social Rights</w:t>
      </w:r>
      <w:r w:rsidRPr="008B7E05">
        <w:rPr>
          <w:rFonts w:ascii="Calibri" w:cs="Calibri"/>
          <w:lang w:val="en-GB"/>
        </w:rPr>
        <w:t xml:space="preserve"> (Cambridge University Press 2019)</w:t>
      </w:r>
      <w:r w:rsidR="006E14E5">
        <w:rPr>
          <w:rFonts w:ascii="Calibri" w:cs="Calibri"/>
          <w:lang w:val="en-GB"/>
        </w:rPr>
        <w:t xml:space="preserve"> 377-404</w:t>
      </w:r>
      <w:r w:rsidRPr="008B7E05">
        <w:rPr>
          <w:rFonts w:ascii="Calibri" w:cs="Calibri"/>
          <w:lang w:val="en-GB"/>
        </w:rPr>
        <w:t>.</w:t>
      </w:r>
      <w:r>
        <w:fldChar w:fldCharType="end"/>
      </w:r>
    </w:p>
  </w:footnote>
  <w:footnote w:id="7">
    <w:p w14:paraId="7E6DD9E2" w14:textId="3F88EAB8" w:rsidR="008B7E05" w:rsidRDefault="008B7E05">
      <w:pPr>
        <w:pStyle w:val="FootnoteText"/>
      </w:pPr>
      <w:r w:rsidRPr="00DC6C94">
        <w:rPr>
          <w:rStyle w:val="FootnoteReference"/>
        </w:rPr>
        <w:footnoteRef/>
      </w:r>
      <w:r>
        <w:t xml:space="preserve"> </w:t>
      </w:r>
      <w:r>
        <w:fldChar w:fldCharType="begin"/>
      </w:r>
      <w:r w:rsidR="006C1FF8">
        <w:instrText xml:space="preserve"> ADDIN ZOTERO_ITEM CSL_CITATION {"citationID":"t2Hvz8GW","properties":{"formattedCitation":"Philip Harvey, \\uc0\\u8216{}A Basic Income Guarantee Cannot Secure Either the Right to Work or Income Security Recognized in the Universal Declaration of Human Rights But There Is a Strategy That Can at Far Lower Cost\\uc0\\u8217{} in Daniel S Soucier (ed), {\\i{}Universal Basic Income Roundtable} (The University of Maine Margaret Chase Smith Policy Center 2019).","plainCitation":"Philip Harvey, ‘A Basic Income Guarantee Cannot Secure Either the Right to Work or Income Security Recognized in the Universal Declaration of Human Rights But There Is a Strategy That Can at Far Lower Cost’ in Daniel S Soucier (ed), Universal Basic Income Roundtable (The University of Maine Margaret Chase Smith Policy Center 2019).","dontUpdate":true,"noteIndex":8},"citationItems":[{"id":8243,"uris":["http://zotero.org/users/985088/items/P53QIWZ8"],"itemData":{"id":8243,"type":"chapter","container-title":"Universal Basic Income Roundtable","event-place":"Orono, ME","language":"en","page":"13-16","publisher":"The University of Maine Margaret Chase Smith Policy Center","publisher-place":"Orono, ME","source":"Zotero","title":"A Basic Income Guarantee Cannot Secure Either the Right to Work or Income Security Recognized in the Universal Declaration of Human Rights But There Is a Strategy That Can at Far Lower Cost","editor":[{"family":"Soucier","given":"Daniel S"}],"author":[{"family":"Harvey","given":"Philip"}],"issued":{"date-parts":[["2019"]]}}}],"schema":"https://github.com/citation-style-language/schema/raw/master/csl-citation.json"} </w:instrText>
      </w:r>
      <w:r>
        <w:fldChar w:fldCharType="separate"/>
      </w:r>
      <w:r w:rsidRPr="008B7E05">
        <w:rPr>
          <w:rFonts w:ascii="Calibri" w:cs="Calibri"/>
          <w:lang w:val="en-GB"/>
        </w:rPr>
        <w:t xml:space="preserve">P Harvey, ‘A Basic Income Guarantee Cannot Secure Either the Right to Work or Income Security Recognized in the Universal Declaration of Human Rights </w:t>
      </w:r>
      <w:r w:rsidR="00682D9B" w:rsidRPr="008B7E05">
        <w:rPr>
          <w:rFonts w:ascii="Calibri" w:cs="Calibri"/>
          <w:lang w:val="en-GB"/>
        </w:rPr>
        <w:t>but</w:t>
      </w:r>
      <w:r w:rsidRPr="008B7E05">
        <w:rPr>
          <w:rFonts w:ascii="Calibri" w:cs="Calibri"/>
          <w:lang w:val="en-GB"/>
        </w:rPr>
        <w:t xml:space="preserve"> There </w:t>
      </w:r>
      <w:r w:rsidR="00F35660">
        <w:rPr>
          <w:rFonts w:ascii="Calibri" w:cs="Calibri"/>
          <w:lang w:val="en-GB"/>
        </w:rPr>
        <w:t>i</w:t>
      </w:r>
      <w:r w:rsidRPr="008B7E05">
        <w:rPr>
          <w:rFonts w:ascii="Calibri" w:cs="Calibri"/>
          <w:lang w:val="en-GB"/>
        </w:rPr>
        <w:t xml:space="preserve">s a Strategy </w:t>
      </w:r>
      <w:r w:rsidR="00F35660">
        <w:rPr>
          <w:rFonts w:ascii="Calibri" w:cs="Calibri"/>
          <w:lang w:val="en-GB"/>
        </w:rPr>
        <w:t>t</w:t>
      </w:r>
      <w:r w:rsidRPr="008B7E05">
        <w:rPr>
          <w:rFonts w:ascii="Calibri" w:cs="Calibri"/>
          <w:lang w:val="en-GB"/>
        </w:rPr>
        <w:t xml:space="preserve">hat Can at Far Lower Cost’ in D Soucier (ed), </w:t>
      </w:r>
      <w:r w:rsidRPr="008B7E05">
        <w:rPr>
          <w:rFonts w:ascii="Calibri" w:cs="Calibri"/>
          <w:i/>
          <w:iCs/>
          <w:lang w:val="en-GB"/>
        </w:rPr>
        <w:t>Universal Basic Income Roundtable</w:t>
      </w:r>
      <w:r w:rsidRPr="008B7E05">
        <w:rPr>
          <w:rFonts w:ascii="Calibri" w:cs="Calibri"/>
          <w:lang w:val="en-GB"/>
        </w:rPr>
        <w:t xml:space="preserve"> (The University of Maine Margaret Chase Smith Policy Center 2019)</w:t>
      </w:r>
      <w:r w:rsidR="006E14E5">
        <w:rPr>
          <w:rFonts w:ascii="Calibri" w:cs="Calibri"/>
          <w:lang w:val="en-GB"/>
        </w:rPr>
        <w:t xml:space="preserve"> 13-16</w:t>
      </w:r>
      <w:r w:rsidRPr="008B7E05">
        <w:rPr>
          <w:rFonts w:ascii="Calibri" w:cs="Calibri"/>
          <w:lang w:val="en-GB"/>
        </w:rPr>
        <w:t>.</w:t>
      </w:r>
      <w:r>
        <w:fldChar w:fldCharType="end"/>
      </w:r>
    </w:p>
  </w:footnote>
  <w:footnote w:id="8">
    <w:p w14:paraId="101B859C" w14:textId="7EF3E970" w:rsidR="002C2BCB" w:rsidRDefault="002C2BCB" w:rsidP="002C2BCB">
      <w:pPr>
        <w:pStyle w:val="FootnoteText"/>
      </w:pPr>
      <w:r w:rsidRPr="00DC6C94">
        <w:rPr>
          <w:rStyle w:val="FootnoteReference"/>
        </w:rPr>
        <w:footnoteRef/>
      </w:r>
      <w:r>
        <w:t xml:space="preserve"> Harvey argued that while UBI might</w:t>
      </w:r>
      <w:r w:rsidRPr="008C680B">
        <w:t xml:space="preserve"> </w:t>
      </w:r>
      <w:r>
        <w:t>allow</w:t>
      </w:r>
      <w:r w:rsidRPr="008C680B">
        <w:t xml:space="preserve"> </w:t>
      </w:r>
      <w:r>
        <w:t>the unemployed</w:t>
      </w:r>
      <w:r w:rsidRPr="008C680B">
        <w:t xml:space="preserve"> to survive, </w:t>
      </w:r>
      <w:r>
        <w:t>which is a great help</w:t>
      </w:r>
      <w:r w:rsidRPr="008C680B">
        <w:t>, it</w:t>
      </w:r>
      <w:r>
        <w:t xml:space="preserve"> wouldn’t</w:t>
      </w:r>
      <w:r w:rsidRPr="008C680B">
        <w:t xml:space="preserve"> </w:t>
      </w:r>
      <w:r>
        <w:t>ensure that she could get a</w:t>
      </w:r>
      <w:r w:rsidRPr="008C680B">
        <w:t xml:space="preserve"> job </w:t>
      </w:r>
      <w:r>
        <w:t>if she desired</w:t>
      </w:r>
      <w:r w:rsidRPr="008C680B">
        <w:t xml:space="preserve"> one</w:t>
      </w:r>
      <w:r>
        <w:t xml:space="preserve"> to augment her UBI and obtain the other social and psychological rewards of having a job.</w:t>
      </w:r>
      <w:r w:rsidR="00656095">
        <w:t xml:space="preserve"> Ibid.</w:t>
      </w:r>
      <w:r>
        <w:t xml:space="preserve"> However, given that many jobs tend to be unfulfilling in reality, such critiques tend to overstate the advantage of having any job whatsoever; it also ignores some experimental evidence that UBI actually leads to higher employment. In this regard, Standing</w:t>
      </w:r>
      <w:r w:rsidR="006E14E5" w:rsidRPr="006E14E5">
        <w:t xml:space="preserve"> </w:t>
      </w:r>
      <w:r w:rsidR="006E14E5">
        <w:t>has argued that the ability of workers to refuse unfulfilling jobs, an ability which can come from receipt of UBI, impacts positively on the creation of meaningful jobs. G Standing,</w:t>
      </w:r>
      <w:r>
        <w:t xml:space="preserve"> </w:t>
      </w:r>
      <w:r>
        <w:fldChar w:fldCharType="begin"/>
      </w:r>
      <w:r w:rsidR="006C1FF8">
        <w:instrText xml:space="preserve"> ADDIN ZOTERO_ITEM CSL_CITATION {"citationID":"MrEDkJNg","properties":{"formattedCitation":"\\uc0\\u8216{}Why a Basic Income Is Necessary for a Right to Work\\uc0\\u8217{} (2013) 7 Basic Income Studies 19.","plainCitation":"‘Why a Basic Income Is Necessary for a Right to Work’ (2013) 7 Basic Income Studies 19.","dontUpdate":true,"noteIndex":9},"citationItems":[{"id":8244,"uris":["http://zotero.org/users/985088/items/G2YJ6CDH"],"itemData":{"id":8244,"type":"article-journal","container-title":"Basic Income Studies","issue":"2","page":"19-40","title":"Why a basic income is necessary for a right to work","volume":"7","author":[{"family":"Standing","given":"Guy"}],"issued":{"date-parts":[["2013"]]}},"label":"page","suppress-author":true}],"schema":"https://github.com/citation-style-language/schema/raw/master/csl-citation.json"} </w:instrText>
      </w:r>
      <w:r>
        <w:fldChar w:fldCharType="separate"/>
      </w:r>
      <w:r w:rsidR="008B7E05" w:rsidRPr="008B7E05">
        <w:rPr>
          <w:rFonts w:ascii="Calibri" w:cs="Calibri"/>
          <w:lang w:val="en-GB"/>
        </w:rPr>
        <w:t>‘Why a Basic Income Is Necessary for a Right to Work’ (2013) 7 Basic Income Studies 19</w:t>
      </w:r>
      <w:r w:rsidR="006E14E5">
        <w:rPr>
          <w:rFonts w:ascii="Calibri" w:cs="Calibri"/>
          <w:lang w:val="en-GB"/>
        </w:rPr>
        <w:t>-40</w:t>
      </w:r>
      <w:r w:rsidR="008B7E05" w:rsidRPr="008B7E05">
        <w:rPr>
          <w:rFonts w:ascii="Calibri" w:cs="Calibri"/>
          <w:lang w:val="en-GB"/>
        </w:rPr>
        <w:t>.</w:t>
      </w:r>
      <w:r>
        <w:fldChar w:fldCharType="end"/>
      </w:r>
      <w:r>
        <w:t xml:space="preserve"> </w:t>
      </w:r>
    </w:p>
  </w:footnote>
  <w:footnote w:id="9">
    <w:p w14:paraId="32D68E2F" w14:textId="5B71C3E4" w:rsidR="008B7E05" w:rsidRDefault="008B7E05">
      <w:pPr>
        <w:pStyle w:val="FootnoteText"/>
      </w:pPr>
      <w:r w:rsidRPr="00DC6C94">
        <w:rPr>
          <w:rStyle w:val="FootnoteReference"/>
        </w:rPr>
        <w:footnoteRef/>
      </w:r>
      <w:r>
        <w:t xml:space="preserve"> </w:t>
      </w:r>
      <w:r>
        <w:fldChar w:fldCharType="begin"/>
      </w:r>
      <w:r w:rsidR="006C1FF8">
        <w:instrText xml:space="preserve"> ADDIN ZOTERO_ITEM CSL_CITATION {"citationID":"TiOem80a","properties":{"formattedCitation":"Jayson Lamchek, \\uc0\\u8216{}Funding Social Protection from Data After COVID-19: Potential Contribution of the Right to Benefit from Scientific Progress\\uc0\\u8217{} in Taha Chaiechi and Jacob Woods (eds), {\\i{}Community Empowerment, Sustainable Cities and Transformative Economies} (Springer 2022).","plainCitation":"Jayson Lamchek, ‘Funding Social Protection from Data After COVID-19: Potential Contribution of the Right to Benefit from Scientific Progress’ in Taha Chaiechi and Jacob Woods (eds), Community Empowerment, Sustainable Cities and Transformative Economies (Springer 2022).","dontUpdate":true,"noteIndex":10},"citationItems":[{"id":8233,"uris":["http://zotero.org/users/985088/items/N3437PUV"],"itemData":{"id":8233,"type":"chapter","container-title":"Community Empowerment, Sustainable Cities and Transformative Economies","event-place":"Singapore","page":"571-585","publisher":"Springer","publisher-place":"Singapore","title":"Funding Social Protection from Data After COVID-19: Potential Contribution of the Right to Benefit from Scientific Progress","author":[{"family":"Lamchek","given":"Jayson"}],"editor":[{"family":"Chaiechi","given":"Taha"},{"family":"Woods","given":"Jacob"}],"issued":{"date-parts":[["2022"]]}}}],"schema":"https://github.com/citation-style-language/schema/raw/master/csl-citation.json"} </w:instrText>
      </w:r>
      <w:r>
        <w:fldChar w:fldCharType="separate"/>
      </w:r>
      <w:r w:rsidRPr="008B7E05">
        <w:rPr>
          <w:rFonts w:ascii="Calibri" w:cs="Calibri"/>
          <w:lang w:val="en-GB"/>
        </w:rPr>
        <w:t xml:space="preserve">J Lamchek, ‘Funding Social Protection from Data After COVID-19: Potential Contribution of the Right to Benefit from Scientific Progress’ in T Chaiechi and J Woods (eds), </w:t>
      </w:r>
      <w:r w:rsidRPr="008B7E05">
        <w:rPr>
          <w:rFonts w:ascii="Calibri" w:cs="Calibri"/>
          <w:i/>
          <w:iCs/>
          <w:lang w:val="en-GB"/>
        </w:rPr>
        <w:t>Community Empowerment, Sustainable Cities and Transformative Economies</w:t>
      </w:r>
      <w:r w:rsidRPr="008B7E05">
        <w:rPr>
          <w:rFonts w:ascii="Calibri" w:cs="Calibri"/>
          <w:lang w:val="en-GB"/>
        </w:rPr>
        <w:t xml:space="preserve"> (Springer 2022)</w:t>
      </w:r>
      <w:r w:rsidR="006E14E5">
        <w:rPr>
          <w:rFonts w:ascii="Calibri" w:cs="Calibri"/>
          <w:lang w:val="en-GB"/>
        </w:rPr>
        <w:t xml:space="preserve"> 571-85</w:t>
      </w:r>
      <w:r w:rsidRPr="008B7E05">
        <w:rPr>
          <w:rFonts w:ascii="Calibri" w:cs="Calibri"/>
          <w:lang w:val="en-GB"/>
        </w:rPr>
        <w:t>.</w:t>
      </w:r>
      <w:r>
        <w:fldChar w:fldCharType="end"/>
      </w:r>
    </w:p>
  </w:footnote>
  <w:footnote w:id="10">
    <w:p w14:paraId="5008A592" w14:textId="275FA8C0" w:rsidR="00DA409B" w:rsidRDefault="00DA409B">
      <w:pPr>
        <w:pStyle w:val="FootnoteText"/>
      </w:pPr>
      <w:r>
        <w:rPr>
          <w:rStyle w:val="FootnoteReference"/>
        </w:rPr>
        <w:footnoteRef/>
      </w:r>
      <w:r>
        <w:t xml:space="preserve"> </w:t>
      </w:r>
      <w:r>
        <w:fldChar w:fldCharType="begin"/>
      </w:r>
      <w:r w:rsidR="006C1FF8">
        <w:instrText xml:space="preserve"> ADDIN ZOTERO_ITEM CSL_CITATION {"citationID":"npvCGIFr","properties":{"formattedCitation":"ibid.","plainCitation":"ibid.","dontUpdate":true,"noteIndex":11},"citationItems":[{"id":8233,"uris":["http://zotero.org/users/985088/items/N3437PUV"],"itemData":{"id":8233,"type":"chapter","container-title":"Community Empowerment, Sustainable Cities and Transformative Economies","event-place":"Singapore","page":"571-585","publisher":"Springer","publisher-place":"Singapore","title":"Funding Social Protection from Data After COVID-19: Potential Contribution of the Right to Benefit from Scientific Progress","author":[{"family":"Lamchek","given":"Jayson"}],"editor":[{"family":"Chaiechi","given":"Taha"},{"family":"Woods","given":"Jacob"}],"issued":{"date-parts":[["2022"]]}}}],"schema":"https://github.com/citation-style-language/schema/raw/master/csl-citation.json"} </w:instrText>
      </w:r>
      <w:r>
        <w:fldChar w:fldCharType="separate"/>
      </w:r>
      <w:r w:rsidR="00656095">
        <w:rPr>
          <w:noProof/>
        </w:rPr>
        <w:t>I</w:t>
      </w:r>
      <w:r>
        <w:rPr>
          <w:noProof/>
        </w:rPr>
        <w:t>bid.</w:t>
      </w:r>
      <w:r>
        <w:fldChar w:fldCharType="end"/>
      </w:r>
    </w:p>
  </w:footnote>
  <w:footnote w:id="11">
    <w:p w14:paraId="32807FFC" w14:textId="4033433E" w:rsidR="00DA409B" w:rsidRDefault="00DA409B">
      <w:pPr>
        <w:pStyle w:val="FootnoteText"/>
      </w:pPr>
      <w:r>
        <w:rPr>
          <w:rStyle w:val="FootnoteReference"/>
        </w:rPr>
        <w:footnoteRef/>
      </w:r>
      <w:r>
        <w:t xml:space="preserve"> </w:t>
      </w:r>
      <w:r>
        <w:fldChar w:fldCharType="begin"/>
      </w:r>
      <w:r w:rsidR="006C1FF8">
        <w:instrText xml:space="preserve"> ADDIN ZOTERO_ITEM CSL_CITATION {"citationID":"3rOUZ2I9","properties":{"formattedCitation":"Shoshana Zuboff, {\\i{}Surveillance Capitalism: The Fight for a Human Future at the New Frontier of Power} (Public Affairs Hachett Book Group 2019).","plainCitation":"Shoshana Zuboff, Surveillance Capitalism: The Fight for a Human Future at the New Frontier of Power (Public Affairs Hachett Book Group 2019).","dontUpdate":true,"noteIndex":12},"citationItems":[{"id":1114,"uris":["http://zotero.org/users/985088/items/FDYTE4BZ"],"itemData":{"id":1114,"type":"book","event-place":"New York","publisher":"Public Affairs Hachett Book Group","publisher-place":"New York","title":"Surveillance Capitalism: the Fight for a Human Future at the New Frontier of Power","author":[{"family":"Zuboff","given":"Shoshana"}],"issued":{"date-parts":[["2019"]]}}}],"schema":"https://github.com/citation-style-language/schema/raw/master/csl-citation.json"} </w:instrText>
      </w:r>
      <w:r>
        <w:fldChar w:fldCharType="separate"/>
      </w:r>
      <w:r w:rsidRPr="00DA409B">
        <w:rPr>
          <w:rFonts w:ascii="Calibri" w:cs="Calibri"/>
          <w:lang w:val="en-GB"/>
        </w:rPr>
        <w:t xml:space="preserve">S Zuboff, </w:t>
      </w:r>
      <w:r w:rsidRPr="00DA409B">
        <w:rPr>
          <w:rFonts w:ascii="Calibri" w:cs="Calibri"/>
          <w:i/>
          <w:iCs/>
          <w:lang w:val="en-GB"/>
        </w:rPr>
        <w:t>Surveillance Capitalism: The Fight for a Human Future at the New Frontier of Power</w:t>
      </w:r>
      <w:r w:rsidRPr="00DA409B">
        <w:rPr>
          <w:rFonts w:ascii="Calibri" w:cs="Calibri"/>
          <w:lang w:val="en-GB"/>
        </w:rPr>
        <w:t xml:space="preserve"> (Public Affairs Hachett Book Group 2019).</w:t>
      </w:r>
      <w:r>
        <w:fldChar w:fldCharType="end"/>
      </w:r>
    </w:p>
  </w:footnote>
  <w:footnote w:id="12">
    <w:p w14:paraId="1B0077B8" w14:textId="2885E6E5" w:rsidR="008B7E05" w:rsidRDefault="008B7E05">
      <w:pPr>
        <w:pStyle w:val="FootnoteText"/>
      </w:pPr>
      <w:r w:rsidRPr="00DC6C94">
        <w:rPr>
          <w:rStyle w:val="FootnoteReference"/>
        </w:rPr>
        <w:footnoteRef/>
      </w:r>
      <w:r>
        <w:t xml:space="preserve"> </w:t>
      </w:r>
      <w:r>
        <w:fldChar w:fldCharType="begin"/>
      </w:r>
      <w:r w:rsidR="006C1FF8">
        <w:instrText xml:space="preserve"> ADDIN ZOTERO_ITEM CSL_CITATION {"citationID":"qdpHC1oL","properties":{"formattedCitation":"See, e.g., \\uc0\\u8216{}The Toronto Declaration: Protecting the Right to Equality and Non-Discrimination in Machine-Learning Systems\\uc0\\u8217{}.","plainCitation":"See, e.g., ‘The Toronto Declaration: Protecting the Right to Equality and Non-Discrimination in Machine-Learning Systems’.","noteIndex":13},"citationItems":[{"id":1214,"uris":["http://zotero.org/users/985088/items/EQ6PJB7J"],"itemData":{"id":1214,"type":"document","publisher":"Amnesty International and Access Now","title":"The Toronto Declaration: Protecting the right to equality and non-discrimination in machine-learning systems","issued":{"date-parts":[["2018",5,16]]}},"label":"page","prefix":"See, e.g., "}],"schema":"https://github.com/citation-style-language/schema/raw/master/csl-citation.json"} </w:instrText>
      </w:r>
      <w:r>
        <w:fldChar w:fldCharType="separate"/>
      </w:r>
      <w:r w:rsidRPr="008B7E05">
        <w:rPr>
          <w:rFonts w:ascii="Calibri" w:cs="Calibri"/>
          <w:lang w:val="en-GB"/>
        </w:rPr>
        <w:t>See, e.g., ‘The Toronto Declaration: Protecting the Right to Equality and Non-Discrimination in Machine-Learning Systems’.</w:t>
      </w:r>
      <w:r>
        <w:fldChar w:fldCharType="end"/>
      </w:r>
    </w:p>
  </w:footnote>
  <w:footnote w:id="13">
    <w:p w14:paraId="2365CEF5" w14:textId="417DE4B2" w:rsidR="008B7E05" w:rsidRDefault="008B7E05">
      <w:pPr>
        <w:pStyle w:val="FootnoteText"/>
      </w:pPr>
      <w:r w:rsidRPr="00DC6C94">
        <w:rPr>
          <w:rStyle w:val="FootnoteReference"/>
        </w:rPr>
        <w:footnoteRef/>
      </w:r>
      <w:r>
        <w:t xml:space="preserve"> </w:t>
      </w:r>
      <w:r>
        <w:fldChar w:fldCharType="begin"/>
      </w:r>
      <w:r w:rsidR="006C1FF8">
        <w:instrText xml:space="preserve"> ADDIN ZOTERO_ITEM CSL_CITATION {"citationID":"xe0ei9OE","properties":{"formattedCitation":"Brishen Rogers, \\uc0\\u8216{}Basic Income in a Just Society\\uc0\\u8217{} [2017] {\\i{}Boston Review} &lt;https://www.bostonreview.net/forum/brishen-rogers-basic-income-just-society/&gt; accessed 27 October 2023.","plainCitation":"Brishen Rogers, ‘Basic Income in a Just Society’ [2017] Boston Review &lt;https://www.bostonreview.net/forum/brishen-rogers-basic-income-just-society/&gt; accessed 27 October 2023.","dontUpdate":true,"noteIndex":14},"citationItems":[{"id":8231,"uris":["http://zotero.org/users/985088/items/KZDYW9YR"],"itemData":{"id":8231,"type":"article-magazine","abstract":"Cash grants have a role to play in building a decent future for work—alongside much else.","container-title":"Boston Review","language":"en-US","source":"Boston Review","title":"Basic Income in a Just Society","URL":"https://www.bostonreview.net/forum/brishen-rogers-basic-income-just-society/","author":[{"family":"Rogers","given":"Brishen"}],"accessed":{"date-parts":[["2023",10,27]]},"issued":{"date-parts":[["2017",5,3]]}}}],"schema":"https://github.com/citation-style-language/schema/raw/master/csl-citation.json"} </w:instrText>
      </w:r>
      <w:r>
        <w:fldChar w:fldCharType="separate"/>
      </w:r>
      <w:r w:rsidRPr="008B7E05">
        <w:rPr>
          <w:rFonts w:ascii="Calibri" w:cs="Calibri"/>
          <w:lang w:val="en-GB"/>
        </w:rPr>
        <w:t>B</w:t>
      </w:r>
      <w:r w:rsidR="006E14E5">
        <w:rPr>
          <w:rFonts w:ascii="Calibri" w:cs="Calibri"/>
          <w:lang w:val="en-GB"/>
        </w:rPr>
        <w:t>rishen</w:t>
      </w:r>
      <w:r w:rsidRPr="008B7E05">
        <w:rPr>
          <w:rFonts w:ascii="Calibri" w:cs="Calibri"/>
          <w:lang w:val="en-GB"/>
        </w:rPr>
        <w:t xml:space="preserve"> Rogers, ‘Basic Income in a Just Society’</w:t>
      </w:r>
      <w:r w:rsidR="006E14E5">
        <w:rPr>
          <w:rFonts w:ascii="Calibri" w:cs="Calibri"/>
          <w:lang w:val="en-GB"/>
        </w:rPr>
        <w:t>,</w:t>
      </w:r>
      <w:r w:rsidRPr="008B7E05">
        <w:rPr>
          <w:rFonts w:ascii="Calibri" w:cs="Calibri"/>
          <w:lang w:val="en-GB"/>
        </w:rPr>
        <w:t xml:space="preserve"> </w:t>
      </w:r>
      <w:r w:rsidRPr="008B7E05">
        <w:rPr>
          <w:rFonts w:ascii="Calibri" w:cs="Calibri"/>
          <w:i/>
          <w:iCs/>
          <w:lang w:val="en-GB"/>
        </w:rPr>
        <w:t>Boston Review</w:t>
      </w:r>
      <w:r w:rsidR="006E14E5">
        <w:rPr>
          <w:rFonts w:ascii="Calibri" w:cs="Calibri"/>
          <w:i/>
          <w:iCs/>
          <w:lang w:val="en-GB"/>
        </w:rPr>
        <w:t xml:space="preserve">, </w:t>
      </w:r>
      <w:r w:rsidR="006E14E5" w:rsidRPr="006E14E5">
        <w:rPr>
          <w:rFonts w:ascii="Calibri" w:cs="Calibri"/>
          <w:lang w:val="en-GB"/>
        </w:rPr>
        <w:t>May 3, 2017</w:t>
      </w:r>
      <w:r w:rsidR="006E14E5">
        <w:rPr>
          <w:rFonts w:ascii="Calibri" w:cs="Calibri"/>
          <w:i/>
          <w:iCs/>
          <w:lang w:val="en-GB"/>
        </w:rPr>
        <w:t>.</w:t>
      </w:r>
      <w:r w:rsidRPr="008B7E05">
        <w:rPr>
          <w:rFonts w:ascii="Calibri" w:cs="Calibri"/>
          <w:lang w:val="en-GB"/>
        </w:rPr>
        <w:t xml:space="preserve"> &lt;https://www.bostonreview.net/forum/brishen-rogers-basic-income-just-society/&gt; accessed 27 October 2023.</w:t>
      </w:r>
      <w:r>
        <w:fldChar w:fldCharType="end"/>
      </w:r>
    </w:p>
  </w:footnote>
  <w:footnote w:id="14">
    <w:p w14:paraId="064316BC" w14:textId="11FEE56D" w:rsidR="00DA409B" w:rsidRDefault="00DA409B">
      <w:pPr>
        <w:pStyle w:val="FootnoteText"/>
      </w:pPr>
      <w:r>
        <w:rPr>
          <w:rStyle w:val="FootnoteReference"/>
        </w:rPr>
        <w:footnoteRef/>
      </w:r>
      <w:r>
        <w:t xml:space="preserve"> </w:t>
      </w:r>
      <w:r>
        <w:fldChar w:fldCharType="begin"/>
      </w:r>
      <w:r w:rsidR="006C1FF8">
        <w:instrText xml:space="preserve"> ADDIN ZOTERO_ITEM CSL_CITATION {"citationID":"tco9iVBd","properties":{"formattedCitation":"Juliana Uhuru Bidadanure, \\uc0\\u8216{}The Political Theory of Universal Basic Income\\uc0\\u8217{} (2019) 22 Annual Review of Political Science 481.","plainCitation":"Juliana Uhuru Bidadanure, ‘The Political Theory of Universal Basic Income’ (2019) 22 Annual Review of Political Science 481.","dontUpdate":true,"noteIndex":15},"citationItems":[{"id":8283,"uris":["http://zotero.org/users/985088/items/CXZ9WQF6"],"itemData":{"id":8283,"type":"article-journal","container-title":"Annual Review of Political Science","page":"481-501","title":"The Political Theory of Universal Basic Income","volume":"22","author":[{"family":"Bidadanure","given":"Juliana Uhuru"}],"issued":{"date-parts":[["2019"]]}}}],"schema":"https://github.com/citation-style-language/schema/raw/master/csl-citation.json"} </w:instrText>
      </w:r>
      <w:r>
        <w:fldChar w:fldCharType="separate"/>
      </w:r>
      <w:r w:rsidRPr="00DA409B">
        <w:rPr>
          <w:rFonts w:ascii="Calibri" w:cs="Calibri"/>
          <w:lang w:val="en-GB"/>
        </w:rPr>
        <w:t>J Bidadanure, ‘The Political Theory of Universal Basic Income’ (2019) 22 Annual Review of Political Science 481</w:t>
      </w:r>
      <w:r w:rsidR="000C40D5">
        <w:rPr>
          <w:rFonts w:ascii="Calibri" w:cs="Calibri"/>
          <w:lang w:val="en-GB"/>
        </w:rPr>
        <w:t>-501</w:t>
      </w:r>
      <w:r w:rsidRPr="00DA409B">
        <w:rPr>
          <w:rFonts w:ascii="Calibri" w:cs="Calibri"/>
          <w:lang w:val="en-GB"/>
        </w:rPr>
        <w:t>.</w:t>
      </w:r>
      <w:r>
        <w:fldChar w:fldCharType="end"/>
      </w:r>
    </w:p>
  </w:footnote>
  <w:footnote w:id="15">
    <w:p w14:paraId="0FC8949B" w14:textId="665512E2" w:rsidR="008B7E05" w:rsidRDefault="008B7E05">
      <w:pPr>
        <w:pStyle w:val="FootnoteText"/>
      </w:pPr>
      <w:r w:rsidRPr="00DC6C94">
        <w:rPr>
          <w:rStyle w:val="FootnoteReference"/>
        </w:rPr>
        <w:footnoteRef/>
      </w:r>
      <w:r>
        <w:t xml:space="preserve"> </w:t>
      </w:r>
      <w:r>
        <w:fldChar w:fldCharType="begin"/>
      </w:r>
      <w:r w:rsidR="006C1FF8">
        <w:instrText xml:space="preserve"> ADDIN ZOTERO_ITEM CSL_CITATION {"citationID":"dX9NRApB","properties":{"formattedCitation":"Rogers (n 14).","plainCitation":"Rogers (n 14).","noteIndex":16},"citationItems":[{"id":8231,"uris":["http://zotero.org/users/985088/items/KZDYW9YR"],"itemData":{"id":8231,"type":"article-magazine","abstract":"Cash grants have a role to play in building a decent future for work—alongside much else.","container-title":"Boston Review","language":"en-US","source":"Boston Review","title":"Basic Income in a Just Society","URL":"https://www.bostonreview.net/forum/brishen-rogers-basic-income-just-society/","author":[{"family":"Rogers","given":"Brishen"}],"accessed":{"date-parts":[["2023",10,27]]},"issued":{"date-parts":[["2017",5,3]]}}}],"schema":"https://github.com/citation-style-language/schema/raw/master/csl-citation.json"} </w:instrText>
      </w:r>
      <w:r>
        <w:fldChar w:fldCharType="separate"/>
      </w:r>
      <w:r w:rsidR="006C1FF8">
        <w:rPr>
          <w:noProof/>
        </w:rPr>
        <w:t>Rogers (n 14).</w:t>
      </w:r>
      <w:r>
        <w:fldChar w:fldCharType="end"/>
      </w:r>
    </w:p>
  </w:footnote>
  <w:footnote w:id="16">
    <w:p w14:paraId="51533FBE" w14:textId="4CCD7C6C" w:rsidR="008B7E05" w:rsidRDefault="008B7E05">
      <w:pPr>
        <w:pStyle w:val="FootnoteText"/>
      </w:pPr>
      <w:r w:rsidRPr="00DC6C94">
        <w:rPr>
          <w:rStyle w:val="FootnoteReference"/>
        </w:rPr>
        <w:footnoteRef/>
      </w:r>
      <w:r>
        <w:t xml:space="preserve"> </w:t>
      </w:r>
      <w:r>
        <w:fldChar w:fldCharType="begin"/>
      </w:r>
      <w:r w:rsidR="006C1FF8">
        <w:instrText xml:space="preserve"> ADDIN ZOTERO_ITEM CSL_CITATION {"citationID":"0J5g4suY","properties":{"formattedCitation":"Angel Au-Yeung, \\uc0\\u8216{}California Wants To Copy Alaska And Pay People A \\uc0\\u8220{}Data Dividend.\\uc0\\u8221{} Is It Realistic?\\uc0\\u8217{} {\\i{}Forbes} (14 February 2019) &lt;https://www.forbes.com/sites/angelauyeung/2019/02/14/california-wants-to-copy-alaska-and-pay-people-a-data-dividend--is-it-realistic/#752b3fcc222c&gt;.","plainCitation":"Angel Au-Yeung, ‘California Wants To Copy Alaska And Pay People A “Data Dividend.” Is It Realistic?’ Forbes (14 February 2019) &lt;https://www.forbes.com/sites/angelauyeung/2019/02/14/california-wants-to-copy-alaska-and-pay-people-a-data-dividend--is-it-realistic/#752b3fcc222c&gt;.","dontUpdate":true,"noteIndex":17},"citationItems":[{"id":73,"uris":["http://zotero.org/users/985088/items/9Q2Q2L7H"],"itemData":{"id":73,"type":"article-newspaper","container-title":"Forbes","title":"California Wants To Copy Alaska And Pay People A ‘Data Dividend.’ Is It Realistic?","URL":"https://www.forbes.com/sites/angelauyeung/2019/02/14/california-wants-to-copy-alaska-and-pay-people-a-data-dividend--is-it-realistic/#752b3fcc222c","author":[{"family":"Au-Yeung","given":"Angel"}],"issued":{"date-parts":[["2019",2,14]]}}}],"schema":"https://github.com/citation-style-language/schema/raw/master/csl-citation.json"} </w:instrText>
      </w:r>
      <w:r>
        <w:fldChar w:fldCharType="separate"/>
      </w:r>
      <w:r w:rsidRPr="008B7E05">
        <w:rPr>
          <w:rFonts w:ascii="Calibri" w:cs="Calibri"/>
          <w:lang w:val="en-GB"/>
        </w:rPr>
        <w:t xml:space="preserve">Angel Au-Yeung, ‘California Wants To Copy Alaska And Pay People A “Data Dividend.” Is It Realistic?’ </w:t>
      </w:r>
      <w:r w:rsidR="000C40D5">
        <w:rPr>
          <w:rFonts w:ascii="Calibri" w:cs="Calibri"/>
          <w:lang w:val="en-GB"/>
        </w:rPr>
        <w:t>(</w:t>
      </w:r>
      <w:r w:rsidRPr="008B7E05">
        <w:rPr>
          <w:rFonts w:ascii="Calibri" w:cs="Calibri"/>
          <w:i/>
          <w:iCs/>
          <w:lang w:val="en-GB"/>
        </w:rPr>
        <w:t>Forbes</w:t>
      </w:r>
      <w:r w:rsidR="000C40D5">
        <w:rPr>
          <w:rFonts w:ascii="Calibri" w:cs="Calibri"/>
          <w:i/>
          <w:iCs/>
          <w:lang w:val="en-GB"/>
        </w:rPr>
        <w:t>,</w:t>
      </w:r>
      <w:r w:rsidRPr="008B7E05">
        <w:rPr>
          <w:rFonts w:ascii="Calibri" w:cs="Calibri"/>
          <w:lang w:val="en-GB"/>
        </w:rPr>
        <w:t xml:space="preserve"> 14 February 2019).</w:t>
      </w:r>
      <w:r>
        <w:fldChar w:fldCharType="end"/>
      </w:r>
    </w:p>
  </w:footnote>
  <w:footnote w:id="17">
    <w:p w14:paraId="1E855966" w14:textId="7BACE4A1" w:rsidR="005F3B0A" w:rsidRDefault="005F3B0A">
      <w:pPr>
        <w:pStyle w:val="FootnoteText"/>
      </w:pPr>
      <w:r>
        <w:rPr>
          <w:rStyle w:val="FootnoteReference"/>
        </w:rPr>
        <w:footnoteRef/>
      </w:r>
      <w:r>
        <w:t xml:space="preserve"> Many have regarded the goal of computing the value of individual data as having reached a dead end</w:t>
      </w:r>
      <w:r w:rsidRPr="007E412D">
        <w:t>.</w:t>
      </w:r>
      <w:r>
        <w:t xml:space="preserve"> In the ensuing articulation</w:t>
      </w:r>
      <w:r w:rsidRPr="001F3757">
        <w:t xml:space="preserve"> </w:t>
      </w:r>
      <w:r>
        <w:t xml:space="preserve">by the Berggruen Institute of the California data dividend proposal, the idea of individual or </w:t>
      </w:r>
      <w:r w:rsidRPr="001F3757">
        <w:rPr>
          <w:i/>
          <w:iCs/>
        </w:rPr>
        <w:t>my</w:t>
      </w:r>
      <w:r>
        <w:t xml:space="preserve"> data having value was abandoned in </w:t>
      </w:r>
      <w:proofErr w:type="spellStart"/>
      <w:r>
        <w:t>favor</w:t>
      </w:r>
      <w:proofErr w:type="spellEnd"/>
      <w:r>
        <w:t xml:space="preserve"> of a theory that only aggregate or </w:t>
      </w:r>
      <w:r w:rsidRPr="001F3757">
        <w:rPr>
          <w:i/>
          <w:iCs/>
        </w:rPr>
        <w:t>our</w:t>
      </w:r>
      <w:r>
        <w:t xml:space="preserve"> data has value. It is in this context that the Berggruen Institute proposed that a tax on big data was the better solution. This was because a tax on big data</w:t>
      </w:r>
      <w:r w:rsidRPr="007E412D">
        <w:t xml:space="preserve"> avoids </w:t>
      </w:r>
      <w:r>
        <w:t>having to</w:t>
      </w:r>
      <w:r w:rsidRPr="007E412D">
        <w:t xml:space="preserve"> assign</w:t>
      </w:r>
      <w:r>
        <w:t xml:space="preserve"> and compute</w:t>
      </w:r>
      <w:r w:rsidRPr="007E412D">
        <w:t xml:space="preserve"> monetary value to individual personal data</w:t>
      </w:r>
      <w:r>
        <w:t xml:space="preserve"> in order to distribute the correct value to individuals. </w:t>
      </w:r>
      <w:r w:rsidR="00D16A20">
        <w:fldChar w:fldCharType="begin"/>
      </w:r>
      <w:r w:rsidR="006C1FF8">
        <w:instrText xml:space="preserve"> ADDIN ZOTERO_ITEM CSL_CITATION {"citationID":"qcvPg2G5","properties":{"formattedCitation":"Yakob Feygin and others, \\uc0\\u8216{}A Data Dividend That Works: Steps Toward Building an Equitable Data Economy\\uc0\\u8217{} (Berggruen Institute 2021).","plainCitation":"Yakob Feygin and others, ‘A Data Dividend That Works: Steps Toward Building an Equitable Data Economy’ (Berggruen Institute 2021).","dontUpdate":true,"noteIndex":18},"citationItems":[{"id":4872,"uris":["http://zotero.org/groups/2188448/items/SCBNZGHU"],"itemData":{"id":4872,"type":"report","event-place":"Los Angeles, California","publisher":"Berggruen Institute","publisher-place":"Los Angeles, California","title":"A Data Dividend that Works: Steps Toward Building an Equitable Data Economy","author":[{"family":"Feygin","given":"Yakob"},{"family":"Hecht","given":"Brent"},{"family":"Prewitt","given":"Matthew"},{"family":"Li","given":"Hanlin"},{"family":"Vincent","given":"Nicholas"},{"family":"Lala","given":"Chirag"},{"family":"Scarcella","given":"Luisa"}],"issued":{"date-parts":[["2021"]]}}}],"schema":"https://github.com/citation-style-language/schema/raw/master/csl-citation.json"} </w:instrText>
      </w:r>
      <w:r w:rsidR="00D16A20">
        <w:fldChar w:fldCharType="separate"/>
      </w:r>
      <w:r w:rsidR="00D16A20" w:rsidRPr="00D16A20">
        <w:rPr>
          <w:rFonts w:ascii="Calibri" w:cs="Calibri"/>
          <w:lang w:val="en-GB"/>
        </w:rPr>
        <w:t xml:space="preserve">Yakob Feygin </w:t>
      </w:r>
      <w:r w:rsidR="000C40D5">
        <w:rPr>
          <w:rFonts w:ascii="Calibri" w:cs="Calibri"/>
          <w:lang w:val="en-GB"/>
        </w:rPr>
        <w:t>et al</w:t>
      </w:r>
      <w:r w:rsidR="00D16A20" w:rsidRPr="00D16A20">
        <w:rPr>
          <w:rFonts w:ascii="Calibri" w:cs="Calibri"/>
          <w:lang w:val="en-GB"/>
        </w:rPr>
        <w:t>, ‘A Data Dividend That Works: Steps Toward Building an Equitable Data Economy’ (Berggruen Institute 2021).</w:t>
      </w:r>
      <w:r w:rsidR="00D16A20">
        <w:fldChar w:fldCharType="end"/>
      </w:r>
    </w:p>
  </w:footnote>
  <w:footnote w:id="18">
    <w:p w14:paraId="1FC1E7F1" w14:textId="5F70A7EE" w:rsidR="002D65F7" w:rsidRDefault="002D65F7">
      <w:pPr>
        <w:pStyle w:val="FootnoteText"/>
      </w:pPr>
      <w:r>
        <w:rPr>
          <w:rStyle w:val="FootnoteReference"/>
        </w:rPr>
        <w:footnoteRef/>
      </w:r>
      <w:r>
        <w:t xml:space="preserve"> </w:t>
      </w:r>
      <w:r>
        <w:fldChar w:fldCharType="begin"/>
      </w:r>
      <w:r w:rsidR="006C1FF8">
        <w:instrText xml:space="preserve"> ADDIN ZOTERO_ITEM CSL_CITATION {"citationID":"WjrWsLWB","properties":{"formattedCitation":"Salome Viljoen, \\uc0\\u8216{}A Relational Theory of Data Governance\\uc0\\u8217{} (Social Science Research Network 2020) SSRN Scholarly Paper ID 3727562 &lt;https://papers.ssrn.com/abstract=3727562&gt; accessed 26 October 2021.","plainCitation":"Salome Viljoen, ‘A Relational Theory of Data Governance’ (Social Science Research Network 2020) SSRN Scholarly Paper ID 3727562 &lt;https://papers.ssrn.com/abstract=3727562&gt; accessed 26 October 2021.","dontUpdate":true,"noteIndex":19},"citationItems":[{"id":1372,"uris":["http://zotero.org/users/985088/items/Z8VIEEE6"],"itemData":{"id":1372,"type":"report","abstract":"Data governance law—the legal regime that regulates how data about people is collected, processed, and used—is a subject of lively theorizing and several proposed legislative reforms. Different theories advance different legal interests in information. Some seek to reassert individual control for data subjects over the terms of their datafication, while others aim to maximize data subject financial gain. But these proposals share a common conceptual flaw. Put simply, they miss the point of data production in a digital economy: to put people into population-based relations with one another. This relational aspect of data production drives much of the social value as well as the social harm of data production and use in a digital economy. In response, this Article advances a theoretical account of data as social relations, constituted by both legal and technical systems. It shows how data relations result in supra-individual legal interests, and properly representing and adjudicating among these interests necessitates far more public and collective (i.e., democratic) forms of governing data production. This theoretical account offers two notable insights for data governance law. First, this account better reflects the realities of how and why data production produces economic value as well as social harm in a digital economy. The data collection practices of the most powerful technology companies are primarily aimed at deriving population-level insights from data subjects for population-level applicability, not individual-level insights specific to a data subject. The value derived from this activity drives data collection in the digital economy and results in some of the most pressing forms of social informational harm. Individualist data subject rights cannot represent, let alone address, these population-level effects. Second, this account offers an alternative (and it argues, more precise) normative argument for what makes datafication—the transformation of information about people into a commodity—wrongful. What makes datafication wrong is not (only) that it erodes the capacity for subject self-formation, but also that it materializes unjust social relations: data relations that enact or amplify social inequality. This egalitarian normative account indexes many of the most pressing forms of social informational harm that animate criticism of data extraction yet fall outside typical accounts of informational harm. This account also offers a positive theory for socially beneficial data production. To address the inegalitarian harms of datafication—and develop socially beneficial alternatives—will require democratizing data social relations: moving from individual data subject rights, to more democratic institutions of data governance. Part One describes the stakes and the status quo of data governance. It documents the significance of data processing for the digital economy. It then evaluates how the predominant legal regimes that govern data collection and use — contract and privacy law — code data as an individual medium. This conceptualization is referred to throughout the Article as “data as individual medium” (DIM). DIM regimes apprehend data’s capacity to cause individual harm as the legally relevant feature of datafication; from this theory of harm follows the tendency of DIM regimes to subject data to private individual ordering. Part Two presents the core argument of the Article regarding the incentives and implications of data social relations within the data political economy. Data’s capacity to transmit social and relational meaning renders data production especially capable of benefitting and harming others beyond the data subject from whom data is collected. It also results in population-level interests in data production that are not reducible to the individual interests that generally feature in data governance. Part Three evaluates two prominent legal reform proposals that have emerged in response to concerns over datafication. Propertarian proposals respond to growing wealth inequality in the data economy by formalizing individual propertarian rights over data as a personal asset. Dignitarian reforms respond to how excessive data extraction can erode individual autonomy by granting fundamental rights protections to data as an extension of personal selfhood. While propertarian and dignitarian proposals differ on the theories of injustice underlying datafication (and therefore provide different solutions), both resolve to individualist claims and remedies that do not represent, let alone address, the relational nature of data collection and use. Part Four proposes an alternative approach: data as a democratic medium (DDM). This alternative conceptual approach apprehends data’s capacity to cause social harm as a fundamentally relevant feature of datafication; from this follows a commitment to collective institutional forms of governing data. Conceiving of data as a collective or public resource subject to democratic ordering accounts for the importance of population-based relationality in the digital economy. This recognizes a greater number of relevant interests in data production and recasts the subject of legal concern from interpersonal violation to the condition of population-level data relations under which data is produced and used. DDM therefore responds not only to salient forms of injustice identified by other data governance reforms, but also to significant forms of injustice missed by individualist accounts. In doing so, DDM also provides a theory of data governance from which to defend forms of socially beneficial data production that individualist accounts may foreclose. Part Four concludes by outlining some examples of what regimes that conceive of data as democratic could look like in practice.","event-place":"Rochester, NY","genre":"SSRN Scholarly Paper","language":"en","note":"DOI: 10.2139/ssrn.3727562","number":"ID 3727562","publisher":"Social Science Research Network","publisher-place":"Rochester, NY","source":"papers.ssrn.com","title":"A Relational Theory of Data Governance","URL":"https://papers.ssrn.com/abstract=3727562","author":[{"family":"Viljoen","given":"Salome"}],"accessed":{"date-parts":[["2021",10,26]]},"issued":{"date-parts":[["2020",11,11]]}}}],"schema":"https://github.com/citation-style-language/schema/raw/master/csl-citation.json"} </w:instrText>
      </w:r>
      <w:r>
        <w:fldChar w:fldCharType="separate"/>
      </w:r>
      <w:r w:rsidRPr="002D65F7">
        <w:rPr>
          <w:rFonts w:ascii="Calibri" w:cs="Calibri"/>
          <w:lang w:val="en-GB"/>
        </w:rPr>
        <w:t>S Viljoen, ‘A Relational Theory of Data Governance’</w:t>
      </w:r>
      <w:r w:rsidR="000C40D5">
        <w:rPr>
          <w:rFonts w:ascii="Calibri" w:cs="Calibri"/>
          <w:lang w:val="en-GB"/>
        </w:rPr>
        <w:t>,</w:t>
      </w:r>
      <w:r w:rsidRPr="002D65F7">
        <w:rPr>
          <w:rFonts w:ascii="Calibri" w:cs="Calibri"/>
          <w:lang w:val="en-GB"/>
        </w:rPr>
        <w:t xml:space="preserve"> </w:t>
      </w:r>
      <w:r w:rsidR="000C40D5" w:rsidRPr="000C40D5">
        <w:rPr>
          <w:rFonts w:ascii="Calibri" w:cs="Calibri"/>
        </w:rPr>
        <w:t>131</w:t>
      </w:r>
      <w:r w:rsidR="000C40D5">
        <w:rPr>
          <w:rFonts w:ascii="Calibri" w:cs="Calibri"/>
        </w:rPr>
        <w:t xml:space="preserve"> </w:t>
      </w:r>
      <w:r w:rsidR="000C40D5" w:rsidRPr="000C40D5">
        <w:rPr>
          <w:rFonts w:ascii="Calibri" w:cs="Calibri"/>
        </w:rPr>
        <w:t>(2)</w:t>
      </w:r>
      <w:r w:rsidR="000C40D5">
        <w:rPr>
          <w:rFonts w:ascii="Calibri" w:cs="Calibri"/>
        </w:rPr>
        <w:t xml:space="preserve"> (2021) </w:t>
      </w:r>
      <w:r w:rsidR="000C40D5" w:rsidRPr="000C40D5">
        <w:rPr>
          <w:rFonts w:ascii="Calibri" w:cs="Calibri"/>
          <w:lang w:val="en-GB"/>
        </w:rPr>
        <w:t>Yale Law Review</w:t>
      </w:r>
      <w:r w:rsidR="000C40D5">
        <w:rPr>
          <w:rFonts w:ascii="Calibri" w:cs="Calibri"/>
        </w:rPr>
        <w:t xml:space="preserve"> </w:t>
      </w:r>
      <w:r w:rsidR="000C40D5" w:rsidRPr="000C40D5">
        <w:rPr>
          <w:rFonts w:ascii="Calibri" w:cs="Calibri"/>
        </w:rPr>
        <w:t>573–654</w:t>
      </w:r>
      <w:r w:rsidRPr="002D65F7">
        <w:rPr>
          <w:rFonts w:ascii="Calibri" w:cs="Calibri"/>
          <w:lang w:val="en-GB"/>
        </w:rPr>
        <w:t>.</w:t>
      </w:r>
      <w:r>
        <w:fldChar w:fldCharType="end"/>
      </w:r>
    </w:p>
  </w:footnote>
  <w:footnote w:id="19">
    <w:p w14:paraId="00892184" w14:textId="74BC5A60" w:rsidR="008B7E05" w:rsidRDefault="008B7E05">
      <w:pPr>
        <w:pStyle w:val="FootnoteText"/>
      </w:pPr>
      <w:r w:rsidRPr="00DC6C94">
        <w:rPr>
          <w:rStyle w:val="FootnoteReference"/>
        </w:rPr>
        <w:footnoteRef/>
      </w:r>
      <w:r>
        <w:t xml:space="preserve"> </w:t>
      </w:r>
      <w:r>
        <w:fldChar w:fldCharType="begin"/>
      </w:r>
      <w:r w:rsidR="006C1FF8">
        <w:instrText xml:space="preserve"> ADDIN ZOTERO_ITEM CSL_CITATION {"citationID":"XHP4q9Sj","properties":{"formattedCitation":"Rogers (n 14).","plainCitation":"Rogers (n 14).","noteIndex":20},"citationItems":[{"id":8231,"uris":["http://zotero.org/users/985088/items/KZDYW9YR"],"itemData":{"id":8231,"type":"article-magazine","abstract":"Cash grants have a role to play in building a decent future for work—alongside much else.","container-title":"Boston Review","language":"en-US","source":"Boston Review","title":"Basic Income in a Just Society","URL":"https://www.bostonreview.net/forum/brishen-rogers-basic-income-just-society/","author":[{"family":"Rogers","given":"Brishen"}],"accessed":{"date-parts":[["2023",10,27]]},"issued":{"date-parts":[["2017",5,3]]}}}],"schema":"https://github.com/citation-style-language/schema/raw/master/csl-citation.json"} </w:instrText>
      </w:r>
      <w:r>
        <w:fldChar w:fldCharType="separate"/>
      </w:r>
      <w:r w:rsidR="006C1FF8">
        <w:rPr>
          <w:noProof/>
        </w:rPr>
        <w:t>Rogers (n 14).</w:t>
      </w:r>
      <w:r>
        <w:fldChar w:fldCharType="end"/>
      </w:r>
    </w:p>
  </w:footnote>
  <w:footnote w:id="20">
    <w:p w14:paraId="03492149" w14:textId="4498450D" w:rsidR="002D65F7" w:rsidRDefault="002D65F7">
      <w:pPr>
        <w:pStyle w:val="FootnoteText"/>
      </w:pPr>
      <w:r>
        <w:rPr>
          <w:rStyle w:val="FootnoteReference"/>
        </w:rPr>
        <w:footnoteRef/>
      </w:r>
      <w:r>
        <w:t xml:space="preserve"> </w:t>
      </w:r>
      <w:r>
        <w:fldChar w:fldCharType="begin"/>
      </w:r>
      <w:r w:rsidR="006C1FF8">
        <w:instrText xml:space="preserve"> ADDIN ZOTERO_ITEM CSL_CITATION {"citationID":"YcpeuybW","properties":{"formattedCitation":"Omri Marian, \\uc0\\u8216{}Taxing Data\\uc0\\u8217{} (2022) 47 BYU Law Review 511.","plainCitation":"Omri Marian, ‘Taxing Data’ (2022) 47 BYU Law Review 511.","dontUpdate":true,"noteIndex":21},"citationItems":[{"id":8237,"uris":["http://zotero.org/users/985088/items/VWCESX9L"],"itemData":{"id":8237,"type":"article-journal","container-title":"BYU Law Review","issue":"2","page":"511-576","title":"Taxing Data","volume":"47","author":[{"family":"Marian","given":"Omri"}],"issued":{"date-parts":[["2022",10,15]]}}}],"schema":"https://github.com/citation-style-language/schema/raw/master/csl-citation.json"} </w:instrText>
      </w:r>
      <w:r>
        <w:fldChar w:fldCharType="separate"/>
      </w:r>
      <w:r w:rsidRPr="002D65F7">
        <w:rPr>
          <w:rFonts w:ascii="Calibri" w:cs="Calibri"/>
          <w:lang w:val="en-GB"/>
        </w:rPr>
        <w:t>O Marian, ‘Taxing Data’ 47</w:t>
      </w:r>
      <w:r w:rsidR="00B76750">
        <w:rPr>
          <w:rFonts w:ascii="Calibri" w:cs="Calibri"/>
          <w:lang w:val="en-GB"/>
        </w:rPr>
        <w:t xml:space="preserve"> </w:t>
      </w:r>
      <w:r w:rsidR="00B76750" w:rsidRPr="002D65F7">
        <w:rPr>
          <w:rFonts w:ascii="Calibri" w:cs="Calibri"/>
          <w:lang w:val="en-GB"/>
        </w:rPr>
        <w:t>(2022)</w:t>
      </w:r>
      <w:r w:rsidRPr="002D65F7">
        <w:rPr>
          <w:rFonts w:ascii="Calibri" w:cs="Calibri"/>
          <w:lang w:val="en-GB"/>
        </w:rPr>
        <w:t xml:space="preserve"> BYU Law Review 511.</w:t>
      </w:r>
      <w:r>
        <w:fldChar w:fldCharType="end"/>
      </w:r>
    </w:p>
  </w:footnote>
  <w:footnote w:id="21">
    <w:p w14:paraId="4A9B4BF7" w14:textId="24B4C56D" w:rsidR="00A616B8" w:rsidRDefault="00A616B8" w:rsidP="00A616B8">
      <w:pPr>
        <w:pStyle w:val="FootnoteText"/>
      </w:pPr>
      <w:r w:rsidRPr="00DC6C94">
        <w:rPr>
          <w:rStyle w:val="FootnoteReference"/>
        </w:rPr>
        <w:footnoteRef/>
      </w:r>
      <w:r>
        <w:t xml:space="preserve"> </w:t>
      </w:r>
      <w:r>
        <w:fldChar w:fldCharType="begin"/>
      </w:r>
      <w:r w:rsidR="006C1FF8">
        <w:instrText xml:space="preserve"> ADDIN ZOTERO_ITEM CSL_CITATION {"citationID":"Fb4kYSYH","properties":{"formattedCitation":"ibid.","plainCitation":"ibid.","dontUpdate":true,"noteIndex":22},"citationItems":[{"id":8237,"uris":["http://zotero.org/users/985088/items/VWCESX9L"],"itemData":{"id":8237,"type":"article-journal","container-title":"BYU Law Review","issue":"2","page":"511-576","title":"Taxing Data","volume":"47","author":[{"family":"Marian","given":"Omri"}],"issued":{"date-parts":[["2022",10,15]]}}}],"schema":"https://github.com/citation-style-language/schema/raw/master/csl-citation.json"} </w:instrText>
      </w:r>
      <w:r>
        <w:fldChar w:fldCharType="separate"/>
      </w:r>
      <w:r w:rsidR="00656095">
        <w:rPr>
          <w:rFonts w:ascii="Calibri" w:cs="Calibri"/>
          <w:lang w:val="en-GB"/>
        </w:rPr>
        <w:t>I</w:t>
      </w:r>
      <w:r w:rsidR="002D65F7">
        <w:rPr>
          <w:rFonts w:ascii="Calibri" w:cs="Calibri"/>
          <w:lang w:val="en-GB"/>
        </w:rPr>
        <w:t>bid.</w:t>
      </w:r>
      <w:r>
        <w:fldChar w:fldCharType="end"/>
      </w:r>
    </w:p>
  </w:footnote>
  <w:footnote w:id="22">
    <w:p w14:paraId="3E8CD05C" w14:textId="01F255A5" w:rsidR="00A616B8" w:rsidRDefault="00A616B8">
      <w:pPr>
        <w:pStyle w:val="FootnoteText"/>
      </w:pPr>
      <w:r>
        <w:rPr>
          <w:rStyle w:val="FootnoteReference"/>
        </w:rPr>
        <w:footnoteRef/>
      </w:r>
      <w:r>
        <w:t xml:space="preserve"> </w:t>
      </w:r>
      <w:r>
        <w:fldChar w:fldCharType="begin"/>
      </w:r>
      <w:r w:rsidR="006C1FF8">
        <w:instrText xml:space="preserve"> ADDIN ZOTERO_ITEM CSL_CITATION {"citationID":"BsbaTEKM","properties":{"formattedCitation":"ibid.","plainCitation":"ibid.","dontUpdate":true,"noteIndex":23},"citationItems":[{"id":8237,"uris":["http://zotero.org/users/985088/items/VWCESX9L"],"itemData":{"id":8237,"type":"article-journal","container-title":"BYU Law Review","issue":"2","page":"511-576","title":"Taxing Data","volume":"47","author":[{"family":"Marian","given":"Omri"}],"issued":{"date-parts":[["2022",10,15]]}}}],"schema":"https://github.com/citation-style-language/schema/raw/master/csl-citation.json"} </w:instrText>
      </w:r>
      <w:r>
        <w:fldChar w:fldCharType="separate"/>
      </w:r>
      <w:r w:rsidR="00656095">
        <w:rPr>
          <w:noProof/>
        </w:rPr>
        <w:t>I</w:t>
      </w:r>
      <w:r>
        <w:rPr>
          <w:noProof/>
        </w:rPr>
        <w:t>bid.</w:t>
      </w:r>
      <w:r>
        <w:fldChar w:fldCharType="end"/>
      </w:r>
    </w:p>
  </w:footnote>
  <w:footnote w:id="23">
    <w:p w14:paraId="5DB4F7CF" w14:textId="114DD69B" w:rsidR="008B7E05" w:rsidRDefault="008B7E05">
      <w:pPr>
        <w:pStyle w:val="FootnoteText"/>
      </w:pPr>
      <w:r w:rsidRPr="00DC6C94">
        <w:rPr>
          <w:rStyle w:val="FootnoteReference"/>
        </w:rPr>
        <w:footnoteRef/>
      </w:r>
      <w:r>
        <w:t xml:space="preserve"> </w:t>
      </w:r>
      <w:r>
        <w:fldChar w:fldCharType="begin"/>
      </w:r>
      <w:r w:rsidR="006C1FF8">
        <w:instrText xml:space="preserve"> ADDIN ZOTERO_ITEM CSL_CITATION {"citationID":"N0206YTF","properties":{"formattedCitation":"Thomas Paine, {\\i{}Agrarian Justice} (Printed by R Folwell, for Benjamin Franklin Bache 1797) &lt;https://catalog.hathitrust.org/Record/010429193&gt; accessed 26 October 2021.","plainCitation":"Thomas Paine, Agrarian Justice (Printed by R Folwell, for Benjamin Franklin Bache 1797) &lt;https://catalog.hathitrust.org/Record/010429193&gt; accessed 26 October 2021.","dontUpdate":true,"noteIndex":24},"citationItems":[{"id":1380,"uris":["http://zotero.org/users/985088/items/WZCSANZD"],"itemData":{"id":1380,"type":"book","event-place":"Philadelphia","number-of-pages":"32","publisher":"Printed by R. Folwell, for Benjamin Franklin Bache","publisher-place":"Philadelphia","source":"HathiTrust","title":"Agrarian Justice","URL":"https://catalog.hathitrust.org/Record/010429193","author":[{"family":"Paine","given":"Thomas"}],"accessed":{"date-parts":[["2021",10,26]]},"issued":{"date-parts":[["1797"]]}}}],"schema":"https://github.com/citation-style-language/schema/raw/master/csl-citation.json"} </w:instrText>
      </w:r>
      <w:r>
        <w:fldChar w:fldCharType="separate"/>
      </w:r>
      <w:r w:rsidRPr="008B7E05">
        <w:rPr>
          <w:rFonts w:ascii="Calibri" w:cs="Calibri"/>
          <w:lang w:val="en-GB"/>
        </w:rPr>
        <w:t xml:space="preserve">T Paine, </w:t>
      </w:r>
      <w:r w:rsidRPr="008B7E05">
        <w:rPr>
          <w:rFonts w:ascii="Calibri" w:cs="Calibri"/>
          <w:i/>
          <w:iCs/>
          <w:lang w:val="en-GB"/>
        </w:rPr>
        <w:t>Agrarian Justice</w:t>
      </w:r>
      <w:r w:rsidRPr="008B7E05">
        <w:rPr>
          <w:rFonts w:ascii="Calibri" w:cs="Calibri"/>
          <w:lang w:val="en-GB"/>
        </w:rPr>
        <w:t xml:space="preserve"> (Printed by R Folwell, for Benjamin Franklin Bache 1797) &lt;https://catalog.hathitrust.org/Record/010429193&gt; accessed 26 October 2021.</w:t>
      </w:r>
      <w:r>
        <w:fldChar w:fldCharType="end"/>
      </w:r>
    </w:p>
  </w:footnote>
  <w:footnote w:id="24">
    <w:p w14:paraId="2942B5DE" w14:textId="368086FA" w:rsidR="00A95B51" w:rsidRDefault="00A95B51">
      <w:pPr>
        <w:pStyle w:val="FootnoteText"/>
      </w:pPr>
      <w:r w:rsidRPr="00DC6C94">
        <w:rPr>
          <w:rStyle w:val="FootnoteReference"/>
        </w:rPr>
        <w:footnoteRef/>
      </w:r>
      <w:r w:rsidR="007632F6">
        <w:t xml:space="preserve"> </w:t>
      </w:r>
      <w:r w:rsidR="007632F6">
        <w:fldChar w:fldCharType="begin"/>
      </w:r>
      <w:r w:rsidR="006C1FF8">
        <w:instrText xml:space="preserve"> ADDIN ZOTERO_ITEM CSL_CITATION {"citationID":"EPSgoMm3","properties":{"formattedCitation":"See, eg, Nam Hoon Kang, \\uc0\\u8216{}Artificial Intelligence and the Right to a Universal Basic Income\\uc0\\u8217{} (2016) &lt;http://bien2016.org/en/wp-content/uploads/2015/10/BIEN2016_Kang_en.pdf&gt; accessed 25 October 2021.","plainCitation":"See, eg, Nam Hoon Kang, ‘Artificial Intelligence and the Right to a Universal Basic Income’ (2016) &lt;http://bien2016.org/en/wp-content/uploads/2015/10/BIEN2016_Kang_en.pdf&gt; accessed 25 October 2021.","noteIndex":25},"citationItems":[{"id":4842,"uris":["http://zotero.org/groups/2188448/items/Q3E8AQZH"],"itemData":{"id":4842,"type":"paper-conference","event-place":"Seoul, South Korea","event-title":"16th BIEN Congress","publisher-place":"Seoul, South Korea","title":"Artificial Intelligence and the Right to a Universal Basic Income","URL":"http://bien2016.org/en/wp-content/uploads/2015/10/BIEN2016_Kang_en.pdf","author":[{"family":"Kang","given":"Nam Hoon"}],"accessed":{"date-parts":[["2021",10,25]]},"issued":{"date-parts":[["2016"]]}},"label":"page","prefix":"See, eg, "}],"schema":"https://github.com/citation-style-language/schema/raw/master/csl-citation.json"} </w:instrText>
      </w:r>
      <w:r w:rsidR="007632F6">
        <w:fldChar w:fldCharType="separate"/>
      </w:r>
      <w:r w:rsidR="007632F6" w:rsidRPr="007632F6">
        <w:rPr>
          <w:rFonts w:ascii="Calibri" w:cs="Calibri"/>
          <w:lang w:val="en-GB"/>
        </w:rPr>
        <w:t>See, eg, Nam Hoon Kang, ‘Artificial Intelligence and the Right to a Universal Basic Income’ (2016) &lt;http://bien2016.org/en/wp-content/uploads/2015/10/BIEN2016_Kang_en.pdf&gt; accessed 25 October 2021.</w:t>
      </w:r>
      <w:r w:rsidR="007632F6">
        <w:fldChar w:fldCharType="end"/>
      </w:r>
      <w:r w:rsidR="007632F6">
        <w:t xml:space="preserve"> </w:t>
      </w:r>
      <w:r>
        <w:t>In general, funding UBI from rent of any kind underpin</w:t>
      </w:r>
      <w:r w:rsidR="007632F6">
        <w:t>s</w:t>
      </w:r>
      <w:r>
        <w:t xml:space="preserve"> its social justice. Philippe van </w:t>
      </w:r>
      <w:proofErr w:type="spellStart"/>
      <w:r>
        <w:t>Parijs</w:t>
      </w:r>
      <w:proofErr w:type="spellEnd"/>
      <w:r>
        <w:t xml:space="preserve">, whose treatise </w:t>
      </w:r>
      <w:r w:rsidRPr="004B1D50">
        <w:rPr>
          <w:i/>
          <w:iCs/>
        </w:rPr>
        <w:t>Real Freedom for All</w:t>
      </w:r>
      <w:r>
        <w:t xml:space="preserve"> is largely credited for reigniting the current UBI debate, has premised his argument for UBI on the sharing of social wealth that avoided the implication that the unproductive segment of society was being subsidised by the productive. He argued that funding for UBI should come from the taxation of </w:t>
      </w:r>
      <w:r w:rsidR="007632F6">
        <w:t>‘</w:t>
      </w:r>
      <w:r>
        <w:t>undeserved gifts and bequests</w:t>
      </w:r>
      <w:r w:rsidR="007632F6">
        <w:t>’</w:t>
      </w:r>
      <w:r>
        <w:t xml:space="preserve">, of which large transfers of wealth through inheritance are commonly thought of as examples. More originally, van </w:t>
      </w:r>
      <w:proofErr w:type="spellStart"/>
      <w:r>
        <w:t>Parijs</w:t>
      </w:r>
      <w:proofErr w:type="spellEnd"/>
      <w:r>
        <w:t xml:space="preserve"> proposed taxation of employment rents, i.e., privileged jobs conceived as undeserved gifts held by the advantaged</w:t>
      </w:r>
      <w:r w:rsidR="007632F6">
        <w:t>.</w:t>
      </w:r>
      <w:r>
        <w:t xml:space="preserve"> </w:t>
      </w:r>
      <w:r>
        <w:fldChar w:fldCharType="begin"/>
      </w:r>
      <w:r w:rsidR="006C1FF8">
        <w:instrText xml:space="preserve"> ADDIN ZOTERO_ITEM CSL_CITATION {"citationID":"8GbC2S7w","properties":{"formattedCitation":"Philippe van Parijs, {\\i{}Real Freedom for All: What (If Anything) Can Justify Capitalism?} (Clarendon Press 1998).","plainCitation":"Philippe van Parijs, Real Freedom for All: What (If Anything) Can Justify Capitalism? (Clarendon Press 1998).","dontUpdate":true,"noteIndex":25},"citationItems":[{"id":1311,"uris":["http://zotero.org/users/985088/items/XH6L6CTT"],"itemData":{"id":1311,"type":"book","event-place":"Oxford","ISBN":"978-0-19-829357-6","language":"English","number-of-pages":"344","publisher":"Clarendon Press","publisher-place":"Oxford","source":"Amazon","title":"Real Freedom for All: What (if Anything) Can Justify Capitalism?","title-short":"Real Freedom for All","author":[{"family":"Parijs","given":"Philippe","non-dropping-particle":"van"}],"issued":{"date-parts":[["1998",1,8]]}}}],"schema":"https://github.com/citation-style-language/schema/raw/master/csl-citation.json"} </w:instrText>
      </w:r>
      <w:r>
        <w:fldChar w:fldCharType="separate"/>
      </w:r>
      <w:r w:rsidR="008B7E05" w:rsidRPr="008B7E05">
        <w:rPr>
          <w:rFonts w:ascii="Calibri" w:cs="Calibri"/>
          <w:lang w:val="en-GB"/>
        </w:rPr>
        <w:t xml:space="preserve">P van Parijs, </w:t>
      </w:r>
      <w:r w:rsidR="008B7E05" w:rsidRPr="008B7E05">
        <w:rPr>
          <w:rFonts w:ascii="Calibri" w:cs="Calibri"/>
          <w:i/>
          <w:iCs/>
          <w:lang w:val="en-GB"/>
        </w:rPr>
        <w:t>Real Freedom for All: What (If Anything) Can Justify Capitalism?</w:t>
      </w:r>
      <w:r w:rsidR="008B7E05" w:rsidRPr="008B7E05">
        <w:rPr>
          <w:rFonts w:ascii="Calibri" w:cs="Calibri"/>
          <w:lang w:val="en-GB"/>
        </w:rPr>
        <w:t xml:space="preserve"> (Clarendon Press 1998).</w:t>
      </w:r>
      <w:r>
        <w:fldChar w:fldCharType="end"/>
      </w:r>
      <w:r>
        <w:t xml:space="preserve"> Other UBI proponents have proposed a variety of other taxes, e.g., carbon taxes, financial transactions taxes, etc., as well as dividends from natural resources such as the Alaska Permanent Fund, a sovereign wealth fund that dispensed yearly income to all residents of Alaska</w:t>
      </w:r>
      <w:r w:rsidR="007632F6">
        <w:t>.</w:t>
      </w:r>
      <w:r>
        <w:t xml:space="preserve"> </w:t>
      </w:r>
      <w:r>
        <w:fldChar w:fldCharType="begin"/>
      </w:r>
      <w:r w:rsidR="006C1FF8">
        <w:instrText xml:space="preserve"> ADDIN ZOTERO_ITEM CSL_CITATION {"citationID":"sZKqjwqH","properties":{"formattedCitation":"Karl Widerquist and Michael W Howard (eds), {\\i{}Exporting the Alaska Model} (Palgrave Macmillan 2012).","plainCitation":"Karl Widerquist and Michael W Howard (eds), Exporting the Alaska Model (Palgrave Macmillan 2012).","dontUpdate":true,"noteIndex":25},"citationItems":[{"id":1230,"uris":["http://zotero.org/users/985088/items/T7NLVACQ"],"itemData":{"id":1230,"type":"book","event-place":"New York","publisher":"Palgrave Macmillan","publisher-place":"New York","title":"Exporting the Alaska Model","editor":[{"family":"Widerquist","given":"Karl"},{"family":"Howard","given":"Michael W."}],"issued":{"date-parts":[["2012"]]}}}],"schema":"https://github.com/citation-style-language/schema/raw/master/csl-citation.json"} </w:instrText>
      </w:r>
      <w:r>
        <w:fldChar w:fldCharType="separate"/>
      </w:r>
      <w:r w:rsidR="008B7E05" w:rsidRPr="008B7E05">
        <w:rPr>
          <w:rFonts w:ascii="Calibri" w:cs="Calibri"/>
          <w:lang w:val="en-GB"/>
        </w:rPr>
        <w:t xml:space="preserve">K Widerquist and M Howard (eds), </w:t>
      </w:r>
      <w:r w:rsidR="008B7E05" w:rsidRPr="008B7E05">
        <w:rPr>
          <w:rFonts w:ascii="Calibri" w:cs="Calibri"/>
          <w:i/>
          <w:iCs/>
          <w:lang w:val="en-GB"/>
        </w:rPr>
        <w:t>Exporting the Alaska Model</w:t>
      </w:r>
      <w:r w:rsidR="008B7E05" w:rsidRPr="008B7E05">
        <w:rPr>
          <w:rFonts w:ascii="Calibri" w:cs="Calibri"/>
          <w:lang w:val="en-GB"/>
        </w:rPr>
        <w:t xml:space="preserve"> (Palgrave Macmillan 2012).</w:t>
      </w:r>
      <w:r>
        <w:fldChar w:fldCharType="end"/>
      </w:r>
    </w:p>
  </w:footnote>
  <w:footnote w:id="25">
    <w:p w14:paraId="740694B5" w14:textId="06D8B8D8" w:rsidR="008B7E05" w:rsidRDefault="008B7E05">
      <w:pPr>
        <w:pStyle w:val="FootnoteText"/>
      </w:pPr>
      <w:r w:rsidRPr="00DC6C94">
        <w:rPr>
          <w:rStyle w:val="FootnoteReference"/>
        </w:rPr>
        <w:footnoteRef/>
      </w:r>
      <w:r>
        <w:t xml:space="preserve"> </w:t>
      </w:r>
      <w:r>
        <w:fldChar w:fldCharType="begin"/>
      </w:r>
      <w:r w:rsidR="006C1FF8">
        <w:instrText xml:space="preserve"> ADDIN ZOTERO_ITEM CSL_CITATION {"citationID":"WqACPIXA","properties":{"formattedCitation":"Mariana Mazzucato, \\uc0\\u8216{}The Entrepreneurial State\\uc0\\u8217{} (2011) 49 Soundings 131.","plainCitation":"Mariana Mazzucato, ‘The Entrepreneurial State’ (2011) 49 Soundings 131.","dontUpdate":true,"noteIndex":26},"citationItems":[{"id":1383,"uris":["http://zotero.org/users/985088/items/F6U9WAZT"],"itemData":{"id":1383,"type":"article-journal","abstract":"The article challenges the minimalist view of the state that is currently driving British economic policy, arguing that a far more proactive role is required if innovation-led economic growth is a priority. The case is made that the role of the government, in the most successful economies\nand in the periods of highest growth, has gone way beyond creating the right infrastructure and setting the rules. It has been a leading agent in achieving the type of innovative breakthroughs that allow companies (and economies) to grow – not just by creating the 'conditions' that enable\ninnovation but by proactively creating a strategy around a new high-growth area before the potential is understood by the business community (from the internet to nanotechnology); by funding the most uncertain phase of the research that the private sector is too risk-averse to engage with;\nseeking and commissioning further developments; and often even overseeing the commercialisationof 'general purpose technologies'.","container-title":"Soundings","DOI":"10.3898/136266211798411183","issue":"49","journalAbbreviation":"Soundings","page":"131-142","source":"IngentaConnect","title":"The entrepreneurial state","volume":"49","author":[{"family":"Mazzucato","given":"Mariana"}],"issued":{"date-parts":[["2011",11,24]]}},"label":"page"}],"schema":"https://github.com/citation-style-language/schema/raw/master/csl-citation.json"} </w:instrText>
      </w:r>
      <w:r>
        <w:fldChar w:fldCharType="separate"/>
      </w:r>
      <w:r w:rsidR="00516D15" w:rsidRPr="00516D15">
        <w:rPr>
          <w:rFonts w:ascii="Calibri" w:cs="Calibri"/>
          <w:lang w:val="en-GB"/>
        </w:rPr>
        <w:t>M Mazzucato, ‘The Entrepreneurial State’ (2011) 49 Soundings 131.</w:t>
      </w:r>
      <w:r>
        <w:fldChar w:fldCharType="end"/>
      </w:r>
    </w:p>
  </w:footnote>
  <w:footnote w:id="26">
    <w:p w14:paraId="533974D8" w14:textId="00C8FF97" w:rsidR="00516D15" w:rsidRDefault="00516D15">
      <w:pPr>
        <w:pStyle w:val="FootnoteText"/>
      </w:pPr>
      <w:r>
        <w:rPr>
          <w:rStyle w:val="FootnoteReference"/>
        </w:rPr>
        <w:footnoteRef/>
      </w:r>
      <w:r>
        <w:t xml:space="preserve"> </w:t>
      </w:r>
      <w:r>
        <w:fldChar w:fldCharType="begin"/>
      </w:r>
      <w:r w:rsidR="006C1FF8">
        <w:instrText xml:space="preserve"> ADDIN ZOTERO_ITEM CSL_CITATION {"citationID":"XW3iFQG1","properties":{"formattedCitation":"ibid.","plainCitation":"ibid.","dontUpdate":true,"noteIndex":27},"citationItems":[{"id":1383,"uris":["http://zotero.org/users/985088/items/F6U9WAZT"],"itemData":{"id":1383,"type":"article-journal","abstract":"The article challenges the minimalist view of the state that is currently driving British economic policy, arguing that a far more proactive role is required if innovation-led economic growth is a priority. The case is made that the role of the government, in the most successful economies\nand in the periods of highest growth, has gone way beyond creating the right infrastructure and setting the rules. It has been a leading agent in achieving the type of innovative breakthroughs that allow companies (and economies) to grow – not just by creating the 'conditions' that enable\ninnovation but by proactively creating a strategy around a new high-growth area before the potential is understood by the business community (from the internet to nanotechnology); by funding the most uncertain phase of the research that the private sector is too risk-averse to engage with;\nseeking and commissioning further developments; and often even overseeing the commercialisationof 'general purpose technologies'.","container-title":"Soundings","DOI":"10.3898/136266211798411183","issue":"49","journalAbbreviation":"Soundings","page":"131-142","source":"IngentaConnect","title":"The entrepreneurial state","volume":"49","author":[{"family":"Mazzucato","given":"Mariana"}],"issued":{"date-parts":[["2011",11,24]]}}}],"schema":"https://github.com/citation-style-language/schema/raw/master/csl-citation.json"} </w:instrText>
      </w:r>
      <w:r>
        <w:fldChar w:fldCharType="separate"/>
      </w:r>
      <w:r w:rsidR="00656095">
        <w:rPr>
          <w:noProof/>
        </w:rPr>
        <w:t>I</w:t>
      </w:r>
      <w:r>
        <w:rPr>
          <w:noProof/>
        </w:rPr>
        <w:t>bid.</w:t>
      </w:r>
      <w:r>
        <w:fldChar w:fldCharType="end"/>
      </w:r>
    </w:p>
  </w:footnote>
  <w:footnote w:id="27">
    <w:p w14:paraId="1D21376F" w14:textId="0C161BB3" w:rsidR="00A22EA1" w:rsidRDefault="00A22EA1" w:rsidP="00A22EA1">
      <w:pPr>
        <w:pStyle w:val="FootnoteText"/>
      </w:pPr>
      <w:r w:rsidRPr="00DC6C94">
        <w:rPr>
          <w:rStyle w:val="FootnoteReference"/>
        </w:rPr>
        <w:footnoteRef/>
      </w:r>
      <w:r>
        <w:t xml:space="preserve"> </w:t>
      </w:r>
      <w:r>
        <w:fldChar w:fldCharType="begin"/>
      </w:r>
      <w:r w:rsidR="006C1FF8">
        <w:instrText xml:space="preserve"> ADDIN ZOTERO_ITEM CSL_CITATION {"citationID":"7SHohAh0","properties":{"formattedCitation":"Marian (n 21).","plainCitation":"Marian (n 21).","noteIndex":28},"citationItems":[{"id":8237,"uris":["http://zotero.org/users/985088/items/VWCESX9L"],"itemData":{"id":8237,"type":"article-journal","container-title":"BYU Law Review","issue":"2","page":"511-576","title":"Taxing Data","volume":"47","author":[{"family":"Marian","given":"Omri"}],"issued":{"date-parts":[["2022",10,15]]}},"label":"page"}],"schema":"https://github.com/citation-style-language/schema/raw/master/csl-citation.json"} </w:instrText>
      </w:r>
      <w:r>
        <w:fldChar w:fldCharType="separate"/>
      </w:r>
      <w:r w:rsidR="006C1FF8">
        <w:rPr>
          <w:rFonts w:ascii="Aptos" w:cs="Times New Roman"/>
          <w:lang w:val="en-GB"/>
        </w:rPr>
        <w:t>Marian (n 21).</w:t>
      </w:r>
      <w:r>
        <w:fldChar w:fldCharType="end"/>
      </w:r>
    </w:p>
  </w:footnote>
  <w:footnote w:id="28">
    <w:p w14:paraId="1E585227" w14:textId="05AF2AC8" w:rsidR="00A22EA1" w:rsidRDefault="00A22EA1" w:rsidP="00A22EA1">
      <w:pPr>
        <w:pStyle w:val="FootnoteText"/>
      </w:pPr>
      <w:r w:rsidRPr="00DC6C94">
        <w:rPr>
          <w:rStyle w:val="FootnoteReference"/>
        </w:rPr>
        <w:footnoteRef/>
      </w:r>
      <w:r>
        <w:t xml:space="preserve"> </w:t>
      </w:r>
      <w:r>
        <w:fldChar w:fldCharType="begin"/>
      </w:r>
      <w:r w:rsidR="006C1FF8">
        <w:instrText xml:space="preserve"> ADDIN ZOTERO_ITEM CSL_CITATION {"citationID":"DDeimwxF","properties":{"formattedCitation":"Yariv Brauner, \\uc0\\u8216{}Taxation of Information and the Data Revolution\\uc0\\u8217{} (1 March 2023) &lt;https://papers.ssrn.com/abstract=4400680&gt; accessed 11 September 2023.","plainCitation":"Yariv Brauner, ‘Taxation of Information and the Data Revolution’ (1 March 2023) &lt;https://papers.ssrn.com/abstract=4400680&gt; accessed 11 September 2023.","noteIndex":29},"citationItems":[{"id":8205,"uris":["http://zotero.org/users/985088/items/9TZT4SW8"],"itemData":{"id":8205,"type":"article","abstract":"One cannot escape the data revolution; it is all around us. Advancements in information collection, collation, and analysis are fundamentally altering our world. They are transforming the economy, society, and even ourselves. These dramatic, fast-paced changes place demands on the law and even challenge the role of law in society, resulting in a thriving academic debate. Tax scholarship has yet to join this discourse. This article begins to fill the void, explaining the impediment and exploring realistic policy options.The first and most dramatic contribution of this article is its conclusion that existing and universal income tax rules are inherently incompatible with an economy in which information plays a significant and growing role. This article contends that income taxation is incapable of effectively taxing information. It goes on to argue that this inability necessitates immediate reform, and it offers three viable paths to such reform: consumption taxation, data taxes, and formulary taxation. Finally, this article concludes that formulary taxation is currently the most desirable and plausible path to effective reform, owing to its promise to best stabilize and maintain the legitimacy of the international tax regime. Formulary taxation can be incorporated into the existing regime most naturally, and its use of multi-factor formulae gives it the best chances of legitimacy because such reform does not pre-determine winners and losers.","DOI":"10.2139/ssrn.4400680","event-place":"Rochester, NY","genre":"SSRN Scholarly Paper","language":"en","number":"4400680","publisher-place":"Rochester, NY","source":"Social Science Research Network","title":"Taxation of Information and the Data Revolution","URL":"https://papers.ssrn.com/abstract=4400680","author":[{"family":"Brauner","given":"Yariv"}],"accessed":{"date-parts":[["2023",9,11]]},"issued":{"date-parts":[["2023",3,1]]}},"label":"page"}],"schema":"https://github.com/citation-style-language/schema/raw/master/csl-citation.json"} </w:instrText>
      </w:r>
      <w:r>
        <w:fldChar w:fldCharType="separate"/>
      </w:r>
      <w:r w:rsidRPr="00483D9D">
        <w:rPr>
          <w:rFonts w:ascii="Calibri" w:cs="Calibri"/>
          <w:lang w:val="en-GB"/>
        </w:rPr>
        <w:t>Yariv Brauner, ‘Taxation of Information and the Data Revolution’ (1 March 2023) &lt;https://papers.ssrn.com/abstract=4400680&gt; accessed 11 September 2023.</w:t>
      </w:r>
      <w:r>
        <w:fldChar w:fldCharType="end"/>
      </w:r>
    </w:p>
  </w:footnote>
  <w:footnote w:id="29">
    <w:p w14:paraId="3D5457D1" w14:textId="06F8FB6F" w:rsidR="00A22EA1" w:rsidRDefault="00A22EA1" w:rsidP="00A22EA1">
      <w:pPr>
        <w:pStyle w:val="FootnoteText"/>
      </w:pPr>
      <w:r w:rsidRPr="00DC6C94">
        <w:rPr>
          <w:rStyle w:val="FootnoteReference"/>
        </w:rPr>
        <w:footnoteRef/>
      </w:r>
      <w:r>
        <w:t xml:space="preserve"> </w:t>
      </w:r>
      <w:r>
        <w:fldChar w:fldCharType="begin"/>
      </w:r>
      <w:r w:rsidR="006C1FF8">
        <w:instrText xml:space="preserve"> ADDIN ZOTERO_ITEM CSL_CITATION {"citationID":"x8wmKtaW","properties":{"formattedCitation":"ibid.","plainCitation":"ibid.","dontUpdate":true,"noteIndex":30},"citationItems":[{"id":8205,"uris":["http://zotero.org/users/985088/items/9TZT4SW8"],"itemData":{"id":8205,"type":"article","abstract":"One cannot escape the data revolution; it is all around us. Advancements in information collection, collation, and analysis are fundamentally altering our world. They are transforming the economy, society, and even ourselves. These dramatic, fast-paced changes place demands on the law and even challenge the role of law in society, resulting in a thriving academic debate. Tax scholarship has yet to join this discourse. This article begins to fill the void, explaining the impediment and exploring realistic policy options.The first and most dramatic contribution of this article is its conclusion that existing and universal income tax rules are inherently incompatible with an economy in which information plays a significant and growing role. This article contends that income taxation is incapable of effectively taxing information. It goes on to argue that this inability necessitates immediate reform, and it offers three viable paths to such reform: consumption taxation, data taxes, and formulary taxation. Finally, this article concludes that formulary taxation is currently the most desirable and plausible path to effective reform, owing to its promise to best stabilize and maintain the legitimacy of the international tax regime. Formulary taxation can be incorporated into the existing regime most naturally, and its use of multi-factor formulae gives it the best chances of legitimacy because such reform does not pre-determine winners and losers.","DOI":"10.2139/ssrn.4400680","event-place":"Rochester, NY","genre":"SSRN Scholarly Paper","language":"en","number":"4400680","publisher-place":"Rochester, NY","source":"Social Science Research Network","title":"Taxation of Information and the Data Revolution","URL":"https://papers.ssrn.com/abstract=4400680","author":[{"family":"Brauner","given":"Yariv"}],"accessed":{"date-parts":[["2023",9,11]]},"issued":{"date-parts":[["2023",3,1]]}}}],"schema":"https://github.com/citation-style-language/schema/raw/master/csl-citation.json"} </w:instrText>
      </w:r>
      <w:r>
        <w:fldChar w:fldCharType="separate"/>
      </w:r>
      <w:r>
        <w:rPr>
          <w:noProof/>
        </w:rPr>
        <w:t>Ibid.</w:t>
      </w:r>
      <w:r>
        <w:fldChar w:fldCharType="end"/>
      </w:r>
    </w:p>
  </w:footnote>
  <w:footnote w:id="30">
    <w:p w14:paraId="67B9C8DC" w14:textId="081FC32D" w:rsidR="00A22EA1" w:rsidRDefault="00A22EA1" w:rsidP="00A22EA1">
      <w:pPr>
        <w:pStyle w:val="FootnoteText"/>
      </w:pPr>
      <w:r>
        <w:rPr>
          <w:rStyle w:val="FootnoteReference"/>
        </w:rPr>
        <w:footnoteRef/>
      </w:r>
      <w:r>
        <w:t xml:space="preserve"> </w:t>
      </w:r>
      <w:r>
        <w:fldChar w:fldCharType="begin"/>
      </w:r>
      <w:r w:rsidR="006C1FF8">
        <w:instrText xml:space="preserve"> ADDIN ZOTERO_ITEM CSL_CITATION {"citationID":"4tF16Ua8","properties":{"formattedCitation":"Torbj\\uc0\\u248{}rn Graff Hugo and Magnus L\\uc0\\u248{}vold, \\uc0\\u8216{}A UN Tax Convention? Exploring the Merits and Feasibility of a New International Convention on Tax and Financial Transparency\\uc0\\u8217{} (Norwegian Academy of International Law 2022) 6 &lt;http://intlaw.no/wp-content/uploads/2022/09/REPORT-UN-tax-convention-FINAL-NAIL-sept-2022-WEB.pdf&gt; accessed 7 August 2024.","plainCitation":"Torbjørn Graff Hugo and Magnus Løvold, ‘A UN Tax Convention? Exploring the Merits and Feasibility of a New International Convention on Tax and Financial Transparency’ (Norwegian Academy of International Law 2022) 6 &lt;http://intlaw.no/wp-content/uploads/2022/09/REPORT-UN-tax-convention-FINAL-NAIL-sept-2022-WEB.pdf&gt; accessed 7 August 2024.","noteIndex":31},"citationItems":[{"id":8401,"uris":["http://zotero.org/users/985088/items/Z5BD2GAR"],"itemData":{"id":8401,"type":"report","publisher":"Norwegian Academy of International Law","title":"A UN Tax Convention? Exploring the Merits and Feasibility of a New International Convention on Tax and Financial Transparency","URL":"http://intlaw.no/wp-content/uploads/2022/09/REPORT-UN-tax-convention-FINAL-NAIL-sept-2022-WEB.pdf","author":[{"family":"Hugo","given":"Torbjørn Graff"},{"family":"Løvold","given":"Magnus"}],"accessed":{"date-parts":[["2024",8,7]]},"issued":{"date-parts":[["2022",9]]}},"locator":"6","label":"page"}],"schema":"https://github.com/citation-style-language/schema/raw/master/csl-citation.json"} </w:instrText>
      </w:r>
      <w:r>
        <w:fldChar w:fldCharType="separate"/>
      </w:r>
      <w:r w:rsidRPr="00EB61B5">
        <w:rPr>
          <w:rFonts w:ascii="Aptos" w:cs="Times New Roman"/>
          <w:lang w:val="en-GB"/>
        </w:rPr>
        <w:t>Torbj</w:t>
      </w:r>
      <w:r w:rsidRPr="00EB61B5">
        <w:rPr>
          <w:rFonts w:ascii="Aptos" w:cs="Times New Roman"/>
          <w:lang w:val="en-GB"/>
        </w:rPr>
        <w:t>ø</w:t>
      </w:r>
      <w:r w:rsidRPr="00EB61B5">
        <w:rPr>
          <w:rFonts w:ascii="Aptos" w:cs="Times New Roman"/>
          <w:lang w:val="en-GB"/>
        </w:rPr>
        <w:t>rn Graff Hugo and Magnus L</w:t>
      </w:r>
      <w:r w:rsidRPr="00EB61B5">
        <w:rPr>
          <w:rFonts w:ascii="Aptos" w:cs="Times New Roman"/>
          <w:lang w:val="en-GB"/>
        </w:rPr>
        <w:t>ø</w:t>
      </w:r>
      <w:r w:rsidRPr="00EB61B5">
        <w:rPr>
          <w:rFonts w:ascii="Aptos" w:cs="Times New Roman"/>
          <w:lang w:val="en-GB"/>
        </w:rPr>
        <w:t xml:space="preserve">vold, </w:t>
      </w:r>
      <w:r w:rsidRPr="00EB61B5">
        <w:rPr>
          <w:rFonts w:ascii="Aptos" w:cs="Times New Roman"/>
          <w:lang w:val="en-GB"/>
        </w:rPr>
        <w:t>‘</w:t>
      </w:r>
      <w:r w:rsidRPr="00EB61B5">
        <w:rPr>
          <w:rFonts w:ascii="Aptos" w:cs="Times New Roman"/>
          <w:lang w:val="en-GB"/>
        </w:rPr>
        <w:t>A UN Tax Convention? Exploring the Merits and Feasibility of a New International Convention on Tax and Financial Transparency</w:t>
      </w:r>
      <w:r w:rsidRPr="00EB61B5">
        <w:rPr>
          <w:rFonts w:ascii="Aptos" w:cs="Times New Roman"/>
          <w:lang w:val="en-GB"/>
        </w:rPr>
        <w:t>’</w:t>
      </w:r>
      <w:r w:rsidRPr="00EB61B5">
        <w:rPr>
          <w:rFonts w:ascii="Aptos" w:cs="Times New Roman"/>
          <w:lang w:val="en-GB"/>
        </w:rPr>
        <w:t xml:space="preserve"> (Norwegian Academy of International Law 2022) 6 &lt;http://intlaw.no/wp-content/uploads/2022/09/REPORT-UN-tax-convention-FINAL-NAIL-sept-2022-WEB.pdf&gt; accessed 7 August 2024.</w:t>
      </w:r>
      <w:r>
        <w:fldChar w:fldCharType="end"/>
      </w:r>
    </w:p>
  </w:footnote>
  <w:footnote w:id="31">
    <w:p w14:paraId="5D5B9B41" w14:textId="19EC2749" w:rsidR="00A22EA1" w:rsidRPr="00682D9B" w:rsidRDefault="00A22EA1" w:rsidP="00A22EA1">
      <w:pPr>
        <w:pStyle w:val="FootnoteText"/>
        <w:rPr>
          <w:rFonts w:ascii="Aptos" w:hAnsi="Aptos"/>
        </w:rPr>
      </w:pPr>
      <w:r>
        <w:rPr>
          <w:rStyle w:val="FootnoteReference"/>
        </w:rPr>
        <w:footnoteRef/>
      </w:r>
      <w:r>
        <w:t xml:space="preserve"> </w:t>
      </w:r>
      <w:r w:rsidRPr="00682D9B">
        <w:rPr>
          <w:rFonts w:ascii="Aptos" w:hAnsi="Aptos" w:cstheme="minorHAnsi"/>
        </w:rPr>
        <w:fldChar w:fldCharType="begin"/>
      </w:r>
      <w:r w:rsidR="006C1FF8" w:rsidRPr="00682D9B">
        <w:rPr>
          <w:rFonts w:ascii="Aptos" w:hAnsi="Aptos" w:cstheme="minorHAnsi"/>
        </w:rPr>
        <w:instrText xml:space="preserve"> ADDIN ZOTERO_ITEM CSL_CITATION {"citationID":"MwI5pnmE","properties":{"formattedCitation":"Hugo and L\\uc0\\u248{}vold (n 31).","plainCitation":"Hugo and Løvold (n 31).","noteIndex":32},"citationItems":[{"id":8401,"uris":["http://zotero.org/users/985088/items/Z5BD2GAR"],"itemData":{"id":8401,"type":"report","publisher":"Norwegian Academy of International Law","title":"A UN Tax Convention? Exploring the Merits and Feasibility of a New International Convention on Tax and Financial Transparency","URL":"http://intlaw.no/wp-content/uploads/2022/09/REPORT-UN-tax-convention-FINAL-NAIL-sept-2022-WEB.pdf","author":[{"family":"Hugo","given":"Torbjørn Graff"},{"family":"Løvold","given":"Magnus"}],"accessed":{"date-parts":[["2024",8,7]]},"issued":{"date-parts":[["2022",9]]}}}],"schema":"https://github.com/citation-style-language/schema/raw/master/csl-citation.json"} </w:instrText>
      </w:r>
      <w:r w:rsidRPr="00682D9B">
        <w:rPr>
          <w:rFonts w:ascii="Aptos" w:hAnsi="Aptos" w:cstheme="minorHAnsi"/>
        </w:rPr>
        <w:fldChar w:fldCharType="separate"/>
      </w:r>
      <w:r w:rsidR="006C1FF8" w:rsidRPr="00682D9B">
        <w:rPr>
          <w:rFonts w:ascii="Aptos" w:hAnsi="Aptos" w:cstheme="minorHAnsi"/>
          <w:lang w:val="en-GB"/>
        </w:rPr>
        <w:t>Hugo and Løvold (n 31).</w:t>
      </w:r>
      <w:r w:rsidRPr="00682D9B">
        <w:rPr>
          <w:rFonts w:ascii="Aptos" w:hAnsi="Aptos" w:cstheme="minorHAnsi"/>
        </w:rPr>
        <w:fldChar w:fldCharType="end"/>
      </w:r>
    </w:p>
  </w:footnote>
  <w:footnote w:id="32">
    <w:p w14:paraId="1E5FE5B5" w14:textId="34F1CAB2" w:rsidR="00A22EA1" w:rsidRPr="00682D9B" w:rsidRDefault="00A22EA1" w:rsidP="00A22EA1">
      <w:pPr>
        <w:pStyle w:val="FootnoteText"/>
        <w:rPr>
          <w:rFonts w:ascii="Aptos" w:hAnsi="Aptos"/>
        </w:rPr>
      </w:pPr>
      <w:r w:rsidRPr="00682D9B">
        <w:rPr>
          <w:rStyle w:val="FootnoteReference"/>
          <w:rFonts w:ascii="Aptos" w:hAnsi="Aptos"/>
        </w:rPr>
        <w:footnoteRef/>
      </w:r>
      <w:r w:rsidRPr="00682D9B">
        <w:rPr>
          <w:rFonts w:ascii="Aptos" w:hAnsi="Aptos"/>
        </w:rPr>
        <w:t xml:space="preserve"> </w:t>
      </w:r>
      <w:r w:rsidRPr="00682D9B">
        <w:rPr>
          <w:rFonts w:ascii="Aptos" w:hAnsi="Aptos"/>
        </w:rPr>
        <w:fldChar w:fldCharType="begin"/>
      </w:r>
      <w:r w:rsidR="006C1FF8" w:rsidRPr="00682D9B">
        <w:rPr>
          <w:rFonts w:ascii="Aptos" w:hAnsi="Aptos"/>
        </w:rPr>
        <w:instrText xml:space="preserve"> ADDIN ZOTERO_ITEM CSL_CITATION {"citationID":"GpY56hQe","properties":{"formattedCitation":"\\uc0\\u8216{}Taxation and the EU\\uc0\\u8217{} ({\\i{}Civitas: Institute for the Study of Civil Society}, 18 December 2015) &lt;http://civitas.org.ukhttps://civitas.org.uk/eu-facts/eu-overview/taxation-and-the-eu/&gt; accessed 13 August 2024.","plainCitation":"‘Taxation and the EU’ (Civitas: Institute for the Study of Civil Society, 18 December 2015) &lt;http://civitas.org.ukhttps://civitas.org.uk/eu-facts/eu-overview/taxation-and-the-eu/&gt; accessed 13 August 2024.","noteIndex":33},"citationItems":[{"id":8410,"uris":["http://zotero.org/users/985088/items/WCRDAWKN"],"itemData":{"id":8410,"type":"webpage","abstract":"A PDF of this resource can be accessed here. Introduction Creating a joined-up tax system across the EU is central to the operation of an effective single market. It is needed to make a level playi…","container-title":"Civitas: Institute for the Study of Civil Society","language":"en-GB","title":"Taxation and the EU","URL":"http://civitas.org.ukhttps://civitas.org.uk/eu-facts/eu-overview/taxation-and-the-eu/","accessed":{"date-parts":[["2024",8,13]]},"issued":{"date-parts":[["2015",12,18]]}}}],"schema":"https://github.com/citation-style-language/schema/raw/master/csl-citation.json"} </w:instrText>
      </w:r>
      <w:r w:rsidRPr="00682D9B">
        <w:rPr>
          <w:rFonts w:ascii="Aptos" w:hAnsi="Aptos"/>
        </w:rPr>
        <w:fldChar w:fldCharType="separate"/>
      </w:r>
      <w:r w:rsidRPr="00682D9B">
        <w:rPr>
          <w:rFonts w:ascii="Aptos" w:hAnsi="Aptos" w:cs="Times New Roman"/>
          <w:lang w:val="en-GB"/>
        </w:rPr>
        <w:t>‘Taxation and the EU’ (</w:t>
      </w:r>
      <w:r w:rsidRPr="00682D9B">
        <w:rPr>
          <w:rFonts w:ascii="Aptos" w:hAnsi="Aptos" w:cs="Times New Roman"/>
          <w:i/>
          <w:iCs/>
          <w:lang w:val="en-GB"/>
        </w:rPr>
        <w:t>Civitas: Institute for the Study of Civil Society</w:t>
      </w:r>
      <w:r w:rsidRPr="00682D9B">
        <w:rPr>
          <w:rFonts w:ascii="Aptos" w:hAnsi="Aptos" w:cs="Times New Roman"/>
          <w:lang w:val="en-GB"/>
        </w:rPr>
        <w:t>, 18 December 2015) &lt;http://civitas.org.ukhttps://civitas.org.uk/eu-facts/eu-overview/taxation-and-the-eu/&gt; accessed 13 August 2024.</w:t>
      </w:r>
      <w:r w:rsidRPr="00682D9B">
        <w:rPr>
          <w:rFonts w:ascii="Aptos" w:hAnsi="Aptos"/>
        </w:rPr>
        <w:fldChar w:fldCharType="end"/>
      </w:r>
    </w:p>
  </w:footnote>
  <w:footnote w:id="33">
    <w:p w14:paraId="5FFC031B" w14:textId="41707E69" w:rsidR="00A22EA1" w:rsidRPr="00682D9B" w:rsidRDefault="00A22EA1" w:rsidP="00A22EA1">
      <w:pPr>
        <w:pStyle w:val="FootnoteText"/>
        <w:rPr>
          <w:rFonts w:ascii="Aptos" w:hAnsi="Aptos"/>
        </w:rPr>
      </w:pPr>
      <w:r w:rsidRPr="00682D9B">
        <w:rPr>
          <w:rStyle w:val="FootnoteReference"/>
          <w:rFonts w:ascii="Aptos" w:hAnsi="Aptos"/>
        </w:rPr>
        <w:footnoteRef/>
      </w:r>
      <w:r w:rsidRPr="00682D9B">
        <w:rPr>
          <w:rFonts w:ascii="Aptos" w:hAnsi="Aptos"/>
        </w:rPr>
        <w:t xml:space="preserve"> </w:t>
      </w:r>
      <w:r w:rsidRPr="00682D9B">
        <w:rPr>
          <w:rFonts w:ascii="Aptos" w:hAnsi="Aptos"/>
        </w:rPr>
        <w:fldChar w:fldCharType="begin"/>
      </w:r>
      <w:r w:rsidR="006C1FF8" w:rsidRPr="00682D9B">
        <w:rPr>
          <w:rFonts w:ascii="Aptos" w:hAnsi="Aptos"/>
        </w:rPr>
        <w:instrText xml:space="preserve"> ADDIN ZOTERO_ITEM CSL_CITATION {"citationID":"zgC21wYz","properties":{"formattedCitation":"Hugo and L\\uc0\\u248{}vold (n 31) 8.","plainCitation":"Hugo and Løvold (n 31) 8.","noteIndex":34},"citationItems":[{"id":8401,"uris":["http://zotero.org/users/985088/items/Z5BD2GAR"],"itemData":{"id":8401,"type":"report","publisher":"Norwegian Academy of International Law","title":"A UN Tax Convention? Exploring the Merits and Feasibility of a New International Convention on Tax and Financial Transparency","URL":"http://intlaw.no/wp-content/uploads/2022/09/REPORT-UN-tax-convention-FINAL-NAIL-sept-2022-WEB.pdf","author":[{"family":"Hugo","given":"Torbjørn Graff"},{"family":"Løvold","given":"Magnus"}],"accessed":{"date-parts":[["2024",8,7]]},"issued":{"date-parts":[["2022",9]]}},"locator":"8","label":"page"}],"schema":"https://github.com/citation-style-language/schema/raw/master/csl-citation.json"} </w:instrText>
      </w:r>
      <w:r w:rsidRPr="00682D9B">
        <w:rPr>
          <w:rFonts w:ascii="Aptos" w:hAnsi="Aptos"/>
        </w:rPr>
        <w:fldChar w:fldCharType="separate"/>
      </w:r>
      <w:r w:rsidR="006C1FF8" w:rsidRPr="00682D9B">
        <w:rPr>
          <w:rFonts w:ascii="Aptos" w:hAnsi="Aptos" w:cs="Times New Roman"/>
          <w:lang w:val="en-GB"/>
        </w:rPr>
        <w:t>Hugo and Løvold (n 31) 8.</w:t>
      </w:r>
      <w:r w:rsidRPr="00682D9B">
        <w:rPr>
          <w:rFonts w:ascii="Aptos" w:hAnsi="Aptos"/>
        </w:rPr>
        <w:fldChar w:fldCharType="end"/>
      </w:r>
    </w:p>
  </w:footnote>
  <w:footnote w:id="34">
    <w:p w14:paraId="620FFF0B" w14:textId="64D9787D" w:rsidR="00A22EA1" w:rsidRDefault="00A22EA1" w:rsidP="00A22EA1">
      <w:pPr>
        <w:pStyle w:val="FootnoteText"/>
      </w:pPr>
      <w:r w:rsidRPr="00682D9B">
        <w:rPr>
          <w:rStyle w:val="FootnoteReference"/>
          <w:rFonts w:ascii="Aptos" w:hAnsi="Aptos"/>
        </w:rPr>
        <w:footnoteRef/>
      </w:r>
      <w:r w:rsidRPr="00682D9B">
        <w:rPr>
          <w:rFonts w:ascii="Aptos" w:hAnsi="Aptos"/>
        </w:rPr>
        <w:t xml:space="preserve"> </w:t>
      </w:r>
      <w:r w:rsidRPr="00682D9B">
        <w:rPr>
          <w:rFonts w:ascii="Aptos" w:hAnsi="Aptos"/>
        </w:rPr>
        <w:fldChar w:fldCharType="begin"/>
      </w:r>
      <w:r w:rsidR="006C1FF8" w:rsidRPr="00682D9B">
        <w:rPr>
          <w:rFonts w:ascii="Aptos" w:hAnsi="Aptos"/>
        </w:rPr>
        <w:instrText xml:space="preserve"> ADDIN ZOTERO_ITEM CSL_CITATION {"citationID":"uKF3ZUDU","properties":{"formattedCitation":"Leigh Thomas, \\uc0\\u8216{}UN Vote Challenges OECD Global Tax Leadership\\uc0\\u8217{} {\\i{}Reuters} (23 November 2023) &lt;https://www.reuters.com/world/un-vote-challenges-oecd-global-tax-leadership-2023-11-23/&gt; accessed 15 January 2024.","plainCitation":"Leigh Thomas, ‘UN Vote Challenges OECD Global Tax Leadership’ Reuters (23 November 2023) &lt;https://www.reuters.com/world/un-vote-challenges-oecd-global-tax-leadership-2023-11-23/&gt; accessed 15 January 2024.","dontUpdate":true,"noteIndex":35},"citationItems":[{"id":8286,"uris":["http://zotero.org/users/985088/items/ZSNH4N4Q"],"itemData":{"id":8286,"type":"article-newspaper","abstract":"The Organisation for Economic Cooperation and Development's leadership on global tax coordination has come under threat after a majority of UN members backed an African-led initiative to bring international tax cooperation to the United Nations.","container-title":"Reuters","language":"en","section":"World","source":"www.reuters.com","title":"UN vote challenges OECD global tax leadership","URL":"https://www.reuters.com/world/un-vote-challenges-oecd-global-tax-leadership-2023-11-23/","author":[{"family":"Thomas","given":"Leigh"}],"accessed":{"date-parts":[["2024",1,15]]},"issued":{"date-parts":[["2023",11,23]]}}}],"schema":"https://github.com/citation-style-language/schema/raw/master/csl-citation.json"} </w:instrText>
      </w:r>
      <w:r w:rsidRPr="00682D9B">
        <w:rPr>
          <w:rFonts w:ascii="Aptos" w:hAnsi="Aptos"/>
        </w:rPr>
        <w:fldChar w:fldCharType="separate"/>
      </w:r>
      <w:r w:rsidRPr="00682D9B">
        <w:rPr>
          <w:rFonts w:ascii="Aptos" w:hAnsi="Aptos" w:cs="Calibri"/>
          <w:lang w:val="en-GB"/>
        </w:rPr>
        <w:t>Leigh Thomas, ‘UN Vote Challenges OECD Global Tax Leadership’ (</w:t>
      </w:r>
      <w:r w:rsidRPr="00682D9B">
        <w:rPr>
          <w:rFonts w:ascii="Aptos" w:hAnsi="Aptos" w:cs="Calibri"/>
          <w:i/>
          <w:iCs/>
          <w:lang w:val="en-GB"/>
        </w:rPr>
        <w:t>Reuters,</w:t>
      </w:r>
      <w:r w:rsidRPr="00682D9B">
        <w:rPr>
          <w:rFonts w:ascii="Aptos" w:hAnsi="Aptos" w:cs="Calibri"/>
          <w:lang w:val="en-GB"/>
        </w:rPr>
        <w:t xml:space="preserve"> 23 Nov 2023) &lt;https://www.reuters.com/world/un-vote-challenges-oecd-global-tax-leadership-2023-11-23/&gt; accessed 15 Jan 2024.</w:t>
      </w:r>
      <w:r w:rsidRPr="00682D9B">
        <w:rPr>
          <w:rFonts w:ascii="Aptos" w:hAnsi="Aptos"/>
        </w:rPr>
        <w:fldChar w:fldCharType="end"/>
      </w:r>
    </w:p>
  </w:footnote>
  <w:footnote w:id="35">
    <w:p w14:paraId="1AB839D7" w14:textId="1B5322A5" w:rsidR="00A22EA1" w:rsidRDefault="00A22EA1" w:rsidP="00A22EA1">
      <w:pPr>
        <w:pStyle w:val="FootnoteText"/>
      </w:pPr>
      <w:r>
        <w:rPr>
          <w:rStyle w:val="FootnoteReference"/>
        </w:rPr>
        <w:footnoteRef/>
      </w:r>
      <w:r>
        <w:t xml:space="preserve"> </w:t>
      </w:r>
      <w:r>
        <w:fldChar w:fldCharType="begin"/>
      </w:r>
      <w:r w:rsidR="006C1FF8">
        <w:instrText xml:space="preserve"> ADDIN ZOTERO_ITEM CSL_CITATION {"citationID":"XkmxIyFE","properties":{"formattedCitation":"Jon Schwarz, \\uc0\\u8216{}A U.N. Plan to Stop Corporate Tax Abuse\\uc0\\u8217{} [2023] {\\i{}The Intercept} &lt;https://theintercept.com/2023/08/12/tax-abuse-international-corporations/&gt; accessed 15 January 2024.","plainCitation":"Jon Schwarz, ‘A U.N. Plan to Stop Corporate Tax Abuse’ [2023] The Intercept &lt;https://theintercept.com/2023/08/12/tax-abuse-international-corporations/&gt; accessed 15 January 2024.","dontUpdate":true,"noteIndex":36},"citationItems":[{"id":8284,"uris":["http://zotero.org/users/985088/items/HKVJ2QQY"],"itemData":{"id":8284,"type":"article-magazine","abstract":"Big business wants you to think that corporate tax abuse is a boring and complicated subject, but it’s actually simple and exciting.","container-title":"The Intercept","language":"en-US","title":"A U.N. Plan to Stop Corporate Tax Abuse","URL":"https://theintercept.com/2023/08/12/tax-abuse-international-corporations/","author":[{"family":"Schwarz","given":"Jon"}],"accessed":{"date-parts":[["2024",1,15]]},"issued":{"date-parts":[["2023",8,12]]}}}],"schema":"https://github.com/citation-style-language/schema/raw/master/csl-citation.json"} </w:instrText>
      </w:r>
      <w:r>
        <w:fldChar w:fldCharType="separate"/>
      </w:r>
      <w:r w:rsidRPr="007E6454">
        <w:rPr>
          <w:rFonts w:ascii="Calibri" w:cs="Calibri"/>
          <w:lang w:val="en-GB"/>
        </w:rPr>
        <w:t xml:space="preserve">Jon Schwarz, ‘A U.N. Plan to Stop Corporate Tax Abuse’ </w:t>
      </w:r>
      <w:r>
        <w:rPr>
          <w:rFonts w:ascii="Calibri" w:cs="Calibri"/>
          <w:lang w:val="en-GB"/>
        </w:rPr>
        <w:t>(</w:t>
      </w:r>
      <w:r w:rsidRPr="007E6454">
        <w:rPr>
          <w:rFonts w:ascii="Calibri" w:cs="Calibri"/>
          <w:i/>
          <w:iCs/>
          <w:lang w:val="en-GB"/>
        </w:rPr>
        <w:t>The Intercept</w:t>
      </w:r>
      <w:r>
        <w:rPr>
          <w:rFonts w:ascii="Calibri" w:cs="Calibri"/>
          <w:i/>
          <w:iCs/>
          <w:lang w:val="en-GB"/>
        </w:rPr>
        <w:t xml:space="preserve">, </w:t>
      </w:r>
      <w:r>
        <w:rPr>
          <w:rFonts w:ascii="Calibri" w:cs="Calibri"/>
          <w:lang w:val="en-GB"/>
        </w:rPr>
        <w:t>12 Aug</w:t>
      </w:r>
      <w:r w:rsidRPr="007E6454">
        <w:rPr>
          <w:rFonts w:ascii="Calibri" w:cs="Calibri"/>
          <w:lang w:val="en-GB"/>
        </w:rPr>
        <w:t xml:space="preserve"> </w:t>
      </w:r>
      <w:r>
        <w:rPr>
          <w:rFonts w:ascii="Calibri" w:cs="Calibri"/>
          <w:lang w:val="en-GB"/>
        </w:rPr>
        <w:t xml:space="preserve">2023) </w:t>
      </w:r>
      <w:r w:rsidRPr="007E6454">
        <w:rPr>
          <w:rFonts w:ascii="Calibri" w:cs="Calibri"/>
          <w:lang w:val="en-GB"/>
        </w:rPr>
        <w:t>&lt;https://theintercept.com/2023/08/12/tax-abuse-international-corporations/&gt; accessed 15 Jan 2024.</w:t>
      </w:r>
      <w:r>
        <w:fldChar w:fldCharType="end"/>
      </w:r>
    </w:p>
  </w:footnote>
  <w:footnote w:id="36">
    <w:p w14:paraId="288FB5B6" w14:textId="77777777" w:rsidR="00A22EA1" w:rsidRDefault="00A22EA1" w:rsidP="00A22EA1">
      <w:pPr>
        <w:pStyle w:val="FootnoteText"/>
      </w:pPr>
      <w:r>
        <w:rPr>
          <w:rStyle w:val="FootnoteReference"/>
        </w:rPr>
        <w:footnoteRef/>
      </w:r>
      <w:r>
        <w:t xml:space="preserve"> The editor has suggested that I reflect on the feasibility of DT as an EU tax.  I venture no claims about EU countries’ willingness or unwillingness to cooperate to establish rules for the fair distribution of DT.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B4D9D"/>
    <w:multiLevelType w:val="hybridMultilevel"/>
    <w:tmpl w:val="A9EAE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9237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69F"/>
    <w:rsid w:val="00041E0E"/>
    <w:rsid w:val="00047D86"/>
    <w:rsid w:val="00054683"/>
    <w:rsid w:val="0007091A"/>
    <w:rsid w:val="00071C24"/>
    <w:rsid w:val="000810FA"/>
    <w:rsid w:val="000814A7"/>
    <w:rsid w:val="00082906"/>
    <w:rsid w:val="00087EA1"/>
    <w:rsid w:val="000C40D5"/>
    <w:rsid w:val="000E13BE"/>
    <w:rsid w:val="000F115C"/>
    <w:rsid w:val="000F73F4"/>
    <w:rsid w:val="00105B0D"/>
    <w:rsid w:val="001213DF"/>
    <w:rsid w:val="001345EA"/>
    <w:rsid w:val="001529BF"/>
    <w:rsid w:val="001646D2"/>
    <w:rsid w:val="001E1F6A"/>
    <w:rsid w:val="001F780F"/>
    <w:rsid w:val="0024182E"/>
    <w:rsid w:val="002B4E1D"/>
    <w:rsid w:val="002C2BCB"/>
    <w:rsid w:val="002D65F7"/>
    <w:rsid w:val="00302FC6"/>
    <w:rsid w:val="00325615"/>
    <w:rsid w:val="00342FD4"/>
    <w:rsid w:val="00346492"/>
    <w:rsid w:val="00367D55"/>
    <w:rsid w:val="0037276C"/>
    <w:rsid w:val="003752FE"/>
    <w:rsid w:val="00393A84"/>
    <w:rsid w:val="003B187E"/>
    <w:rsid w:val="003D52CA"/>
    <w:rsid w:val="003E11CD"/>
    <w:rsid w:val="00420B98"/>
    <w:rsid w:val="004211E4"/>
    <w:rsid w:val="00460E1A"/>
    <w:rsid w:val="00465AFA"/>
    <w:rsid w:val="0047679E"/>
    <w:rsid w:val="00483D9D"/>
    <w:rsid w:val="004A71BB"/>
    <w:rsid w:val="004B0725"/>
    <w:rsid w:val="004B2FB0"/>
    <w:rsid w:val="00516D15"/>
    <w:rsid w:val="0052761F"/>
    <w:rsid w:val="00534285"/>
    <w:rsid w:val="005351FA"/>
    <w:rsid w:val="005669FB"/>
    <w:rsid w:val="005807EE"/>
    <w:rsid w:val="005829A3"/>
    <w:rsid w:val="005934C1"/>
    <w:rsid w:val="005B1EB4"/>
    <w:rsid w:val="005C52C6"/>
    <w:rsid w:val="005E4FD9"/>
    <w:rsid w:val="005F3B0A"/>
    <w:rsid w:val="0060367D"/>
    <w:rsid w:val="00620B74"/>
    <w:rsid w:val="00656095"/>
    <w:rsid w:val="0067225A"/>
    <w:rsid w:val="00682D9B"/>
    <w:rsid w:val="00685FA5"/>
    <w:rsid w:val="00696A6A"/>
    <w:rsid w:val="006B3FA5"/>
    <w:rsid w:val="006C1FF8"/>
    <w:rsid w:val="006E14E5"/>
    <w:rsid w:val="00701FCF"/>
    <w:rsid w:val="007604AD"/>
    <w:rsid w:val="007632F6"/>
    <w:rsid w:val="00797366"/>
    <w:rsid w:val="007C7A2B"/>
    <w:rsid w:val="007D129A"/>
    <w:rsid w:val="007E139E"/>
    <w:rsid w:val="007E6454"/>
    <w:rsid w:val="0082012A"/>
    <w:rsid w:val="00820A47"/>
    <w:rsid w:val="00840AC6"/>
    <w:rsid w:val="00843713"/>
    <w:rsid w:val="008464CA"/>
    <w:rsid w:val="00862B05"/>
    <w:rsid w:val="00893EEA"/>
    <w:rsid w:val="008B7E05"/>
    <w:rsid w:val="008C06F3"/>
    <w:rsid w:val="008F13ED"/>
    <w:rsid w:val="009121C3"/>
    <w:rsid w:val="00955124"/>
    <w:rsid w:val="009A6EDB"/>
    <w:rsid w:val="009A7A10"/>
    <w:rsid w:val="009E6842"/>
    <w:rsid w:val="009F7599"/>
    <w:rsid w:val="00A118E9"/>
    <w:rsid w:val="00A22EA1"/>
    <w:rsid w:val="00A616B8"/>
    <w:rsid w:val="00A66B1F"/>
    <w:rsid w:val="00A72481"/>
    <w:rsid w:val="00A843BE"/>
    <w:rsid w:val="00A95B51"/>
    <w:rsid w:val="00AA1D4A"/>
    <w:rsid w:val="00AB52BE"/>
    <w:rsid w:val="00AC29EF"/>
    <w:rsid w:val="00AD0F7B"/>
    <w:rsid w:val="00AE0F29"/>
    <w:rsid w:val="00AF4C51"/>
    <w:rsid w:val="00AF6992"/>
    <w:rsid w:val="00B01F17"/>
    <w:rsid w:val="00B12E89"/>
    <w:rsid w:val="00B56120"/>
    <w:rsid w:val="00B56139"/>
    <w:rsid w:val="00B5767D"/>
    <w:rsid w:val="00B7128A"/>
    <w:rsid w:val="00B76750"/>
    <w:rsid w:val="00BC0AF3"/>
    <w:rsid w:val="00BC5DF0"/>
    <w:rsid w:val="00BE26D8"/>
    <w:rsid w:val="00C038A9"/>
    <w:rsid w:val="00C03C07"/>
    <w:rsid w:val="00C44A1D"/>
    <w:rsid w:val="00C503E9"/>
    <w:rsid w:val="00C509A1"/>
    <w:rsid w:val="00C54D14"/>
    <w:rsid w:val="00C70128"/>
    <w:rsid w:val="00C76C12"/>
    <w:rsid w:val="00CB6B27"/>
    <w:rsid w:val="00CC41A2"/>
    <w:rsid w:val="00CC6254"/>
    <w:rsid w:val="00D16A20"/>
    <w:rsid w:val="00D224B0"/>
    <w:rsid w:val="00D4040B"/>
    <w:rsid w:val="00D667A6"/>
    <w:rsid w:val="00D679CF"/>
    <w:rsid w:val="00D91EAF"/>
    <w:rsid w:val="00DA409B"/>
    <w:rsid w:val="00DB7DA2"/>
    <w:rsid w:val="00DC6C94"/>
    <w:rsid w:val="00DD206F"/>
    <w:rsid w:val="00E12FF9"/>
    <w:rsid w:val="00E540F2"/>
    <w:rsid w:val="00E54CD9"/>
    <w:rsid w:val="00E63207"/>
    <w:rsid w:val="00E8230D"/>
    <w:rsid w:val="00EA28DA"/>
    <w:rsid w:val="00EB06E7"/>
    <w:rsid w:val="00EB269F"/>
    <w:rsid w:val="00ED6052"/>
    <w:rsid w:val="00F0771C"/>
    <w:rsid w:val="00F17C6B"/>
    <w:rsid w:val="00F2003B"/>
    <w:rsid w:val="00F31CC2"/>
    <w:rsid w:val="00F35660"/>
    <w:rsid w:val="00F6144C"/>
    <w:rsid w:val="00F87B59"/>
    <w:rsid w:val="00FC3A20"/>
    <w:rsid w:val="00FD5878"/>
    <w:rsid w:val="00FE0EEE"/>
    <w:rsid w:val="00FE3F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0D838"/>
  <w15:docId w15:val="{B3CE430A-4A41-E540-BA76-94A0342F5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C2BCB"/>
    <w:rPr>
      <w:sz w:val="20"/>
      <w:szCs w:val="20"/>
    </w:rPr>
  </w:style>
  <w:style w:type="character" w:customStyle="1" w:styleId="FootnoteTextChar">
    <w:name w:val="Footnote Text Char"/>
    <w:basedOn w:val="DefaultParagraphFont"/>
    <w:link w:val="FootnoteText"/>
    <w:uiPriority w:val="99"/>
    <w:semiHidden/>
    <w:rsid w:val="002C2BCB"/>
    <w:rPr>
      <w:sz w:val="20"/>
      <w:szCs w:val="20"/>
    </w:rPr>
  </w:style>
  <w:style w:type="character" w:styleId="FootnoteReference">
    <w:name w:val="footnote reference"/>
    <w:basedOn w:val="DefaultParagraphFont"/>
    <w:uiPriority w:val="99"/>
    <w:semiHidden/>
    <w:unhideWhenUsed/>
    <w:rsid w:val="002C2BCB"/>
    <w:rPr>
      <w:vertAlign w:val="superscript"/>
    </w:rPr>
  </w:style>
  <w:style w:type="paragraph" w:styleId="Bibliography">
    <w:name w:val="Bibliography"/>
    <w:basedOn w:val="Normal"/>
    <w:next w:val="Normal"/>
    <w:uiPriority w:val="37"/>
    <w:unhideWhenUsed/>
    <w:rsid w:val="005E4FD9"/>
    <w:pPr>
      <w:spacing w:after="240"/>
    </w:pPr>
  </w:style>
  <w:style w:type="paragraph" w:styleId="ListParagraph">
    <w:name w:val="List Paragraph"/>
    <w:basedOn w:val="Normal"/>
    <w:uiPriority w:val="34"/>
    <w:qFormat/>
    <w:rsid w:val="005E4FD9"/>
    <w:pPr>
      <w:ind w:left="720"/>
      <w:contextualSpacing/>
    </w:pPr>
  </w:style>
  <w:style w:type="character" w:styleId="CommentReference">
    <w:name w:val="annotation reference"/>
    <w:basedOn w:val="DefaultParagraphFont"/>
    <w:uiPriority w:val="99"/>
    <w:semiHidden/>
    <w:unhideWhenUsed/>
    <w:rsid w:val="005E4FD9"/>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EndnoteReference">
    <w:name w:val="endnote reference"/>
    <w:basedOn w:val="DefaultParagraphFont"/>
    <w:uiPriority w:val="99"/>
    <w:semiHidden/>
    <w:unhideWhenUsed/>
    <w:rsid w:val="00DC6C94"/>
    <w:rPr>
      <w:vertAlign w:val="superscript"/>
    </w:rPr>
  </w:style>
  <w:style w:type="paragraph" w:styleId="Revision">
    <w:name w:val="Revision"/>
    <w:hidden/>
    <w:uiPriority w:val="99"/>
    <w:semiHidden/>
    <w:rsid w:val="00152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117939">
      <w:bodyDiv w:val="1"/>
      <w:marLeft w:val="0"/>
      <w:marRight w:val="0"/>
      <w:marTop w:val="0"/>
      <w:marBottom w:val="0"/>
      <w:divBdr>
        <w:top w:val="none" w:sz="0" w:space="0" w:color="auto"/>
        <w:left w:val="none" w:sz="0" w:space="0" w:color="auto"/>
        <w:bottom w:val="none" w:sz="0" w:space="0" w:color="auto"/>
        <w:right w:val="none" w:sz="0" w:space="0" w:color="auto"/>
      </w:divBdr>
      <w:divsChild>
        <w:div w:id="21513185">
          <w:marLeft w:val="0"/>
          <w:marRight w:val="0"/>
          <w:marTop w:val="0"/>
          <w:marBottom w:val="0"/>
          <w:divBdr>
            <w:top w:val="none" w:sz="0" w:space="0" w:color="auto"/>
            <w:left w:val="none" w:sz="0" w:space="0" w:color="auto"/>
            <w:bottom w:val="none" w:sz="0" w:space="0" w:color="auto"/>
            <w:right w:val="none" w:sz="0" w:space="0" w:color="auto"/>
          </w:divBdr>
        </w:div>
        <w:div w:id="759569375">
          <w:marLeft w:val="0"/>
          <w:marRight w:val="0"/>
          <w:marTop w:val="0"/>
          <w:marBottom w:val="0"/>
          <w:divBdr>
            <w:top w:val="none" w:sz="0" w:space="0" w:color="auto"/>
            <w:left w:val="none" w:sz="0" w:space="0" w:color="auto"/>
            <w:bottom w:val="none" w:sz="0" w:space="0" w:color="auto"/>
            <w:right w:val="none" w:sz="0" w:space="0" w:color="auto"/>
          </w:divBdr>
        </w:div>
        <w:div w:id="1209991919">
          <w:marLeft w:val="0"/>
          <w:marRight w:val="0"/>
          <w:marTop w:val="0"/>
          <w:marBottom w:val="0"/>
          <w:divBdr>
            <w:top w:val="none" w:sz="0" w:space="0" w:color="auto"/>
            <w:left w:val="none" w:sz="0" w:space="0" w:color="auto"/>
            <w:bottom w:val="none" w:sz="0" w:space="0" w:color="auto"/>
            <w:right w:val="none" w:sz="0" w:space="0" w:color="auto"/>
          </w:divBdr>
        </w:div>
        <w:div w:id="160900709">
          <w:marLeft w:val="0"/>
          <w:marRight w:val="0"/>
          <w:marTop w:val="0"/>
          <w:marBottom w:val="0"/>
          <w:divBdr>
            <w:top w:val="none" w:sz="0" w:space="0" w:color="auto"/>
            <w:left w:val="none" w:sz="0" w:space="0" w:color="auto"/>
            <w:bottom w:val="none" w:sz="0" w:space="0" w:color="auto"/>
            <w:right w:val="none" w:sz="0" w:space="0" w:color="auto"/>
          </w:divBdr>
        </w:div>
        <w:div w:id="3471742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24</Pages>
  <Words>4389</Words>
  <Characters>25020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Jayson Lamchek</dc:creator>
  <cp:keywords/>
  <dc:description/>
  <cp:lastModifiedBy>Jayson Lamchek</cp:lastModifiedBy>
  <cp:revision>3</cp:revision>
  <dcterms:created xsi:type="dcterms:W3CDTF">2024-08-26T03:31:00Z</dcterms:created>
  <dcterms:modified xsi:type="dcterms:W3CDTF">2024-08-26T04:02:00Z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zotero-version="7.0"&gt;&lt;session id="EZwr8MD7"/&gt;&lt;style id="http://www.zotero.org/styles/oscola" hasBibliography="1" bibliographyStyleHasBeenSet="1"/&gt;&lt;prefs&gt;&lt;pref name="noteType" value="1"/&gt;&lt;pref name="fieldType" value="Field"/&gt;&lt;/prefs&gt;</vt:lpwstr>
  </property>
  <property fmtid="{D5CDD505-2E9C-101B-9397-08002B2CF9AE}" pid="3" name="ZOTERO_PREF_2">
    <vt:lpwstr>&lt;/data&gt;</vt:lpwstr>
  </property>
</Properties>
</file>