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9900" w14:textId="77FF7F18" w:rsidR="00296758" w:rsidRPr="008044C2" w:rsidRDefault="00296758" w:rsidP="00E155B7">
      <w:pPr>
        <w:spacing w:line="480" w:lineRule="auto"/>
        <w:jc w:val="center"/>
        <w:rPr>
          <w:sz w:val="32"/>
          <w:szCs w:val="32"/>
        </w:rPr>
      </w:pPr>
      <w:r w:rsidRPr="008044C2">
        <w:rPr>
          <w:color w:val="000000" w:themeColor="text1"/>
          <w:sz w:val="32"/>
          <w:szCs w:val="32"/>
        </w:rPr>
        <w:t>Supplementary Appendix</w:t>
      </w:r>
    </w:p>
    <w:p w14:paraId="648A238E" w14:textId="6CBE39E9" w:rsidR="00296758" w:rsidRPr="008044C2" w:rsidRDefault="00296758" w:rsidP="00E03B5F">
      <w:pPr>
        <w:spacing w:line="480" w:lineRule="auto"/>
      </w:pPr>
      <w:r w:rsidRPr="008044C2">
        <w:rPr>
          <w:b/>
          <w:bCs/>
        </w:rPr>
        <w:t>Manuscript Title</w:t>
      </w:r>
      <w:r w:rsidRPr="008044C2">
        <w:t>: Real-World Interpretation of Procalcitonin to Guide Antibiotic Prescribing: A Retrospective Cohort Study with Regression Discontinuity Analysis</w:t>
      </w:r>
    </w:p>
    <w:p w14:paraId="71621255" w14:textId="035A4660" w:rsidR="00296758" w:rsidRPr="008044C2" w:rsidRDefault="00296758" w:rsidP="00E03B5F">
      <w:pPr>
        <w:spacing w:line="480" w:lineRule="auto"/>
        <w:rPr>
          <w:b/>
          <w:bCs/>
        </w:rPr>
      </w:pPr>
      <w:r w:rsidRPr="008044C2">
        <w:rPr>
          <w:b/>
          <w:bCs/>
        </w:rPr>
        <w:t>Appendix content:</w:t>
      </w:r>
    </w:p>
    <w:p w14:paraId="38C7413A" w14:textId="77777777" w:rsidR="0082340E" w:rsidRDefault="006C2EDF" w:rsidP="00E03B5F">
      <w:pPr>
        <w:spacing w:line="480" w:lineRule="auto"/>
      </w:pPr>
      <w:r w:rsidRPr="008044C2">
        <w:t xml:space="preserve">Pg 2 ---- </w:t>
      </w:r>
      <w:r w:rsidR="00296758" w:rsidRPr="008044C2">
        <w:t>Supplement Table 1: Treatment decision categorizations</w:t>
      </w:r>
      <w:r w:rsidRPr="008044C2">
        <w:t xml:space="preserve"> </w:t>
      </w:r>
      <w:r w:rsidR="00296758" w:rsidRPr="008044C2">
        <w:br/>
      </w:r>
      <w:r w:rsidRPr="008044C2">
        <w:t xml:space="preserve">Pg 3 ---- </w:t>
      </w:r>
      <w:r w:rsidR="00296758" w:rsidRPr="008044C2">
        <w:t>Supplement Table 2: Procalcitonin values, stratified by antibiotic treatment decisions</w:t>
      </w:r>
    </w:p>
    <w:p w14:paraId="4DBB6355" w14:textId="67D4AD89" w:rsidR="0082340E" w:rsidRDefault="0082340E" w:rsidP="00E03B5F">
      <w:pPr>
        <w:spacing w:line="480" w:lineRule="auto"/>
      </w:pPr>
      <w:r>
        <w:t xml:space="preserve">Pg </w:t>
      </w:r>
      <w:r w:rsidR="00564D53">
        <w:t>4</w:t>
      </w:r>
      <w:r>
        <w:t>-</w:t>
      </w:r>
      <w:r w:rsidR="00564D53">
        <w:t>5</w:t>
      </w:r>
      <w:r>
        <w:t xml:space="preserve"> --- Supplement Table 3:</w:t>
      </w:r>
      <w:r w:rsidR="00E03B5F">
        <w:t xml:space="preserve"> </w:t>
      </w:r>
      <w:r w:rsidR="00E03B5F" w:rsidRPr="00E03B5F">
        <w:t>Supplemental Table 3: Sensitivity analysis for bandwidths around cut-points, including cut-point of 0.3</w:t>
      </w:r>
    </w:p>
    <w:p w14:paraId="3714D8A2" w14:textId="65124FD0" w:rsidR="00E03B5F" w:rsidRDefault="0082340E" w:rsidP="00E03B5F">
      <w:pPr>
        <w:spacing w:line="480" w:lineRule="auto"/>
      </w:pPr>
      <w:r>
        <w:t xml:space="preserve">Pg </w:t>
      </w:r>
      <w:r w:rsidR="00564D53">
        <w:t>6</w:t>
      </w:r>
      <w:r w:rsidR="00E03B5F">
        <w:t xml:space="preserve"> --- </w:t>
      </w:r>
      <w:r>
        <w:t xml:space="preserve"> Supplement Figure 1</w:t>
      </w:r>
      <w:r w:rsidR="00A95352">
        <w:t>a</w:t>
      </w:r>
      <w:r w:rsidR="00E03B5F">
        <w:t xml:space="preserve">: </w:t>
      </w:r>
      <w:r w:rsidR="00E03B5F" w:rsidRPr="00E03B5F">
        <w:t>University of Colorado Hospital antimicrobial stewardship procalcitonin algorithm</w:t>
      </w:r>
    </w:p>
    <w:p w14:paraId="5F5B195D" w14:textId="0A8CBFC0" w:rsidR="00296758" w:rsidRPr="008044C2" w:rsidRDefault="00A95352" w:rsidP="00E03B5F">
      <w:pPr>
        <w:spacing w:line="480" w:lineRule="auto"/>
        <w:rPr>
          <w:rFonts w:eastAsia="Calibri"/>
        </w:rPr>
      </w:pPr>
      <w:r>
        <w:t>Pg 6</w:t>
      </w:r>
      <w:r w:rsidR="00E03B5F">
        <w:t xml:space="preserve">  --- </w:t>
      </w:r>
      <w:r>
        <w:t xml:space="preserve"> </w:t>
      </w:r>
      <w:r w:rsidR="00E03B5F">
        <w:t>Supplemental Figure</w:t>
      </w:r>
      <w:r>
        <w:t xml:space="preserve"> 1b: </w:t>
      </w:r>
      <w:r w:rsidR="00E03B5F" w:rsidRPr="008044C2">
        <w:rPr>
          <w:rFonts w:eastAsia="Calibri"/>
        </w:rPr>
        <w:t xml:space="preserve">Comments </w:t>
      </w:r>
      <w:r w:rsidR="00E03B5F">
        <w:rPr>
          <w:rFonts w:eastAsia="Calibri"/>
        </w:rPr>
        <w:t>i</w:t>
      </w:r>
      <w:r w:rsidR="00E03B5F" w:rsidRPr="008044C2">
        <w:rPr>
          <w:rFonts w:eastAsia="Calibri"/>
        </w:rPr>
        <w:t xml:space="preserve">ncluded in </w:t>
      </w:r>
      <w:r w:rsidR="00E03B5F">
        <w:rPr>
          <w:rFonts w:eastAsia="Calibri"/>
        </w:rPr>
        <w:t>procalcitonin</w:t>
      </w:r>
      <w:r w:rsidR="00E03B5F" w:rsidRPr="008044C2">
        <w:rPr>
          <w:rFonts w:eastAsia="Calibri"/>
        </w:rPr>
        <w:t xml:space="preserve"> </w:t>
      </w:r>
      <w:r w:rsidR="00E03B5F">
        <w:rPr>
          <w:rFonts w:eastAsia="Calibri"/>
        </w:rPr>
        <w:t>r</w:t>
      </w:r>
      <w:r w:rsidR="00E03B5F" w:rsidRPr="008044C2">
        <w:rPr>
          <w:rFonts w:eastAsia="Calibri"/>
        </w:rPr>
        <w:t xml:space="preserve">esult </w:t>
      </w:r>
      <w:r w:rsidR="00E03B5F">
        <w:rPr>
          <w:rFonts w:eastAsia="Calibri"/>
        </w:rPr>
        <w:t>r</w:t>
      </w:r>
      <w:r w:rsidR="00E03B5F" w:rsidRPr="008044C2">
        <w:rPr>
          <w:rFonts w:eastAsia="Calibri"/>
        </w:rPr>
        <w:t>eporting</w:t>
      </w:r>
      <w:r w:rsidR="00296758" w:rsidRPr="008044C2">
        <w:br/>
      </w:r>
      <w:r w:rsidR="006C2EDF" w:rsidRPr="008044C2">
        <w:rPr>
          <w:rFonts w:eastAsia="Calibri"/>
        </w:rPr>
        <w:t xml:space="preserve">Pg </w:t>
      </w:r>
      <w:r w:rsidR="00564D53">
        <w:rPr>
          <w:rFonts w:eastAsia="Calibri"/>
        </w:rPr>
        <w:t>7</w:t>
      </w:r>
      <w:r w:rsidR="006C2EDF" w:rsidRPr="008044C2">
        <w:rPr>
          <w:rFonts w:eastAsia="Calibri"/>
        </w:rPr>
        <w:t xml:space="preserve"> ---- </w:t>
      </w:r>
      <w:r w:rsidR="00296758" w:rsidRPr="008044C2">
        <w:rPr>
          <w:rFonts w:eastAsia="Calibri"/>
        </w:rPr>
        <w:t>Supplement Figure</w:t>
      </w:r>
      <w:r w:rsidR="0082340E">
        <w:rPr>
          <w:rFonts w:eastAsia="Calibri"/>
        </w:rPr>
        <w:t xml:space="preserve"> 2</w:t>
      </w:r>
      <w:r w:rsidR="00296758" w:rsidRPr="008044C2">
        <w:rPr>
          <w:rFonts w:eastAsia="Calibri"/>
        </w:rPr>
        <w:t>: Flow chart detailing the reasons for the encounter exclusions</w:t>
      </w:r>
      <w:r w:rsidR="00E069F7" w:rsidRPr="008044C2">
        <w:rPr>
          <w:rFonts w:eastAsia="Calibri"/>
        </w:rPr>
        <w:t xml:space="preserve"> </w:t>
      </w:r>
    </w:p>
    <w:p w14:paraId="255B661E" w14:textId="44E8E2BF" w:rsidR="00296758" w:rsidRPr="008044C2" w:rsidRDefault="00296758" w:rsidP="00E155B7">
      <w:pPr>
        <w:spacing w:line="480" w:lineRule="auto"/>
      </w:pPr>
    </w:p>
    <w:p w14:paraId="2492B49F" w14:textId="77777777" w:rsidR="00296758" w:rsidRPr="008044C2" w:rsidRDefault="00296758" w:rsidP="00E155B7">
      <w:pPr>
        <w:spacing w:line="480" w:lineRule="auto"/>
      </w:pPr>
    </w:p>
    <w:p w14:paraId="7B90592F" w14:textId="77777777" w:rsidR="00296758" w:rsidRPr="008044C2" w:rsidRDefault="00296758" w:rsidP="00E155B7">
      <w:pPr>
        <w:spacing w:line="480" w:lineRule="auto"/>
      </w:pPr>
    </w:p>
    <w:p w14:paraId="08777A38" w14:textId="23C20164" w:rsidR="004500D4" w:rsidRPr="008044C2" w:rsidRDefault="004500D4" w:rsidP="00E155B7">
      <w:pPr>
        <w:spacing w:line="480" w:lineRule="auto"/>
        <w:rPr>
          <w:color w:val="000000" w:themeColor="text1"/>
        </w:rPr>
      </w:pPr>
      <w:r w:rsidRPr="008044C2">
        <w:rPr>
          <w:color w:val="000000" w:themeColor="text1"/>
        </w:rPr>
        <w:br w:type="page"/>
      </w:r>
    </w:p>
    <w:p w14:paraId="64BC2202" w14:textId="77777777" w:rsidR="00296758" w:rsidRPr="008044C2" w:rsidRDefault="00296758" w:rsidP="004500D4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296758" w:rsidRPr="008044C2" w14:paraId="772E4BC8" w14:textId="77777777" w:rsidTr="007061DA">
        <w:tc>
          <w:tcPr>
            <w:tcW w:w="9350" w:type="dxa"/>
            <w:shd w:val="clear" w:color="auto" w:fill="D9D9D9" w:themeFill="background1" w:themeFillShade="D9"/>
          </w:tcPr>
          <w:p w14:paraId="6A987E33" w14:textId="77777777" w:rsidR="00296758" w:rsidRPr="008044C2" w:rsidRDefault="00296758" w:rsidP="007061DA">
            <w:pPr>
              <w:rPr>
                <w:b/>
              </w:rPr>
            </w:pPr>
            <w:r w:rsidRPr="008044C2">
              <w:rPr>
                <w:b/>
              </w:rPr>
              <w:t>Supplement Table 1: Treatment decision categorizations</w:t>
            </w:r>
          </w:p>
        </w:tc>
      </w:tr>
      <w:tr w:rsidR="00296758" w:rsidRPr="008044C2" w14:paraId="0EFE93EF" w14:textId="77777777" w:rsidTr="007061DA">
        <w:tc>
          <w:tcPr>
            <w:tcW w:w="9350" w:type="dxa"/>
            <w:shd w:val="clear" w:color="auto" w:fill="F2F2F2" w:themeFill="background1" w:themeFillShade="F2"/>
          </w:tcPr>
          <w:p w14:paraId="461E2F04" w14:textId="77777777" w:rsidR="00296758" w:rsidRPr="008044C2" w:rsidRDefault="00296758" w:rsidP="007061DA">
            <w:pPr>
              <w:rPr>
                <w:b/>
              </w:rPr>
            </w:pPr>
            <w:r w:rsidRPr="008044C2">
              <w:rPr>
                <w:b/>
              </w:rPr>
              <w:t>Full Antibiotic Course</w:t>
            </w:r>
          </w:p>
        </w:tc>
      </w:tr>
      <w:tr w:rsidR="00296758" w:rsidRPr="008044C2" w14:paraId="13D5A4DD" w14:textId="77777777" w:rsidTr="007061DA">
        <w:tc>
          <w:tcPr>
            <w:tcW w:w="9350" w:type="dxa"/>
          </w:tcPr>
          <w:p w14:paraId="577DE561" w14:textId="7A35FA85" w:rsidR="00296758" w:rsidRPr="008044C2" w:rsidRDefault="00296758" w:rsidP="007061DA">
            <w:r w:rsidRPr="008044C2">
              <w:t xml:space="preserve">Receipt of antibiotics for at least four </w:t>
            </w:r>
            <w:r w:rsidR="001B3709">
              <w:t xml:space="preserve">calendar </w:t>
            </w:r>
            <w:r w:rsidRPr="008044C2">
              <w:t>days within any five-day period during hospitalization*</w:t>
            </w:r>
          </w:p>
        </w:tc>
      </w:tr>
      <w:tr w:rsidR="00296758" w:rsidRPr="008044C2" w14:paraId="73613C15" w14:textId="77777777" w:rsidTr="007061DA">
        <w:tc>
          <w:tcPr>
            <w:tcW w:w="9350" w:type="dxa"/>
          </w:tcPr>
          <w:p w14:paraId="062277F9" w14:textId="77777777" w:rsidR="00296758" w:rsidRPr="008044C2" w:rsidRDefault="00296758" w:rsidP="007061DA">
            <w:r w:rsidRPr="008044C2">
              <w:t>Prescription of a minimum four-day antibiotic course upon discharge</w:t>
            </w:r>
          </w:p>
        </w:tc>
      </w:tr>
      <w:tr w:rsidR="00296758" w:rsidRPr="008044C2" w14:paraId="7982B1AE" w14:textId="77777777" w:rsidTr="007061DA">
        <w:tc>
          <w:tcPr>
            <w:tcW w:w="9350" w:type="dxa"/>
          </w:tcPr>
          <w:p w14:paraId="744AED68" w14:textId="77777777" w:rsidR="00296758" w:rsidRPr="008044C2" w:rsidRDefault="00296758" w:rsidP="007061DA">
            <w:r w:rsidRPr="008044C2">
              <w:t>Continuation of the inpatient antibiotic regimen via a discharge prescription, totaling to at least four days of antibiotics</w:t>
            </w:r>
          </w:p>
        </w:tc>
      </w:tr>
      <w:tr w:rsidR="00296758" w:rsidRPr="008044C2" w14:paraId="348DC0BE" w14:textId="77777777" w:rsidTr="007061DA">
        <w:tc>
          <w:tcPr>
            <w:tcW w:w="9350" w:type="dxa"/>
          </w:tcPr>
          <w:p w14:paraId="25E746A4" w14:textId="77777777" w:rsidR="00296758" w:rsidRPr="008044C2" w:rsidRDefault="00296758" w:rsidP="007061DA">
            <w:r w:rsidRPr="008044C2">
              <w:t>Number of days was unspecified on discharge prescription</w:t>
            </w:r>
          </w:p>
        </w:tc>
      </w:tr>
      <w:tr w:rsidR="00296758" w:rsidRPr="008044C2" w14:paraId="461D91CF" w14:textId="77777777" w:rsidTr="007061DA">
        <w:tc>
          <w:tcPr>
            <w:tcW w:w="9350" w:type="dxa"/>
          </w:tcPr>
          <w:p w14:paraId="3D281795" w14:textId="77777777" w:rsidR="00296758" w:rsidRPr="008044C2" w:rsidRDefault="00296758" w:rsidP="007061DA">
            <w:r w:rsidRPr="008044C2">
              <w:t>Patient's death occurred while on antibiotics, even if course is fewer than four days</w:t>
            </w:r>
          </w:p>
        </w:tc>
      </w:tr>
      <w:tr w:rsidR="00296758" w:rsidRPr="008044C2" w14:paraId="0EA0FEB2" w14:textId="77777777" w:rsidTr="007061DA">
        <w:tc>
          <w:tcPr>
            <w:tcW w:w="9350" w:type="dxa"/>
          </w:tcPr>
          <w:p w14:paraId="776F9481" w14:textId="77777777" w:rsidR="00296758" w:rsidRPr="008044C2" w:rsidRDefault="00296758" w:rsidP="007061DA">
            <w:r w:rsidRPr="008044C2">
              <w:t>Treatment trimethoprim-sulfamethoxazole courses, determined by chart review</w:t>
            </w:r>
          </w:p>
        </w:tc>
      </w:tr>
      <w:tr w:rsidR="00296758" w:rsidRPr="008044C2" w14:paraId="29B30E95" w14:textId="77777777" w:rsidTr="007061DA">
        <w:tc>
          <w:tcPr>
            <w:tcW w:w="9350" w:type="dxa"/>
          </w:tcPr>
          <w:p w14:paraId="5157A072" w14:textId="77777777" w:rsidR="00296758" w:rsidRPr="008044C2" w:rsidRDefault="00296758" w:rsidP="007061DA">
            <w:r w:rsidRPr="008044C2">
              <w:t xml:space="preserve">Single doses of Dalbavancin or </w:t>
            </w:r>
            <w:proofErr w:type="spellStart"/>
            <w:r w:rsidRPr="008044C2">
              <w:t>Oritavancin</w:t>
            </w:r>
            <w:proofErr w:type="spellEnd"/>
          </w:p>
        </w:tc>
      </w:tr>
      <w:tr w:rsidR="00296758" w:rsidRPr="008044C2" w14:paraId="0BB3CAE6" w14:textId="77777777" w:rsidTr="007061DA">
        <w:tc>
          <w:tcPr>
            <w:tcW w:w="9350" w:type="dxa"/>
          </w:tcPr>
          <w:p w14:paraId="55432373" w14:textId="782173FD" w:rsidR="00296758" w:rsidRPr="008044C2" w:rsidRDefault="00296758" w:rsidP="007061DA">
            <w:r w:rsidRPr="008044C2">
              <w:t xml:space="preserve">Course length of at least four days as determined by chart review for patients with end stage renal disease, given </w:t>
            </w:r>
            <w:r w:rsidR="001B3709">
              <w:t>renally-adjusted</w:t>
            </w:r>
            <w:r w:rsidR="001B3709" w:rsidRPr="008044C2">
              <w:t xml:space="preserve"> </w:t>
            </w:r>
            <w:r w:rsidRPr="008044C2">
              <w:t>dosing</w:t>
            </w:r>
          </w:p>
        </w:tc>
      </w:tr>
      <w:tr w:rsidR="00296758" w:rsidRPr="008044C2" w14:paraId="1B9F5772" w14:textId="77777777" w:rsidTr="007061DA">
        <w:tc>
          <w:tcPr>
            <w:tcW w:w="9350" w:type="dxa"/>
            <w:shd w:val="clear" w:color="auto" w:fill="F2F2F2" w:themeFill="background1" w:themeFillShade="F2"/>
          </w:tcPr>
          <w:p w14:paraId="0B7B7E0C" w14:textId="77777777" w:rsidR="00296758" w:rsidRPr="008044C2" w:rsidRDefault="00296758" w:rsidP="007061DA">
            <w:pPr>
              <w:rPr>
                <w:b/>
              </w:rPr>
            </w:pPr>
            <w:r w:rsidRPr="008044C2">
              <w:rPr>
                <w:b/>
              </w:rPr>
              <w:t>Partial Antibiotic Course</w:t>
            </w:r>
          </w:p>
        </w:tc>
      </w:tr>
      <w:tr w:rsidR="00296758" w:rsidRPr="008044C2" w14:paraId="1FBE9435" w14:textId="77777777" w:rsidTr="007061DA">
        <w:tc>
          <w:tcPr>
            <w:tcW w:w="9350" w:type="dxa"/>
          </w:tcPr>
          <w:p w14:paraId="4AEA7606" w14:textId="77777777" w:rsidR="00296758" w:rsidRPr="008044C2" w:rsidRDefault="00296758" w:rsidP="007061DA">
            <w:r w:rsidRPr="008044C2">
              <w:t>Fewer than four days of antibiotics within any five-day period</w:t>
            </w:r>
          </w:p>
        </w:tc>
      </w:tr>
      <w:tr w:rsidR="00296758" w:rsidRPr="008044C2" w14:paraId="0DDB2020" w14:textId="77777777" w:rsidTr="007061DA">
        <w:tc>
          <w:tcPr>
            <w:tcW w:w="9350" w:type="dxa"/>
          </w:tcPr>
          <w:p w14:paraId="6D48686D" w14:textId="366BB250" w:rsidR="00296758" w:rsidRPr="008044C2" w:rsidRDefault="00296758" w:rsidP="007061DA">
            <w:r w:rsidRPr="008044C2">
              <w:t xml:space="preserve">Course length of fewer than four days as determined by chart review for patients with end stage renal disease, given </w:t>
            </w:r>
            <w:r w:rsidR="001B3709">
              <w:t>renally-adjusted</w:t>
            </w:r>
            <w:r w:rsidR="001B3709" w:rsidRPr="008044C2">
              <w:t xml:space="preserve"> </w:t>
            </w:r>
            <w:r w:rsidRPr="008044C2">
              <w:t>dosing</w:t>
            </w:r>
          </w:p>
        </w:tc>
      </w:tr>
      <w:tr w:rsidR="00296758" w:rsidRPr="008044C2" w14:paraId="13591E72" w14:textId="77777777" w:rsidTr="007061DA">
        <w:tc>
          <w:tcPr>
            <w:tcW w:w="9350" w:type="dxa"/>
            <w:shd w:val="clear" w:color="auto" w:fill="F2F2F2" w:themeFill="background1" w:themeFillShade="F2"/>
          </w:tcPr>
          <w:p w14:paraId="2A6C2F23" w14:textId="77777777" w:rsidR="00296758" w:rsidRPr="008044C2" w:rsidRDefault="00296758" w:rsidP="007061DA">
            <w:pPr>
              <w:rPr>
                <w:b/>
              </w:rPr>
            </w:pPr>
            <w:r w:rsidRPr="008044C2">
              <w:rPr>
                <w:b/>
              </w:rPr>
              <w:t>No Antibiotics</w:t>
            </w:r>
          </w:p>
        </w:tc>
      </w:tr>
      <w:tr w:rsidR="00296758" w:rsidRPr="008044C2" w14:paraId="3ECF3280" w14:textId="77777777" w:rsidTr="007061DA">
        <w:tc>
          <w:tcPr>
            <w:tcW w:w="9350" w:type="dxa"/>
          </w:tcPr>
          <w:p w14:paraId="5CF1AEE3" w14:textId="77777777" w:rsidR="00296758" w:rsidRPr="008044C2" w:rsidRDefault="00296758" w:rsidP="007061DA">
            <w:r w:rsidRPr="008044C2">
              <w:t>Single-agent azithromycin, rifaximin, dapsone, minocycline, and erythromycin courses as they are often used for non-infectious indications</w:t>
            </w:r>
          </w:p>
        </w:tc>
      </w:tr>
      <w:tr w:rsidR="00296758" w:rsidRPr="008044C2" w14:paraId="4D73C60E" w14:textId="77777777" w:rsidTr="007061DA">
        <w:tc>
          <w:tcPr>
            <w:tcW w:w="9350" w:type="dxa"/>
          </w:tcPr>
          <w:p w14:paraId="2DD131E4" w14:textId="77777777" w:rsidR="00296758" w:rsidRPr="008044C2" w:rsidRDefault="00296758" w:rsidP="007061DA">
            <w:r w:rsidRPr="008044C2">
              <w:t>Prophylactic trimethoprim-sulfamethoxazole courses, determined by chart review</w:t>
            </w:r>
          </w:p>
        </w:tc>
      </w:tr>
      <w:tr w:rsidR="00296758" w:rsidRPr="008044C2" w14:paraId="28824E16" w14:textId="77777777" w:rsidTr="007061DA">
        <w:trPr>
          <w:trHeight w:val="100"/>
        </w:trPr>
        <w:tc>
          <w:tcPr>
            <w:tcW w:w="9350" w:type="dxa"/>
          </w:tcPr>
          <w:p w14:paraId="6D81D2D6" w14:textId="77777777" w:rsidR="00296758" w:rsidRPr="008044C2" w:rsidRDefault="00296758" w:rsidP="007061DA">
            <w:r w:rsidRPr="008044C2">
              <w:t xml:space="preserve">Anti-tuberculosis drugs, </w:t>
            </w:r>
            <w:proofErr w:type="spellStart"/>
            <w:r w:rsidRPr="008044C2">
              <w:t>otic</w:t>
            </w:r>
            <w:proofErr w:type="spellEnd"/>
            <w:r w:rsidRPr="008044C2">
              <w:t xml:space="preserve"> and ophthalmic formulations, irrigation suspensions, topical antibiotics, antifungal agents, antiparasitic agents, antiviral agents, and nebulized antibiotics.</w:t>
            </w:r>
          </w:p>
        </w:tc>
      </w:tr>
    </w:tbl>
    <w:p w14:paraId="29FA5C83" w14:textId="77777777" w:rsidR="00296758" w:rsidRPr="008044C2" w:rsidRDefault="00296758" w:rsidP="00296758">
      <w:pPr>
        <w:rPr>
          <w:rFonts w:eastAsia="Calibri"/>
          <w:color w:val="000000" w:themeColor="text1"/>
        </w:rPr>
      </w:pPr>
    </w:p>
    <w:p w14:paraId="3E77BFAD" w14:textId="13011502" w:rsidR="004500D4" w:rsidRPr="008044C2" w:rsidRDefault="004500D4">
      <w:pPr>
        <w:rPr>
          <w:rFonts w:eastAsia="Calibri"/>
          <w:color w:val="000000" w:themeColor="text1"/>
        </w:rPr>
      </w:pPr>
      <w:r w:rsidRPr="008044C2">
        <w:rPr>
          <w:rFonts w:eastAsia="Calibri"/>
          <w:color w:val="000000" w:themeColor="text1"/>
        </w:rPr>
        <w:br w:type="page"/>
      </w:r>
    </w:p>
    <w:p w14:paraId="2B8FBA4E" w14:textId="77777777" w:rsidR="004500D4" w:rsidRPr="008044C2" w:rsidRDefault="004500D4" w:rsidP="00296758">
      <w:pPr>
        <w:rPr>
          <w:rFonts w:eastAsia="Calibri"/>
          <w:color w:val="000000" w:themeColor="text1"/>
        </w:rPr>
      </w:pPr>
    </w:p>
    <w:tbl>
      <w:tblPr>
        <w:tblStyle w:val="TableGrid"/>
        <w:tblW w:w="9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1870"/>
        <w:gridCol w:w="2265"/>
        <w:gridCol w:w="2250"/>
        <w:gridCol w:w="1890"/>
        <w:gridCol w:w="1170"/>
      </w:tblGrid>
      <w:tr w:rsidR="00296758" w:rsidRPr="008044C2" w14:paraId="36DE21D1" w14:textId="77777777" w:rsidTr="007061DA">
        <w:trPr>
          <w:trHeight w:val="285"/>
        </w:trPr>
        <w:tc>
          <w:tcPr>
            <w:tcW w:w="9445" w:type="dxa"/>
            <w:gridSpan w:val="5"/>
            <w:shd w:val="clear" w:color="auto" w:fill="D9D9D9" w:themeFill="background1" w:themeFillShade="D9"/>
          </w:tcPr>
          <w:p w14:paraId="04BBE21D" w14:textId="77777777" w:rsidR="00296758" w:rsidRPr="008044C2" w:rsidRDefault="00296758" w:rsidP="007061DA">
            <w:pPr>
              <w:rPr>
                <w:rFonts w:eastAsia="Calibri"/>
                <w:b/>
                <w:bCs/>
                <w:color w:val="000000" w:themeColor="text1"/>
              </w:rPr>
            </w:pPr>
            <w:r w:rsidRPr="008044C2">
              <w:rPr>
                <w:rFonts w:eastAsia="Calibri"/>
                <w:b/>
                <w:bCs/>
                <w:color w:val="000000" w:themeColor="text1"/>
              </w:rPr>
              <w:t>Supplement Table 2: Procalcitonin values (ng/mL), stratified by antibiotic treatment decisions</w:t>
            </w:r>
          </w:p>
        </w:tc>
      </w:tr>
      <w:tr w:rsidR="00296758" w:rsidRPr="008044C2" w14:paraId="7BDD2252" w14:textId="77777777" w:rsidTr="007061DA">
        <w:trPr>
          <w:trHeight w:val="285"/>
        </w:trPr>
        <w:tc>
          <w:tcPr>
            <w:tcW w:w="1870" w:type="dxa"/>
          </w:tcPr>
          <w:p w14:paraId="02C41A02" w14:textId="77777777" w:rsidR="00296758" w:rsidRPr="008044C2" w:rsidRDefault="00296758" w:rsidP="007061DA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265" w:type="dxa"/>
          </w:tcPr>
          <w:p w14:paraId="3826725A" w14:textId="77777777" w:rsidR="00296758" w:rsidRPr="008044C2" w:rsidRDefault="00296758" w:rsidP="007061DA">
            <w:pPr>
              <w:jc w:val="center"/>
              <w:rPr>
                <w:rFonts w:eastAsia="Calibri"/>
              </w:rPr>
            </w:pPr>
            <w:r w:rsidRPr="008044C2">
              <w:rPr>
                <w:rFonts w:eastAsia="Calibri"/>
              </w:rPr>
              <w:t>Full Course of Antibiotics</w:t>
            </w:r>
            <w:r w:rsidRPr="008044C2">
              <w:br/>
            </w:r>
            <w:r w:rsidRPr="008044C2">
              <w:rPr>
                <w:rFonts w:eastAsia="Calibri"/>
              </w:rPr>
              <w:t>(n=3,018)</w:t>
            </w:r>
          </w:p>
        </w:tc>
        <w:tc>
          <w:tcPr>
            <w:tcW w:w="2250" w:type="dxa"/>
          </w:tcPr>
          <w:p w14:paraId="35FDC64F" w14:textId="77777777" w:rsidR="00296758" w:rsidRPr="008044C2" w:rsidRDefault="00296758" w:rsidP="007061DA">
            <w:pPr>
              <w:jc w:val="center"/>
              <w:rPr>
                <w:rFonts w:eastAsia="Calibri"/>
              </w:rPr>
            </w:pPr>
            <w:r w:rsidRPr="008044C2">
              <w:rPr>
                <w:rFonts w:eastAsia="Calibri"/>
              </w:rPr>
              <w:t>Incomplete Course / No Antibiotics</w:t>
            </w:r>
            <w:r w:rsidRPr="008044C2">
              <w:br/>
            </w:r>
            <w:r w:rsidRPr="008044C2">
              <w:rPr>
                <w:rFonts w:eastAsia="Calibri"/>
              </w:rPr>
              <w:t>(n=1,365)</w:t>
            </w:r>
          </w:p>
        </w:tc>
        <w:tc>
          <w:tcPr>
            <w:tcW w:w="1890" w:type="dxa"/>
          </w:tcPr>
          <w:p w14:paraId="63AD867C" w14:textId="77777777" w:rsidR="00296758" w:rsidRPr="008044C2" w:rsidRDefault="00296758" w:rsidP="007061DA">
            <w:pPr>
              <w:jc w:val="center"/>
              <w:rPr>
                <w:rFonts w:eastAsia="Calibri"/>
              </w:rPr>
            </w:pPr>
            <w:r w:rsidRPr="008044C2">
              <w:rPr>
                <w:rFonts w:eastAsia="Calibri"/>
              </w:rPr>
              <w:t>Total</w:t>
            </w:r>
            <w:r w:rsidRPr="008044C2">
              <w:br/>
            </w:r>
            <w:r w:rsidRPr="008044C2">
              <w:rPr>
                <w:rFonts w:eastAsia="Calibri"/>
              </w:rPr>
              <w:t>(N=4,383)</w:t>
            </w:r>
          </w:p>
        </w:tc>
        <w:tc>
          <w:tcPr>
            <w:tcW w:w="1170" w:type="dxa"/>
          </w:tcPr>
          <w:p w14:paraId="130D2F52" w14:textId="77777777" w:rsidR="00296758" w:rsidRPr="008044C2" w:rsidRDefault="00296758" w:rsidP="007061DA">
            <w:pPr>
              <w:jc w:val="center"/>
              <w:rPr>
                <w:rFonts w:eastAsia="Calibri"/>
              </w:rPr>
            </w:pPr>
            <w:r w:rsidRPr="008044C2">
              <w:rPr>
                <w:rFonts w:eastAsia="Calibri"/>
                <w:i/>
                <w:iCs/>
              </w:rPr>
              <w:t>P</w:t>
            </w:r>
            <w:r w:rsidRPr="008044C2">
              <w:rPr>
                <w:rFonts w:eastAsia="Calibri"/>
              </w:rPr>
              <w:t>-value *</w:t>
            </w:r>
          </w:p>
        </w:tc>
      </w:tr>
      <w:tr w:rsidR="00296758" w:rsidRPr="008044C2" w14:paraId="39E063BA" w14:textId="77777777" w:rsidTr="007061DA">
        <w:trPr>
          <w:trHeight w:val="285"/>
        </w:trPr>
        <w:tc>
          <w:tcPr>
            <w:tcW w:w="1870" w:type="dxa"/>
          </w:tcPr>
          <w:p w14:paraId="6D7A9334" w14:textId="77777777" w:rsidR="00296758" w:rsidRPr="008044C2" w:rsidRDefault="00296758" w:rsidP="007061DA">
            <w:r w:rsidRPr="008044C2">
              <w:rPr>
                <w:rFonts w:eastAsia="Calibri"/>
                <w:color w:val="000000" w:themeColor="text1"/>
              </w:rPr>
              <w:t xml:space="preserve">    Mean (SD)</w:t>
            </w:r>
          </w:p>
        </w:tc>
        <w:tc>
          <w:tcPr>
            <w:tcW w:w="2265" w:type="dxa"/>
          </w:tcPr>
          <w:p w14:paraId="126E35FE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3.3 (11.6)</w:t>
            </w:r>
          </w:p>
        </w:tc>
        <w:tc>
          <w:tcPr>
            <w:tcW w:w="2250" w:type="dxa"/>
          </w:tcPr>
          <w:p w14:paraId="291A0DBE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0.5 (3.6)</w:t>
            </w:r>
          </w:p>
        </w:tc>
        <w:tc>
          <w:tcPr>
            <w:tcW w:w="1890" w:type="dxa"/>
          </w:tcPr>
          <w:p w14:paraId="678DFBE7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2.4 (9.9)</w:t>
            </w:r>
          </w:p>
        </w:tc>
        <w:tc>
          <w:tcPr>
            <w:tcW w:w="1170" w:type="dxa"/>
            <w:vMerge w:val="restart"/>
          </w:tcPr>
          <w:p w14:paraId="4D05AA81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&lt;0.00001</w:t>
            </w:r>
          </w:p>
          <w:p w14:paraId="6D6AEBAE" w14:textId="77777777" w:rsidR="00296758" w:rsidRPr="008044C2" w:rsidRDefault="00296758" w:rsidP="007061DA"/>
        </w:tc>
      </w:tr>
      <w:tr w:rsidR="00296758" w:rsidRPr="008044C2" w14:paraId="1392C2FF" w14:textId="77777777" w:rsidTr="007061DA">
        <w:trPr>
          <w:trHeight w:val="285"/>
        </w:trPr>
        <w:tc>
          <w:tcPr>
            <w:tcW w:w="1870" w:type="dxa"/>
          </w:tcPr>
          <w:p w14:paraId="705EB79A" w14:textId="77777777" w:rsidR="00296758" w:rsidRPr="008044C2" w:rsidRDefault="00296758" w:rsidP="007061DA">
            <w:r w:rsidRPr="008044C2">
              <w:rPr>
                <w:rFonts w:eastAsia="Calibri"/>
                <w:color w:val="000000" w:themeColor="text1"/>
              </w:rPr>
              <w:t xml:space="preserve">    Median (IQR)</w:t>
            </w:r>
          </w:p>
        </w:tc>
        <w:tc>
          <w:tcPr>
            <w:tcW w:w="2265" w:type="dxa"/>
          </w:tcPr>
          <w:p w14:paraId="7CB67166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0.29 (0.10, 1.24)</w:t>
            </w:r>
          </w:p>
        </w:tc>
        <w:tc>
          <w:tcPr>
            <w:tcW w:w="2250" w:type="dxa"/>
          </w:tcPr>
          <w:p w14:paraId="7E2949D1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0.08 (0.04, 0.19)</w:t>
            </w:r>
          </w:p>
        </w:tc>
        <w:tc>
          <w:tcPr>
            <w:tcW w:w="1890" w:type="dxa"/>
          </w:tcPr>
          <w:p w14:paraId="1101C932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0.18 (0.07, 0.72)</w:t>
            </w:r>
          </w:p>
        </w:tc>
        <w:tc>
          <w:tcPr>
            <w:tcW w:w="1170" w:type="dxa"/>
            <w:vMerge/>
          </w:tcPr>
          <w:p w14:paraId="0C9036CB" w14:textId="77777777" w:rsidR="00296758" w:rsidRPr="008044C2" w:rsidRDefault="00296758" w:rsidP="007061DA"/>
        </w:tc>
      </w:tr>
      <w:tr w:rsidR="00296758" w:rsidRPr="008044C2" w14:paraId="7F730D35" w14:textId="77777777" w:rsidTr="007061DA">
        <w:trPr>
          <w:trHeight w:val="285"/>
        </w:trPr>
        <w:tc>
          <w:tcPr>
            <w:tcW w:w="9445" w:type="dxa"/>
            <w:gridSpan w:val="5"/>
            <w:shd w:val="clear" w:color="auto" w:fill="F2F2F2" w:themeFill="background1" w:themeFillShade="F2"/>
          </w:tcPr>
          <w:p w14:paraId="004F5B6D" w14:textId="77777777" w:rsidR="00296758" w:rsidRPr="008044C2" w:rsidRDefault="00296758" w:rsidP="007061DA">
            <w:r w:rsidRPr="008044C2">
              <w:rPr>
                <w:rFonts w:eastAsia="Calibri"/>
                <w:b/>
                <w:bCs/>
                <w:color w:val="000000" w:themeColor="text1"/>
              </w:rPr>
              <w:t>Categorical procalcitonin lab result (ng/mL)</w:t>
            </w:r>
          </w:p>
        </w:tc>
      </w:tr>
      <w:tr w:rsidR="00296758" w:rsidRPr="008044C2" w14:paraId="6E5AD49C" w14:textId="77777777" w:rsidTr="007061DA">
        <w:trPr>
          <w:trHeight w:val="285"/>
        </w:trPr>
        <w:tc>
          <w:tcPr>
            <w:tcW w:w="1870" w:type="dxa"/>
          </w:tcPr>
          <w:p w14:paraId="7BCE9553" w14:textId="77777777" w:rsidR="00296758" w:rsidRPr="008044C2" w:rsidRDefault="00296758" w:rsidP="007061DA">
            <w:r w:rsidRPr="008044C2">
              <w:rPr>
                <w:rFonts w:eastAsia="Calibri"/>
                <w:color w:val="000000" w:themeColor="text1"/>
              </w:rPr>
              <w:t xml:space="preserve">    &lt; 0.1</w:t>
            </w:r>
          </w:p>
        </w:tc>
        <w:tc>
          <w:tcPr>
            <w:tcW w:w="2265" w:type="dxa"/>
          </w:tcPr>
          <w:p w14:paraId="3F438EF5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737 (24.4%)</w:t>
            </w:r>
          </w:p>
        </w:tc>
        <w:tc>
          <w:tcPr>
            <w:tcW w:w="2250" w:type="dxa"/>
          </w:tcPr>
          <w:p w14:paraId="1DD025F2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774 (56.7%)</w:t>
            </w:r>
          </w:p>
        </w:tc>
        <w:tc>
          <w:tcPr>
            <w:tcW w:w="1890" w:type="dxa"/>
          </w:tcPr>
          <w:p w14:paraId="554C7FB1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1511 (34.5%)</w:t>
            </w:r>
          </w:p>
        </w:tc>
        <w:tc>
          <w:tcPr>
            <w:tcW w:w="1170" w:type="dxa"/>
            <w:vMerge w:val="restart"/>
          </w:tcPr>
          <w:p w14:paraId="72CB8DC7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&lt;0.00001</w:t>
            </w:r>
          </w:p>
          <w:p w14:paraId="060AFB64" w14:textId="77777777" w:rsidR="00296758" w:rsidRPr="008044C2" w:rsidRDefault="00296758" w:rsidP="007061DA"/>
        </w:tc>
      </w:tr>
      <w:tr w:rsidR="00296758" w:rsidRPr="008044C2" w14:paraId="4DBA155B" w14:textId="77777777" w:rsidTr="007061DA">
        <w:trPr>
          <w:trHeight w:val="285"/>
        </w:trPr>
        <w:tc>
          <w:tcPr>
            <w:tcW w:w="1870" w:type="dxa"/>
          </w:tcPr>
          <w:p w14:paraId="2D9B6819" w14:textId="77777777" w:rsidR="00296758" w:rsidRPr="008044C2" w:rsidRDefault="00296758" w:rsidP="007061DA">
            <w:r w:rsidRPr="008044C2">
              <w:rPr>
                <w:rFonts w:eastAsia="Calibri"/>
                <w:color w:val="000000" w:themeColor="text1"/>
              </w:rPr>
              <w:t xml:space="preserve">    0.1 - 0.24</w:t>
            </w:r>
          </w:p>
        </w:tc>
        <w:tc>
          <w:tcPr>
            <w:tcW w:w="2265" w:type="dxa"/>
          </w:tcPr>
          <w:p w14:paraId="3DF5517C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672 (22.3%)</w:t>
            </w:r>
          </w:p>
        </w:tc>
        <w:tc>
          <w:tcPr>
            <w:tcW w:w="2250" w:type="dxa"/>
          </w:tcPr>
          <w:p w14:paraId="0743EA0D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348 (25.5%)</w:t>
            </w:r>
          </w:p>
        </w:tc>
        <w:tc>
          <w:tcPr>
            <w:tcW w:w="1890" w:type="dxa"/>
          </w:tcPr>
          <w:p w14:paraId="5376ACB1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1020 (23.3%)</w:t>
            </w:r>
          </w:p>
        </w:tc>
        <w:tc>
          <w:tcPr>
            <w:tcW w:w="1170" w:type="dxa"/>
            <w:vMerge/>
          </w:tcPr>
          <w:p w14:paraId="0ACBF671" w14:textId="77777777" w:rsidR="00296758" w:rsidRPr="008044C2" w:rsidRDefault="00296758" w:rsidP="007061DA"/>
        </w:tc>
      </w:tr>
      <w:tr w:rsidR="00296758" w:rsidRPr="008044C2" w14:paraId="57A92A76" w14:textId="77777777" w:rsidTr="007061DA">
        <w:trPr>
          <w:trHeight w:val="285"/>
        </w:trPr>
        <w:tc>
          <w:tcPr>
            <w:tcW w:w="1870" w:type="dxa"/>
          </w:tcPr>
          <w:p w14:paraId="76D228C2" w14:textId="2C3183C4" w:rsidR="00296758" w:rsidRPr="008044C2" w:rsidRDefault="00296758" w:rsidP="007061DA">
            <w:r w:rsidRPr="008044C2">
              <w:rPr>
                <w:rFonts w:eastAsia="Calibri"/>
                <w:color w:val="000000" w:themeColor="text1"/>
              </w:rPr>
              <w:t xml:space="preserve">    0.25 - 0.</w:t>
            </w:r>
            <w:r w:rsidR="002F3111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265" w:type="dxa"/>
          </w:tcPr>
          <w:p w14:paraId="77729F79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429 (14.2%)</w:t>
            </w:r>
          </w:p>
        </w:tc>
        <w:tc>
          <w:tcPr>
            <w:tcW w:w="2250" w:type="dxa"/>
          </w:tcPr>
          <w:p w14:paraId="035CCEAF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104 (7.6%)</w:t>
            </w:r>
          </w:p>
        </w:tc>
        <w:tc>
          <w:tcPr>
            <w:tcW w:w="1890" w:type="dxa"/>
          </w:tcPr>
          <w:p w14:paraId="1A71CE71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533 (12.2%)</w:t>
            </w:r>
          </w:p>
        </w:tc>
        <w:tc>
          <w:tcPr>
            <w:tcW w:w="1170" w:type="dxa"/>
            <w:vMerge/>
          </w:tcPr>
          <w:p w14:paraId="1B0987BD" w14:textId="77777777" w:rsidR="00296758" w:rsidRPr="008044C2" w:rsidRDefault="00296758" w:rsidP="007061DA"/>
        </w:tc>
      </w:tr>
      <w:tr w:rsidR="00296758" w:rsidRPr="008044C2" w14:paraId="65D6D8DE" w14:textId="77777777" w:rsidTr="007061DA">
        <w:trPr>
          <w:trHeight w:val="285"/>
        </w:trPr>
        <w:tc>
          <w:tcPr>
            <w:tcW w:w="1870" w:type="dxa"/>
          </w:tcPr>
          <w:p w14:paraId="0FCED1AE" w14:textId="41BCCC80" w:rsidR="00296758" w:rsidRPr="008044C2" w:rsidRDefault="00296758" w:rsidP="007061DA">
            <w:r w:rsidRPr="008044C2">
              <w:rPr>
                <w:rFonts w:eastAsia="Calibri"/>
                <w:color w:val="000000" w:themeColor="text1"/>
              </w:rPr>
              <w:t xml:space="preserve">   </w:t>
            </w:r>
            <w:r w:rsidR="002F3111">
              <w:rPr>
                <w:rFonts w:eastAsia="Calibri"/>
                <w:color w:val="000000" w:themeColor="text1"/>
              </w:rPr>
              <w:t>&gt;</w:t>
            </w:r>
            <w:r w:rsidRPr="008044C2">
              <w:rPr>
                <w:rFonts w:eastAsia="Calibri"/>
                <w:color w:val="000000" w:themeColor="text1"/>
              </w:rPr>
              <w:t xml:space="preserve"> 0.5</w:t>
            </w:r>
          </w:p>
        </w:tc>
        <w:tc>
          <w:tcPr>
            <w:tcW w:w="2265" w:type="dxa"/>
          </w:tcPr>
          <w:p w14:paraId="0C4EA767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1180 (39.1%)</w:t>
            </w:r>
          </w:p>
        </w:tc>
        <w:tc>
          <w:tcPr>
            <w:tcW w:w="2250" w:type="dxa"/>
          </w:tcPr>
          <w:p w14:paraId="4078CDD2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139 (10.2%)</w:t>
            </w:r>
          </w:p>
        </w:tc>
        <w:tc>
          <w:tcPr>
            <w:tcW w:w="1890" w:type="dxa"/>
          </w:tcPr>
          <w:p w14:paraId="757CBBFD" w14:textId="77777777" w:rsidR="00296758" w:rsidRPr="008044C2" w:rsidRDefault="00296758" w:rsidP="007061DA">
            <w:pPr>
              <w:jc w:val="center"/>
            </w:pPr>
            <w:r w:rsidRPr="008044C2">
              <w:rPr>
                <w:rFonts w:eastAsia="Calibri"/>
                <w:color w:val="000000" w:themeColor="text1"/>
              </w:rPr>
              <w:t>1319 (30.1%)</w:t>
            </w:r>
          </w:p>
        </w:tc>
        <w:tc>
          <w:tcPr>
            <w:tcW w:w="1170" w:type="dxa"/>
            <w:vMerge/>
          </w:tcPr>
          <w:p w14:paraId="4D44DCC9" w14:textId="77777777" w:rsidR="00296758" w:rsidRPr="008044C2" w:rsidRDefault="00296758" w:rsidP="007061DA"/>
        </w:tc>
      </w:tr>
      <w:tr w:rsidR="00296758" w:rsidRPr="008044C2" w14:paraId="17CD7388" w14:textId="77777777" w:rsidTr="007061DA">
        <w:trPr>
          <w:trHeight w:val="285"/>
        </w:trPr>
        <w:tc>
          <w:tcPr>
            <w:tcW w:w="9445" w:type="dxa"/>
            <w:gridSpan w:val="5"/>
          </w:tcPr>
          <w:p w14:paraId="7E4AB248" w14:textId="77777777" w:rsidR="00296758" w:rsidRPr="008044C2" w:rsidRDefault="00296758" w:rsidP="007061DA">
            <w:pPr>
              <w:rPr>
                <w:rFonts w:eastAsia="Calibri"/>
                <w:color w:val="000000" w:themeColor="text1"/>
              </w:rPr>
            </w:pPr>
            <w:r w:rsidRPr="008044C2">
              <w:rPr>
                <w:rFonts w:eastAsia="Calibri"/>
                <w:color w:val="000000" w:themeColor="text1"/>
              </w:rPr>
              <w:t xml:space="preserve">* </w:t>
            </w:r>
            <w:r w:rsidRPr="008044C2">
              <w:rPr>
                <w:rFonts w:eastAsia="Calibri"/>
                <w:i/>
                <w:iCs/>
                <w:color w:val="000000" w:themeColor="text1"/>
              </w:rPr>
              <w:t>P</w:t>
            </w:r>
            <w:r w:rsidRPr="008044C2">
              <w:rPr>
                <w:rFonts w:eastAsia="Calibri"/>
                <w:color w:val="000000" w:themeColor="text1"/>
              </w:rPr>
              <w:t>-values were calculated using chi-squared or Fisher's exact tests for categorical variables and unequal variances t-tests for continuous variables.</w:t>
            </w:r>
          </w:p>
          <w:p w14:paraId="12A67B1B" w14:textId="77777777" w:rsidR="00296758" w:rsidRPr="008044C2" w:rsidRDefault="00296758" w:rsidP="007061DA">
            <w:r w:rsidRPr="008044C2">
              <w:t>SD = standard deviation, IQR = interquartile range</w:t>
            </w:r>
          </w:p>
        </w:tc>
      </w:tr>
    </w:tbl>
    <w:p w14:paraId="3FD5EF24" w14:textId="059D9BCC" w:rsidR="00296758" w:rsidRPr="008044C2" w:rsidRDefault="00296758" w:rsidP="00296758">
      <w:pPr>
        <w:rPr>
          <w:rFonts w:eastAsia="Calibri"/>
        </w:rPr>
      </w:pPr>
      <w:r w:rsidRPr="008044C2">
        <w:rPr>
          <w:rFonts w:eastAsia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440"/>
        <w:gridCol w:w="2970"/>
        <w:gridCol w:w="985"/>
      </w:tblGrid>
      <w:tr w:rsidR="0066769E" w:rsidRPr="008044C2" w14:paraId="32655DFA" w14:textId="77777777" w:rsidTr="00A9535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1B4DBEA" w14:textId="3750E927" w:rsidR="0066769E" w:rsidRPr="008044C2" w:rsidRDefault="0066769E" w:rsidP="00A2675D">
            <w:pPr>
              <w:rPr>
                <w:b/>
                <w:bCs/>
                <w:color w:val="000000"/>
              </w:rPr>
            </w:pPr>
            <w:r w:rsidRPr="008044C2">
              <w:rPr>
                <w:b/>
                <w:bCs/>
                <w:color w:val="000000"/>
              </w:rPr>
              <w:lastRenderedPageBreak/>
              <w:t>Supplemental Table 3: Sensitivity analysis for bandwidths around cut-points, including cut-point of 0.3</w:t>
            </w:r>
          </w:p>
        </w:tc>
      </w:tr>
      <w:tr w:rsidR="00135CFF" w:rsidRPr="008044C2" w14:paraId="023CB7BC" w14:textId="77777777" w:rsidTr="00135CFF">
        <w:tc>
          <w:tcPr>
            <w:tcW w:w="3955" w:type="dxa"/>
            <w:shd w:val="clear" w:color="auto" w:fill="F2F2F2" w:themeFill="background1" w:themeFillShade="F2"/>
          </w:tcPr>
          <w:p w14:paraId="753A8DE2" w14:textId="42554A5A" w:rsidR="00F73490" w:rsidRPr="008044C2" w:rsidRDefault="00F73490" w:rsidP="00A2675D">
            <w:pPr>
              <w:rPr>
                <w:rFonts w:eastAsia="Calibri"/>
              </w:rPr>
            </w:pPr>
            <w:r w:rsidRPr="008044C2">
              <w:rPr>
                <w:rFonts w:eastAsia="Calibri"/>
                <w:b/>
              </w:rPr>
              <w:t>Cut-point ng/mL ± bandwidth ng/mL; comparison ng/mL; (n)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2621880" w14:textId="2A4C057E" w:rsidR="00F73490" w:rsidRPr="008044C2" w:rsidRDefault="00F73490" w:rsidP="00A2675D">
            <w:pPr>
              <w:rPr>
                <w:rFonts w:eastAsia="Calibri"/>
              </w:rPr>
            </w:pPr>
            <w:r w:rsidRPr="008044C2">
              <w:rPr>
                <w:b/>
                <w:bCs/>
                <w:color w:val="000000"/>
              </w:rPr>
              <w:t xml:space="preserve">Level of Care </w:t>
            </w:r>
            <w:r w:rsidR="00135CFF">
              <w:rPr>
                <w:b/>
                <w:bCs/>
                <w:color w:val="000000"/>
              </w:rPr>
              <w:t>(LOC)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7E37D7C" w14:textId="71C15260" w:rsidR="00F73490" w:rsidRPr="008044C2" w:rsidRDefault="00F73490" w:rsidP="00A2675D">
            <w:pPr>
              <w:rPr>
                <w:rFonts w:eastAsia="Calibri"/>
              </w:rPr>
            </w:pPr>
            <w:r w:rsidRPr="008044C2">
              <w:rPr>
                <w:b/>
                <w:bCs/>
                <w:color w:val="000000"/>
              </w:rPr>
              <w:t>Odds Ratio (95% Confidence Intervals)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2D51D617" w14:textId="70451B69" w:rsidR="00F73490" w:rsidRPr="008044C2" w:rsidRDefault="00F73490" w:rsidP="00A2675D">
            <w:pPr>
              <w:rPr>
                <w:rFonts w:eastAsia="Calibri"/>
              </w:rPr>
            </w:pPr>
            <w:r w:rsidRPr="008044C2">
              <w:rPr>
                <w:b/>
                <w:bCs/>
                <w:color w:val="000000"/>
              </w:rPr>
              <w:t>P</w:t>
            </w:r>
            <w:r w:rsidR="00A95352">
              <w:rPr>
                <w:b/>
                <w:bCs/>
                <w:color w:val="000000"/>
              </w:rPr>
              <w:t xml:space="preserve"> </w:t>
            </w:r>
            <w:r w:rsidRPr="008044C2">
              <w:rPr>
                <w:b/>
                <w:bCs/>
                <w:color w:val="000000"/>
              </w:rPr>
              <w:t>Value</w:t>
            </w:r>
          </w:p>
        </w:tc>
      </w:tr>
      <w:tr w:rsidR="00244C49" w:rsidRPr="008044C2" w14:paraId="69326B4F" w14:textId="77777777" w:rsidTr="00135CFF">
        <w:tc>
          <w:tcPr>
            <w:tcW w:w="3955" w:type="dxa"/>
            <w:vMerge w:val="restart"/>
          </w:tcPr>
          <w:p w14:paraId="025F5769" w14:textId="6DC82D49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0.1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0.03; </w:t>
            </w:r>
            <w:r w:rsidRPr="008044C2">
              <w:rPr>
                <w:rFonts w:eastAsia="Calibri"/>
              </w:rPr>
              <w:t>0.08-0.10 vs 0.11-0.13;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(677)</w:t>
            </w:r>
          </w:p>
        </w:tc>
        <w:tc>
          <w:tcPr>
            <w:tcW w:w="1440" w:type="dxa"/>
          </w:tcPr>
          <w:p w14:paraId="1EA90202" w14:textId="0FA76F4D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7B2C3081" w14:textId="585188A9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0.7</w:t>
            </w:r>
            <w:r>
              <w:rPr>
                <w:color w:val="000000"/>
              </w:rPr>
              <w:t>3</w:t>
            </w:r>
            <w:r w:rsidRPr="008044C2">
              <w:rPr>
                <w:color w:val="000000"/>
              </w:rPr>
              <w:t xml:space="preserve"> (0.3</w:t>
            </w:r>
            <w:r>
              <w:rPr>
                <w:color w:val="000000"/>
              </w:rPr>
              <w:t>1</w:t>
            </w:r>
            <w:r w:rsidRPr="008044C2">
              <w:rPr>
                <w:color w:val="000000"/>
              </w:rPr>
              <w:t xml:space="preserve"> -1.7</w:t>
            </w:r>
            <w:r>
              <w:rPr>
                <w:color w:val="000000"/>
              </w:rPr>
              <w:t>4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694DAE36" w14:textId="67B8E7F5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0.4</w:t>
            </w:r>
            <w:r>
              <w:rPr>
                <w:color w:val="000000"/>
              </w:rPr>
              <w:t>8</w:t>
            </w:r>
          </w:p>
        </w:tc>
      </w:tr>
      <w:tr w:rsidR="00244C49" w:rsidRPr="008044C2" w14:paraId="5CF71EED" w14:textId="77777777" w:rsidTr="00135CFF">
        <w:tc>
          <w:tcPr>
            <w:tcW w:w="3955" w:type="dxa"/>
            <w:vMerge/>
          </w:tcPr>
          <w:p w14:paraId="050DDA05" w14:textId="77777777" w:rsidR="00244C49" w:rsidRPr="008044C2" w:rsidRDefault="00244C49" w:rsidP="00A2675D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7F71AD9B" w14:textId="45D5F056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0A8139C8" w14:textId="5EE1A57C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0.6</w:t>
            </w:r>
            <w:r>
              <w:rPr>
                <w:color w:val="000000"/>
              </w:rPr>
              <w:t>3</w:t>
            </w:r>
            <w:r w:rsidRPr="008044C2">
              <w:rPr>
                <w:color w:val="000000"/>
              </w:rPr>
              <w:t xml:space="preserve"> (0.24 - 1.6</w:t>
            </w:r>
            <w:r>
              <w:rPr>
                <w:color w:val="000000"/>
              </w:rPr>
              <w:t>2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1A926242" w14:textId="02BC7CBD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0.33</w:t>
            </w:r>
          </w:p>
        </w:tc>
      </w:tr>
      <w:tr w:rsidR="00244C49" w:rsidRPr="008044C2" w14:paraId="65EBEEDA" w14:textId="77777777" w:rsidTr="00135CFF">
        <w:tc>
          <w:tcPr>
            <w:tcW w:w="3955" w:type="dxa"/>
            <w:vMerge/>
          </w:tcPr>
          <w:p w14:paraId="5B4EC514" w14:textId="77777777" w:rsidR="00244C49" w:rsidRPr="008044C2" w:rsidRDefault="00244C49" w:rsidP="00A2675D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77EB66F4" w14:textId="44691D31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01B3763F" w14:textId="20721EBD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0.54 (0.26 -1.12)</w:t>
            </w:r>
          </w:p>
        </w:tc>
        <w:tc>
          <w:tcPr>
            <w:tcW w:w="985" w:type="dxa"/>
          </w:tcPr>
          <w:p w14:paraId="5CCC09EE" w14:textId="0CAA2211" w:rsidR="00244C49" w:rsidRPr="008044C2" w:rsidRDefault="00244C49" w:rsidP="00A2675D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244C49" w:rsidRPr="008044C2" w14:paraId="0A364FDE" w14:textId="77777777" w:rsidTr="00135CFF">
        <w:tc>
          <w:tcPr>
            <w:tcW w:w="3955" w:type="dxa"/>
            <w:vMerge/>
          </w:tcPr>
          <w:p w14:paraId="09154FD6" w14:textId="77777777" w:rsidR="00244C49" w:rsidRPr="008044C2" w:rsidRDefault="00244C49" w:rsidP="00A2675D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11A46A96" w14:textId="2EF6C2E1" w:rsidR="00244C49" w:rsidRPr="008044C2" w:rsidRDefault="00135CFF" w:rsidP="00A2675D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6B99A58D" w14:textId="65AB9451" w:rsidR="00244C49" w:rsidRPr="00244C49" w:rsidRDefault="00244C49" w:rsidP="00A26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 (0.31</w:t>
            </w:r>
            <w:r w:rsidR="00135CFF">
              <w:rPr>
                <w:rFonts w:ascii="Calibri" w:hAnsi="Calibri" w:cs="Calibri"/>
                <w:color w:val="000000"/>
              </w:rPr>
              <w:t xml:space="preserve"> - 1.17)</w:t>
            </w:r>
          </w:p>
        </w:tc>
        <w:tc>
          <w:tcPr>
            <w:tcW w:w="985" w:type="dxa"/>
          </w:tcPr>
          <w:p w14:paraId="007100BF" w14:textId="0E7EEEBC" w:rsidR="00244C49" w:rsidRPr="000777DA" w:rsidRDefault="000777DA" w:rsidP="00A26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</w:tr>
      <w:tr w:rsidR="00135CFF" w:rsidRPr="008044C2" w14:paraId="3661424E" w14:textId="77777777" w:rsidTr="00135CFF">
        <w:tc>
          <w:tcPr>
            <w:tcW w:w="3955" w:type="dxa"/>
            <w:vMerge w:val="restart"/>
          </w:tcPr>
          <w:p w14:paraId="550904E7" w14:textId="3E2E9DED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0.1 </w:t>
            </w:r>
            <w:r w:rsidRPr="008044C2">
              <w:rPr>
                <w:rFonts w:eastAsia="Calibri"/>
                <w:b/>
              </w:rPr>
              <w:t>±</w:t>
            </w:r>
            <w:r w:rsidRPr="008044C2">
              <w:rPr>
                <w:color w:val="000000"/>
              </w:rPr>
              <w:t xml:space="preserve">0.05; </w:t>
            </w:r>
            <w:r w:rsidRPr="008044C2">
              <w:rPr>
                <w:rFonts w:eastAsia="Calibri"/>
              </w:rPr>
              <w:t>0.06-0.10 vs 0.11-0.15</w:t>
            </w:r>
            <w:r>
              <w:rPr>
                <w:rFonts w:eastAsia="Calibri"/>
              </w:rPr>
              <w:t xml:space="preserve">; </w:t>
            </w:r>
            <w:r w:rsidRPr="008044C2">
              <w:rPr>
                <w:color w:val="000000"/>
              </w:rPr>
              <w:t>(1161)</w:t>
            </w:r>
          </w:p>
        </w:tc>
        <w:tc>
          <w:tcPr>
            <w:tcW w:w="1440" w:type="dxa"/>
          </w:tcPr>
          <w:p w14:paraId="560DE935" w14:textId="72717A29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23731B68" w14:textId="1ACF635A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0.6</w:t>
            </w:r>
            <w:r>
              <w:rPr>
                <w:color w:val="000000"/>
              </w:rPr>
              <w:t>3</w:t>
            </w:r>
            <w:r w:rsidRPr="008044C2">
              <w:rPr>
                <w:color w:val="000000"/>
              </w:rPr>
              <w:t xml:space="preserve"> (0.32 - 1.21)</w:t>
            </w:r>
          </w:p>
        </w:tc>
        <w:tc>
          <w:tcPr>
            <w:tcW w:w="985" w:type="dxa"/>
          </w:tcPr>
          <w:p w14:paraId="11EF36AE" w14:textId="45C74FB2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0.1</w:t>
            </w:r>
            <w:r>
              <w:rPr>
                <w:color w:val="000000"/>
              </w:rPr>
              <w:t>7</w:t>
            </w:r>
          </w:p>
        </w:tc>
      </w:tr>
      <w:tr w:rsidR="00135CFF" w:rsidRPr="008044C2" w14:paraId="1F29EE8A" w14:textId="77777777" w:rsidTr="00135CFF">
        <w:tc>
          <w:tcPr>
            <w:tcW w:w="3955" w:type="dxa"/>
            <w:vMerge/>
          </w:tcPr>
          <w:p w14:paraId="1E8FFE20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1514C567" w14:textId="6C91BB29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6C5A0C66" w14:textId="5A38D121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0.73 (0.3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 xml:space="preserve"> - 1.</w:t>
            </w:r>
            <w:r>
              <w:rPr>
                <w:color w:val="000000"/>
              </w:rPr>
              <w:t>50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559AA8B4" w14:textId="763456DC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0.39</w:t>
            </w:r>
          </w:p>
        </w:tc>
      </w:tr>
      <w:tr w:rsidR="00135CFF" w:rsidRPr="008044C2" w14:paraId="3077C1F2" w14:textId="77777777" w:rsidTr="00135CFF">
        <w:tc>
          <w:tcPr>
            <w:tcW w:w="3955" w:type="dxa"/>
            <w:vMerge/>
          </w:tcPr>
          <w:p w14:paraId="4CC0482C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079D95B5" w14:textId="2009D6C5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403483AA" w14:textId="1686D5E4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</w:t>
            </w:r>
            <w:r>
              <w:rPr>
                <w:color w:val="000000"/>
              </w:rPr>
              <w:t>70</w:t>
            </w:r>
            <w:r w:rsidRPr="008044C2">
              <w:rPr>
                <w:color w:val="000000"/>
              </w:rPr>
              <w:t xml:space="preserve"> (0.40 - 1.2</w:t>
            </w:r>
            <w:r>
              <w:rPr>
                <w:color w:val="000000"/>
              </w:rPr>
              <w:t>1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39ABF17E" w14:textId="2C1649D6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>0.</w:t>
            </w:r>
            <w:r>
              <w:rPr>
                <w:color w:val="000000"/>
              </w:rPr>
              <w:t>20</w:t>
            </w:r>
          </w:p>
        </w:tc>
      </w:tr>
      <w:tr w:rsidR="00135CFF" w:rsidRPr="008044C2" w14:paraId="3B2F9F6B" w14:textId="77777777" w:rsidTr="00135CFF">
        <w:tc>
          <w:tcPr>
            <w:tcW w:w="3955" w:type="dxa"/>
            <w:vMerge/>
          </w:tcPr>
          <w:p w14:paraId="4721CF6A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771EF4E3" w14:textId="34810042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79A5B16E" w14:textId="6531BCB9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 (0.42 - 1.13)</w:t>
            </w:r>
          </w:p>
        </w:tc>
        <w:tc>
          <w:tcPr>
            <w:tcW w:w="985" w:type="dxa"/>
          </w:tcPr>
          <w:p w14:paraId="6494CAA9" w14:textId="5BC49ECA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</w:tr>
      <w:tr w:rsidR="00135CFF" w:rsidRPr="008044C2" w14:paraId="7B44D85E" w14:textId="77777777" w:rsidTr="00135CFF">
        <w:tc>
          <w:tcPr>
            <w:tcW w:w="3955" w:type="dxa"/>
            <w:vMerge w:val="restart"/>
          </w:tcPr>
          <w:p w14:paraId="52EB6080" w14:textId="1D6D6225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0.1 </w:t>
            </w:r>
            <w:r w:rsidRPr="008044C2">
              <w:rPr>
                <w:rFonts w:eastAsia="Calibri"/>
                <w:b/>
              </w:rPr>
              <w:t>±</w:t>
            </w:r>
            <w:r w:rsidRPr="008044C2">
              <w:rPr>
                <w:color w:val="000000"/>
              </w:rPr>
              <w:t xml:space="preserve">0.1; </w:t>
            </w:r>
            <w:r w:rsidRPr="008044C2">
              <w:rPr>
                <w:rFonts w:eastAsia="Calibri"/>
              </w:rPr>
              <w:t>0.01-0.10 vs 0.11-0.20</w:t>
            </w:r>
            <w:r>
              <w:rPr>
                <w:rFonts w:eastAsia="Calibri"/>
              </w:rPr>
              <w:t xml:space="preserve">; </w:t>
            </w:r>
            <w:r w:rsidRPr="008044C2">
              <w:rPr>
                <w:color w:val="000000"/>
              </w:rPr>
              <w:t>(2354)</w:t>
            </w:r>
          </w:p>
        </w:tc>
        <w:tc>
          <w:tcPr>
            <w:tcW w:w="1440" w:type="dxa"/>
          </w:tcPr>
          <w:p w14:paraId="2AE1E066" w14:textId="54D36B64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2704D19D" w14:textId="5249A036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0.7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 xml:space="preserve"> (0.46 - 1.23)</w:t>
            </w:r>
          </w:p>
        </w:tc>
        <w:tc>
          <w:tcPr>
            <w:tcW w:w="985" w:type="dxa"/>
          </w:tcPr>
          <w:p w14:paraId="7EEA3D76" w14:textId="2FE8EE5F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0.26</w:t>
            </w:r>
          </w:p>
        </w:tc>
      </w:tr>
      <w:tr w:rsidR="00135CFF" w:rsidRPr="008044C2" w14:paraId="0D71E73A" w14:textId="77777777" w:rsidTr="00135CFF">
        <w:tc>
          <w:tcPr>
            <w:tcW w:w="3955" w:type="dxa"/>
            <w:vMerge/>
          </w:tcPr>
          <w:p w14:paraId="01CC2C4C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10CC0168" w14:textId="1E533D5E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12882F03" w14:textId="3BF3136B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0.9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 xml:space="preserve"> (0.5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 xml:space="preserve"> - 1.6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0D8048B4" w14:textId="1AA2B379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0.9</w:t>
            </w:r>
            <w:r>
              <w:rPr>
                <w:color w:val="000000"/>
              </w:rPr>
              <w:t>4</w:t>
            </w:r>
          </w:p>
        </w:tc>
      </w:tr>
      <w:tr w:rsidR="00135CFF" w:rsidRPr="008044C2" w14:paraId="5EBBD36C" w14:textId="77777777" w:rsidTr="00135CFF">
        <w:tc>
          <w:tcPr>
            <w:tcW w:w="3955" w:type="dxa"/>
            <w:vMerge/>
          </w:tcPr>
          <w:p w14:paraId="20060DC2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34A9129" w14:textId="37DCAA79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6C668E91" w14:textId="3C4A642D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0.92 (0.6</w:t>
            </w:r>
            <w:r>
              <w:rPr>
                <w:color w:val="000000"/>
              </w:rPr>
              <w:t>3</w:t>
            </w:r>
            <w:r w:rsidRPr="008044C2">
              <w:rPr>
                <w:color w:val="000000"/>
              </w:rPr>
              <w:t xml:space="preserve"> - 1.36)</w:t>
            </w:r>
          </w:p>
        </w:tc>
        <w:tc>
          <w:tcPr>
            <w:tcW w:w="985" w:type="dxa"/>
          </w:tcPr>
          <w:p w14:paraId="35782F50" w14:textId="3985AD86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0.6</w:t>
            </w:r>
            <w:r>
              <w:rPr>
                <w:color w:val="000000"/>
              </w:rPr>
              <w:t>9</w:t>
            </w:r>
          </w:p>
        </w:tc>
      </w:tr>
      <w:tr w:rsidR="00135CFF" w:rsidRPr="008044C2" w14:paraId="39C488D2" w14:textId="77777777" w:rsidTr="00135CFF">
        <w:tc>
          <w:tcPr>
            <w:tcW w:w="3955" w:type="dxa"/>
            <w:vMerge/>
          </w:tcPr>
          <w:p w14:paraId="42A420FB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D920EEF" w14:textId="2784BDF3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5753A0D1" w14:textId="106B6BEA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 (0.63 - 1.27)</w:t>
            </w:r>
          </w:p>
        </w:tc>
        <w:tc>
          <w:tcPr>
            <w:tcW w:w="985" w:type="dxa"/>
          </w:tcPr>
          <w:p w14:paraId="3E4D6265" w14:textId="435C64B9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</w:t>
            </w:r>
          </w:p>
        </w:tc>
      </w:tr>
      <w:tr w:rsidR="00135CFF" w:rsidRPr="008044C2" w14:paraId="2FC54021" w14:textId="77777777" w:rsidTr="00135CFF">
        <w:tc>
          <w:tcPr>
            <w:tcW w:w="3955" w:type="dxa"/>
            <w:vMerge w:val="restart"/>
          </w:tcPr>
          <w:p w14:paraId="4D057B5A" w14:textId="6FB07F16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0.25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0.03; </w:t>
            </w:r>
            <w:r w:rsidRPr="008044C2">
              <w:rPr>
                <w:rFonts w:eastAsia="Calibri"/>
              </w:rPr>
              <w:t>0.2</w:t>
            </w:r>
            <w:r w:rsidR="00830188">
              <w:rPr>
                <w:rFonts w:eastAsia="Calibri"/>
              </w:rPr>
              <w:t>2</w:t>
            </w:r>
            <w:r w:rsidRPr="008044C2">
              <w:rPr>
                <w:rFonts w:eastAsia="Calibri"/>
              </w:rPr>
              <w:t>-0.2</w:t>
            </w:r>
            <w:r w:rsidR="00830188">
              <w:rPr>
                <w:rFonts w:eastAsia="Calibri"/>
              </w:rPr>
              <w:t>4</w:t>
            </w:r>
            <w:r w:rsidRPr="008044C2">
              <w:rPr>
                <w:rFonts w:eastAsia="Calibri"/>
              </w:rPr>
              <w:t xml:space="preserve"> vs 0.2</w:t>
            </w:r>
            <w:r w:rsidR="00830188">
              <w:rPr>
                <w:rFonts w:eastAsia="Calibri"/>
              </w:rPr>
              <w:t>5</w:t>
            </w:r>
            <w:r w:rsidRPr="008044C2">
              <w:rPr>
                <w:rFonts w:eastAsia="Calibri"/>
              </w:rPr>
              <w:t>-0.2</w:t>
            </w:r>
            <w:r w:rsidR="00830188">
              <w:rPr>
                <w:rFonts w:eastAsia="Calibri"/>
              </w:rPr>
              <w:t>7</w:t>
            </w:r>
            <w:r w:rsidRPr="008044C2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(220)</w:t>
            </w:r>
          </w:p>
        </w:tc>
        <w:tc>
          <w:tcPr>
            <w:tcW w:w="1440" w:type="dxa"/>
          </w:tcPr>
          <w:p w14:paraId="665A13D8" w14:textId="0324D17B" w:rsidR="00135CFF" w:rsidRPr="000777DA" w:rsidRDefault="00135CFF" w:rsidP="00135CFF">
            <w:pPr>
              <w:rPr>
                <w:b/>
                <w:i/>
                <w:color w:val="000000"/>
              </w:rPr>
            </w:pPr>
            <w:r w:rsidRPr="000777DA">
              <w:rPr>
                <w:rFonts w:eastAsia="Calibri"/>
                <w:b/>
                <w:i/>
              </w:rPr>
              <w:t>ICU</w:t>
            </w:r>
          </w:p>
        </w:tc>
        <w:tc>
          <w:tcPr>
            <w:tcW w:w="2970" w:type="dxa"/>
          </w:tcPr>
          <w:p w14:paraId="27ADA207" w14:textId="585EAFB1" w:rsidR="00135CFF" w:rsidRPr="000777DA" w:rsidRDefault="00135CFF" w:rsidP="00135CFF">
            <w:pPr>
              <w:rPr>
                <w:b/>
                <w:i/>
                <w:color w:val="000000"/>
              </w:rPr>
            </w:pPr>
            <w:r w:rsidRPr="000777DA">
              <w:rPr>
                <w:b/>
                <w:i/>
                <w:color w:val="000000"/>
              </w:rPr>
              <w:t>6.35 (1.06-38.06)</w:t>
            </w:r>
          </w:p>
        </w:tc>
        <w:tc>
          <w:tcPr>
            <w:tcW w:w="985" w:type="dxa"/>
          </w:tcPr>
          <w:p w14:paraId="4B2D9BF7" w14:textId="31BA68B8" w:rsidR="00135CFF" w:rsidRPr="000777DA" w:rsidRDefault="00135CFF" w:rsidP="00135CFF">
            <w:pPr>
              <w:rPr>
                <w:b/>
                <w:i/>
                <w:color w:val="000000"/>
              </w:rPr>
            </w:pPr>
            <w:r w:rsidRPr="000777DA">
              <w:rPr>
                <w:b/>
                <w:i/>
                <w:color w:val="000000"/>
              </w:rPr>
              <w:t>0.04</w:t>
            </w:r>
          </w:p>
        </w:tc>
      </w:tr>
      <w:tr w:rsidR="00135CFF" w:rsidRPr="008044C2" w14:paraId="62AA9573" w14:textId="77777777" w:rsidTr="00135CFF">
        <w:tc>
          <w:tcPr>
            <w:tcW w:w="3955" w:type="dxa"/>
            <w:vMerge/>
          </w:tcPr>
          <w:p w14:paraId="4B38CDB3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5D3818C1" w14:textId="29500D52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4C1A7DF4" w14:textId="30F20686" w:rsidR="00135CFF" w:rsidRPr="008044C2" w:rsidRDefault="00135CFF" w:rsidP="00135CFF">
            <w:pPr>
              <w:spacing w:after="160" w:line="259" w:lineRule="auto"/>
              <w:rPr>
                <w:color w:val="000000"/>
              </w:rPr>
            </w:pPr>
            <w:r w:rsidRPr="008044C2">
              <w:rPr>
                <w:color w:val="000000"/>
              </w:rPr>
              <w:t>1.9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 xml:space="preserve"> (0.3</w:t>
            </w:r>
            <w:r>
              <w:rPr>
                <w:color w:val="000000"/>
              </w:rPr>
              <w:t>1</w:t>
            </w:r>
            <w:r w:rsidRPr="008044C2">
              <w:rPr>
                <w:color w:val="000000"/>
              </w:rPr>
              <w:t xml:space="preserve"> - 12.41)</w:t>
            </w:r>
          </w:p>
        </w:tc>
        <w:tc>
          <w:tcPr>
            <w:tcW w:w="985" w:type="dxa"/>
          </w:tcPr>
          <w:p w14:paraId="2F5ECB50" w14:textId="4FF10690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0.4</w:t>
            </w:r>
            <w:r>
              <w:rPr>
                <w:color w:val="000000"/>
              </w:rPr>
              <w:t>8</w:t>
            </w:r>
          </w:p>
        </w:tc>
      </w:tr>
      <w:tr w:rsidR="00135CFF" w:rsidRPr="008044C2" w14:paraId="756E32E8" w14:textId="77777777" w:rsidTr="00135CFF">
        <w:tc>
          <w:tcPr>
            <w:tcW w:w="3955" w:type="dxa"/>
            <w:vMerge/>
          </w:tcPr>
          <w:p w14:paraId="52FAE56C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7E40532C" w14:textId="6936F1D1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04C3BCB8" w14:textId="1A8F9574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3.31 (0.7</w:t>
            </w:r>
            <w:r>
              <w:rPr>
                <w:color w:val="000000"/>
              </w:rPr>
              <w:t>9</w:t>
            </w:r>
            <w:r w:rsidRPr="008044C2">
              <w:rPr>
                <w:color w:val="000000"/>
              </w:rPr>
              <w:t xml:space="preserve"> - 13.95)</w:t>
            </w:r>
          </w:p>
        </w:tc>
        <w:tc>
          <w:tcPr>
            <w:tcW w:w="985" w:type="dxa"/>
          </w:tcPr>
          <w:p w14:paraId="642B8A86" w14:textId="75F3B58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0.10</w:t>
            </w:r>
          </w:p>
        </w:tc>
      </w:tr>
      <w:tr w:rsidR="00135CFF" w:rsidRPr="008044C2" w14:paraId="689BACFC" w14:textId="77777777" w:rsidTr="00135CFF">
        <w:tc>
          <w:tcPr>
            <w:tcW w:w="3955" w:type="dxa"/>
            <w:vMerge/>
          </w:tcPr>
          <w:p w14:paraId="4E403CE7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116D4928" w14:textId="7BE7C50D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289C31D7" w14:textId="3E62AF39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3.43 (0.93 - 12.64)</w:t>
            </w:r>
          </w:p>
        </w:tc>
        <w:tc>
          <w:tcPr>
            <w:tcW w:w="985" w:type="dxa"/>
          </w:tcPr>
          <w:p w14:paraId="0B30C253" w14:textId="5C84E54A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</w:tr>
      <w:tr w:rsidR="00135CFF" w:rsidRPr="008044C2" w14:paraId="2B49A8C1" w14:textId="77777777" w:rsidTr="00135CFF">
        <w:tc>
          <w:tcPr>
            <w:tcW w:w="3955" w:type="dxa"/>
            <w:vMerge w:val="restart"/>
          </w:tcPr>
          <w:p w14:paraId="3A6F3265" w14:textId="2F00C107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0.25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0.05; </w:t>
            </w:r>
            <w:r w:rsidRPr="008044C2">
              <w:rPr>
                <w:rFonts w:eastAsia="Calibri"/>
              </w:rPr>
              <w:t>0.2</w:t>
            </w:r>
            <w:r w:rsidR="00830188">
              <w:rPr>
                <w:rFonts w:eastAsia="Calibri"/>
              </w:rPr>
              <w:t>0</w:t>
            </w:r>
            <w:r w:rsidRPr="008044C2">
              <w:rPr>
                <w:rFonts w:eastAsia="Calibri"/>
              </w:rPr>
              <w:t>-0.2</w:t>
            </w:r>
            <w:r w:rsidR="00830188">
              <w:rPr>
                <w:rFonts w:eastAsia="Calibri"/>
              </w:rPr>
              <w:t>4</w:t>
            </w:r>
            <w:r w:rsidRPr="008044C2">
              <w:rPr>
                <w:rFonts w:eastAsia="Calibri"/>
              </w:rPr>
              <w:t xml:space="preserve"> vs 0.2</w:t>
            </w:r>
            <w:r w:rsidR="00830188">
              <w:rPr>
                <w:rFonts w:eastAsia="Calibri"/>
              </w:rPr>
              <w:t>5</w:t>
            </w:r>
            <w:r w:rsidRPr="008044C2">
              <w:rPr>
                <w:rFonts w:eastAsia="Calibri"/>
              </w:rPr>
              <w:t>-0.</w:t>
            </w:r>
            <w:r w:rsidR="00830188">
              <w:rPr>
                <w:rFonts w:eastAsia="Calibri"/>
              </w:rPr>
              <w:t>29</w:t>
            </w:r>
            <w:r w:rsidRPr="008044C2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(383)</w:t>
            </w:r>
          </w:p>
        </w:tc>
        <w:tc>
          <w:tcPr>
            <w:tcW w:w="1440" w:type="dxa"/>
          </w:tcPr>
          <w:p w14:paraId="56ED137F" w14:textId="1FF41B7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6011E1ED" w14:textId="6C95B1E1" w:rsidR="00135CFF" w:rsidRPr="008044C2" w:rsidRDefault="00135CFF" w:rsidP="00135CFF">
            <w:pPr>
              <w:spacing w:after="160" w:line="259" w:lineRule="auto"/>
              <w:rPr>
                <w:color w:val="000000"/>
              </w:rPr>
            </w:pPr>
            <w:r w:rsidRPr="008044C2">
              <w:rPr>
                <w:color w:val="000000"/>
              </w:rPr>
              <w:t>2.6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 xml:space="preserve"> (0.75 - 9.50)</w:t>
            </w:r>
          </w:p>
        </w:tc>
        <w:tc>
          <w:tcPr>
            <w:tcW w:w="985" w:type="dxa"/>
          </w:tcPr>
          <w:p w14:paraId="2915256E" w14:textId="04E3295F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0.1</w:t>
            </w:r>
            <w:r>
              <w:rPr>
                <w:color w:val="000000"/>
              </w:rPr>
              <w:t>3</w:t>
            </w:r>
          </w:p>
        </w:tc>
      </w:tr>
      <w:tr w:rsidR="00135CFF" w:rsidRPr="008044C2" w14:paraId="3D71D422" w14:textId="77777777" w:rsidTr="00135CFF">
        <w:tc>
          <w:tcPr>
            <w:tcW w:w="3955" w:type="dxa"/>
            <w:vMerge/>
          </w:tcPr>
          <w:p w14:paraId="62CEBF4E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308E0454" w14:textId="687EEEB6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5348E10F" w14:textId="6F944507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1.47 (0.3</w:t>
            </w:r>
            <w:r>
              <w:rPr>
                <w:color w:val="000000"/>
              </w:rPr>
              <w:t>5</w:t>
            </w:r>
            <w:r w:rsidRPr="008044C2">
              <w:rPr>
                <w:color w:val="000000"/>
              </w:rPr>
              <w:t xml:space="preserve"> - 6.2</w:t>
            </w:r>
            <w:r>
              <w:rPr>
                <w:color w:val="000000"/>
              </w:rPr>
              <w:t>0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2DEECE6C" w14:textId="3748312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0.60</w:t>
            </w:r>
          </w:p>
        </w:tc>
      </w:tr>
      <w:tr w:rsidR="00135CFF" w:rsidRPr="008044C2" w14:paraId="76E1EB8A" w14:textId="77777777" w:rsidTr="00135CFF">
        <w:tc>
          <w:tcPr>
            <w:tcW w:w="3955" w:type="dxa"/>
            <w:vMerge/>
          </w:tcPr>
          <w:p w14:paraId="07314542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083AAA8E" w14:textId="4460FFC6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30628ABF" w14:textId="0C87C83C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2.05 (0.7</w:t>
            </w:r>
            <w:r>
              <w:rPr>
                <w:color w:val="000000"/>
              </w:rPr>
              <w:t>3</w:t>
            </w:r>
            <w:r w:rsidRPr="008044C2">
              <w:rPr>
                <w:color w:val="000000"/>
              </w:rPr>
              <w:t xml:space="preserve"> - 5.</w:t>
            </w:r>
            <w:r>
              <w:rPr>
                <w:color w:val="000000"/>
              </w:rPr>
              <w:t>77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1C8008E5" w14:textId="7D025894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0.17</w:t>
            </w:r>
          </w:p>
        </w:tc>
      </w:tr>
      <w:tr w:rsidR="00135CFF" w:rsidRPr="008044C2" w14:paraId="12EC7588" w14:textId="77777777" w:rsidTr="00135CFF">
        <w:tc>
          <w:tcPr>
            <w:tcW w:w="3955" w:type="dxa"/>
            <w:vMerge/>
          </w:tcPr>
          <w:p w14:paraId="7B80B2DF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135B1CA3" w14:textId="58412FD0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29664400" w14:textId="3CEBCA5F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2.11 (0.83 – 5.40)</w:t>
            </w:r>
          </w:p>
        </w:tc>
        <w:tc>
          <w:tcPr>
            <w:tcW w:w="985" w:type="dxa"/>
          </w:tcPr>
          <w:p w14:paraId="534B82F9" w14:textId="120D59C4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</w:tr>
      <w:tr w:rsidR="00135CFF" w:rsidRPr="008044C2" w14:paraId="5F88A3DA" w14:textId="77777777" w:rsidTr="00135CFF">
        <w:tc>
          <w:tcPr>
            <w:tcW w:w="3955" w:type="dxa"/>
            <w:vMerge w:val="restart"/>
          </w:tcPr>
          <w:p w14:paraId="62DFC7A9" w14:textId="163A671E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0.25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0.1; </w:t>
            </w:r>
            <w:r w:rsidRPr="008044C2">
              <w:rPr>
                <w:rFonts w:eastAsia="Calibri"/>
              </w:rPr>
              <w:t>0.1</w:t>
            </w:r>
            <w:r w:rsidR="00830188">
              <w:rPr>
                <w:rFonts w:eastAsia="Calibri"/>
              </w:rPr>
              <w:t>5</w:t>
            </w:r>
            <w:r w:rsidRPr="008044C2">
              <w:rPr>
                <w:rFonts w:eastAsia="Calibri"/>
              </w:rPr>
              <w:t>-0.2</w:t>
            </w:r>
            <w:r w:rsidR="00830188">
              <w:rPr>
                <w:rFonts w:eastAsia="Calibri"/>
              </w:rPr>
              <w:t>4</w:t>
            </w:r>
            <w:r w:rsidRPr="008044C2">
              <w:rPr>
                <w:rFonts w:eastAsia="Calibri"/>
              </w:rPr>
              <w:t xml:space="preserve"> vs 0.2</w:t>
            </w:r>
            <w:r w:rsidR="00830188">
              <w:rPr>
                <w:rFonts w:eastAsia="Calibri"/>
              </w:rPr>
              <w:t>5</w:t>
            </w:r>
            <w:r w:rsidRPr="008044C2">
              <w:rPr>
                <w:rFonts w:eastAsia="Calibri"/>
              </w:rPr>
              <w:t>-0.3</w:t>
            </w:r>
            <w:r w:rsidR="00830188">
              <w:rPr>
                <w:rFonts w:eastAsia="Calibri"/>
              </w:rPr>
              <w:t>4</w:t>
            </w:r>
            <w:r w:rsidRPr="008044C2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(808)</w:t>
            </w:r>
          </w:p>
        </w:tc>
        <w:tc>
          <w:tcPr>
            <w:tcW w:w="1440" w:type="dxa"/>
          </w:tcPr>
          <w:p w14:paraId="3DFB7DC7" w14:textId="73D475C8" w:rsidR="00135CFF" w:rsidRPr="000777DA" w:rsidRDefault="00135CFF" w:rsidP="00135CFF">
            <w:pPr>
              <w:rPr>
                <w:b/>
                <w:i/>
                <w:color w:val="000000"/>
              </w:rPr>
            </w:pPr>
            <w:r w:rsidRPr="000777DA">
              <w:rPr>
                <w:rFonts w:eastAsia="Calibri"/>
                <w:b/>
                <w:i/>
              </w:rPr>
              <w:t>ICU</w:t>
            </w:r>
          </w:p>
        </w:tc>
        <w:tc>
          <w:tcPr>
            <w:tcW w:w="2970" w:type="dxa"/>
          </w:tcPr>
          <w:p w14:paraId="1C57F41A" w14:textId="7E4E37CF" w:rsidR="00135CFF" w:rsidRPr="000777DA" w:rsidRDefault="00135CFF" w:rsidP="00135CFF">
            <w:pPr>
              <w:rPr>
                <w:b/>
                <w:i/>
                <w:color w:val="000000"/>
              </w:rPr>
            </w:pPr>
            <w:r w:rsidRPr="000777DA">
              <w:rPr>
                <w:b/>
                <w:i/>
                <w:color w:val="000000"/>
              </w:rPr>
              <w:t>3.56 (1.40 - 9.10)</w:t>
            </w:r>
          </w:p>
        </w:tc>
        <w:tc>
          <w:tcPr>
            <w:tcW w:w="985" w:type="dxa"/>
          </w:tcPr>
          <w:p w14:paraId="6928DBE4" w14:textId="1204946B" w:rsidR="00135CFF" w:rsidRPr="000777DA" w:rsidRDefault="00135CFF" w:rsidP="00135CFF">
            <w:pPr>
              <w:rPr>
                <w:b/>
                <w:i/>
                <w:color w:val="000000"/>
              </w:rPr>
            </w:pPr>
            <w:r w:rsidRPr="000777DA">
              <w:rPr>
                <w:b/>
                <w:i/>
                <w:color w:val="000000"/>
              </w:rPr>
              <w:t>0.01</w:t>
            </w:r>
          </w:p>
        </w:tc>
      </w:tr>
      <w:tr w:rsidR="00135CFF" w:rsidRPr="008044C2" w14:paraId="4D688828" w14:textId="77777777" w:rsidTr="00135CFF">
        <w:tc>
          <w:tcPr>
            <w:tcW w:w="3955" w:type="dxa"/>
            <w:vMerge/>
          </w:tcPr>
          <w:p w14:paraId="7AC0B21A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4D7D8575" w14:textId="7046B00D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5C5C9ABF" w14:textId="4096948D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1.45 (0.56 - 3.76)</w:t>
            </w:r>
          </w:p>
        </w:tc>
        <w:tc>
          <w:tcPr>
            <w:tcW w:w="985" w:type="dxa"/>
          </w:tcPr>
          <w:p w14:paraId="35EC82F4" w14:textId="1AE56DA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0.4</w:t>
            </w:r>
            <w:r>
              <w:rPr>
                <w:color w:val="000000"/>
              </w:rPr>
              <w:t>4</w:t>
            </w:r>
          </w:p>
        </w:tc>
      </w:tr>
      <w:tr w:rsidR="00135CFF" w:rsidRPr="008044C2" w14:paraId="68260ACA" w14:textId="77777777" w:rsidTr="00135CFF">
        <w:tc>
          <w:tcPr>
            <w:tcW w:w="3955" w:type="dxa"/>
            <w:vMerge/>
          </w:tcPr>
          <w:p w14:paraId="7FA1C43D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7BF24DDF" w14:textId="4C0C31AC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52267D3D" w14:textId="0A1BA1B4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Pr="008044C2">
              <w:rPr>
                <w:color w:val="000000"/>
              </w:rPr>
              <w:t xml:space="preserve"> (0.96 - 4.11)</w:t>
            </w:r>
          </w:p>
        </w:tc>
        <w:tc>
          <w:tcPr>
            <w:tcW w:w="985" w:type="dxa"/>
          </w:tcPr>
          <w:p w14:paraId="023C8E26" w14:textId="3225F9CC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0.06</w:t>
            </w:r>
          </w:p>
        </w:tc>
      </w:tr>
      <w:tr w:rsidR="00135CFF" w:rsidRPr="008044C2" w14:paraId="611C8D05" w14:textId="77777777" w:rsidTr="00135CFF">
        <w:tc>
          <w:tcPr>
            <w:tcW w:w="3955" w:type="dxa"/>
            <w:vMerge/>
          </w:tcPr>
          <w:p w14:paraId="7F64BBD8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56873731" w14:textId="0ADA7C3D" w:rsidR="00135CFF" w:rsidRPr="000777DA" w:rsidRDefault="00135CFF" w:rsidP="00135CFF">
            <w:pPr>
              <w:rPr>
                <w:b/>
                <w:i/>
                <w:color w:val="000000"/>
              </w:rPr>
            </w:pPr>
            <w:r w:rsidRPr="000777DA">
              <w:rPr>
                <w:b/>
                <w:i/>
                <w:color w:val="000000"/>
              </w:rPr>
              <w:t>All LOC</w:t>
            </w:r>
          </w:p>
        </w:tc>
        <w:tc>
          <w:tcPr>
            <w:tcW w:w="2970" w:type="dxa"/>
          </w:tcPr>
          <w:p w14:paraId="1C5D3808" w14:textId="3DA81DDE" w:rsidR="00135CFF" w:rsidRPr="000777DA" w:rsidRDefault="00135CFF" w:rsidP="00135CFF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0777DA">
              <w:rPr>
                <w:rFonts w:ascii="Calibri" w:hAnsi="Calibri" w:cs="Calibri"/>
                <w:b/>
                <w:i/>
                <w:color w:val="000000"/>
              </w:rPr>
              <w:t>2.23 (1.16 – 4.27)</w:t>
            </w:r>
          </w:p>
        </w:tc>
        <w:tc>
          <w:tcPr>
            <w:tcW w:w="985" w:type="dxa"/>
          </w:tcPr>
          <w:p w14:paraId="3F3B4D98" w14:textId="7B8E9FA8" w:rsidR="00135CFF" w:rsidRPr="000777DA" w:rsidRDefault="000777DA" w:rsidP="00135CFF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0777DA">
              <w:rPr>
                <w:rFonts w:ascii="Calibri" w:hAnsi="Calibri" w:cs="Calibri"/>
                <w:b/>
                <w:i/>
                <w:color w:val="000000"/>
              </w:rPr>
              <w:t>0.02</w:t>
            </w:r>
          </w:p>
        </w:tc>
      </w:tr>
      <w:tr w:rsidR="00135CFF" w:rsidRPr="008044C2" w14:paraId="622A258C" w14:textId="77777777" w:rsidTr="00135CFF">
        <w:tc>
          <w:tcPr>
            <w:tcW w:w="3955" w:type="dxa"/>
            <w:vMerge w:val="restart"/>
          </w:tcPr>
          <w:p w14:paraId="243134D8" w14:textId="090B00D7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0.3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0.03; </w:t>
            </w:r>
            <w:r w:rsidRPr="008044C2">
              <w:rPr>
                <w:rFonts w:eastAsia="Calibri"/>
              </w:rPr>
              <w:t>0.2</w:t>
            </w:r>
            <w:r w:rsidR="00830188">
              <w:rPr>
                <w:rFonts w:eastAsia="Calibri"/>
              </w:rPr>
              <w:t>7</w:t>
            </w:r>
            <w:r w:rsidRPr="008044C2">
              <w:rPr>
                <w:rFonts w:eastAsia="Calibri"/>
              </w:rPr>
              <w:t>-0.</w:t>
            </w:r>
            <w:r w:rsidR="00830188">
              <w:rPr>
                <w:rFonts w:eastAsia="Calibri"/>
              </w:rPr>
              <w:t>29</w:t>
            </w:r>
            <w:r w:rsidRPr="008044C2">
              <w:rPr>
                <w:rFonts w:eastAsia="Calibri"/>
              </w:rPr>
              <w:t xml:space="preserve"> vs 0.3</w:t>
            </w:r>
            <w:r w:rsidR="00830188">
              <w:rPr>
                <w:rFonts w:eastAsia="Calibri"/>
              </w:rPr>
              <w:t>0</w:t>
            </w:r>
            <w:r w:rsidRPr="008044C2">
              <w:rPr>
                <w:rFonts w:eastAsia="Calibri"/>
              </w:rPr>
              <w:t>-0.3</w:t>
            </w:r>
            <w:r w:rsidR="00830188">
              <w:rPr>
                <w:rFonts w:eastAsia="Calibri"/>
              </w:rPr>
              <w:t>2</w:t>
            </w:r>
            <w:r w:rsidRPr="008044C2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(172)</w:t>
            </w:r>
          </w:p>
        </w:tc>
        <w:tc>
          <w:tcPr>
            <w:tcW w:w="1440" w:type="dxa"/>
          </w:tcPr>
          <w:p w14:paraId="0EC50C34" w14:textId="513B8416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0D93017A" w14:textId="0CCEA14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1.25 (0.1</w:t>
            </w:r>
            <w:r>
              <w:rPr>
                <w:color w:val="000000"/>
              </w:rPr>
              <w:t>5</w:t>
            </w:r>
            <w:r w:rsidRPr="008044C2">
              <w:rPr>
                <w:color w:val="000000"/>
              </w:rPr>
              <w:t xml:space="preserve"> - 10.61)</w:t>
            </w:r>
          </w:p>
        </w:tc>
        <w:tc>
          <w:tcPr>
            <w:tcW w:w="985" w:type="dxa"/>
          </w:tcPr>
          <w:p w14:paraId="014C2B6A" w14:textId="200287A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0.8</w:t>
            </w:r>
            <w:r>
              <w:rPr>
                <w:color w:val="000000"/>
              </w:rPr>
              <w:t>4</w:t>
            </w:r>
          </w:p>
        </w:tc>
      </w:tr>
      <w:tr w:rsidR="00135CFF" w:rsidRPr="008044C2" w14:paraId="4D83A306" w14:textId="77777777" w:rsidTr="00135CFF">
        <w:tc>
          <w:tcPr>
            <w:tcW w:w="3955" w:type="dxa"/>
            <w:vMerge/>
          </w:tcPr>
          <w:p w14:paraId="72F22A98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4F590C7E" w14:textId="0CB92F6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03C15832" w14:textId="2FBD7FAB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0.6</w:t>
            </w:r>
            <w:r>
              <w:rPr>
                <w:color w:val="000000"/>
              </w:rPr>
              <w:t>7</w:t>
            </w:r>
            <w:r w:rsidRPr="008044C2">
              <w:rPr>
                <w:color w:val="000000"/>
              </w:rPr>
              <w:t xml:space="preserve"> (0.06 - 6.94)</w:t>
            </w:r>
          </w:p>
        </w:tc>
        <w:tc>
          <w:tcPr>
            <w:tcW w:w="985" w:type="dxa"/>
          </w:tcPr>
          <w:p w14:paraId="2B8CA431" w14:textId="65485C6C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0.73</w:t>
            </w:r>
          </w:p>
        </w:tc>
      </w:tr>
      <w:tr w:rsidR="00135CFF" w:rsidRPr="008044C2" w14:paraId="51D109A2" w14:textId="77777777" w:rsidTr="00135CFF">
        <w:tc>
          <w:tcPr>
            <w:tcW w:w="3955" w:type="dxa"/>
            <w:vMerge/>
          </w:tcPr>
          <w:p w14:paraId="36699F22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0D0AADC7" w14:textId="5D37DAD7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62301D0B" w14:textId="69E0A51E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0.6</w:t>
            </w:r>
            <w:r>
              <w:rPr>
                <w:color w:val="000000"/>
              </w:rPr>
              <w:t>4</w:t>
            </w:r>
            <w:r w:rsidRPr="008044C2">
              <w:rPr>
                <w:color w:val="000000"/>
              </w:rPr>
              <w:t xml:space="preserve"> (0.11 - 3.69)</w:t>
            </w:r>
          </w:p>
        </w:tc>
        <w:tc>
          <w:tcPr>
            <w:tcW w:w="985" w:type="dxa"/>
          </w:tcPr>
          <w:p w14:paraId="7A560A2B" w14:textId="7574BD7B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0.6</w:t>
            </w:r>
            <w:r>
              <w:rPr>
                <w:color w:val="000000"/>
              </w:rPr>
              <w:t>2</w:t>
            </w:r>
          </w:p>
        </w:tc>
      </w:tr>
      <w:tr w:rsidR="00135CFF" w:rsidRPr="008044C2" w14:paraId="46DB0117" w14:textId="77777777" w:rsidTr="00135CFF">
        <w:tc>
          <w:tcPr>
            <w:tcW w:w="3955" w:type="dxa"/>
            <w:vMerge/>
          </w:tcPr>
          <w:p w14:paraId="15AFDEEA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17077C9E" w14:textId="42D36344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1544896D" w14:textId="573C7085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 (0.15 – 3.86)</w:t>
            </w:r>
          </w:p>
        </w:tc>
        <w:tc>
          <w:tcPr>
            <w:tcW w:w="985" w:type="dxa"/>
          </w:tcPr>
          <w:p w14:paraId="0158CDC7" w14:textId="1DB1BA6A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0.74</w:t>
            </w:r>
          </w:p>
        </w:tc>
      </w:tr>
      <w:tr w:rsidR="00135CFF" w:rsidRPr="008044C2" w14:paraId="03E38FD9" w14:textId="77777777" w:rsidTr="00135CFF">
        <w:trPr>
          <w:trHeight w:val="260"/>
        </w:trPr>
        <w:tc>
          <w:tcPr>
            <w:tcW w:w="3955" w:type="dxa"/>
            <w:vMerge w:val="restart"/>
          </w:tcPr>
          <w:p w14:paraId="43318F70" w14:textId="3F581294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0.3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0.05; </w:t>
            </w:r>
            <w:r w:rsidRPr="008044C2">
              <w:rPr>
                <w:rFonts w:eastAsia="Calibri"/>
              </w:rPr>
              <w:t>0.2</w:t>
            </w:r>
            <w:r w:rsidR="00830188">
              <w:rPr>
                <w:rFonts w:eastAsia="Calibri"/>
              </w:rPr>
              <w:t>5</w:t>
            </w:r>
            <w:r w:rsidRPr="008044C2">
              <w:rPr>
                <w:rFonts w:eastAsia="Calibri"/>
              </w:rPr>
              <w:t>-0.</w:t>
            </w:r>
            <w:r w:rsidR="00830188">
              <w:rPr>
                <w:rFonts w:eastAsia="Calibri"/>
              </w:rPr>
              <w:t>29</w:t>
            </w:r>
            <w:r w:rsidRPr="008044C2">
              <w:rPr>
                <w:rFonts w:eastAsia="Calibri"/>
              </w:rPr>
              <w:t xml:space="preserve"> vs 0.3</w:t>
            </w:r>
            <w:r w:rsidR="00830188">
              <w:rPr>
                <w:rFonts w:eastAsia="Calibri"/>
              </w:rPr>
              <w:t>0</w:t>
            </w:r>
            <w:r w:rsidRPr="008044C2">
              <w:rPr>
                <w:rFonts w:eastAsia="Calibri"/>
              </w:rPr>
              <w:t>-0.3</w:t>
            </w:r>
            <w:r w:rsidR="00830188">
              <w:rPr>
                <w:rFonts w:eastAsia="Calibri"/>
              </w:rPr>
              <w:t>4</w:t>
            </w:r>
            <w:r w:rsidRPr="008044C2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(</w:t>
            </w:r>
            <w:r w:rsidRPr="008044C2">
              <w:rPr>
                <w:color w:val="000000"/>
              </w:rPr>
              <w:t>273)</w:t>
            </w:r>
          </w:p>
        </w:tc>
        <w:tc>
          <w:tcPr>
            <w:tcW w:w="1440" w:type="dxa"/>
          </w:tcPr>
          <w:p w14:paraId="5F5895C0" w14:textId="7647EB4F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66FBB179" w14:textId="3B636D0F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0.88 (0.15 - 5.1</w:t>
            </w:r>
            <w:r>
              <w:rPr>
                <w:color w:val="000000"/>
              </w:rPr>
              <w:t>4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1652DC8B" w14:textId="57F60976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0.8</w:t>
            </w:r>
            <w:r>
              <w:rPr>
                <w:color w:val="000000"/>
              </w:rPr>
              <w:t>9</w:t>
            </w:r>
          </w:p>
        </w:tc>
      </w:tr>
      <w:tr w:rsidR="00135CFF" w:rsidRPr="008044C2" w14:paraId="23E1EE1D" w14:textId="77777777" w:rsidTr="00135CFF">
        <w:trPr>
          <w:trHeight w:val="389"/>
        </w:trPr>
        <w:tc>
          <w:tcPr>
            <w:tcW w:w="3955" w:type="dxa"/>
            <w:vMerge/>
          </w:tcPr>
          <w:p w14:paraId="40F067B8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61C7E505" w14:textId="6E5A3763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5FF29B0A" w14:textId="5540AA70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0.32 (0.06 - 1.68)</w:t>
            </w:r>
          </w:p>
        </w:tc>
        <w:tc>
          <w:tcPr>
            <w:tcW w:w="985" w:type="dxa"/>
          </w:tcPr>
          <w:p w14:paraId="297FB8D1" w14:textId="5D6EDE88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0.1</w:t>
            </w:r>
            <w:r>
              <w:rPr>
                <w:color w:val="000000"/>
              </w:rPr>
              <w:t>8</w:t>
            </w:r>
          </w:p>
        </w:tc>
      </w:tr>
      <w:tr w:rsidR="00135CFF" w:rsidRPr="008044C2" w14:paraId="05F3961E" w14:textId="77777777" w:rsidTr="00135CFF">
        <w:trPr>
          <w:trHeight w:val="80"/>
        </w:trPr>
        <w:tc>
          <w:tcPr>
            <w:tcW w:w="3955" w:type="dxa"/>
            <w:vMerge/>
          </w:tcPr>
          <w:p w14:paraId="2BE9FFED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4B0BF15A" w14:textId="5CFCE09B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2436E3C3" w14:textId="67F484B0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0.5</w:t>
            </w:r>
            <w:r>
              <w:rPr>
                <w:color w:val="000000"/>
              </w:rPr>
              <w:t>5</w:t>
            </w:r>
            <w:r w:rsidRPr="008044C2">
              <w:rPr>
                <w:color w:val="000000"/>
              </w:rPr>
              <w:t xml:space="preserve"> (0.1</w:t>
            </w:r>
            <w:r>
              <w:rPr>
                <w:color w:val="000000"/>
              </w:rPr>
              <w:t>5</w:t>
            </w:r>
            <w:r w:rsidRPr="008044C2">
              <w:rPr>
                <w:color w:val="000000"/>
              </w:rPr>
              <w:t xml:space="preserve"> - 2.05)</w:t>
            </w:r>
          </w:p>
        </w:tc>
        <w:tc>
          <w:tcPr>
            <w:tcW w:w="985" w:type="dxa"/>
          </w:tcPr>
          <w:p w14:paraId="68CC700D" w14:textId="7019F12D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0.37</w:t>
            </w:r>
          </w:p>
        </w:tc>
      </w:tr>
      <w:tr w:rsidR="00135CFF" w:rsidRPr="008044C2" w14:paraId="6F71F67C" w14:textId="77777777" w:rsidTr="00135CFF">
        <w:trPr>
          <w:trHeight w:val="80"/>
        </w:trPr>
        <w:tc>
          <w:tcPr>
            <w:tcW w:w="3955" w:type="dxa"/>
            <w:vMerge/>
          </w:tcPr>
          <w:p w14:paraId="35168695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3C35D5AD" w14:textId="6C41920B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785315A0" w14:textId="65C815BE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 (0.16 – 1.81)</w:t>
            </w:r>
          </w:p>
        </w:tc>
        <w:tc>
          <w:tcPr>
            <w:tcW w:w="985" w:type="dxa"/>
          </w:tcPr>
          <w:p w14:paraId="26719BC7" w14:textId="02E132E7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</w:tr>
      <w:tr w:rsidR="00135CFF" w:rsidRPr="008044C2" w14:paraId="176C9674" w14:textId="77777777" w:rsidTr="00135CFF">
        <w:trPr>
          <w:trHeight w:val="389"/>
        </w:trPr>
        <w:tc>
          <w:tcPr>
            <w:tcW w:w="3955" w:type="dxa"/>
            <w:vMerge w:val="restart"/>
          </w:tcPr>
          <w:p w14:paraId="07181A66" w14:textId="65455EB4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0.3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0.1; </w:t>
            </w:r>
            <w:r w:rsidRPr="008044C2">
              <w:rPr>
                <w:rFonts w:eastAsia="Calibri"/>
              </w:rPr>
              <w:t>0.2</w:t>
            </w:r>
            <w:r w:rsidR="00830188">
              <w:rPr>
                <w:rFonts w:eastAsia="Calibri"/>
              </w:rPr>
              <w:t>0</w:t>
            </w:r>
            <w:r w:rsidRPr="008044C2">
              <w:rPr>
                <w:rFonts w:eastAsia="Calibri"/>
              </w:rPr>
              <w:t>-0.</w:t>
            </w:r>
            <w:r w:rsidR="00830188">
              <w:rPr>
                <w:rFonts w:eastAsia="Calibri"/>
              </w:rPr>
              <w:t>29</w:t>
            </w:r>
            <w:r w:rsidRPr="008044C2">
              <w:rPr>
                <w:rFonts w:eastAsia="Calibri"/>
              </w:rPr>
              <w:t xml:space="preserve"> vs 0.3</w:t>
            </w:r>
            <w:r w:rsidR="00830188">
              <w:rPr>
                <w:rFonts w:eastAsia="Calibri"/>
              </w:rPr>
              <w:t>0</w:t>
            </w:r>
            <w:r w:rsidRPr="008044C2">
              <w:rPr>
                <w:rFonts w:eastAsia="Calibri"/>
              </w:rPr>
              <w:t>-0.</w:t>
            </w:r>
            <w:r w:rsidR="00830188">
              <w:rPr>
                <w:rFonts w:eastAsia="Calibri"/>
              </w:rPr>
              <w:t>39</w:t>
            </w:r>
            <w:r w:rsidRPr="008044C2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(599)</w:t>
            </w:r>
          </w:p>
        </w:tc>
        <w:tc>
          <w:tcPr>
            <w:tcW w:w="1440" w:type="dxa"/>
          </w:tcPr>
          <w:p w14:paraId="42B96384" w14:textId="684C94F4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64E173A6" w14:textId="472F0C40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0.90 (0.28 - 2.8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6D0FEFBA" w14:textId="6FCCCF0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0.8</w:t>
            </w:r>
            <w:r>
              <w:rPr>
                <w:color w:val="000000"/>
              </w:rPr>
              <w:t>6</w:t>
            </w:r>
          </w:p>
        </w:tc>
      </w:tr>
      <w:tr w:rsidR="00135CFF" w:rsidRPr="008044C2" w14:paraId="0F3F72B9" w14:textId="77777777" w:rsidTr="00135CFF">
        <w:trPr>
          <w:trHeight w:val="389"/>
        </w:trPr>
        <w:tc>
          <w:tcPr>
            <w:tcW w:w="3955" w:type="dxa"/>
            <w:vMerge/>
          </w:tcPr>
          <w:p w14:paraId="487CEB0B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7B51E61A" w14:textId="2C49C9D0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49F157C8" w14:textId="6E7E55D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0.45 (0.1</w:t>
            </w:r>
            <w:r>
              <w:rPr>
                <w:color w:val="000000"/>
              </w:rPr>
              <w:t>4</w:t>
            </w:r>
            <w:r w:rsidRPr="008044C2">
              <w:rPr>
                <w:color w:val="000000"/>
              </w:rPr>
              <w:t xml:space="preserve"> - 1.47)</w:t>
            </w:r>
          </w:p>
        </w:tc>
        <w:tc>
          <w:tcPr>
            <w:tcW w:w="985" w:type="dxa"/>
          </w:tcPr>
          <w:p w14:paraId="54B06C81" w14:textId="3334BFA3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0.1</w:t>
            </w:r>
            <w:r>
              <w:rPr>
                <w:color w:val="000000"/>
              </w:rPr>
              <w:t>9</w:t>
            </w:r>
          </w:p>
        </w:tc>
      </w:tr>
      <w:tr w:rsidR="00135CFF" w:rsidRPr="008044C2" w14:paraId="0598CFE2" w14:textId="77777777" w:rsidTr="00135CFF">
        <w:trPr>
          <w:trHeight w:val="389"/>
        </w:trPr>
        <w:tc>
          <w:tcPr>
            <w:tcW w:w="3955" w:type="dxa"/>
            <w:vMerge/>
          </w:tcPr>
          <w:p w14:paraId="0A83E4CA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00ECC42C" w14:textId="36B09FAC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20570CA2" w14:textId="5ED8C1EA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0.51 (0.2</w:t>
            </w:r>
            <w:r>
              <w:rPr>
                <w:color w:val="000000"/>
              </w:rPr>
              <w:t>2</w:t>
            </w:r>
            <w:r w:rsidRPr="008044C2">
              <w:rPr>
                <w:color w:val="000000"/>
              </w:rPr>
              <w:t xml:space="preserve"> - 1.1</w:t>
            </w:r>
            <w:r>
              <w:rPr>
                <w:color w:val="000000"/>
              </w:rPr>
              <w:t>9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0F3BD64C" w14:textId="1B37691E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0.1</w:t>
            </w:r>
            <w:r>
              <w:rPr>
                <w:color w:val="000000"/>
              </w:rPr>
              <w:t>2</w:t>
            </w:r>
          </w:p>
        </w:tc>
      </w:tr>
      <w:tr w:rsidR="00135CFF" w:rsidRPr="008044C2" w14:paraId="4FE7664C" w14:textId="77777777" w:rsidTr="00135CFF">
        <w:trPr>
          <w:trHeight w:val="389"/>
        </w:trPr>
        <w:tc>
          <w:tcPr>
            <w:tcW w:w="3955" w:type="dxa"/>
            <w:vMerge/>
          </w:tcPr>
          <w:p w14:paraId="0C18AF95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A14A16D" w14:textId="30EA58E9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7481A934" w14:textId="45FC1DCC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 (0.26 - 1.23)</w:t>
            </w:r>
          </w:p>
        </w:tc>
        <w:tc>
          <w:tcPr>
            <w:tcW w:w="985" w:type="dxa"/>
          </w:tcPr>
          <w:p w14:paraId="2D451FF3" w14:textId="320CB6E6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</w:t>
            </w:r>
          </w:p>
        </w:tc>
      </w:tr>
      <w:tr w:rsidR="00135CFF" w:rsidRPr="008044C2" w14:paraId="4CFF0D4D" w14:textId="77777777" w:rsidTr="00135CFF">
        <w:trPr>
          <w:trHeight w:val="389"/>
        </w:trPr>
        <w:tc>
          <w:tcPr>
            <w:tcW w:w="3955" w:type="dxa"/>
            <w:vMerge w:val="restart"/>
          </w:tcPr>
          <w:p w14:paraId="5463036E" w14:textId="2B194803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0.5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0.03; </w:t>
            </w:r>
            <w:r w:rsidRPr="008044C2">
              <w:rPr>
                <w:rFonts w:eastAsia="Calibri"/>
              </w:rPr>
              <w:t>0.48-0.50 vs 0.51-0.53;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(70)</w:t>
            </w:r>
          </w:p>
        </w:tc>
        <w:tc>
          <w:tcPr>
            <w:tcW w:w="1440" w:type="dxa"/>
          </w:tcPr>
          <w:p w14:paraId="7587648E" w14:textId="4D44D5E2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7A937984" w14:textId="22665520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2.3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>E+07 (&lt;0.001 - &gt;1.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>E+308)</w:t>
            </w:r>
          </w:p>
        </w:tc>
        <w:tc>
          <w:tcPr>
            <w:tcW w:w="985" w:type="dxa"/>
          </w:tcPr>
          <w:p w14:paraId="642DD2DB" w14:textId="74253631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0.99</w:t>
            </w:r>
          </w:p>
        </w:tc>
      </w:tr>
      <w:tr w:rsidR="00135CFF" w:rsidRPr="008044C2" w14:paraId="25196302" w14:textId="77777777" w:rsidTr="00135CFF">
        <w:trPr>
          <w:trHeight w:val="389"/>
        </w:trPr>
        <w:tc>
          <w:tcPr>
            <w:tcW w:w="3955" w:type="dxa"/>
            <w:vMerge/>
          </w:tcPr>
          <w:p w14:paraId="4A5D6B97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7CF5507A" w14:textId="4FAB7DBA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74E29678" w14:textId="4E28BDF7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5.09E+07 (&lt;0.001 - &gt;1.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>E+308)</w:t>
            </w:r>
          </w:p>
        </w:tc>
        <w:tc>
          <w:tcPr>
            <w:tcW w:w="985" w:type="dxa"/>
          </w:tcPr>
          <w:p w14:paraId="7FA98327" w14:textId="6F26F182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0.99</w:t>
            </w:r>
          </w:p>
        </w:tc>
      </w:tr>
      <w:tr w:rsidR="00135CFF" w:rsidRPr="008044C2" w14:paraId="175C17F6" w14:textId="77777777" w:rsidTr="00135CFF">
        <w:trPr>
          <w:trHeight w:val="80"/>
        </w:trPr>
        <w:tc>
          <w:tcPr>
            <w:tcW w:w="3955" w:type="dxa"/>
            <w:vMerge/>
          </w:tcPr>
          <w:p w14:paraId="51064B7D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798AE9FA" w14:textId="6E747D06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1FEAFE8F" w14:textId="4D126A3F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5.8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 xml:space="preserve"> (0.19 -179.5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4D7EDFCA" w14:textId="7BFD4F17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0.31</w:t>
            </w:r>
          </w:p>
        </w:tc>
      </w:tr>
      <w:tr w:rsidR="00135CFF" w:rsidRPr="008044C2" w14:paraId="21805674" w14:textId="77777777" w:rsidTr="00135CFF">
        <w:trPr>
          <w:trHeight w:val="80"/>
        </w:trPr>
        <w:tc>
          <w:tcPr>
            <w:tcW w:w="3955" w:type="dxa"/>
            <w:vMerge/>
          </w:tcPr>
          <w:p w14:paraId="61A204A5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1F9926CE" w14:textId="05ED4040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51725FC9" w14:textId="094920A2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8.82 (0.33 -233.86)</w:t>
            </w:r>
          </w:p>
        </w:tc>
        <w:tc>
          <w:tcPr>
            <w:tcW w:w="985" w:type="dxa"/>
          </w:tcPr>
          <w:p w14:paraId="2BD18FA4" w14:textId="6F38C720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0.19</w:t>
            </w:r>
          </w:p>
        </w:tc>
      </w:tr>
      <w:tr w:rsidR="00135CFF" w:rsidRPr="008044C2" w14:paraId="714BC594" w14:textId="77777777" w:rsidTr="00135CFF">
        <w:tc>
          <w:tcPr>
            <w:tcW w:w="3955" w:type="dxa"/>
            <w:vMerge w:val="restart"/>
          </w:tcPr>
          <w:p w14:paraId="23CDB198" w14:textId="1EF01B6C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0.5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0.05; </w:t>
            </w:r>
            <w:r w:rsidRPr="008044C2">
              <w:rPr>
                <w:rFonts w:eastAsia="Calibri"/>
              </w:rPr>
              <w:t>0.46-0.50 vs 0.51-0.55;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(126)</w:t>
            </w:r>
          </w:p>
        </w:tc>
        <w:tc>
          <w:tcPr>
            <w:tcW w:w="1440" w:type="dxa"/>
          </w:tcPr>
          <w:p w14:paraId="2522DABA" w14:textId="248CEC85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038923C1" w14:textId="32A39173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3.7</w:t>
            </w:r>
            <w:r>
              <w:rPr>
                <w:color w:val="000000"/>
              </w:rPr>
              <w:t>3</w:t>
            </w:r>
            <w:r w:rsidRPr="008044C2">
              <w:rPr>
                <w:color w:val="000000"/>
              </w:rPr>
              <w:t>E+07 (&lt;0.001 - &gt;1.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>E+308)</w:t>
            </w:r>
          </w:p>
        </w:tc>
        <w:tc>
          <w:tcPr>
            <w:tcW w:w="985" w:type="dxa"/>
          </w:tcPr>
          <w:p w14:paraId="0D3CD1DD" w14:textId="70B5B8D3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0.99</w:t>
            </w:r>
          </w:p>
        </w:tc>
      </w:tr>
      <w:tr w:rsidR="00135CFF" w:rsidRPr="008044C2" w14:paraId="3A49C13A" w14:textId="77777777" w:rsidTr="00135CFF">
        <w:tc>
          <w:tcPr>
            <w:tcW w:w="3955" w:type="dxa"/>
            <w:vMerge/>
          </w:tcPr>
          <w:p w14:paraId="4F34F881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3E2E59F6" w14:textId="245346CB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31F0CE5E" w14:textId="4D31531D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4.9</w:t>
            </w:r>
            <w:r>
              <w:rPr>
                <w:color w:val="000000"/>
              </w:rPr>
              <w:t>1</w:t>
            </w:r>
            <w:r w:rsidRPr="008044C2">
              <w:rPr>
                <w:color w:val="000000"/>
              </w:rPr>
              <w:t>E+07 (&lt;0.001 - &gt;1.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>E+308)</w:t>
            </w:r>
          </w:p>
        </w:tc>
        <w:tc>
          <w:tcPr>
            <w:tcW w:w="985" w:type="dxa"/>
          </w:tcPr>
          <w:p w14:paraId="4B59421A" w14:textId="169971B7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0.99</w:t>
            </w:r>
          </w:p>
        </w:tc>
      </w:tr>
      <w:tr w:rsidR="00135CFF" w:rsidRPr="008044C2" w14:paraId="7106CFB6" w14:textId="77777777" w:rsidTr="00135CFF">
        <w:tc>
          <w:tcPr>
            <w:tcW w:w="3955" w:type="dxa"/>
            <w:vMerge/>
          </w:tcPr>
          <w:p w14:paraId="6AA3CDAB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91600C0" w14:textId="1B32CC54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7D237ED3" w14:textId="5421E7C1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3.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 xml:space="preserve"> (0.29 - 43.20)</w:t>
            </w:r>
          </w:p>
        </w:tc>
        <w:tc>
          <w:tcPr>
            <w:tcW w:w="985" w:type="dxa"/>
          </w:tcPr>
          <w:p w14:paraId="229609E8" w14:textId="45929851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0.3</w:t>
            </w:r>
            <w:r>
              <w:rPr>
                <w:color w:val="000000"/>
              </w:rPr>
              <w:t>2</w:t>
            </w:r>
          </w:p>
        </w:tc>
      </w:tr>
      <w:tr w:rsidR="00135CFF" w:rsidRPr="008044C2" w14:paraId="6D0105E5" w14:textId="77777777" w:rsidTr="00135CFF">
        <w:tc>
          <w:tcPr>
            <w:tcW w:w="3955" w:type="dxa"/>
            <w:vMerge/>
          </w:tcPr>
          <w:p w14:paraId="3E9D0982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9828E3B" w14:textId="06D577FA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10972449" w14:textId="2829FC1E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5.07 (0.49 - 52.08)</w:t>
            </w:r>
          </w:p>
        </w:tc>
        <w:tc>
          <w:tcPr>
            <w:tcW w:w="985" w:type="dxa"/>
          </w:tcPr>
          <w:p w14:paraId="1157B680" w14:textId="7860A3F5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0.17</w:t>
            </w:r>
          </w:p>
        </w:tc>
      </w:tr>
      <w:tr w:rsidR="00135CFF" w:rsidRPr="008044C2" w14:paraId="799A879B" w14:textId="77777777" w:rsidTr="00135CFF">
        <w:tc>
          <w:tcPr>
            <w:tcW w:w="3955" w:type="dxa"/>
            <w:vMerge w:val="restart"/>
          </w:tcPr>
          <w:p w14:paraId="116F9C24" w14:textId="75695976" w:rsidR="00135CFF" w:rsidRPr="008044C2" w:rsidRDefault="00135CFF" w:rsidP="00135CFF">
            <w:pPr>
              <w:rPr>
                <w:rFonts w:eastAsia="Calibri"/>
              </w:rPr>
            </w:pPr>
            <w:r w:rsidRPr="008044C2">
              <w:rPr>
                <w:color w:val="000000"/>
              </w:rPr>
              <w:t xml:space="preserve">0.5 </w:t>
            </w:r>
            <w:r w:rsidRPr="008044C2">
              <w:rPr>
                <w:rFonts w:eastAsia="Calibri"/>
                <w:b/>
              </w:rPr>
              <w:t xml:space="preserve">± </w:t>
            </w:r>
            <w:r w:rsidRPr="008044C2">
              <w:rPr>
                <w:color w:val="000000"/>
              </w:rPr>
              <w:t xml:space="preserve">0.1; </w:t>
            </w:r>
            <w:r w:rsidRPr="008044C2">
              <w:rPr>
                <w:rFonts w:eastAsia="Calibri"/>
              </w:rPr>
              <w:t>0.41-0.50 vs 0.51-0.60;</w:t>
            </w:r>
            <w:r>
              <w:rPr>
                <w:rFonts w:eastAsia="Calibri"/>
              </w:rPr>
              <w:t xml:space="preserve"> </w:t>
            </w:r>
            <w:r w:rsidRPr="008044C2">
              <w:rPr>
                <w:color w:val="000000"/>
              </w:rPr>
              <w:t>(275)</w:t>
            </w:r>
          </w:p>
        </w:tc>
        <w:tc>
          <w:tcPr>
            <w:tcW w:w="1440" w:type="dxa"/>
          </w:tcPr>
          <w:p w14:paraId="01C5D5A4" w14:textId="01F28320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rFonts w:eastAsia="Calibri"/>
              </w:rPr>
              <w:t>ICU</w:t>
            </w:r>
          </w:p>
        </w:tc>
        <w:tc>
          <w:tcPr>
            <w:tcW w:w="2970" w:type="dxa"/>
          </w:tcPr>
          <w:p w14:paraId="59035650" w14:textId="10C0BCA9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11.</w:t>
            </w:r>
            <w:r>
              <w:rPr>
                <w:color w:val="000000"/>
              </w:rPr>
              <w:t>6</w:t>
            </w:r>
            <w:r w:rsidRPr="008044C2">
              <w:rPr>
                <w:color w:val="000000"/>
              </w:rPr>
              <w:t xml:space="preserve"> (0.92 -144.81)</w:t>
            </w:r>
          </w:p>
        </w:tc>
        <w:tc>
          <w:tcPr>
            <w:tcW w:w="985" w:type="dxa"/>
          </w:tcPr>
          <w:p w14:paraId="5EE10570" w14:textId="3BC4853A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0.0</w:t>
            </w:r>
            <w:r>
              <w:rPr>
                <w:color w:val="000000"/>
              </w:rPr>
              <w:t>6</w:t>
            </w:r>
          </w:p>
        </w:tc>
      </w:tr>
      <w:tr w:rsidR="00135CFF" w:rsidRPr="008044C2" w14:paraId="7CADB8BD" w14:textId="77777777" w:rsidTr="00135CFF">
        <w:tc>
          <w:tcPr>
            <w:tcW w:w="3955" w:type="dxa"/>
            <w:vMerge/>
          </w:tcPr>
          <w:p w14:paraId="7C98B850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09E3D891" w14:textId="56B3A8A6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Stepdown </w:t>
            </w:r>
          </w:p>
        </w:tc>
        <w:tc>
          <w:tcPr>
            <w:tcW w:w="2970" w:type="dxa"/>
          </w:tcPr>
          <w:p w14:paraId="53DE14D6" w14:textId="16A014C2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5.5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 xml:space="preserve"> (0.65 - 47.50)</w:t>
            </w:r>
          </w:p>
        </w:tc>
        <w:tc>
          <w:tcPr>
            <w:tcW w:w="985" w:type="dxa"/>
          </w:tcPr>
          <w:p w14:paraId="34034653" w14:textId="3C38D934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0.1</w:t>
            </w:r>
            <w:r>
              <w:rPr>
                <w:color w:val="000000"/>
              </w:rPr>
              <w:t>2</w:t>
            </w:r>
          </w:p>
        </w:tc>
      </w:tr>
      <w:tr w:rsidR="00135CFF" w:rsidRPr="008044C2" w14:paraId="0F2FF875" w14:textId="77777777" w:rsidTr="00135CFF">
        <w:tc>
          <w:tcPr>
            <w:tcW w:w="3955" w:type="dxa"/>
            <w:vMerge/>
          </w:tcPr>
          <w:p w14:paraId="3DF07038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4C0DE198" w14:textId="1E6023CA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 xml:space="preserve">Floor </w:t>
            </w:r>
          </w:p>
        </w:tc>
        <w:tc>
          <w:tcPr>
            <w:tcW w:w="2970" w:type="dxa"/>
          </w:tcPr>
          <w:p w14:paraId="3814D5E9" w14:textId="55F074C3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2.80 (0.56 - 13.9</w:t>
            </w:r>
            <w:r>
              <w:rPr>
                <w:color w:val="000000"/>
              </w:rPr>
              <w:t>8</w:t>
            </w:r>
            <w:r w:rsidRPr="008044C2">
              <w:rPr>
                <w:color w:val="000000"/>
              </w:rPr>
              <w:t>)</w:t>
            </w:r>
          </w:p>
        </w:tc>
        <w:tc>
          <w:tcPr>
            <w:tcW w:w="985" w:type="dxa"/>
          </w:tcPr>
          <w:p w14:paraId="1778C526" w14:textId="2C300E6A" w:rsidR="00135CFF" w:rsidRPr="008044C2" w:rsidRDefault="00135CFF" w:rsidP="00135CFF">
            <w:pPr>
              <w:rPr>
                <w:color w:val="000000"/>
              </w:rPr>
            </w:pPr>
            <w:r w:rsidRPr="008044C2">
              <w:rPr>
                <w:color w:val="000000"/>
              </w:rPr>
              <w:t>0.2</w:t>
            </w:r>
            <w:r>
              <w:rPr>
                <w:color w:val="000000"/>
              </w:rPr>
              <w:t>1</w:t>
            </w:r>
          </w:p>
        </w:tc>
      </w:tr>
      <w:tr w:rsidR="00135CFF" w:rsidRPr="008044C2" w14:paraId="0AA6AFCE" w14:textId="77777777" w:rsidTr="00135CFF">
        <w:tc>
          <w:tcPr>
            <w:tcW w:w="3955" w:type="dxa"/>
            <w:vMerge/>
          </w:tcPr>
          <w:p w14:paraId="540B7D56" w14:textId="77777777" w:rsidR="00135CFF" w:rsidRPr="008044C2" w:rsidRDefault="00135CFF" w:rsidP="00135CFF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57D42B2D" w14:textId="6949C3A3" w:rsidR="00135CFF" w:rsidRPr="008044C2" w:rsidRDefault="00135CFF" w:rsidP="00135CFF">
            <w:pPr>
              <w:rPr>
                <w:color w:val="000000"/>
              </w:rPr>
            </w:pPr>
            <w:r>
              <w:rPr>
                <w:color w:val="000000"/>
              </w:rPr>
              <w:t>All LOC</w:t>
            </w:r>
          </w:p>
        </w:tc>
        <w:tc>
          <w:tcPr>
            <w:tcW w:w="2970" w:type="dxa"/>
          </w:tcPr>
          <w:p w14:paraId="01893C83" w14:textId="656EF9BD" w:rsidR="00135CFF" w:rsidRPr="00244C49" w:rsidRDefault="00135CFF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3.57 (0.80 - 16.04)</w:t>
            </w:r>
          </w:p>
        </w:tc>
        <w:tc>
          <w:tcPr>
            <w:tcW w:w="985" w:type="dxa"/>
          </w:tcPr>
          <w:p w14:paraId="08E314EE" w14:textId="0B548114" w:rsidR="00135CFF" w:rsidRPr="000777DA" w:rsidRDefault="000777DA" w:rsidP="00135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</w:tr>
    </w:tbl>
    <w:p w14:paraId="0D43FD8A" w14:textId="77777777" w:rsidR="00296758" w:rsidRPr="008044C2" w:rsidRDefault="00296758" w:rsidP="00296758">
      <w:pPr>
        <w:rPr>
          <w:rFonts w:eastAsia="Calibri"/>
        </w:rPr>
      </w:pPr>
    </w:p>
    <w:p w14:paraId="09D25E96" w14:textId="77777777" w:rsidR="0082340E" w:rsidRDefault="0082340E" w:rsidP="00296758">
      <w:pPr>
        <w:rPr>
          <w:rFonts w:eastAsia="Calibri"/>
        </w:rPr>
      </w:pPr>
    </w:p>
    <w:p w14:paraId="568F8A65" w14:textId="77777777" w:rsidR="0082340E" w:rsidRDefault="0082340E" w:rsidP="00296758">
      <w:pPr>
        <w:rPr>
          <w:rFonts w:eastAsia="Calibri"/>
        </w:rPr>
      </w:pPr>
    </w:p>
    <w:p w14:paraId="0329237C" w14:textId="77777777" w:rsidR="0082340E" w:rsidRDefault="0082340E" w:rsidP="00296758">
      <w:pPr>
        <w:rPr>
          <w:rFonts w:eastAsia="Calibri"/>
        </w:rPr>
      </w:pPr>
    </w:p>
    <w:p w14:paraId="11996620" w14:textId="77777777" w:rsidR="0082340E" w:rsidRDefault="0082340E" w:rsidP="00296758">
      <w:pPr>
        <w:rPr>
          <w:rFonts w:eastAsia="Calibri"/>
        </w:rPr>
      </w:pPr>
    </w:p>
    <w:p w14:paraId="34753696" w14:textId="77777777" w:rsidR="0082340E" w:rsidRDefault="0082340E" w:rsidP="00296758">
      <w:pPr>
        <w:rPr>
          <w:rFonts w:eastAsia="Calibri"/>
        </w:rPr>
      </w:pPr>
    </w:p>
    <w:p w14:paraId="349DA2F8" w14:textId="77777777" w:rsidR="0082340E" w:rsidRDefault="0082340E" w:rsidP="00296758">
      <w:pPr>
        <w:rPr>
          <w:rFonts w:eastAsia="Calibri"/>
        </w:rPr>
      </w:pPr>
    </w:p>
    <w:p w14:paraId="78739CC0" w14:textId="77777777" w:rsidR="0082340E" w:rsidRDefault="0082340E" w:rsidP="00296758">
      <w:pPr>
        <w:rPr>
          <w:rFonts w:eastAsia="Calibri"/>
        </w:rPr>
      </w:pPr>
    </w:p>
    <w:p w14:paraId="7C120074" w14:textId="77777777" w:rsidR="0082340E" w:rsidRDefault="0082340E" w:rsidP="00296758">
      <w:pPr>
        <w:rPr>
          <w:rFonts w:eastAsia="Calibri"/>
        </w:rPr>
      </w:pPr>
    </w:p>
    <w:p w14:paraId="2DD424A4" w14:textId="77777777" w:rsidR="0082340E" w:rsidRDefault="0082340E" w:rsidP="00296758">
      <w:pPr>
        <w:rPr>
          <w:rFonts w:eastAsia="Calibri"/>
        </w:rPr>
      </w:pPr>
    </w:p>
    <w:p w14:paraId="7CBCCF64" w14:textId="77777777" w:rsidR="0082340E" w:rsidRDefault="0082340E" w:rsidP="00296758">
      <w:pPr>
        <w:rPr>
          <w:rFonts w:eastAsia="Calibri"/>
        </w:rPr>
      </w:pPr>
    </w:p>
    <w:p w14:paraId="630A1776" w14:textId="77777777" w:rsidR="0082340E" w:rsidRDefault="0082340E" w:rsidP="00296758">
      <w:pPr>
        <w:rPr>
          <w:rFonts w:eastAsia="Calibri"/>
        </w:rPr>
      </w:pPr>
    </w:p>
    <w:p w14:paraId="613BB00A" w14:textId="77777777" w:rsidR="0082340E" w:rsidRDefault="0082340E" w:rsidP="00296758">
      <w:pPr>
        <w:rPr>
          <w:rFonts w:eastAsia="Calibri"/>
        </w:rPr>
      </w:pPr>
    </w:p>
    <w:p w14:paraId="4A38AE8B" w14:textId="77777777" w:rsidR="0082340E" w:rsidRDefault="0082340E" w:rsidP="00296758">
      <w:pPr>
        <w:rPr>
          <w:rFonts w:eastAsia="Calibri"/>
        </w:rPr>
      </w:pPr>
    </w:p>
    <w:p w14:paraId="64E1A2C7" w14:textId="77777777" w:rsidR="0082340E" w:rsidRDefault="0082340E" w:rsidP="00296758">
      <w:pPr>
        <w:rPr>
          <w:rFonts w:eastAsia="Calibri"/>
        </w:rPr>
      </w:pPr>
    </w:p>
    <w:p w14:paraId="7999F877" w14:textId="77777777" w:rsidR="0082340E" w:rsidRDefault="0082340E" w:rsidP="00296758">
      <w:pPr>
        <w:rPr>
          <w:rFonts w:eastAsia="Calibri"/>
        </w:rPr>
      </w:pPr>
    </w:p>
    <w:p w14:paraId="0677A512" w14:textId="43E89AE8" w:rsidR="00A95352" w:rsidRDefault="00A95352" w:rsidP="00296758">
      <w:pPr>
        <w:rPr>
          <w:rFonts w:eastAsia="Calibri"/>
        </w:rPr>
      </w:pPr>
    </w:p>
    <w:p w14:paraId="4D8B8A6D" w14:textId="7D4A50C2" w:rsidR="000777DA" w:rsidRDefault="000777DA" w:rsidP="00296758">
      <w:pPr>
        <w:rPr>
          <w:rFonts w:eastAsia="Calibri"/>
        </w:rPr>
      </w:pPr>
    </w:p>
    <w:p w14:paraId="27092886" w14:textId="256474DF" w:rsidR="000777DA" w:rsidRDefault="000777DA" w:rsidP="00296758">
      <w:pPr>
        <w:rPr>
          <w:rFonts w:eastAsia="Calibri"/>
        </w:rPr>
      </w:pPr>
    </w:p>
    <w:p w14:paraId="19E460D6" w14:textId="6963B2B4" w:rsidR="000777DA" w:rsidRDefault="000777DA" w:rsidP="00296758">
      <w:pPr>
        <w:rPr>
          <w:rFonts w:eastAsia="Calibri"/>
        </w:rPr>
      </w:pPr>
    </w:p>
    <w:p w14:paraId="30CB8FBD" w14:textId="0C56122A" w:rsidR="000777DA" w:rsidRDefault="000777DA" w:rsidP="00296758">
      <w:pPr>
        <w:rPr>
          <w:rFonts w:eastAsia="Calibri"/>
        </w:rPr>
      </w:pPr>
    </w:p>
    <w:p w14:paraId="5D039A31" w14:textId="6E3F27D5" w:rsidR="000777DA" w:rsidRDefault="000777DA" w:rsidP="00296758">
      <w:pPr>
        <w:rPr>
          <w:rFonts w:eastAsia="Calibri"/>
        </w:rPr>
      </w:pPr>
    </w:p>
    <w:p w14:paraId="07E81503" w14:textId="6D7AC6AA" w:rsidR="000777DA" w:rsidRDefault="000777DA" w:rsidP="00296758">
      <w:pPr>
        <w:rPr>
          <w:rFonts w:eastAsia="Calibri"/>
        </w:rPr>
      </w:pPr>
    </w:p>
    <w:p w14:paraId="1A2458E7" w14:textId="7F73542E" w:rsidR="000777DA" w:rsidRDefault="000777DA" w:rsidP="00296758">
      <w:pPr>
        <w:rPr>
          <w:rFonts w:eastAsia="Calibri"/>
        </w:rPr>
      </w:pPr>
    </w:p>
    <w:p w14:paraId="067166BF" w14:textId="477F4E94" w:rsidR="000777DA" w:rsidRDefault="000777DA" w:rsidP="00296758">
      <w:pPr>
        <w:rPr>
          <w:rFonts w:eastAsia="Calibri"/>
        </w:rPr>
      </w:pPr>
    </w:p>
    <w:p w14:paraId="79F66F82" w14:textId="7E20D611" w:rsidR="000777DA" w:rsidRDefault="000777DA" w:rsidP="00296758">
      <w:pPr>
        <w:rPr>
          <w:rFonts w:eastAsia="Calibri"/>
        </w:rPr>
      </w:pPr>
    </w:p>
    <w:p w14:paraId="4CC15684" w14:textId="3020E809" w:rsidR="000777DA" w:rsidRDefault="000777DA" w:rsidP="00296758">
      <w:pPr>
        <w:rPr>
          <w:rFonts w:eastAsia="Calibri"/>
        </w:rPr>
      </w:pPr>
    </w:p>
    <w:p w14:paraId="79727230" w14:textId="3693A23C" w:rsidR="000777DA" w:rsidRDefault="000777DA" w:rsidP="00296758">
      <w:pPr>
        <w:rPr>
          <w:rFonts w:eastAsia="Calibri"/>
        </w:rPr>
      </w:pPr>
    </w:p>
    <w:p w14:paraId="58C3A8F1" w14:textId="65351AE3" w:rsidR="000777DA" w:rsidRDefault="000777DA" w:rsidP="00296758">
      <w:pPr>
        <w:rPr>
          <w:rFonts w:eastAsia="Calibri"/>
        </w:rPr>
      </w:pPr>
    </w:p>
    <w:p w14:paraId="4155618A" w14:textId="038BB444" w:rsidR="000777DA" w:rsidRDefault="000777DA" w:rsidP="00296758">
      <w:pPr>
        <w:rPr>
          <w:rFonts w:eastAsia="Calibri"/>
        </w:rPr>
      </w:pPr>
    </w:p>
    <w:p w14:paraId="218F52F9" w14:textId="126ECBC3" w:rsidR="000777DA" w:rsidRDefault="000777DA" w:rsidP="00296758">
      <w:pPr>
        <w:rPr>
          <w:rFonts w:eastAsia="Calibri"/>
        </w:rPr>
      </w:pPr>
    </w:p>
    <w:p w14:paraId="3F8BBF3F" w14:textId="6F34B1B2" w:rsidR="000777DA" w:rsidRDefault="000777DA" w:rsidP="00296758">
      <w:pPr>
        <w:rPr>
          <w:rFonts w:eastAsia="Calibri"/>
        </w:rPr>
      </w:pPr>
    </w:p>
    <w:p w14:paraId="5391E363" w14:textId="77777777" w:rsidR="000777DA" w:rsidRDefault="000777DA" w:rsidP="00296758">
      <w:pPr>
        <w:rPr>
          <w:rFonts w:eastAsia="Calibri"/>
        </w:rPr>
      </w:pPr>
    </w:p>
    <w:p w14:paraId="2E1EFBDF" w14:textId="77777777" w:rsidR="00A95352" w:rsidRDefault="00A95352" w:rsidP="00296758">
      <w:pPr>
        <w:rPr>
          <w:rFonts w:eastAsia="Calibri"/>
        </w:rPr>
      </w:pPr>
    </w:p>
    <w:p w14:paraId="04625939" w14:textId="051741A3" w:rsidR="00296758" w:rsidRDefault="00296758" w:rsidP="00296758">
      <w:pPr>
        <w:rPr>
          <w:rFonts w:eastAsia="Calibri"/>
        </w:rPr>
      </w:pPr>
      <w:r w:rsidRPr="008044C2">
        <w:rPr>
          <w:rFonts w:eastAsia="Calibri"/>
        </w:rPr>
        <w:lastRenderedPageBreak/>
        <w:t>Supplement Figure</w:t>
      </w:r>
      <w:r w:rsidR="00577024" w:rsidRPr="008044C2">
        <w:rPr>
          <w:rFonts w:eastAsia="Calibri"/>
        </w:rPr>
        <w:t xml:space="preserve"> 1</w:t>
      </w:r>
      <w:r w:rsidR="00A95352">
        <w:rPr>
          <w:rFonts w:eastAsia="Calibri"/>
        </w:rPr>
        <w:t>a</w:t>
      </w:r>
      <w:r w:rsidRPr="008044C2">
        <w:rPr>
          <w:rFonts w:eastAsia="Calibri"/>
        </w:rPr>
        <w:t xml:space="preserve">: </w:t>
      </w:r>
      <w:r w:rsidR="003E7A33" w:rsidRPr="008044C2">
        <w:rPr>
          <w:rFonts w:eastAsia="Calibri"/>
        </w:rPr>
        <w:t xml:space="preserve">University of Colorado Hospital </w:t>
      </w:r>
      <w:r w:rsidR="00A95352">
        <w:rPr>
          <w:rFonts w:eastAsia="Calibri"/>
        </w:rPr>
        <w:t>antimicrobial stewardship p</w:t>
      </w:r>
      <w:r w:rsidR="00E8255D" w:rsidRPr="008044C2">
        <w:rPr>
          <w:rFonts w:eastAsia="Calibri"/>
        </w:rPr>
        <w:t xml:space="preserve">rocalcitonin </w:t>
      </w:r>
      <w:r w:rsidR="00A95352">
        <w:rPr>
          <w:rFonts w:eastAsia="Calibri"/>
        </w:rPr>
        <w:t>a</w:t>
      </w:r>
      <w:r w:rsidR="00E8255D" w:rsidRPr="008044C2">
        <w:rPr>
          <w:rFonts w:eastAsia="Calibri"/>
        </w:rPr>
        <w:t>lgorithm</w:t>
      </w:r>
    </w:p>
    <w:p w14:paraId="683DBD2A" w14:textId="77777777" w:rsidR="000777DA" w:rsidRPr="008044C2" w:rsidRDefault="000777DA" w:rsidP="00296758">
      <w:pPr>
        <w:rPr>
          <w:rFonts w:eastAsia="Calibri"/>
        </w:rPr>
      </w:pPr>
    </w:p>
    <w:p w14:paraId="2C93FAE2" w14:textId="0760211A" w:rsidR="003E7A33" w:rsidRPr="008044C2" w:rsidRDefault="00E8255D" w:rsidP="003E7A33">
      <w:r w:rsidRPr="008044C2">
        <w:rPr>
          <w:noProof/>
          <w14:ligatures w14:val="standardContextual"/>
        </w:rPr>
        <w:drawing>
          <wp:inline distT="0" distB="0" distL="0" distR="0" wp14:anchorId="0F9C0DD0" wp14:editId="01C51F0B">
            <wp:extent cx="5358183" cy="256838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08"/>
                    <a:stretch/>
                  </pic:blipFill>
                  <pic:spPr bwMode="auto">
                    <a:xfrm>
                      <a:off x="0" y="0"/>
                      <a:ext cx="5361977" cy="257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E28DC2" w14:textId="76997FFA" w:rsidR="003E7A33" w:rsidRDefault="003E7A33" w:rsidP="003E7A33"/>
    <w:p w14:paraId="5142EA07" w14:textId="77777777" w:rsidR="00E03B5F" w:rsidRDefault="00E03B5F" w:rsidP="00A95352">
      <w:pPr>
        <w:rPr>
          <w:rFonts w:eastAsia="Calibri"/>
        </w:rPr>
      </w:pPr>
    </w:p>
    <w:p w14:paraId="5EAB9756" w14:textId="77777777" w:rsidR="000777DA" w:rsidRDefault="000777DA" w:rsidP="00A95352">
      <w:pPr>
        <w:rPr>
          <w:rFonts w:eastAsia="Calibri"/>
        </w:rPr>
      </w:pPr>
    </w:p>
    <w:p w14:paraId="2CA8061A" w14:textId="75421F1D" w:rsidR="00A95352" w:rsidRDefault="00A95352" w:rsidP="00A95352">
      <w:pPr>
        <w:rPr>
          <w:rFonts w:eastAsia="Calibri"/>
        </w:rPr>
      </w:pPr>
      <w:r w:rsidRPr="008044C2">
        <w:rPr>
          <w:rFonts w:eastAsia="Calibri"/>
        </w:rPr>
        <w:t>Supplement Figure 1</w:t>
      </w:r>
      <w:r>
        <w:rPr>
          <w:rFonts w:eastAsia="Calibri"/>
        </w:rPr>
        <w:t>b</w:t>
      </w:r>
      <w:r w:rsidRPr="008044C2">
        <w:rPr>
          <w:rFonts w:eastAsia="Calibri"/>
        </w:rPr>
        <w:t xml:space="preserve">: Comments </w:t>
      </w:r>
      <w:r>
        <w:rPr>
          <w:rFonts w:eastAsia="Calibri"/>
        </w:rPr>
        <w:t>i</w:t>
      </w:r>
      <w:r w:rsidRPr="008044C2">
        <w:rPr>
          <w:rFonts w:eastAsia="Calibri"/>
        </w:rPr>
        <w:t xml:space="preserve">ncluded in </w:t>
      </w:r>
      <w:r>
        <w:rPr>
          <w:rFonts w:eastAsia="Calibri"/>
        </w:rPr>
        <w:t>procalcitonin</w:t>
      </w:r>
      <w:r w:rsidRPr="008044C2">
        <w:rPr>
          <w:rFonts w:eastAsia="Calibri"/>
        </w:rPr>
        <w:t xml:space="preserve"> </w:t>
      </w:r>
      <w:r>
        <w:rPr>
          <w:rFonts w:eastAsia="Calibri"/>
        </w:rPr>
        <w:t>r</w:t>
      </w:r>
      <w:r w:rsidRPr="008044C2">
        <w:rPr>
          <w:rFonts w:eastAsia="Calibri"/>
        </w:rPr>
        <w:t xml:space="preserve">esult </w:t>
      </w:r>
      <w:r>
        <w:rPr>
          <w:rFonts w:eastAsia="Calibri"/>
        </w:rPr>
        <w:t>r</w:t>
      </w:r>
      <w:r w:rsidRPr="008044C2">
        <w:rPr>
          <w:rFonts w:eastAsia="Calibri"/>
        </w:rPr>
        <w:t>eporting</w:t>
      </w:r>
    </w:p>
    <w:p w14:paraId="04B09380" w14:textId="77777777" w:rsidR="000777DA" w:rsidRPr="008044C2" w:rsidRDefault="000777DA" w:rsidP="00A95352">
      <w:pPr>
        <w:rPr>
          <w:rFonts w:eastAsia="Calibri"/>
        </w:rPr>
      </w:pPr>
    </w:p>
    <w:p w14:paraId="79CF9C31" w14:textId="77777777" w:rsidR="00A95352" w:rsidRPr="008044C2" w:rsidRDefault="00A95352" w:rsidP="003E7A33"/>
    <w:p w14:paraId="2DE14D92" w14:textId="6DB046A0" w:rsidR="003E7A33" w:rsidRPr="008044C2" w:rsidRDefault="003E7A33" w:rsidP="00296758">
      <w:pPr>
        <w:rPr>
          <w:rFonts w:eastAsia="Calibri"/>
        </w:rPr>
      </w:pPr>
      <w:r w:rsidRPr="008044C2">
        <w:rPr>
          <w:rFonts w:eastAsia="Calibri"/>
          <w:noProof/>
        </w:rPr>
        <w:drawing>
          <wp:inline distT="0" distB="0" distL="0" distR="0" wp14:anchorId="1E926BDA" wp14:editId="125ABF5C">
            <wp:extent cx="5511481" cy="256838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9438"/>
                    <a:stretch/>
                  </pic:blipFill>
                  <pic:spPr bwMode="auto">
                    <a:xfrm>
                      <a:off x="0" y="0"/>
                      <a:ext cx="5553668" cy="2588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5CD90" w14:textId="77777777" w:rsidR="003E7A33" w:rsidRPr="008044C2" w:rsidRDefault="003E7A33" w:rsidP="00296758">
      <w:pPr>
        <w:rPr>
          <w:rFonts w:eastAsia="Calibri"/>
        </w:rPr>
      </w:pPr>
    </w:p>
    <w:p w14:paraId="16C76B89" w14:textId="77777777" w:rsidR="003E7A33" w:rsidRPr="008044C2" w:rsidRDefault="003E7A33" w:rsidP="00296758">
      <w:pPr>
        <w:rPr>
          <w:rFonts w:eastAsia="Calibri"/>
        </w:rPr>
      </w:pPr>
    </w:p>
    <w:p w14:paraId="5551C202" w14:textId="1ECD3232" w:rsidR="003E7A33" w:rsidRDefault="003E7A33" w:rsidP="00296758">
      <w:pPr>
        <w:rPr>
          <w:rFonts w:eastAsia="Calibri"/>
        </w:rPr>
      </w:pPr>
    </w:p>
    <w:p w14:paraId="410B6ADA" w14:textId="6E0EF9FF" w:rsidR="000777DA" w:rsidRDefault="000777DA" w:rsidP="00296758">
      <w:pPr>
        <w:rPr>
          <w:rFonts w:eastAsia="Calibri"/>
        </w:rPr>
      </w:pPr>
    </w:p>
    <w:p w14:paraId="4F998C72" w14:textId="50ADBEF7" w:rsidR="000777DA" w:rsidRDefault="000777DA" w:rsidP="00296758">
      <w:pPr>
        <w:rPr>
          <w:rFonts w:eastAsia="Calibri"/>
        </w:rPr>
      </w:pPr>
    </w:p>
    <w:p w14:paraId="3483E37F" w14:textId="42BB49D7" w:rsidR="000777DA" w:rsidRDefault="000777DA" w:rsidP="00296758">
      <w:pPr>
        <w:rPr>
          <w:rFonts w:eastAsia="Calibri"/>
        </w:rPr>
      </w:pPr>
    </w:p>
    <w:p w14:paraId="260C9A9E" w14:textId="4C946D40" w:rsidR="000777DA" w:rsidRDefault="000777DA" w:rsidP="00296758">
      <w:pPr>
        <w:rPr>
          <w:rFonts w:eastAsia="Calibri"/>
        </w:rPr>
      </w:pPr>
    </w:p>
    <w:p w14:paraId="752FFF85" w14:textId="4D6A9843" w:rsidR="000777DA" w:rsidRDefault="000777DA" w:rsidP="00296758">
      <w:pPr>
        <w:rPr>
          <w:rFonts w:eastAsia="Calibri"/>
        </w:rPr>
      </w:pPr>
    </w:p>
    <w:p w14:paraId="0D60216D" w14:textId="77777777" w:rsidR="000777DA" w:rsidRPr="008044C2" w:rsidRDefault="000777DA" w:rsidP="00296758">
      <w:pPr>
        <w:rPr>
          <w:rFonts w:eastAsia="Calibri"/>
        </w:rPr>
      </w:pPr>
    </w:p>
    <w:p w14:paraId="1ABE5A58" w14:textId="77D9A6B0" w:rsidR="00E8255D" w:rsidRDefault="00E8255D" w:rsidP="00296758">
      <w:pPr>
        <w:rPr>
          <w:rFonts w:eastAsia="Calibri"/>
        </w:rPr>
      </w:pPr>
      <w:r w:rsidRPr="008044C2">
        <w:rPr>
          <w:rFonts w:eastAsia="Calibri"/>
        </w:rPr>
        <w:t>Supplemental Figure 2: Flow chart detailing the reasons for the encounter exclusions</w:t>
      </w:r>
    </w:p>
    <w:p w14:paraId="73DCB614" w14:textId="77777777" w:rsidR="000777DA" w:rsidRPr="008044C2" w:rsidRDefault="000777DA" w:rsidP="00296758">
      <w:pPr>
        <w:rPr>
          <w:rFonts w:eastAsia="Calibri"/>
        </w:rPr>
      </w:pPr>
    </w:p>
    <w:p w14:paraId="4C059B20" w14:textId="77777777" w:rsidR="00296758" w:rsidRPr="008044C2" w:rsidRDefault="00296758" w:rsidP="00296758">
      <w:r w:rsidRPr="008044C2">
        <w:rPr>
          <w:noProof/>
          <w:color w:val="2B579A"/>
          <w:shd w:val="clear" w:color="auto" w:fill="E6E6E6"/>
        </w:rPr>
        <w:drawing>
          <wp:inline distT="0" distB="0" distL="0" distR="0" wp14:anchorId="0E1CF60A" wp14:editId="0817A831">
            <wp:extent cx="3409950" cy="4572000"/>
            <wp:effectExtent l="0" t="0" r="0" b="0"/>
            <wp:docPr id="804578099" name="Picture 804578099" descr="A flowchart of a pati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78099" name="Picture 804578099" descr="A flowchart of a pati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8AE94" w14:textId="77777777" w:rsidR="00E8255D" w:rsidRPr="008044C2" w:rsidRDefault="00E8255D"/>
    <w:sectPr w:rsidR="00E8255D" w:rsidRPr="008044C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37C5" w14:textId="77777777" w:rsidR="00D74564" w:rsidRDefault="00D74564" w:rsidP="00C15653">
      <w:r>
        <w:separator/>
      </w:r>
    </w:p>
  </w:endnote>
  <w:endnote w:type="continuationSeparator" w:id="0">
    <w:p w14:paraId="495E3DB8" w14:textId="77777777" w:rsidR="00D74564" w:rsidRDefault="00D74564" w:rsidP="00C1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045976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C5127B" w14:textId="5E920C15" w:rsidR="007061DA" w:rsidRDefault="007061DA" w:rsidP="007061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9B6D83" w14:textId="77777777" w:rsidR="007061DA" w:rsidRDefault="007061DA" w:rsidP="00C156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14152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13C80" w14:textId="5C34A682" w:rsidR="007061DA" w:rsidRDefault="007061DA" w:rsidP="007061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B5E2F8" w14:textId="77777777" w:rsidR="007061DA" w:rsidRDefault="007061DA" w:rsidP="00C156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4A8C" w14:textId="77777777" w:rsidR="00D74564" w:rsidRDefault="00D74564" w:rsidP="00C15653">
      <w:r>
        <w:separator/>
      </w:r>
    </w:p>
  </w:footnote>
  <w:footnote w:type="continuationSeparator" w:id="0">
    <w:p w14:paraId="6F7E4C95" w14:textId="77777777" w:rsidR="00D74564" w:rsidRDefault="00D74564" w:rsidP="00C1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58"/>
    <w:rsid w:val="00010FB3"/>
    <w:rsid w:val="000302C9"/>
    <w:rsid w:val="00032276"/>
    <w:rsid w:val="000467B0"/>
    <w:rsid w:val="000777DA"/>
    <w:rsid w:val="00090BE5"/>
    <w:rsid w:val="000C7E96"/>
    <w:rsid w:val="000D0D92"/>
    <w:rsid w:val="00116D50"/>
    <w:rsid w:val="00135CFF"/>
    <w:rsid w:val="00136255"/>
    <w:rsid w:val="00136D2F"/>
    <w:rsid w:val="00162E28"/>
    <w:rsid w:val="00177499"/>
    <w:rsid w:val="0018093B"/>
    <w:rsid w:val="001865A6"/>
    <w:rsid w:val="001B1820"/>
    <w:rsid w:val="001B3709"/>
    <w:rsid w:val="001E3EA9"/>
    <w:rsid w:val="001E5CDA"/>
    <w:rsid w:val="00227238"/>
    <w:rsid w:val="002323FE"/>
    <w:rsid w:val="00234439"/>
    <w:rsid w:val="002365EF"/>
    <w:rsid w:val="00240E94"/>
    <w:rsid w:val="00244C49"/>
    <w:rsid w:val="00254CB6"/>
    <w:rsid w:val="00257436"/>
    <w:rsid w:val="00287A59"/>
    <w:rsid w:val="00296758"/>
    <w:rsid w:val="002A741E"/>
    <w:rsid w:val="002B1E8E"/>
    <w:rsid w:val="002D6614"/>
    <w:rsid w:val="002E3C22"/>
    <w:rsid w:val="002F0F79"/>
    <w:rsid w:val="002F3111"/>
    <w:rsid w:val="00303CEC"/>
    <w:rsid w:val="003328EE"/>
    <w:rsid w:val="00341A39"/>
    <w:rsid w:val="00346DB9"/>
    <w:rsid w:val="00364A50"/>
    <w:rsid w:val="003C10B1"/>
    <w:rsid w:val="003C6095"/>
    <w:rsid w:val="003E11E5"/>
    <w:rsid w:val="003E7A33"/>
    <w:rsid w:val="0041032F"/>
    <w:rsid w:val="00433D95"/>
    <w:rsid w:val="004500D4"/>
    <w:rsid w:val="00496376"/>
    <w:rsid w:val="004A059B"/>
    <w:rsid w:val="004B390C"/>
    <w:rsid w:val="004B528B"/>
    <w:rsid w:val="004D12BB"/>
    <w:rsid w:val="004E3911"/>
    <w:rsid w:val="004E50FD"/>
    <w:rsid w:val="005261FD"/>
    <w:rsid w:val="00543F5D"/>
    <w:rsid w:val="00564D53"/>
    <w:rsid w:val="00565C92"/>
    <w:rsid w:val="0056667B"/>
    <w:rsid w:val="00571377"/>
    <w:rsid w:val="00577024"/>
    <w:rsid w:val="005777AD"/>
    <w:rsid w:val="0058215E"/>
    <w:rsid w:val="00594EE3"/>
    <w:rsid w:val="005A603E"/>
    <w:rsid w:val="005B5CDD"/>
    <w:rsid w:val="005E4147"/>
    <w:rsid w:val="006138FD"/>
    <w:rsid w:val="00635E40"/>
    <w:rsid w:val="0063651E"/>
    <w:rsid w:val="00640409"/>
    <w:rsid w:val="0066769E"/>
    <w:rsid w:val="006B097E"/>
    <w:rsid w:val="006C2EDF"/>
    <w:rsid w:val="006D0459"/>
    <w:rsid w:val="006D473B"/>
    <w:rsid w:val="006D603B"/>
    <w:rsid w:val="006F3911"/>
    <w:rsid w:val="006F4D91"/>
    <w:rsid w:val="0070541A"/>
    <w:rsid w:val="007061DA"/>
    <w:rsid w:val="007063CC"/>
    <w:rsid w:val="00710605"/>
    <w:rsid w:val="007412EA"/>
    <w:rsid w:val="00764953"/>
    <w:rsid w:val="007A4126"/>
    <w:rsid w:val="008044C2"/>
    <w:rsid w:val="0082340E"/>
    <w:rsid w:val="00830188"/>
    <w:rsid w:val="00864EB8"/>
    <w:rsid w:val="008C204F"/>
    <w:rsid w:val="008C72B9"/>
    <w:rsid w:val="008E1DA3"/>
    <w:rsid w:val="008E3527"/>
    <w:rsid w:val="00910F03"/>
    <w:rsid w:val="00924FB1"/>
    <w:rsid w:val="00954EED"/>
    <w:rsid w:val="00977F20"/>
    <w:rsid w:val="009838CD"/>
    <w:rsid w:val="009A7D22"/>
    <w:rsid w:val="009B551C"/>
    <w:rsid w:val="00A2675D"/>
    <w:rsid w:val="00A667EA"/>
    <w:rsid w:val="00A95352"/>
    <w:rsid w:val="00AA1A67"/>
    <w:rsid w:val="00AD0186"/>
    <w:rsid w:val="00AF1119"/>
    <w:rsid w:val="00AF3DA7"/>
    <w:rsid w:val="00B105B8"/>
    <w:rsid w:val="00B35BB6"/>
    <w:rsid w:val="00B45405"/>
    <w:rsid w:val="00B63F37"/>
    <w:rsid w:val="00B717BD"/>
    <w:rsid w:val="00B80535"/>
    <w:rsid w:val="00BE33F5"/>
    <w:rsid w:val="00BE4C8E"/>
    <w:rsid w:val="00C15653"/>
    <w:rsid w:val="00C359FE"/>
    <w:rsid w:val="00CA06A6"/>
    <w:rsid w:val="00CA3141"/>
    <w:rsid w:val="00CC299D"/>
    <w:rsid w:val="00CC2B98"/>
    <w:rsid w:val="00CD0479"/>
    <w:rsid w:val="00CD3F5C"/>
    <w:rsid w:val="00D028B3"/>
    <w:rsid w:val="00D30006"/>
    <w:rsid w:val="00D4686E"/>
    <w:rsid w:val="00D74564"/>
    <w:rsid w:val="00D746E3"/>
    <w:rsid w:val="00D81982"/>
    <w:rsid w:val="00D829D0"/>
    <w:rsid w:val="00D857E1"/>
    <w:rsid w:val="00DA0E15"/>
    <w:rsid w:val="00DA45EC"/>
    <w:rsid w:val="00DC10C9"/>
    <w:rsid w:val="00DC7837"/>
    <w:rsid w:val="00DE1E5A"/>
    <w:rsid w:val="00DF2AA1"/>
    <w:rsid w:val="00E00AAB"/>
    <w:rsid w:val="00E03B5F"/>
    <w:rsid w:val="00E069F7"/>
    <w:rsid w:val="00E155B7"/>
    <w:rsid w:val="00E23F41"/>
    <w:rsid w:val="00E36865"/>
    <w:rsid w:val="00E7279E"/>
    <w:rsid w:val="00E8255D"/>
    <w:rsid w:val="00EA6D53"/>
    <w:rsid w:val="00F31EF4"/>
    <w:rsid w:val="00F67E10"/>
    <w:rsid w:val="00F73490"/>
    <w:rsid w:val="00F73CC6"/>
    <w:rsid w:val="00F91A85"/>
    <w:rsid w:val="00F955CA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8E3C"/>
  <w15:chartTrackingRefBased/>
  <w15:docId w15:val="{C0559FFC-A8CC-474B-A6EA-F7CF043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C4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7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7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7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7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7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7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6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75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6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75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6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7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96758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156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5653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15653"/>
  </w:style>
  <w:style w:type="paragraph" w:styleId="Revision">
    <w:name w:val="Revision"/>
    <w:hidden/>
    <w:uiPriority w:val="99"/>
    <w:semiHidden/>
    <w:rsid w:val="001B3709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Baduashvili, Amiran</dc:creator>
  <cp:keywords/>
  <dc:description/>
  <cp:lastModifiedBy>Chockalingam, Leela</cp:lastModifiedBy>
  <cp:revision>2</cp:revision>
  <dcterms:created xsi:type="dcterms:W3CDTF">2025-03-13T01:35:00Z</dcterms:created>
  <dcterms:modified xsi:type="dcterms:W3CDTF">2025-03-13T01:35:00Z</dcterms:modified>
</cp:coreProperties>
</file>