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90" w:rsidRPr="00A8527D" w:rsidRDefault="00FE6490" w:rsidP="00FE6490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A8527D">
        <w:rPr>
          <w:rFonts w:cstheme="minorHAnsi"/>
          <w:b/>
          <w:sz w:val="32"/>
          <w:szCs w:val="32"/>
        </w:rPr>
        <w:t>Duration of Antimicrobial Therapy at Discharge Guidance for Emergency Department</w:t>
      </w:r>
    </w:p>
    <w:p w:rsidR="00FE6490" w:rsidRPr="00A8527D" w:rsidRDefault="00FE6490" w:rsidP="00FE6490">
      <w:pPr>
        <w:pStyle w:val="Footer"/>
        <w:rPr>
          <w:sz w:val="16"/>
        </w:rPr>
      </w:pPr>
      <w:r w:rsidRPr="00A8527D">
        <w:rPr>
          <w:rFonts w:cstheme="minorHAnsi"/>
          <w:szCs w:val="32"/>
        </w:rPr>
        <w:t xml:space="preserve">Disclaimers: </w:t>
      </w:r>
    </w:p>
    <w:p w:rsidR="00FE6490" w:rsidRDefault="00FE6490" w:rsidP="00FE6490">
      <w:pPr>
        <w:pStyle w:val="Footer"/>
        <w:numPr>
          <w:ilvl w:val="0"/>
          <w:numId w:val="2"/>
        </w:numPr>
      </w:pPr>
      <w:r>
        <w:t xml:space="preserve">The following guidance is based on available evidence (e.g., clinical practice guidelines and primary literature) and clinical judgment may supersede the recommendations of this guidance. </w:t>
      </w:r>
    </w:p>
    <w:p w:rsidR="00FE6490" w:rsidRDefault="00FE6490" w:rsidP="00FE6490">
      <w:pPr>
        <w:pStyle w:val="Footer"/>
        <w:numPr>
          <w:ilvl w:val="0"/>
          <w:numId w:val="2"/>
        </w:numPr>
      </w:pPr>
      <w:r>
        <w:t xml:space="preserve">All medication regimens should be guided by cultures and susceptibilities, if available. Antimicrobial doses should be adjusted according to the recent, known renal/hepatic function. </w:t>
      </w:r>
    </w:p>
    <w:p w:rsidR="00FE6490" w:rsidRDefault="00FE6490" w:rsidP="00FE6490">
      <w:pPr>
        <w:pStyle w:val="Footer"/>
        <w:numPr>
          <w:ilvl w:val="0"/>
          <w:numId w:val="2"/>
        </w:numPr>
      </w:pPr>
      <w:r>
        <w:t>If Infectious Diseases consultation was involved in this case, follow the ID provider recommendations over recommendations in this guidance.</w:t>
      </w:r>
    </w:p>
    <w:p w:rsidR="00FE6490" w:rsidRDefault="00FE6490" w:rsidP="00FE6490">
      <w:pPr>
        <w:pStyle w:val="Footer"/>
        <w:numPr>
          <w:ilvl w:val="0"/>
          <w:numId w:val="2"/>
        </w:numPr>
      </w:pPr>
      <w:r>
        <w:t xml:space="preserve">Refer to the institutional </w:t>
      </w:r>
      <w:r w:rsidRPr="00B755BA">
        <w:t>Management of Beta-Lactam Allergy</w:t>
      </w:r>
      <w:r>
        <w:t xml:space="preserve"> guidance</w:t>
      </w:r>
      <w:r w:rsidRPr="00DC5F0E">
        <w:t xml:space="preserve"> to identify a potential alternative beta-lactam antibiotic for prescribing in cases where patients have documented drug allergies or intolerances to beta-lactam antibiotics.</w:t>
      </w:r>
    </w:p>
    <w:p w:rsidR="00FE6490" w:rsidRDefault="00FE6490" w:rsidP="00FE6490">
      <w:pPr>
        <w:pStyle w:val="Footer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569"/>
        <w:gridCol w:w="2575"/>
        <w:gridCol w:w="2244"/>
        <w:gridCol w:w="1620"/>
      </w:tblGrid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Disease state</w:t>
            </w:r>
          </w:p>
        </w:tc>
        <w:tc>
          <w:tcPr>
            <w:tcW w:w="2620" w:type="dxa"/>
          </w:tcPr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Antimicrobials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Duration</w:t>
            </w: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Reference</w:t>
            </w:r>
          </w:p>
        </w:tc>
      </w:tr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Respiratory Tract Infections</w:t>
            </w: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sz w:val="18"/>
              </w:rPr>
            </w:pPr>
            <w:r w:rsidRPr="00B755BA">
              <w:rPr>
                <w:sz w:val="18"/>
              </w:rPr>
              <w:t>Community-acquired pneumonia</w:t>
            </w:r>
          </w:p>
        </w:tc>
        <w:tc>
          <w:tcPr>
            <w:tcW w:w="2620" w:type="dxa"/>
          </w:tcPr>
          <w:p w:rsidR="00FE6490" w:rsidRPr="00B755BA" w:rsidRDefault="00FE6490" w:rsidP="008E2EA9">
            <w:pPr>
              <w:rPr>
                <w:sz w:val="18"/>
              </w:rPr>
            </w:pPr>
            <w:r w:rsidRPr="00B755BA">
              <w:rPr>
                <w:sz w:val="18"/>
              </w:rPr>
              <w:t xml:space="preserve">Preferred: </w:t>
            </w:r>
          </w:p>
          <w:p w:rsidR="00FE6490" w:rsidRPr="00B755BA" w:rsidRDefault="00FE6490" w:rsidP="00FE649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</w:rPr>
            </w:pPr>
            <w:proofErr w:type="spellStart"/>
            <w:r w:rsidRPr="00B755BA">
              <w:rPr>
                <w:rFonts w:cstheme="minorHAnsi"/>
                <w:sz w:val="18"/>
              </w:rPr>
              <w:t>Cefpodoxime</w:t>
            </w:r>
            <w:proofErr w:type="spellEnd"/>
            <w:r w:rsidRPr="00B755BA">
              <w:rPr>
                <w:rFonts w:cstheme="minorHAnsi"/>
                <w:sz w:val="18"/>
              </w:rPr>
              <w:t xml:space="preserve"> 200 mg PO Q12H OR </w:t>
            </w:r>
          </w:p>
          <w:p w:rsidR="00FE6490" w:rsidRPr="00B755BA" w:rsidRDefault="00FE6490" w:rsidP="00FE649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>Amoxicillin-</w:t>
            </w:r>
            <w:proofErr w:type="spellStart"/>
            <w:r w:rsidRPr="00B755BA">
              <w:rPr>
                <w:rFonts w:cstheme="minorHAnsi"/>
                <w:sz w:val="18"/>
              </w:rPr>
              <w:t>clavulanate</w:t>
            </w:r>
            <w:proofErr w:type="spellEnd"/>
            <w:r w:rsidRPr="00B755BA">
              <w:rPr>
                <w:rFonts w:cstheme="minorHAnsi"/>
                <w:sz w:val="18"/>
              </w:rPr>
              <w:t xml:space="preserve"> 875-125 mg PO Q12H</w:t>
            </w:r>
          </w:p>
          <w:p w:rsidR="00FE6490" w:rsidRPr="00B755BA" w:rsidRDefault="00FE6490" w:rsidP="008E2EA9">
            <w:pPr>
              <w:rPr>
                <w:rFonts w:cstheme="minorHAnsi"/>
                <w:sz w:val="18"/>
              </w:rPr>
            </w:pPr>
          </w:p>
          <w:p w:rsidR="00FE6490" w:rsidRPr="00B755BA" w:rsidRDefault="00FE6490" w:rsidP="008E2EA9">
            <w:pPr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>Alternative:</w:t>
            </w:r>
          </w:p>
          <w:p w:rsidR="00FE6490" w:rsidRPr="00B755BA" w:rsidRDefault="00FE6490" w:rsidP="00FE649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>PCN allergy: Levofloxacin 750 mg PO Q24H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b/>
                <w:sz w:val="18"/>
              </w:rPr>
              <w:t>5 days</w:t>
            </w:r>
            <w:r w:rsidRPr="00B755BA">
              <w:rPr>
                <w:sz w:val="18"/>
              </w:rPr>
              <w:t xml:space="preserve"> (if good clinical response and without immunocompromising condition or structural lung disease)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b/>
                <w:sz w:val="18"/>
              </w:rPr>
              <w:t>7 days</w:t>
            </w:r>
            <w:r w:rsidRPr="00B755BA">
              <w:rPr>
                <w:sz w:val="18"/>
              </w:rPr>
              <w:t xml:space="preserve"> (if good clinical response but with immunocompromising condition or structure lung disease)</w:t>
            </w: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Institutional CAP Guidance</w:t>
            </w:r>
          </w:p>
        </w:tc>
      </w:tr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sz w:val="18"/>
              </w:rPr>
            </w:pPr>
            <w:r w:rsidRPr="00B755BA">
              <w:rPr>
                <w:sz w:val="18"/>
              </w:rPr>
              <w:t>Acute COPD exacerbation</w:t>
            </w:r>
          </w:p>
        </w:tc>
        <w:tc>
          <w:tcPr>
            <w:tcW w:w="2620" w:type="dxa"/>
          </w:tcPr>
          <w:p w:rsidR="00FE6490" w:rsidRPr="00B755BA" w:rsidRDefault="00FE6490" w:rsidP="008E2EA9">
            <w:pPr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>Antibiotics should only be given to patients who have: increase in dyspnea, sputum purulence, and sputum volume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  <w:p w:rsidR="00FE6490" w:rsidRPr="00B755BA" w:rsidRDefault="00FE6490" w:rsidP="008E2EA9">
            <w:pPr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 xml:space="preserve">Preferred: </w:t>
            </w:r>
          </w:p>
          <w:p w:rsidR="00FE6490" w:rsidRPr="00B755BA" w:rsidRDefault="00FE6490" w:rsidP="00FE649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>Amoxicillin-</w:t>
            </w:r>
            <w:proofErr w:type="spellStart"/>
            <w:r w:rsidRPr="00B755BA">
              <w:rPr>
                <w:rFonts w:cstheme="minorHAnsi"/>
                <w:sz w:val="18"/>
              </w:rPr>
              <w:t>clavulanate</w:t>
            </w:r>
            <w:proofErr w:type="spellEnd"/>
            <w:r w:rsidRPr="00B755BA">
              <w:rPr>
                <w:rFonts w:cstheme="minorHAnsi"/>
                <w:sz w:val="18"/>
              </w:rPr>
              <w:t xml:space="preserve"> 875-125 mg PO Q12H </w:t>
            </w:r>
          </w:p>
          <w:p w:rsidR="00FE6490" w:rsidRPr="00B755BA" w:rsidRDefault="00FE6490" w:rsidP="008E2EA9">
            <w:pPr>
              <w:pStyle w:val="ListParagraph"/>
              <w:rPr>
                <w:rFonts w:cstheme="minorHAnsi"/>
                <w:sz w:val="18"/>
              </w:rPr>
            </w:pPr>
          </w:p>
          <w:p w:rsidR="00FE6490" w:rsidRPr="00B755BA" w:rsidRDefault="00FE6490" w:rsidP="008E2EA9">
            <w:pPr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>Alternatives:</w:t>
            </w:r>
          </w:p>
          <w:p w:rsidR="00FE6490" w:rsidRPr="00B755BA" w:rsidRDefault="00FE6490" w:rsidP="00FE649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>Azithromycin 500 mg on day 1, then 250 mg once daily on days 2-5 OR</w:t>
            </w:r>
          </w:p>
          <w:p w:rsidR="00FE6490" w:rsidRPr="00B755BA" w:rsidRDefault="00FE6490" w:rsidP="00FE649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>Doxycycline 100 mg PO once daily</w:t>
            </w:r>
          </w:p>
          <w:p w:rsidR="00FE6490" w:rsidRPr="00B755BA" w:rsidRDefault="00FE6490" w:rsidP="008E2EA9">
            <w:pPr>
              <w:rPr>
                <w:rFonts w:cstheme="minorHAnsi"/>
                <w:sz w:val="18"/>
              </w:rPr>
            </w:pP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5 days</w:t>
            </w:r>
          </w:p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</w:p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rFonts w:cstheme="minorHAnsi"/>
                <w:sz w:val="18"/>
              </w:rPr>
              <w:t>2023 Global Strategy for Prevention, Diagnosis, and Management of COPD: 2023 Report</w:t>
            </w:r>
          </w:p>
        </w:tc>
      </w:tr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sz w:val="18"/>
              </w:rPr>
            </w:pPr>
            <w:r w:rsidRPr="00B755BA">
              <w:rPr>
                <w:sz w:val="18"/>
              </w:rPr>
              <w:t>Influenza</w:t>
            </w:r>
          </w:p>
        </w:tc>
        <w:tc>
          <w:tcPr>
            <w:tcW w:w="2620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proofErr w:type="spellStart"/>
            <w:r w:rsidRPr="00B755BA">
              <w:rPr>
                <w:sz w:val="18"/>
              </w:rPr>
              <w:t>Oseltamivir</w:t>
            </w:r>
            <w:proofErr w:type="spellEnd"/>
            <w:r w:rsidRPr="00B755BA">
              <w:rPr>
                <w:sz w:val="18"/>
              </w:rPr>
              <w:t xml:space="preserve"> 75 mg PO twice daily 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5"/>
              </w:numPr>
              <w:rPr>
                <w:sz w:val="18"/>
              </w:rPr>
            </w:pPr>
            <w:r w:rsidRPr="00B755BA">
              <w:rPr>
                <w:sz w:val="18"/>
              </w:rPr>
              <w:t xml:space="preserve">Initiate within </w:t>
            </w:r>
            <w:r w:rsidRPr="00B755BA">
              <w:rPr>
                <w:rFonts w:cstheme="minorHAnsi"/>
                <w:sz w:val="18"/>
              </w:rPr>
              <w:t>≤</w:t>
            </w:r>
            <w:r w:rsidRPr="00B755BA">
              <w:rPr>
                <w:sz w:val="18"/>
              </w:rPr>
              <w:t xml:space="preserve"> 2 days of symptom onset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5 days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May consider longer duration if immunocompromised</w:t>
            </w: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>
              <w:rPr>
                <w:rFonts w:cstheme="minorHAnsi"/>
                <w:sz w:val="18"/>
              </w:rPr>
              <w:t xml:space="preserve">Clinical Practice Guidelines by the Infectious Diseases Society of America: 2018 Update on Diagnosis, Treatment, </w:t>
            </w:r>
            <w:r>
              <w:rPr>
                <w:rFonts w:cstheme="minorHAnsi"/>
                <w:sz w:val="18"/>
              </w:rPr>
              <w:lastRenderedPageBreak/>
              <w:t xml:space="preserve">Chemoprophylaxis, and Institutional Outbreak Management of Seasonal </w:t>
            </w:r>
            <w:proofErr w:type="spellStart"/>
            <w:r>
              <w:rPr>
                <w:rFonts w:cstheme="minorHAnsi"/>
                <w:sz w:val="18"/>
              </w:rPr>
              <w:t>Influenze</w:t>
            </w:r>
            <w:proofErr w:type="spellEnd"/>
          </w:p>
        </w:tc>
      </w:tr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lastRenderedPageBreak/>
              <w:t>Urinary Tract Infections</w:t>
            </w: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sz w:val="18"/>
              </w:rPr>
            </w:pPr>
            <w:r w:rsidRPr="00B755BA">
              <w:rPr>
                <w:sz w:val="18"/>
              </w:rPr>
              <w:t>Asymptomatic bacteriuria</w:t>
            </w:r>
          </w:p>
        </w:tc>
        <w:tc>
          <w:tcPr>
            <w:tcW w:w="2620" w:type="dxa"/>
          </w:tcPr>
          <w:p w:rsidR="00FE6490" w:rsidRPr="00B755BA" w:rsidRDefault="00FE6490" w:rsidP="008E2EA9">
            <w:pPr>
              <w:pStyle w:val="Footer"/>
              <w:rPr>
                <w:rFonts w:cstheme="minorHAnsi"/>
                <w:sz w:val="18"/>
              </w:rPr>
            </w:pPr>
            <w:r w:rsidRPr="00B755BA">
              <w:rPr>
                <w:sz w:val="18"/>
              </w:rPr>
              <w:t xml:space="preserve">Antibiotic treatment is recommended only in the following patients: 1) pregnant, 2) about to undergo urologic procedure with risk of mucosal bleeding, or 3) </w:t>
            </w:r>
            <w:r w:rsidRPr="00B755BA">
              <w:rPr>
                <w:rFonts w:cstheme="minorHAnsi"/>
                <w:sz w:val="18"/>
              </w:rPr>
              <w:t>≤ 60 days of renal transplant</w:t>
            </w:r>
          </w:p>
          <w:p w:rsidR="00FE6490" w:rsidRPr="00B755BA" w:rsidRDefault="00FE6490" w:rsidP="008E2EA9">
            <w:pPr>
              <w:pStyle w:val="Footer"/>
              <w:rPr>
                <w:rFonts w:cstheme="minorHAnsi"/>
                <w:sz w:val="18"/>
              </w:rPr>
            </w:pPr>
          </w:p>
          <w:p w:rsidR="00FE6490" w:rsidRPr="00B755BA" w:rsidRDefault="00FE6490" w:rsidP="008E2EA9">
            <w:pPr>
              <w:pStyle w:val="Footer"/>
              <w:rPr>
                <w:rFonts w:cstheme="minorHAnsi"/>
                <w:sz w:val="18"/>
              </w:rPr>
            </w:pPr>
            <w:r w:rsidRPr="00B755BA">
              <w:rPr>
                <w:rFonts w:cstheme="minorHAnsi"/>
                <w:sz w:val="18"/>
              </w:rPr>
              <w:t xml:space="preserve">Preferred: 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5"/>
              </w:numPr>
              <w:rPr>
                <w:sz w:val="18"/>
              </w:rPr>
            </w:pPr>
            <w:r w:rsidRPr="00B755BA">
              <w:rPr>
                <w:sz w:val="18"/>
              </w:rPr>
              <w:t>Cephalexin 500 mg PO four times daily OR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5"/>
              </w:numPr>
              <w:rPr>
                <w:sz w:val="18"/>
              </w:rPr>
            </w:pPr>
            <w:r w:rsidRPr="00B755BA">
              <w:rPr>
                <w:sz w:val="18"/>
              </w:rPr>
              <w:t>Nitrofurantoin 100 mg PO twice daily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Alternative: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 w:rsidRPr="00B755BA">
              <w:rPr>
                <w:sz w:val="18"/>
              </w:rPr>
              <w:t>Fosfomycin</w:t>
            </w:r>
            <w:proofErr w:type="spellEnd"/>
            <w:r w:rsidRPr="00B755BA">
              <w:rPr>
                <w:sz w:val="18"/>
              </w:rPr>
              <w:t xml:space="preserve"> 3 g packet PO once</w:t>
            </w:r>
          </w:p>
          <w:p w:rsidR="00FE6490" w:rsidRPr="00B755BA" w:rsidRDefault="00FE6490" w:rsidP="008E2EA9">
            <w:pPr>
              <w:pStyle w:val="Footer"/>
              <w:ind w:left="720"/>
              <w:rPr>
                <w:sz w:val="18"/>
              </w:rPr>
            </w:pP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Duration depends on antibiotic used; for complete guidance, refer to the Institutional UTI Guidance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  <w:p w:rsidR="00FE6490" w:rsidRPr="00B755BA" w:rsidRDefault="00FE6490" w:rsidP="00FE6490">
            <w:pPr>
              <w:pStyle w:val="Footer"/>
              <w:numPr>
                <w:ilvl w:val="0"/>
                <w:numId w:val="6"/>
              </w:numPr>
              <w:rPr>
                <w:sz w:val="18"/>
              </w:rPr>
            </w:pPr>
            <w:r w:rsidRPr="00B755BA">
              <w:rPr>
                <w:sz w:val="18"/>
              </w:rPr>
              <w:t>Cephalexin: 7 days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6"/>
              </w:numPr>
              <w:rPr>
                <w:sz w:val="18"/>
              </w:rPr>
            </w:pPr>
            <w:r w:rsidRPr="00B755BA">
              <w:rPr>
                <w:sz w:val="18"/>
              </w:rPr>
              <w:t>Nitrofurantoin: 5 days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 w:rsidRPr="00B755BA">
              <w:rPr>
                <w:sz w:val="18"/>
              </w:rPr>
              <w:t>Fosfomycin</w:t>
            </w:r>
            <w:proofErr w:type="spellEnd"/>
            <w:r w:rsidRPr="00B755BA">
              <w:rPr>
                <w:sz w:val="18"/>
              </w:rPr>
              <w:t>: 1 dose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Institutional UTI Guidance</w:t>
            </w:r>
          </w:p>
        </w:tc>
      </w:tr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sz w:val="18"/>
              </w:rPr>
            </w:pPr>
            <w:r w:rsidRPr="00B755BA">
              <w:rPr>
                <w:sz w:val="18"/>
              </w:rPr>
              <w:t>Uncomplicated cystitis</w:t>
            </w:r>
          </w:p>
        </w:tc>
        <w:tc>
          <w:tcPr>
            <w:tcW w:w="2620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Preferred: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7"/>
              </w:numPr>
              <w:rPr>
                <w:sz w:val="18"/>
              </w:rPr>
            </w:pPr>
            <w:r w:rsidRPr="00B755BA">
              <w:rPr>
                <w:sz w:val="18"/>
              </w:rPr>
              <w:t>Nitrofurantoin 100 mg PO twice daily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Alternative: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7"/>
              </w:numPr>
              <w:rPr>
                <w:sz w:val="18"/>
              </w:rPr>
            </w:pPr>
            <w:r w:rsidRPr="00B755BA">
              <w:rPr>
                <w:rFonts w:cstheme="minorHAnsi"/>
                <w:sz w:val="18"/>
                <w:u w:val="single"/>
              </w:rPr>
              <w:t xml:space="preserve">If </w:t>
            </w:r>
            <w:proofErr w:type="spellStart"/>
            <w:r w:rsidRPr="00B755BA">
              <w:rPr>
                <w:rFonts w:cstheme="minorHAnsi"/>
                <w:sz w:val="18"/>
                <w:u w:val="single"/>
              </w:rPr>
              <w:t>CrCl</w:t>
            </w:r>
            <w:proofErr w:type="spellEnd"/>
            <w:r w:rsidRPr="00B755BA">
              <w:rPr>
                <w:rFonts w:cstheme="minorHAnsi"/>
                <w:sz w:val="18"/>
                <w:u w:val="single"/>
              </w:rPr>
              <w:t xml:space="preserve"> &lt;30 mL/min or intolerance/allergy to nitrofurantoin:</w:t>
            </w:r>
            <w:r w:rsidRPr="00B755BA">
              <w:rPr>
                <w:rFonts w:cstheme="minorHAnsi"/>
                <w:sz w:val="18"/>
              </w:rPr>
              <w:t xml:space="preserve"> </w:t>
            </w:r>
            <w:proofErr w:type="spellStart"/>
            <w:r w:rsidRPr="00B755BA">
              <w:rPr>
                <w:rFonts w:cstheme="minorHAnsi"/>
                <w:sz w:val="18"/>
              </w:rPr>
              <w:t>Cefpodoxime</w:t>
            </w:r>
            <w:proofErr w:type="spellEnd"/>
            <w:r w:rsidRPr="00B755BA">
              <w:rPr>
                <w:rFonts w:cstheme="minorHAnsi"/>
                <w:sz w:val="18"/>
              </w:rPr>
              <w:t xml:space="preserve"> 200 mg PO twice daily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7"/>
              </w:numPr>
              <w:rPr>
                <w:sz w:val="18"/>
              </w:rPr>
            </w:pPr>
            <w:r w:rsidRPr="00B755BA">
              <w:rPr>
                <w:rFonts w:cstheme="minorHAnsi"/>
                <w:sz w:val="18"/>
                <w:u w:val="single"/>
              </w:rPr>
              <w:t xml:space="preserve">If </w:t>
            </w:r>
            <w:proofErr w:type="spellStart"/>
            <w:r w:rsidRPr="00B755BA">
              <w:rPr>
                <w:rFonts w:cstheme="minorHAnsi"/>
                <w:sz w:val="18"/>
                <w:u w:val="single"/>
              </w:rPr>
              <w:t>CrCl</w:t>
            </w:r>
            <w:proofErr w:type="spellEnd"/>
            <w:r w:rsidRPr="00B755BA">
              <w:rPr>
                <w:rFonts w:cstheme="minorHAnsi"/>
                <w:sz w:val="18"/>
                <w:u w:val="single"/>
              </w:rPr>
              <w:t xml:space="preserve"> &lt;30 and intolerance/allergy to nitrofurantoin AND severe beta-lactam allergy</w:t>
            </w:r>
            <w:r w:rsidRPr="00B755BA">
              <w:rPr>
                <w:rFonts w:cstheme="minorHAnsi"/>
                <w:sz w:val="18"/>
              </w:rPr>
              <w:t>:</w:t>
            </w:r>
            <w:r w:rsidRPr="00B755BA">
              <w:rPr>
                <w:sz w:val="18"/>
              </w:rPr>
              <w:t xml:space="preserve"> </w:t>
            </w:r>
            <w:proofErr w:type="spellStart"/>
            <w:r w:rsidRPr="00B755BA">
              <w:rPr>
                <w:rFonts w:cstheme="minorHAnsi"/>
                <w:sz w:val="18"/>
              </w:rPr>
              <w:t>Fosfomycin</w:t>
            </w:r>
            <w:proofErr w:type="spellEnd"/>
            <w:r w:rsidRPr="00B755BA">
              <w:rPr>
                <w:rFonts w:cstheme="minorHAnsi"/>
                <w:sz w:val="18"/>
              </w:rPr>
              <w:t xml:space="preserve"> 3 g PO once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Duration depends on antibiotic used; for complete guidance, refer to the Institutional UTI Guidance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  <w:p w:rsidR="00FE6490" w:rsidRPr="00B755BA" w:rsidRDefault="00FE6490" w:rsidP="00FE6490">
            <w:pPr>
              <w:pStyle w:val="Footer"/>
              <w:numPr>
                <w:ilvl w:val="0"/>
                <w:numId w:val="6"/>
              </w:numPr>
              <w:rPr>
                <w:sz w:val="18"/>
              </w:rPr>
            </w:pPr>
            <w:r w:rsidRPr="00B755BA">
              <w:rPr>
                <w:sz w:val="18"/>
              </w:rPr>
              <w:t>Nitrofurantoin: 5 days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 w:rsidRPr="00B755BA">
              <w:rPr>
                <w:sz w:val="18"/>
              </w:rPr>
              <w:t>Cefpodoxime</w:t>
            </w:r>
            <w:proofErr w:type="spellEnd"/>
            <w:r w:rsidRPr="00B755BA">
              <w:rPr>
                <w:sz w:val="18"/>
              </w:rPr>
              <w:t>: 5 days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 w:rsidRPr="00B755BA">
              <w:rPr>
                <w:sz w:val="18"/>
              </w:rPr>
              <w:t>Fosfomycin</w:t>
            </w:r>
            <w:proofErr w:type="spellEnd"/>
            <w:r w:rsidRPr="00B755BA">
              <w:rPr>
                <w:sz w:val="18"/>
              </w:rPr>
              <w:t>: 1 dose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Institutional UTI Guidance</w:t>
            </w:r>
          </w:p>
        </w:tc>
      </w:tr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sz w:val="18"/>
              </w:rPr>
            </w:pPr>
            <w:r w:rsidRPr="00B755BA">
              <w:rPr>
                <w:sz w:val="18"/>
              </w:rPr>
              <w:t>Uncomplicated pyelonephritis</w:t>
            </w:r>
          </w:p>
        </w:tc>
        <w:tc>
          <w:tcPr>
            <w:tcW w:w="2620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Preferred: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8"/>
              </w:numPr>
              <w:rPr>
                <w:sz w:val="18"/>
              </w:rPr>
            </w:pPr>
            <w:r w:rsidRPr="00B755BA">
              <w:rPr>
                <w:sz w:val="18"/>
              </w:rPr>
              <w:t>Levofloxacin 750  mg PO daily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 xml:space="preserve">Alternative: 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8"/>
              </w:numPr>
              <w:rPr>
                <w:sz w:val="18"/>
              </w:rPr>
            </w:pPr>
            <w:proofErr w:type="spellStart"/>
            <w:r w:rsidRPr="00B755BA">
              <w:rPr>
                <w:sz w:val="18"/>
              </w:rPr>
              <w:t>Cefpodoxime</w:t>
            </w:r>
            <w:proofErr w:type="spellEnd"/>
            <w:r w:rsidRPr="00B755BA">
              <w:rPr>
                <w:sz w:val="18"/>
              </w:rPr>
              <w:t xml:space="preserve"> 400 mg PO twice daily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Duration depends on antibiotic used; for complete guidance, refer to the Institutional UTI Guidance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  <w:p w:rsidR="00FE6490" w:rsidRPr="00B755BA" w:rsidRDefault="00FE6490" w:rsidP="00FE6490">
            <w:pPr>
              <w:pStyle w:val="Footer"/>
              <w:numPr>
                <w:ilvl w:val="0"/>
                <w:numId w:val="6"/>
              </w:numPr>
              <w:rPr>
                <w:sz w:val="18"/>
              </w:rPr>
            </w:pPr>
            <w:r w:rsidRPr="00B755BA">
              <w:rPr>
                <w:sz w:val="18"/>
              </w:rPr>
              <w:t>Levofloxacin: 5-7 days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 w:rsidRPr="00B755BA">
              <w:rPr>
                <w:sz w:val="18"/>
              </w:rPr>
              <w:t>Cefpodoxime</w:t>
            </w:r>
            <w:proofErr w:type="spellEnd"/>
            <w:r w:rsidRPr="00B755BA">
              <w:rPr>
                <w:sz w:val="18"/>
              </w:rPr>
              <w:t>: 10-14 days</w:t>
            </w: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Institutional UTI Guidance</w:t>
            </w:r>
          </w:p>
        </w:tc>
      </w:tr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sz w:val="18"/>
              </w:rPr>
            </w:pPr>
            <w:r w:rsidRPr="00B755BA">
              <w:rPr>
                <w:b/>
                <w:sz w:val="18"/>
              </w:rPr>
              <w:t>Disease state</w:t>
            </w:r>
          </w:p>
        </w:tc>
        <w:tc>
          <w:tcPr>
            <w:tcW w:w="2620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b/>
                <w:sz w:val="18"/>
              </w:rPr>
              <w:t>Antimicrobials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Duration</w:t>
            </w: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b/>
                <w:sz w:val="18"/>
              </w:rPr>
              <w:t>Reference</w:t>
            </w:r>
          </w:p>
        </w:tc>
      </w:tr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Skin and soft tissue infections</w:t>
            </w: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sz w:val="18"/>
              </w:rPr>
            </w:pPr>
            <w:r w:rsidRPr="00B755BA">
              <w:rPr>
                <w:sz w:val="18"/>
              </w:rPr>
              <w:t>Non-purulent (cellulitis)</w:t>
            </w:r>
          </w:p>
        </w:tc>
        <w:tc>
          <w:tcPr>
            <w:tcW w:w="2620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Preferred: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9"/>
              </w:numPr>
              <w:rPr>
                <w:sz w:val="18"/>
              </w:rPr>
            </w:pPr>
            <w:r w:rsidRPr="00B755BA">
              <w:rPr>
                <w:sz w:val="18"/>
              </w:rPr>
              <w:t>Cephalexin 1 g PO three times daily</w:t>
            </w: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  <w:p w:rsidR="00FE6490" w:rsidRPr="00B755BA" w:rsidRDefault="00FE6490" w:rsidP="008E2EA9">
            <w:pPr>
              <w:pStyle w:val="Footer"/>
              <w:rPr>
                <w:sz w:val="18"/>
              </w:rPr>
            </w:pPr>
            <w:r w:rsidRPr="00B755BA">
              <w:rPr>
                <w:sz w:val="18"/>
              </w:rPr>
              <w:t>If unable to receive cephalexin: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9"/>
              </w:numPr>
              <w:rPr>
                <w:sz w:val="18"/>
              </w:rPr>
            </w:pPr>
            <w:r w:rsidRPr="00B755BA">
              <w:rPr>
                <w:sz w:val="18"/>
              </w:rPr>
              <w:lastRenderedPageBreak/>
              <w:t>Trimethoprim-sulfamethoxazole 2 DS PO twice daily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lastRenderedPageBreak/>
              <w:t xml:space="preserve">5 days with prompt </w:t>
            </w:r>
          </w:p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clinical response</w:t>
            </w: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rStyle w:val="Hyperlink"/>
                <w:sz w:val="18"/>
                <w:szCs w:val="18"/>
              </w:rPr>
            </w:pPr>
            <w:r w:rsidRPr="00B755BA">
              <w:rPr>
                <w:sz w:val="18"/>
                <w:szCs w:val="18"/>
              </w:rPr>
              <w:t>Practice Guidelines for the Diagnosis and Man</w:t>
            </w:r>
            <w:r>
              <w:rPr>
                <w:sz w:val="18"/>
                <w:szCs w:val="18"/>
              </w:rPr>
              <w:t>a</w:t>
            </w:r>
            <w:r w:rsidRPr="00B755BA">
              <w:rPr>
                <w:sz w:val="18"/>
                <w:szCs w:val="18"/>
              </w:rPr>
              <w:t xml:space="preserve">gement of </w:t>
            </w:r>
            <w:r>
              <w:rPr>
                <w:sz w:val="18"/>
                <w:szCs w:val="18"/>
              </w:rPr>
              <w:t xml:space="preserve">Skin and Soft Tissue Infections: 2014 Update by the Infectious </w:t>
            </w:r>
            <w:r>
              <w:rPr>
                <w:sz w:val="18"/>
                <w:szCs w:val="18"/>
              </w:rPr>
              <w:lastRenderedPageBreak/>
              <w:t>Diseases Society of America</w:t>
            </w:r>
          </w:p>
          <w:p w:rsidR="00FE6490" w:rsidRPr="00B755BA" w:rsidRDefault="00FE6490" w:rsidP="008E2EA9">
            <w:pPr>
              <w:pStyle w:val="Footer"/>
              <w:rPr>
                <w:rStyle w:val="Hyperlink"/>
                <w:sz w:val="18"/>
                <w:szCs w:val="18"/>
              </w:rPr>
            </w:pPr>
          </w:p>
          <w:p w:rsidR="00FE6490" w:rsidRPr="00B755BA" w:rsidRDefault="00FE6490" w:rsidP="008E2EA9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McCreary EK, et al. Antibiotic myths for the infectious diseases clinician. </w:t>
            </w:r>
            <w:proofErr w:type="spellStart"/>
            <w:r>
              <w:rPr>
                <w:i/>
                <w:sz w:val="18"/>
                <w:szCs w:val="18"/>
              </w:rPr>
              <w:t>Clin</w:t>
            </w:r>
            <w:proofErr w:type="spellEnd"/>
            <w:r>
              <w:rPr>
                <w:i/>
                <w:sz w:val="18"/>
                <w:szCs w:val="18"/>
              </w:rPr>
              <w:t xml:space="preserve"> Infect Dis</w:t>
            </w:r>
            <w:r>
              <w:rPr>
                <w:sz w:val="18"/>
                <w:szCs w:val="18"/>
              </w:rPr>
              <w:t>. 2023</w:t>
            </w:r>
            <w:proofErr w:type="gramStart"/>
            <w:r>
              <w:rPr>
                <w:sz w:val="18"/>
                <w:szCs w:val="18"/>
              </w:rPr>
              <w:t>;77</w:t>
            </w:r>
            <w:proofErr w:type="gramEnd"/>
            <w:r>
              <w:rPr>
                <w:sz w:val="18"/>
                <w:szCs w:val="18"/>
              </w:rPr>
              <w:t>(8):1120-1125.</w:t>
            </w:r>
          </w:p>
        </w:tc>
      </w:tr>
      <w:tr w:rsidR="00FE6490" w:rsidRPr="003A6C89" w:rsidTr="008E2EA9">
        <w:tc>
          <w:tcPr>
            <w:tcW w:w="1388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b/>
                <w:sz w:val="18"/>
              </w:rPr>
            </w:pPr>
          </w:p>
        </w:tc>
        <w:tc>
          <w:tcPr>
            <w:tcW w:w="1613" w:type="dxa"/>
            <w:vAlign w:val="center"/>
          </w:tcPr>
          <w:p w:rsidR="00FE6490" w:rsidRPr="00B755BA" w:rsidRDefault="00FE6490" w:rsidP="008E2EA9">
            <w:pPr>
              <w:pStyle w:val="Footer"/>
              <w:jc w:val="center"/>
              <w:rPr>
                <w:sz w:val="18"/>
              </w:rPr>
            </w:pPr>
            <w:r w:rsidRPr="00B755BA">
              <w:rPr>
                <w:sz w:val="18"/>
              </w:rPr>
              <w:t>Purulent</w:t>
            </w:r>
          </w:p>
        </w:tc>
        <w:tc>
          <w:tcPr>
            <w:tcW w:w="2620" w:type="dxa"/>
          </w:tcPr>
          <w:p w:rsidR="00FE6490" w:rsidRPr="00B755BA" w:rsidRDefault="00FE6490" w:rsidP="00FE6490">
            <w:pPr>
              <w:pStyle w:val="Footer"/>
              <w:numPr>
                <w:ilvl w:val="0"/>
                <w:numId w:val="9"/>
              </w:numPr>
              <w:rPr>
                <w:sz w:val="18"/>
              </w:rPr>
            </w:pPr>
            <w:r w:rsidRPr="00B755BA">
              <w:rPr>
                <w:sz w:val="18"/>
              </w:rPr>
              <w:t>Trimethoprim-sulfamethoxazole 2 DS PO twice daily OR</w:t>
            </w:r>
          </w:p>
          <w:p w:rsidR="00FE6490" w:rsidRPr="00B755BA" w:rsidRDefault="00FE6490" w:rsidP="00FE6490">
            <w:pPr>
              <w:pStyle w:val="Footer"/>
              <w:numPr>
                <w:ilvl w:val="0"/>
                <w:numId w:val="9"/>
              </w:numPr>
              <w:rPr>
                <w:sz w:val="18"/>
              </w:rPr>
            </w:pPr>
            <w:r w:rsidRPr="00B755BA">
              <w:rPr>
                <w:sz w:val="18"/>
              </w:rPr>
              <w:t>Doxycycline 100 mg PO twice daily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 xml:space="preserve">5 days with prompt </w:t>
            </w:r>
          </w:p>
          <w:p w:rsidR="00FE6490" w:rsidRPr="00B755BA" w:rsidRDefault="00FE6490" w:rsidP="008E2EA9">
            <w:pPr>
              <w:pStyle w:val="Footer"/>
              <w:rPr>
                <w:b/>
                <w:sz w:val="18"/>
              </w:rPr>
            </w:pPr>
            <w:r w:rsidRPr="00B755BA">
              <w:rPr>
                <w:b/>
                <w:sz w:val="18"/>
              </w:rPr>
              <w:t>clinical response</w:t>
            </w:r>
          </w:p>
        </w:tc>
        <w:tc>
          <w:tcPr>
            <w:tcW w:w="1449" w:type="dxa"/>
          </w:tcPr>
          <w:p w:rsidR="00FE6490" w:rsidRPr="00B755BA" w:rsidRDefault="00FE6490" w:rsidP="008E2EA9">
            <w:pPr>
              <w:pStyle w:val="Footer"/>
              <w:rPr>
                <w:sz w:val="18"/>
              </w:rPr>
            </w:pPr>
          </w:p>
        </w:tc>
      </w:tr>
    </w:tbl>
    <w:p w:rsidR="00FE6490" w:rsidRDefault="00FE6490" w:rsidP="00FE6490">
      <w:pPr>
        <w:pStyle w:val="Footer"/>
      </w:pPr>
    </w:p>
    <w:p w:rsidR="00FE6490" w:rsidRPr="00A8527D" w:rsidRDefault="00FE6490" w:rsidP="00FE6490">
      <w:pPr>
        <w:pStyle w:val="Footer"/>
        <w:ind w:left="720"/>
      </w:pPr>
    </w:p>
    <w:p w:rsidR="00FE6490" w:rsidRPr="00FE6490" w:rsidRDefault="00FE6490" w:rsidP="00FE6490">
      <w:pPr>
        <w:rPr>
          <w:rFonts w:cstheme="minorHAnsi"/>
          <w:b/>
          <w:sz w:val="22"/>
          <w:szCs w:val="22"/>
        </w:rPr>
      </w:pPr>
      <w:r w:rsidRPr="00FE6490">
        <w:rPr>
          <w:rFonts w:cstheme="minorHAnsi"/>
          <w:b/>
          <w:sz w:val="22"/>
          <w:szCs w:val="22"/>
        </w:rPr>
        <w:t>Definitions:</w:t>
      </w:r>
    </w:p>
    <w:p w:rsidR="00FE6490" w:rsidRPr="00FE6490" w:rsidRDefault="00FE6490" w:rsidP="00FE6490">
      <w:pPr>
        <w:pStyle w:val="ListParagraph"/>
        <w:numPr>
          <w:ilvl w:val="0"/>
          <w:numId w:val="10"/>
        </w:numPr>
        <w:spacing w:line="259" w:lineRule="auto"/>
        <w:rPr>
          <w:rFonts w:cstheme="minorHAnsi"/>
          <w:sz w:val="22"/>
          <w:szCs w:val="22"/>
        </w:rPr>
      </w:pPr>
      <w:r w:rsidRPr="00FE6490">
        <w:rPr>
          <w:rFonts w:cstheme="minorHAnsi"/>
          <w:sz w:val="22"/>
          <w:szCs w:val="22"/>
        </w:rPr>
        <w:t xml:space="preserve">Asymptomatic bacteriuria </w:t>
      </w:r>
    </w:p>
    <w:p w:rsidR="00FE6490" w:rsidRPr="00FE6490" w:rsidRDefault="00FE6490" w:rsidP="00FE6490">
      <w:pPr>
        <w:pStyle w:val="ListParagraph"/>
        <w:numPr>
          <w:ilvl w:val="1"/>
          <w:numId w:val="10"/>
        </w:numPr>
        <w:spacing w:line="259" w:lineRule="auto"/>
        <w:rPr>
          <w:rFonts w:cstheme="minorHAnsi"/>
          <w:sz w:val="22"/>
          <w:szCs w:val="22"/>
        </w:rPr>
      </w:pPr>
      <w:r w:rsidRPr="00FE6490">
        <w:rPr>
          <w:rFonts w:cstheme="minorHAnsi"/>
          <w:sz w:val="22"/>
          <w:szCs w:val="22"/>
        </w:rPr>
        <w:t>An isolation of bacteria in an appropriately collected urine sample from an individual not experiencing symptoms of urinary tract infection</w:t>
      </w:r>
    </w:p>
    <w:p w:rsidR="00FE6490" w:rsidRPr="00FE6490" w:rsidRDefault="00FE6490" w:rsidP="00FE6490">
      <w:pPr>
        <w:rPr>
          <w:rFonts w:cstheme="minorHAnsi"/>
          <w:b/>
          <w:sz w:val="22"/>
          <w:szCs w:val="22"/>
        </w:rPr>
      </w:pPr>
      <w:r w:rsidRPr="00FE6490">
        <w:rPr>
          <w:rFonts w:cstheme="minorHAnsi"/>
          <w:b/>
          <w:sz w:val="22"/>
          <w:szCs w:val="22"/>
        </w:rPr>
        <w:t xml:space="preserve">References (outside </w:t>
      </w:r>
      <w:r>
        <w:rPr>
          <w:rFonts w:cstheme="minorHAnsi"/>
          <w:b/>
          <w:sz w:val="22"/>
          <w:szCs w:val="22"/>
        </w:rPr>
        <w:t>institutional</w:t>
      </w:r>
      <w:r w:rsidRPr="00FE6490">
        <w:rPr>
          <w:rFonts w:cstheme="minorHAnsi"/>
          <w:b/>
          <w:sz w:val="22"/>
          <w:szCs w:val="22"/>
        </w:rPr>
        <w:t xml:space="preserve"> syndromic </w:t>
      </w:r>
      <w:r>
        <w:rPr>
          <w:rFonts w:cstheme="minorHAnsi"/>
          <w:b/>
          <w:sz w:val="22"/>
          <w:szCs w:val="22"/>
        </w:rPr>
        <w:t>guidances</w:t>
      </w:r>
      <w:r w:rsidRPr="00FE6490">
        <w:rPr>
          <w:rFonts w:cstheme="minorHAnsi"/>
          <w:b/>
          <w:sz w:val="22"/>
          <w:szCs w:val="22"/>
        </w:rPr>
        <w:t>):</w:t>
      </w:r>
    </w:p>
    <w:p w:rsidR="00FE6490" w:rsidRPr="00FE6490" w:rsidRDefault="00FE6490" w:rsidP="00FE6490">
      <w:pPr>
        <w:rPr>
          <w:rFonts w:cstheme="minorHAnsi"/>
          <w:sz w:val="22"/>
          <w:szCs w:val="22"/>
        </w:rPr>
      </w:pPr>
      <w:r w:rsidRPr="00FE6490">
        <w:rPr>
          <w:rFonts w:cstheme="minorHAnsi"/>
          <w:sz w:val="22"/>
          <w:szCs w:val="22"/>
        </w:rPr>
        <w:t>Respiratory infections</w:t>
      </w:r>
    </w:p>
    <w:p w:rsidR="00FE6490" w:rsidRPr="00FE6490" w:rsidRDefault="00FE6490" w:rsidP="00FE6490">
      <w:pPr>
        <w:pStyle w:val="ListParagraph"/>
        <w:numPr>
          <w:ilvl w:val="0"/>
          <w:numId w:val="11"/>
        </w:numPr>
        <w:spacing w:line="259" w:lineRule="auto"/>
        <w:rPr>
          <w:rFonts w:cstheme="minorHAnsi"/>
          <w:sz w:val="22"/>
          <w:szCs w:val="22"/>
        </w:rPr>
      </w:pPr>
      <w:r w:rsidRPr="00FE6490">
        <w:rPr>
          <w:sz w:val="22"/>
          <w:szCs w:val="22"/>
        </w:rPr>
        <w:t xml:space="preserve">Global strategy for the diagnosis, management, and prevention of Chronic Obstructive Pulmonary Disease (2023 Report). Global initiative for chronic obstructive lung disease. </w:t>
      </w:r>
      <w:hyperlink r:id="rId5" w:history="1">
        <w:r w:rsidRPr="00FE6490">
          <w:rPr>
            <w:rStyle w:val="Hyperlink"/>
            <w:sz w:val="22"/>
            <w:szCs w:val="22"/>
          </w:rPr>
          <w:t>https://goldcopd.org/2023-gold-report-2/</w:t>
        </w:r>
      </w:hyperlink>
      <w:r w:rsidRPr="00FE6490">
        <w:rPr>
          <w:sz w:val="22"/>
          <w:szCs w:val="22"/>
        </w:rPr>
        <w:t>.</w:t>
      </w:r>
    </w:p>
    <w:p w:rsidR="00FE6490" w:rsidRPr="00FE6490" w:rsidRDefault="00FE6490" w:rsidP="00FE6490">
      <w:pPr>
        <w:pStyle w:val="ListParagraph"/>
        <w:numPr>
          <w:ilvl w:val="0"/>
          <w:numId w:val="11"/>
        </w:numPr>
        <w:spacing w:line="259" w:lineRule="auto"/>
        <w:rPr>
          <w:rFonts w:cstheme="minorHAnsi"/>
          <w:sz w:val="22"/>
          <w:szCs w:val="22"/>
        </w:rPr>
      </w:pPr>
      <w:proofErr w:type="spellStart"/>
      <w:r w:rsidRPr="00FE6490">
        <w:rPr>
          <w:rFonts w:cstheme="minorHAnsi"/>
          <w:sz w:val="22"/>
          <w:szCs w:val="22"/>
        </w:rPr>
        <w:t>Uyeki</w:t>
      </w:r>
      <w:proofErr w:type="spellEnd"/>
      <w:r w:rsidRPr="00FE6490">
        <w:rPr>
          <w:rFonts w:cstheme="minorHAnsi"/>
          <w:sz w:val="22"/>
          <w:szCs w:val="22"/>
        </w:rPr>
        <w:t xml:space="preserve"> TM, Bernstein HH, Bradley JS, et al. Clinical practice guidelines by the infectious diseases society of </w:t>
      </w:r>
      <w:proofErr w:type="spellStart"/>
      <w:proofErr w:type="gramStart"/>
      <w:r w:rsidRPr="00FE6490">
        <w:rPr>
          <w:rFonts w:cstheme="minorHAnsi"/>
          <w:sz w:val="22"/>
          <w:szCs w:val="22"/>
        </w:rPr>
        <w:t>america</w:t>
      </w:r>
      <w:proofErr w:type="spellEnd"/>
      <w:proofErr w:type="gramEnd"/>
      <w:r w:rsidRPr="00FE6490">
        <w:rPr>
          <w:rFonts w:cstheme="minorHAnsi"/>
          <w:sz w:val="22"/>
          <w:szCs w:val="22"/>
        </w:rPr>
        <w:t>: 2018 update on diagnosis, treatment, chemoprophylaxis, and institutional outbreak management of seasonal influenza. Clinical Infectious Diseases. 2019</w:t>
      </w:r>
      <w:proofErr w:type="gramStart"/>
      <w:r w:rsidRPr="00FE6490">
        <w:rPr>
          <w:rFonts w:cstheme="minorHAnsi"/>
          <w:sz w:val="22"/>
          <w:szCs w:val="22"/>
        </w:rPr>
        <w:t>;68</w:t>
      </w:r>
      <w:proofErr w:type="gramEnd"/>
      <w:r w:rsidRPr="00FE6490">
        <w:rPr>
          <w:rFonts w:cstheme="minorHAnsi"/>
          <w:sz w:val="22"/>
          <w:szCs w:val="22"/>
        </w:rPr>
        <w:t xml:space="preserve">(6):e1-e47. </w:t>
      </w:r>
    </w:p>
    <w:p w:rsidR="00FE6490" w:rsidRPr="00FE6490" w:rsidRDefault="00FE6490" w:rsidP="00FE6490">
      <w:pPr>
        <w:rPr>
          <w:rFonts w:cstheme="minorHAnsi"/>
          <w:sz w:val="22"/>
          <w:szCs w:val="22"/>
        </w:rPr>
      </w:pPr>
      <w:r w:rsidRPr="00FE6490">
        <w:rPr>
          <w:rFonts w:cstheme="minorHAnsi"/>
          <w:sz w:val="22"/>
          <w:szCs w:val="22"/>
        </w:rPr>
        <w:t>Urinary tract infections</w:t>
      </w:r>
    </w:p>
    <w:p w:rsidR="00FE6490" w:rsidRPr="00FE6490" w:rsidRDefault="00FE6490" w:rsidP="00FE6490">
      <w:pPr>
        <w:pStyle w:val="ListParagraph"/>
        <w:numPr>
          <w:ilvl w:val="0"/>
          <w:numId w:val="13"/>
        </w:numPr>
        <w:spacing w:line="259" w:lineRule="auto"/>
        <w:rPr>
          <w:rFonts w:cstheme="minorHAnsi"/>
          <w:sz w:val="22"/>
          <w:szCs w:val="22"/>
        </w:rPr>
      </w:pPr>
      <w:r w:rsidRPr="00FE6490">
        <w:rPr>
          <w:rFonts w:cstheme="minorHAnsi"/>
          <w:sz w:val="22"/>
          <w:szCs w:val="22"/>
        </w:rPr>
        <w:t xml:space="preserve">Nicolle LE, Gupta K, Bradley SF, et al. Clinical Practice Guideline for the Management of Asymptomatic Bacteriuria: 2019 Update by the Infectious Diseases Society of America. </w:t>
      </w:r>
      <w:proofErr w:type="spellStart"/>
      <w:r w:rsidRPr="00FE6490">
        <w:rPr>
          <w:rFonts w:cstheme="minorHAnsi"/>
          <w:sz w:val="22"/>
          <w:szCs w:val="22"/>
        </w:rPr>
        <w:t>Clin</w:t>
      </w:r>
      <w:proofErr w:type="spellEnd"/>
      <w:r w:rsidRPr="00FE6490">
        <w:rPr>
          <w:rFonts w:cstheme="minorHAnsi"/>
          <w:sz w:val="22"/>
          <w:szCs w:val="22"/>
        </w:rPr>
        <w:t xml:space="preserve"> Infect Dis 2019; 68:e83.</w:t>
      </w:r>
    </w:p>
    <w:p w:rsidR="00FE6490" w:rsidRPr="00FE6490" w:rsidRDefault="00FE6490" w:rsidP="00FE6490">
      <w:pPr>
        <w:rPr>
          <w:rFonts w:cstheme="minorHAnsi"/>
          <w:sz w:val="22"/>
          <w:szCs w:val="22"/>
        </w:rPr>
      </w:pPr>
      <w:r w:rsidRPr="00FE6490">
        <w:rPr>
          <w:rFonts w:cstheme="minorHAnsi"/>
          <w:sz w:val="22"/>
          <w:szCs w:val="22"/>
        </w:rPr>
        <w:t>Skin and soft tissue infections</w:t>
      </w:r>
    </w:p>
    <w:p w:rsidR="00FE6490" w:rsidRPr="00FE6490" w:rsidRDefault="00FE6490" w:rsidP="00FE6490">
      <w:pPr>
        <w:pStyle w:val="ListParagraph"/>
        <w:numPr>
          <w:ilvl w:val="0"/>
          <w:numId w:val="12"/>
        </w:numPr>
        <w:spacing w:line="259" w:lineRule="auto"/>
        <w:rPr>
          <w:rFonts w:cstheme="minorHAnsi"/>
          <w:sz w:val="22"/>
          <w:szCs w:val="22"/>
        </w:rPr>
      </w:pPr>
      <w:r w:rsidRPr="00FE6490">
        <w:rPr>
          <w:rFonts w:cstheme="minorHAnsi"/>
          <w:sz w:val="22"/>
          <w:szCs w:val="22"/>
        </w:rPr>
        <w:t xml:space="preserve">Stevens DL, </w:t>
      </w:r>
      <w:proofErr w:type="spellStart"/>
      <w:r w:rsidRPr="00FE6490">
        <w:rPr>
          <w:rFonts w:cstheme="minorHAnsi"/>
          <w:sz w:val="22"/>
          <w:szCs w:val="22"/>
        </w:rPr>
        <w:t>Bisno</w:t>
      </w:r>
      <w:proofErr w:type="spellEnd"/>
      <w:r w:rsidRPr="00FE6490">
        <w:rPr>
          <w:rFonts w:cstheme="minorHAnsi"/>
          <w:sz w:val="22"/>
          <w:szCs w:val="22"/>
        </w:rPr>
        <w:t xml:space="preserve"> AL, Chambers HF, et al. Practice guidelines for the diagnosis and management of skin and soft tissue infections: 2014 update by the infectious diseases society of </w:t>
      </w:r>
      <w:proofErr w:type="spellStart"/>
      <w:proofErr w:type="gramStart"/>
      <w:r w:rsidRPr="00FE6490">
        <w:rPr>
          <w:rFonts w:cstheme="minorHAnsi"/>
          <w:sz w:val="22"/>
          <w:szCs w:val="22"/>
        </w:rPr>
        <w:t>america</w:t>
      </w:r>
      <w:proofErr w:type="spellEnd"/>
      <w:proofErr w:type="gramEnd"/>
      <w:r w:rsidRPr="00FE6490">
        <w:rPr>
          <w:rFonts w:cstheme="minorHAnsi"/>
          <w:sz w:val="22"/>
          <w:szCs w:val="22"/>
        </w:rPr>
        <w:t>. Clinical Infectious Diseases. 2014</w:t>
      </w:r>
      <w:proofErr w:type="gramStart"/>
      <w:r w:rsidRPr="00FE6490">
        <w:rPr>
          <w:rFonts w:cstheme="minorHAnsi"/>
          <w:sz w:val="22"/>
          <w:szCs w:val="22"/>
        </w:rPr>
        <w:t>;59</w:t>
      </w:r>
      <w:proofErr w:type="gramEnd"/>
      <w:r w:rsidRPr="00FE6490">
        <w:rPr>
          <w:rFonts w:cstheme="minorHAnsi"/>
          <w:sz w:val="22"/>
          <w:szCs w:val="22"/>
        </w:rPr>
        <w:t xml:space="preserve">(2):e10-e52. </w:t>
      </w:r>
    </w:p>
    <w:p w:rsidR="00FE6490" w:rsidRPr="00FE6490" w:rsidRDefault="00FE6490" w:rsidP="00FE6490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sz w:val="22"/>
          <w:szCs w:val="22"/>
        </w:rPr>
      </w:pPr>
      <w:r w:rsidRPr="00FE6490">
        <w:rPr>
          <w:rFonts w:cstheme="minorHAnsi"/>
          <w:sz w:val="22"/>
          <w:szCs w:val="22"/>
        </w:rPr>
        <w:t>McCreary EK, Johnson MD, Jones TM, et al. Antibiotic myths for the infectious diseases clinician. Clinical Infectious Diseases. Published online June 13, 2023:ciad357.</w:t>
      </w:r>
    </w:p>
    <w:p w:rsidR="00FE6490" w:rsidRPr="00B755BA" w:rsidRDefault="00FE6490" w:rsidP="00FE6490">
      <w:pPr>
        <w:rPr>
          <w:rFonts w:ascii="Times New Roman" w:hAnsi="Times New Roman" w:cs="Times New Roman"/>
          <w:sz w:val="22"/>
          <w:szCs w:val="22"/>
        </w:rPr>
      </w:pPr>
    </w:p>
    <w:p w:rsidR="00DE7A7D" w:rsidRDefault="00926FC1"/>
    <w:sectPr w:rsidR="00DE7A7D" w:rsidSect="00FE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607"/>
    <w:multiLevelType w:val="hybridMultilevel"/>
    <w:tmpl w:val="9790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ECF"/>
    <w:multiLevelType w:val="hybridMultilevel"/>
    <w:tmpl w:val="8BD29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07CD"/>
    <w:multiLevelType w:val="hybridMultilevel"/>
    <w:tmpl w:val="1D8C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15CF"/>
    <w:multiLevelType w:val="hybridMultilevel"/>
    <w:tmpl w:val="C072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1238"/>
    <w:multiLevelType w:val="hybridMultilevel"/>
    <w:tmpl w:val="60D8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D7561"/>
    <w:multiLevelType w:val="hybridMultilevel"/>
    <w:tmpl w:val="6648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55873"/>
    <w:multiLevelType w:val="hybridMultilevel"/>
    <w:tmpl w:val="4EA0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B3B52"/>
    <w:multiLevelType w:val="hybridMultilevel"/>
    <w:tmpl w:val="2288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32568"/>
    <w:multiLevelType w:val="hybridMultilevel"/>
    <w:tmpl w:val="663E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12F"/>
    <w:multiLevelType w:val="hybridMultilevel"/>
    <w:tmpl w:val="924A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21821"/>
    <w:multiLevelType w:val="hybridMultilevel"/>
    <w:tmpl w:val="B3124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A018F"/>
    <w:multiLevelType w:val="hybridMultilevel"/>
    <w:tmpl w:val="0AA8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23A0C"/>
    <w:multiLevelType w:val="hybridMultilevel"/>
    <w:tmpl w:val="2438C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90"/>
    <w:rsid w:val="0088467F"/>
    <w:rsid w:val="00926FC1"/>
    <w:rsid w:val="00CC77F2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0249D-5C00-4D34-B4AE-BB20C474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9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4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E6490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E6490"/>
  </w:style>
  <w:style w:type="character" w:styleId="LineNumber">
    <w:name w:val="line number"/>
    <w:basedOn w:val="DefaultParagraphFont"/>
    <w:uiPriority w:val="99"/>
    <w:semiHidden/>
    <w:unhideWhenUsed/>
    <w:rsid w:val="00FE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ldcopd.org/2023-gold-report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Golnabi</dc:creator>
  <cp:keywords/>
  <dc:description/>
  <cp:lastModifiedBy>Esther Golnabi</cp:lastModifiedBy>
  <cp:revision>2</cp:revision>
  <dcterms:created xsi:type="dcterms:W3CDTF">2024-10-29T12:25:00Z</dcterms:created>
  <dcterms:modified xsi:type="dcterms:W3CDTF">2024-10-29T12:25:00Z</dcterms:modified>
</cp:coreProperties>
</file>