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313D" w14:textId="77777777" w:rsidR="001E7A58" w:rsidRPr="006D622D" w:rsidRDefault="009546C2" w:rsidP="009546C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D622D">
        <w:rPr>
          <w:rFonts w:ascii="Times New Roman" w:hAnsi="Times New Roman" w:cs="Times New Roman"/>
          <w:b/>
          <w:bCs/>
          <w:sz w:val="24"/>
          <w:szCs w:val="24"/>
        </w:rPr>
        <w:t xml:space="preserve">Supplementary material </w:t>
      </w:r>
    </w:p>
    <w:p w14:paraId="6DAEBE2F" w14:textId="77777777" w:rsidR="009546C2" w:rsidRPr="006D622D" w:rsidRDefault="009546C2" w:rsidP="009546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E834A5" w14:textId="322E3306" w:rsidR="00602678" w:rsidRPr="0046696F" w:rsidRDefault="009546C2" w:rsidP="009546C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E3554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8678B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E3554">
        <w:rPr>
          <w:rFonts w:ascii="Times New Roman" w:hAnsi="Times New Roman" w:cs="Times New Roman"/>
          <w:b/>
          <w:bCs/>
          <w:sz w:val="24"/>
          <w:szCs w:val="24"/>
        </w:rPr>
        <w:t>1. Inclusion and Exclusion Criteria</w:t>
      </w:r>
      <w:r w:rsidR="006D622D" w:rsidRPr="001E35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3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602678" w:rsidRPr="006D622D" w14:paraId="2D995834" w14:textId="77777777" w:rsidTr="00F80D88">
        <w:tc>
          <w:tcPr>
            <w:tcW w:w="2515" w:type="dxa"/>
          </w:tcPr>
          <w:p w14:paraId="26387FCD" w14:textId="77777777" w:rsidR="00602678" w:rsidRPr="0046696F" w:rsidRDefault="00602678" w:rsidP="009546C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Inclusion criteria</w:t>
            </w:r>
          </w:p>
        </w:tc>
        <w:tc>
          <w:tcPr>
            <w:tcW w:w="6835" w:type="dxa"/>
          </w:tcPr>
          <w:p w14:paraId="608B977D" w14:textId="16086CA4" w:rsidR="00602678" w:rsidRPr="0046696F" w:rsidRDefault="00602678" w:rsidP="001E3554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Adult patients</w:t>
            </w:r>
            <w:r w:rsidR="009967EE" w:rsidRPr="004669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3F8334" w14:textId="6F07B71B" w:rsidR="00602678" w:rsidRPr="0046696F" w:rsidRDefault="00602678" w:rsidP="001E3554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Hospitalized to an acute care</w:t>
            </w:r>
            <w:r w:rsidR="00B6081B"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455C" w:rsidRPr="0046696F">
              <w:rPr>
                <w:rFonts w:ascii="Times New Roman" w:hAnsi="Times New Roman" w:cs="Times New Roman"/>
                <w:sz w:val="20"/>
                <w:szCs w:val="20"/>
              </w:rPr>
              <w:t>service</w:t>
            </w: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61A" w:rsidRPr="004669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081B"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Cardiology, </w:t>
            </w:r>
            <w:r w:rsidR="00EF061A"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Medicine, Neurology, </w:t>
            </w:r>
            <w:r w:rsidR="0002455C"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Oncology, </w:t>
            </w:r>
            <w:r w:rsidR="00EF061A" w:rsidRPr="0046696F">
              <w:rPr>
                <w:rFonts w:ascii="Times New Roman" w:hAnsi="Times New Roman" w:cs="Times New Roman"/>
                <w:sz w:val="20"/>
                <w:szCs w:val="20"/>
              </w:rPr>
              <w:t>Rehabilitation Medicine,</w:t>
            </w:r>
            <w:r w:rsidR="0002455C"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Spinal Cord Injury,</w:t>
            </w:r>
            <w:r w:rsidR="00EF061A"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Surgery) </w:t>
            </w: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between 01/01/1</w:t>
            </w:r>
            <w:r w:rsidR="0002455C" w:rsidRPr="00466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and 12/31/2</w:t>
            </w:r>
            <w:r w:rsidR="0002455C" w:rsidRPr="00466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67EE" w:rsidRPr="004669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02678" w:rsidRPr="006D622D" w14:paraId="16414F77" w14:textId="77777777" w:rsidTr="00F80D88">
        <w:tc>
          <w:tcPr>
            <w:tcW w:w="2515" w:type="dxa"/>
          </w:tcPr>
          <w:p w14:paraId="6ED99576" w14:textId="77777777" w:rsidR="00602678" w:rsidRPr="0046696F" w:rsidRDefault="00602678" w:rsidP="009546C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Exclusion criteria</w:t>
            </w:r>
          </w:p>
        </w:tc>
        <w:tc>
          <w:tcPr>
            <w:tcW w:w="6835" w:type="dxa"/>
          </w:tcPr>
          <w:p w14:paraId="2C47B027" w14:textId="1E2B5DED" w:rsidR="0093282A" w:rsidRPr="0046696F" w:rsidRDefault="00F80D88" w:rsidP="001E355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Admitted</w:t>
            </w:r>
            <w:r w:rsidR="0093282A"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to a facility that transitioned to the </w:t>
            </w:r>
            <w:r w:rsidR="009967EE" w:rsidRPr="0046696F">
              <w:rPr>
                <w:rFonts w:ascii="Times New Roman" w:hAnsi="Times New Roman" w:cs="Times New Roman"/>
                <w:sz w:val="20"/>
                <w:szCs w:val="20"/>
              </w:rPr>
              <w:t>Cerner Oracle electronic health record</w:t>
            </w:r>
            <w:r w:rsidR="0093282A"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67EE" w:rsidRPr="004669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E3554" w:rsidRPr="0046696F">
              <w:rPr>
                <w:rFonts w:ascii="Times New Roman" w:hAnsi="Times New Roman" w:cs="Times New Roman"/>
                <w:sz w:val="20"/>
                <w:szCs w:val="20"/>
              </w:rPr>
              <w:t>EHR</w:t>
            </w:r>
            <w:r w:rsidR="009967EE" w:rsidRPr="004669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3282A"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during the study period</w:t>
            </w:r>
            <w:r w:rsidR="009967EE"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3282A" w:rsidRPr="0046696F">
              <w:rPr>
                <w:rFonts w:ascii="Times New Roman" w:hAnsi="Times New Roman" w:cs="Times New Roman"/>
                <w:sz w:val="20"/>
                <w:szCs w:val="20"/>
              </w:rPr>
              <w:t>Central Ohio VA (Columbus, OH), Jonathan Wainwright VA (Walla Walla, WA)</w:t>
            </w:r>
            <w:r w:rsidR="009967EE" w:rsidRPr="004669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3282A"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Roseburg</w:t>
            </w:r>
            <w:r w:rsidR="009967EE"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VA</w:t>
            </w:r>
            <w:r w:rsidR="00C06043">
              <w:rPr>
                <w:rFonts w:ascii="Times New Roman" w:hAnsi="Times New Roman" w:cs="Times New Roman"/>
                <w:sz w:val="20"/>
                <w:szCs w:val="20"/>
              </w:rPr>
              <w:t xml:space="preserve"> (Roseburg, OR)</w:t>
            </w:r>
            <w:r w:rsidR="0093282A" w:rsidRPr="0046696F">
              <w:rPr>
                <w:rFonts w:ascii="Times New Roman" w:hAnsi="Times New Roman" w:cs="Times New Roman"/>
                <w:sz w:val="20"/>
                <w:szCs w:val="20"/>
              </w:rPr>
              <w:t>, Spokane</w:t>
            </w:r>
            <w:r w:rsidR="009967EE"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VA</w:t>
            </w:r>
            <w:r w:rsidR="00C06043">
              <w:rPr>
                <w:rFonts w:ascii="Times New Roman" w:hAnsi="Times New Roman" w:cs="Times New Roman"/>
                <w:sz w:val="20"/>
                <w:szCs w:val="20"/>
              </w:rPr>
              <w:t xml:space="preserve"> (Spokane, WA)</w:t>
            </w:r>
            <w:r w:rsidR="009967EE" w:rsidRPr="0046696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93282A"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53D8B61" w14:textId="642F6098" w:rsidR="00602678" w:rsidRPr="0046696F" w:rsidRDefault="00F80D88" w:rsidP="001E355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Admitted</w:t>
            </w:r>
            <w:r w:rsidR="00602678"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to any of the following services: Blind Rehabilitation, </w:t>
            </w:r>
            <w:r w:rsidR="00F9467B">
              <w:rPr>
                <w:rFonts w:ascii="Times New Roman" w:hAnsi="Times New Roman" w:cs="Times New Roman"/>
                <w:sz w:val="20"/>
                <w:szCs w:val="20"/>
              </w:rPr>
              <w:t>Community Living Center</w:t>
            </w: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02678" w:rsidRPr="0046696F">
              <w:rPr>
                <w:rFonts w:ascii="Times New Roman" w:hAnsi="Times New Roman" w:cs="Times New Roman"/>
                <w:sz w:val="20"/>
                <w:szCs w:val="20"/>
              </w:rPr>
              <w:t>Respite Care, Psychiatry, Domiciliary</w:t>
            </w: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02678"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18DF75" w14:textId="77777777" w:rsidR="0093282A" w:rsidRPr="0046696F" w:rsidRDefault="0093282A" w:rsidP="001E355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Incomplete hospitalizations (i.e., patient admitted but not discharged by the end of the study period)</w:t>
            </w:r>
          </w:p>
        </w:tc>
      </w:tr>
    </w:tbl>
    <w:p w14:paraId="62925867" w14:textId="77777777" w:rsidR="00602678" w:rsidRPr="006D622D" w:rsidRDefault="00602678" w:rsidP="009546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E5B92E" w14:textId="5354A673" w:rsidR="002A1B67" w:rsidRDefault="0066308C" w:rsidP="009546C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E3554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8678B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E355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A1B67">
        <w:rPr>
          <w:rFonts w:ascii="Times New Roman" w:hAnsi="Times New Roman" w:cs="Times New Roman"/>
          <w:b/>
          <w:bCs/>
          <w:sz w:val="24"/>
          <w:szCs w:val="24"/>
        </w:rPr>
        <w:t>General d</w:t>
      </w:r>
      <w:r w:rsidRPr="001E3554">
        <w:rPr>
          <w:rFonts w:ascii="Times New Roman" w:hAnsi="Times New Roman" w:cs="Times New Roman"/>
          <w:b/>
          <w:bCs/>
          <w:sz w:val="24"/>
          <w:szCs w:val="24"/>
        </w:rPr>
        <w:t>efinitions</w:t>
      </w:r>
      <w:r w:rsidR="001E35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2A1B67" w:rsidRPr="006D622D" w14:paraId="041F7FCC" w14:textId="77777777">
        <w:tc>
          <w:tcPr>
            <w:tcW w:w="2425" w:type="dxa"/>
          </w:tcPr>
          <w:p w14:paraId="55368291" w14:textId="77777777" w:rsidR="002A1B67" w:rsidRPr="0046696F" w:rsidRDefault="002A1B6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Acute care admission type</w:t>
            </w:r>
          </w:p>
        </w:tc>
        <w:tc>
          <w:tcPr>
            <w:tcW w:w="6925" w:type="dxa"/>
          </w:tcPr>
          <w:p w14:paraId="273BE48C" w14:textId="77777777" w:rsidR="002A1B67" w:rsidRPr="0046696F" w:rsidRDefault="002A1B67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Observation only: Patient admitted to observation medical specialty without a subsequent full admission. </w:t>
            </w:r>
          </w:p>
          <w:p w14:paraId="3FBB899A" w14:textId="77777777" w:rsidR="002A1B67" w:rsidRPr="0046696F" w:rsidRDefault="002A1B67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Full only: Patient admitted to non-observation medical specialty without a preceding observation admission. </w:t>
            </w:r>
          </w:p>
          <w:p w14:paraId="189AC25F" w14:textId="77777777" w:rsidR="002A1B67" w:rsidRPr="0046696F" w:rsidRDefault="002A1B67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Combination: Patient admitted to sequentially to observation and non-observation medical specialties. The discharge date of the observation admission equals the admission date of the non-observation admission. Duration of stay and antibiotics is calculated from the admission date of the observation admission to the discharge date of the non-observation admission. </w:t>
            </w:r>
          </w:p>
        </w:tc>
      </w:tr>
      <w:tr w:rsidR="002A1B67" w:rsidRPr="006D622D" w14:paraId="537AEE27" w14:textId="77777777">
        <w:tc>
          <w:tcPr>
            <w:tcW w:w="2425" w:type="dxa"/>
          </w:tcPr>
          <w:p w14:paraId="47765AF3" w14:textId="355F00C1" w:rsidR="002A1B67" w:rsidRPr="0046696F" w:rsidRDefault="002A1B6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Active </w:t>
            </w:r>
            <w:r w:rsidR="00867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antibiotic </w:t>
            </w: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allergy</w:t>
            </w:r>
          </w:p>
        </w:tc>
        <w:tc>
          <w:tcPr>
            <w:tcW w:w="6925" w:type="dxa"/>
          </w:tcPr>
          <w:p w14:paraId="228BEBB4" w14:textId="77777777" w:rsidR="002A1B67" w:rsidRPr="0046696F" w:rsidRDefault="002A1B6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Allergy Origination Date/Time at Admitting station before Admission Date/Time at Admitting station. </w:t>
            </w:r>
          </w:p>
          <w:p w14:paraId="6CDE208B" w14:textId="77777777" w:rsidR="002A1B67" w:rsidRPr="0046696F" w:rsidRDefault="002A1B67">
            <w:pPr>
              <w:pStyle w:val="NoSpacing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14:paraId="209371A1" w14:textId="77777777" w:rsidR="002A1B67" w:rsidRPr="0046696F" w:rsidRDefault="002A1B67">
            <w:pPr>
              <w:pStyle w:val="NoSpacing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Allergy Entered in Error Date/Time at Admitting station is NULL or after Admission Date/Time at Admitting station.</w:t>
            </w:r>
          </w:p>
        </w:tc>
      </w:tr>
    </w:tbl>
    <w:p w14:paraId="71DD6347" w14:textId="77777777" w:rsidR="002A1B67" w:rsidRDefault="002A1B67" w:rsidP="009546C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588F7" w14:textId="77777777" w:rsidR="0046696F" w:rsidRDefault="004669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11D7B1D" w14:textId="5E97F9FB" w:rsidR="0066308C" w:rsidRPr="0046696F" w:rsidRDefault="002A1B67" w:rsidP="009546C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AC705D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8678B1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C705D">
        <w:rPr>
          <w:rFonts w:ascii="Times New Roman" w:hAnsi="Times New Roman" w:cs="Times New Roman"/>
          <w:b/>
          <w:bCs/>
          <w:sz w:val="24"/>
          <w:szCs w:val="24"/>
        </w:rPr>
        <w:t>Antibiotic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llergy group definitions.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902CA1" w:rsidRPr="006D622D" w14:paraId="590475EA" w14:textId="77777777" w:rsidTr="007A2CFB">
        <w:tc>
          <w:tcPr>
            <w:tcW w:w="2425" w:type="dxa"/>
            <w:shd w:val="clear" w:color="auto" w:fill="auto"/>
            <w:vAlign w:val="center"/>
          </w:tcPr>
          <w:p w14:paraId="1418BD06" w14:textId="39F40AE4" w:rsidR="00902CA1" w:rsidRPr="0046696F" w:rsidRDefault="00AC705D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Antibiotic a</w:t>
            </w:r>
            <w:r w:rsidR="00902CA1"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llergy group</w:t>
            </w:r>
          </w:p>
        </w:tc>
        <w:tc>
          <w:tcPr>
            <w:tcW w:w="6925" w:type="dxa"/>
            <w:shd w:val="clear" w:color="auto" w:fill="auto"/>
            <w:vAlign w:val="center"/>
          </w:tcPr>
          <w:p w14:paraId="7BD29754" w14:textId="54485240" w:rsidR="00902CA1" w:rsidRPr="0046696F" w:rsidRDefault="00766386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Allergy database</w:t>
            </w:r>
            <w:r w:rsidR="00902CA1"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search terms</w:t>
            </w:r>
          </w:p>
        </w:tc>
      </w:tr>
      <w:tr w:rsidR="00164321" w:rsidRPr="006D622D" w14:paraId="60319AC8" w14:textId="77777777" w:rsidTr="007A2CFB">
        <w:tc>
          <w:tcPr>
            <w:tcW w:w="2425" w:type="dxa"/>
            <w:vAlign w:val="center"/>
          </w:tcPr>
          <w:p w14:paraId="1B2C6A5A" w14:textId="77777777" w:rsidR="00164321" w:rsidRPr="0046696F" w:rsidRDefault="00164321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Penicillin</w:t>
            </w:r>
          </w:p>
        </w:tc>
        <w:tc>
          <w:tcPr>
            <w:tcW w:w="6925" w:type="dxa"/>
            <w:vAlign w:val="center"/>
          </w:tcPr>
          <w:p w14:paraId="0DBB2971" w14:textId="21127712" w:rsidR="00164321" w:rsidRPr="0046696F" w:rsidRDefault="00164321" w:rsidP="008E5AA3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Penicillin,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Bicillin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, PCN</w:t>
            </w:r>
            <w:r w:rsidR="007157ED" w:rsidRPr="0046696F">
              <w:rPr>
                <w:rFonts w:ascii="Times New Roman" w:hAnsi="Times New Roman" w:cs="Times New Roman"/>
                <w:sz w:val="20"/>
                <w:szCs w:val="20"/>
              </w:rPr>
              <w:t>; a</w:t>
            </w: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lternate</w:t>
            </w:r>
            <w:r w:rsidR="007157ED" w:rsidRPr="004669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erroneous spellings: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Pencillin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Pencilllin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Penecillin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Penicllin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Pennicillin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, PEN VK, PENVK, PNC, PEN</w:t>
            </w:r>
          </w:p>
        </w:tc>
      </w:tr>
      <w:tr w:rsidR="00164321" w:rsidRPr="006D622D" w14:paraId="5E28BBF0" w14:textId="77777777" w:rsidTr="007A2CFB">
        <w:tc>
          <w:tcPr>
            <w:tcW w:w="2425" w:type="dxa"/>
            <w:vAlign w:val="center"/>
          </w:tcPr>
          <w:p w14:paraId="6A0BD67A" w14:textId="59825A7C" w:rsidR="00164321" w:rsidRPr="0046696F" w:rsidRDefault="00164321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Amoxicillin/</w:t>
            </w:r>
            <w:r w:rsidR="004F589A"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Ampicillin</w:t>
            </w:r>
          </w:p>
        </w:tc>
        <w:tc>
          <w:tcPr>
            <w:tcW w:w="6925" w:type="dxa"/>
            <w:vAlign w:val="center"/>
          </w:tcPr>
          <w:p w14:paraId="632FEEC5" w14:textId="77777777" w:rsidR="002A398F" w:rsidRPr="0046696F" w:rsidRDefault="00164321" w:rsidP="008E5AA3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Amoxicillin</w:t>
            </w:r>
            <w:r w:rsidR="002A398F" w:rsidRPr="0046696F">
              <w:rPr>
                <w:rFonts w:ascii="Times New Roman" w:hAnsi="Times New Roman" w:cs="Times New Roman"/>
                <w:sz w:val="20"/>
                <w:szCs w:val="20"/>
              </w:rPr>
              <w:t>, Augmentin</w:t>
            </w:r>
          </w:p>
          <w:p w14:paraId="40E7DD59" w14:textId="77777777" w:rsidR="002A398F" w:rsidRPr="0046696F" w:rsidRDefault="00164321" w:rsidP="008E5AA3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Ampicillin,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Polycillin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Unasyn </w:t>
            </w:r>
          </w:p>
          <w:p w14:paraId="1A237ABF" w14:textId="77777777" w:rsidR="002A398F" w:rsidRPr="0046696F" w:rsidRDefault="00164321" w:rsidP="008E5AA3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Penicillin Amino Derivatives</w:t>
            </w:r>
          </w:p>
        </w:tc>
      </w:tr>
      <w:tr w:rsidR="002A398F" w:rsidRPr="006D622D" w14:paraId="5E8B0F03" w14:textId="77777777" w:rsidTr="007A2CFB">
        <w:tc>
          <w:tcPr>
            <w:tcW w:w="2425" w:type="dxa"/>
            <w:vAlign w:val="center"/>
          </w:tcPr>
          <w:p w14:paraId="5BBEDC20" w14:textId="2F4952D7" w:rsidR="002A398F" w:rsidRPr="0046696F" w:rsidRDefault="00431296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Other </w:t>
            </w:r>
            <w:r w:rsidR="002A398F"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Synthetic Penicillin</w:t>
            </w:r>
          </w:p>
        </w:tc>
        <w:tc>
          <w:tcPr>
            <w:tcW w:w="6925" w:type="dxa"/>
            <w:vAlign w:val="center"/>
          </w:tcPr>
          <w:p w14:paraId="440F8DB8" w14:textId="16B0F873" w:rsidR="002A398F" w:rsidRPr="0046696F" w:rsidRDefault="002A398F" w:rsidP="008E5AA3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Dicloxacillin,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Diclocil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Dicloxicil</w:t>
            </w:r>
            <w:proofErr w:type="spellEnd"/>
          </w:p>
          <w:p w14:paraId="23BC9A5F" w14:textId="77777777" w:rsidR="002A398F" w:rsidRPr="0046696F" w:rsidRDefault="002A398F" w:rsidP="008E5AA3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Nafcillin,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Nafcil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Nallpen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7AEFC7" w14:textId="77777777" w:rsidR="000E00E6" w:rsidRPr="0046696F" w:rsidRDefault="000E00E6" w:rsidP="008E5AA3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Oxacillin,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Bactocil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4D60CA" w14:textId="77777777" w:rsidR="0080750D" w:rsidRPr="0046696F" w:rsidRDefault="000E00E6" w:rsidP="008E5AA3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Carbenicillin</w:t>
            </w:r>
          </w:p>
          <w:p w14:paraId="3B86E167" w14:textId="77777777" w:rsidR="0080750D" w:rsidRPr="0046696F" w:rsidRDefault="000E00E6" w:rsidP="008E5AA3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Piperacillin, </w:t>
            </w:r>
            <w:r w:rsidR="0080750D" w:rsidRPr="0046696F">
              <w:rPr>
                <w:rFonts w:ascii="Times New Roman" w:hAnsi="Times New Roman" w:cs="Times New Roman"/>
                <w:sz w:val="20"/>
                <w:szCs w:val="20"/>
              </w:rPr>
              <w:t>Zosyn</w:t>
            </w:r>
          </w:p>
          <w:p w14:paraId="4081F2DA" w14:textId="77777777" w:rsidR="0080750D" w:rsidRPr="0046696F" w:rsidRDefault="000E00E6" w:rsidP="008E5AA3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Ticarcillin</w:t>
            </w:r>
          </w:p>
          <w:p w14:paraId="544E6525" w14:textId="77777777" w:rsidR="000E00E6" w:rsidRPr="0046696F" w:rsidRDefault="0080750D" w:rsidP="008E5AA3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Penicillinase-resistant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penicillins</w:t>
            </w:r>
            <w:proofErr w:type="spellEnd"/>
            <w:r w:rsidR="000E00E6"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00E6" w:rsidRPr="006D622D" w14:paraId="55BA8756" w14:textId="77777777" w:rsidTr="007A2CFB">
        <w:tc>
          <w:tcPr>
            <w:tcW w:w="2425" w:type="dxa"/>
            <w:vAlign w:val="center"/>
          </w:tcPr>
          <w:p w14:paraId="17CBC660" w14:textId="77777777" w:rsidR="000E00E6" w:rsidRPr="0046696F" w:rsidRDefault="000E00E6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Cefazolin</w:t>
            </w:r>
          </w:p>
        </w:tc>
        <w:tc>
          <w:tcPr>
            <w:tcW w:w="6925" w:type="dxa"/>
            <w:vAlign w:val="center"/>
          </w:tcPr>
          <w:p w14:paraId="7F861402" w14:textId="77777777" w:rsidR="000E00E6" w:rsidRPr="0046696F" w:rsidRDefault="000E00E6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Cefazolin, Ancef,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Kefzol</w:t>
            </w:r>
            <w:proofErr w:type="spellEnd"/>
          </w:p>
        </w:tc>
      </w:tr>
      <w:tr w:rsidR="000E00E6" w:rsidRPr="006D622D" w14:paraId="6D594BFD" w14:textId="77777777" w:rsidTr="007A2CFB">
        <w:tc>
          <w:tcPr>
            <w:tcW w:w="2425" w:type="dxa"/>
            <w:vAlign w:val="center"/>
          </w:tcPr>
          <w:p w14:paraId="6FE6DCC2" w14:textId="351F8A25" w:rsidR="000E00E6" w:rsidRPr="0046696F" w:rsidRDefault="000E00E6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Cephalosporin</w:t>
            </w:r>
            <w:r w:rsid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 w:rsid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</w:t>
            </w: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</w:t>
            </w:r>
            <w:r w:rsid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generation</w:t>
            </w:r>
          </w:p>
        </w:tc>
        <w:tc>
          <w:tcPr>
            <w:tcW w:w="6925" w:type="dxa"/>
            <w:vAlign w:val="center"/>
          </w:tcPr>
          <w:p w14:paraId="06AFFB9C" w14:textId="77777777" w:rsidR="000E00E6" w:rsidRPr="0046696F" w:rsidRDefault="000E00E6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Cefaclor,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Ceclor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Raniclor</w:t>
            </w:r>
            <w:proofErr w:type="spellEnd"/>
          </w:p>
          <w:p w14:paraId="28545056" w14:textId="77777777" w:rsidR="000E00E6" w:rsidRPr="0046696F" w:rsidRDefault="000E00E6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Cefadroxil,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Duricef</w:t>
            </w:r>
            <w:proofErr w:type="spellEnd"/>
          </w:p>
          <w:p w14:paraId="459AC3B7" w14:textId="77777777" w:rsidR="00833E82" w:rsidRDefault="00833E82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Cefalotin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Keflin</w:t>
            </w:r>
            <w:proofErr w:type="spellEnd"/>
          </w:p>
          <w:p w14:paraId="38A99BFA" w14:textId="26B25C5F" w:rsidR="00A64326" w:rsidRPr="0046696F" w:rsidRDefault="00A64326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Cefonicid, </w:t>
            </w:r>
            <w:proofErr w:type="spellStart"/>
            <w:r w:rsidR="0086253D">
              <w:rPr>
                <w:rFonts w:ascii="Times New Roman" w:hAnsi="Times New Roman" w:cs="Times New Roman"/>
                <w:sz w:val="20"/>
                <w:szCs w:val="20"/>
              </w:rPr>
              <w:t>Monocid</w:t>
            </w:r>
            <w:proofErr w:type="spellEnd"/>
            <w:r w:rsidR="008625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6253D">
              <w:rPr>
                <w:rFonts w:ascii="Times New Roman" w:hAnsi="Times New Roman" w:cs="Times New Roman"/>
                <w:sz w:val="20"/>
                <w:szCs w:val="20"/>
              </w:rPr>
              <w:t>Sintocef</w:t>
            </w:r>
            <w:proofErr w:type="spellEnd"/>
          </w:p>
          <w:p w14:paraId="5D532077" w14:textId="77777777" w:rsidR="00833E82" w:rsidRPr="0046696F" w:rsidRDefault="00833E82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Cefotetan,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Apatef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Cefotan</w:t>
            </w:r>
            <w:proofErr w:type="spellEnd"/>
          </w:p>
          <w:p w14:paraId="59115F07" w14:textId="77777777" w:rsidR="000E00E6" w:rsidRDefault="000E00E6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Cefoxitin,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Mefoxin</w:t>
            </w:r>
            <w:proofErr w:type="spellEnd"/>
          </w:p>
          <w:p w14:paraId="47D2AD25" w14:textId="21E37EBC" w:rsidR="006762D5" w:rsidRPr="006762D5" w:rsidRDefault="006762D5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Cefprozil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Cefzil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777BAB" w14:textId="77777777" w:rsidR="00833E82" w:rsidRPr="0046696F" w:rsidRDefault="00833E82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Cefuroxime, Ceftin,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Zinacef</w:t>
            </w:r>
            <w:proofErr w:type="spellEnd"/>
          </w:p>
          <w:p w14:paraId="24D006B8" w14:textId="77777777" w:rsidR="00833E82" w:rsidRPr="0046696F" w:rsidRDefault="00833E82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Cephalexin, Keflex</w:t>
            </w:r>
          </w:p>
          <w:p w14:paraId="5B9E9224" w14:textId="77777777" w:rsidR="00833E82" w:rsidRPr="0046696F" w:rsidRDefault="00833E82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Cephalosporin 2nd Generation</w:t>
            </w:r>
          </w:p>
        </w:tc>
      </w:tr>
      <w:tr w:rsidR="00833E82" w:rsidRPr="006D622D" w14:paraId="4656B00D" w14:textId="77777777" w:rsidTr="007A2CFB">
        <w:tc>
          <w:tcPr>
            <w:tcW w:w="2425" w:type="dxa"/>
            <w:vAlign w:val="center"/>
          </w:tcPr>
          <w:p w14:paraId="15C50BBE" w14:textId="321B8BE2" w:rsidR="00833E82" w:rsidRPr="0046696F" w:rsidRDefault="00833E82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Cephalosporin</w:t>
            </w:r>
            <w:r w:rsid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</w:t>
            </w:r>
            <w:r w:rsid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</w:t>
            </w: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generation</w:t>
            </w:r>
          </w:p>
        </w:tc>
        <w:tc>
          <w:tcPr>
            <w:tcW w:w="6925" w:type="dxa"/>
            <w:vAlign w:val="center"/>
          </w:tcPr>
          <w:p w14:paraId="436041FA" w14:textId="77777777" w:rsidR="00833E82" w:rsidRPr="0046696F" w:rsidRDefault="00833E82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Cefdinir, Omnicef</w:t>
            </w:r>
          </w:p>
          <w:p w14:paraId="5ECFF85F" w14:textId="77777777" w:rsidR="00833E82" w:rsidRPr="0046696F" w:rsidRDefault="00833E82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Cefixime,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Suprax</w:t>
            </w:r>
            <w:proofErr w:type="spellEnd"/>
          </w:p>
          <w:p w14:paraId="6B784B92" w14:textId="77777777" w:rsidR="00833E82" w:rsidRPr="0046696F" w:rsidRDefault="00833E82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Cefotaxime,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Claforan</w:t>
            </w:r>
            <w:proofErr w:type="spellEnd"/>
          </w:p>
          <w:p w14:paraId="00F811EF" w14:textId="77777777" w:rsidR="00833E82" w:rsidRPr="0046696F" w:rsidRDefault="00833E82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Cefpodoxime,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Vantin</w:t>
            </w:r>
            <w:proofErr w:type="spellEnd"/>
          </w:p>
          <w:p w14:paraId="47D4B4E5" w14:textId="77777777" w:rsidR="00833E82" w:rsidRPr="0046696F" w:rsidRDefault="00833E82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Ceftazidime,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Fortaz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Tazicef</w:t>
            </w:r>
            <w:proofErr w:type="spellEnd"/>
          </w:p>
          <w:p w14:paraId="462CA270" w14:textId="77777777" w:rsidR="00833E82" w:rsidRPr="0046696F" w:rsidRDefault="00833E82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Ceftriaxone,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Ceftrisol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, Rocephin</w:t>
            </w:r>
          </w:p>
          <w:p w14:paraId="3960818C" w14:textId="77777777" w:rsidR="00833E82" w:rsidRPr="0046696F" w:rsidRDefault="00833E82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Cephalosporin 3rd generation</w:t>
            </w:r>
          </w:p>
        </w:tc>
      </w:tr>
      <w:tr w:rsidR="00833E82" w:rsidRPr="006D622D" w14:paraId="34A7E4B8" w14:textId="77777777" w:rsidTr="007A2CFB">
        <w:tc>
          <w:tcPr>
            <w:tcW w:w="2425" w:type="dxa"/>
            <w:vAlign w:val="center"/>
          </w:tcPr>
          <w:p w14:paraId="06ACB48C" w14:textId="2BD62D76" w:rsidR="00833E82" w:rsidRPr="0046696F" w:rsidRDefault="00833E82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Cephalosporin</w:t>
            </w:r>
            <w:r w:rsid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</w:t>
            </w:r>
            <w:r w:rsid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</w:t>
            </w: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generation</w:t>
            </w:r>
          </w:p>
        </w:tc>
        <w:tc>
          <w:tcPr>
            <w:tcW w:w="6925" w:type="dxa"/>
            <w:vAlign w:val="center"/>
          </w:tcPr>
          <w:p w14:paraId="2A971FD3" w14:textId="77777777" w:rsidR="00833E82" w:rsidRPr="0046696F" w:rsidRDefault="00833E82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Cefepime,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Maxipime</w:t>
            </w:r>
            <w:proofErr w:type="spellEnd"/>
          </w:p>
          <w:p w14:paraId="02ACA7A4" w14:textId="77777777" w:rsidR="00833E82" w:rsidRPr="0046696F" w:rsidRDefault="00833E82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Cefpiro</w:t>
            </w:r>
            <w:r w:rsidR="0080750D" w:rsidRPr="0046696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e, </w:t>
            </w:r>
            <w:proofErr w:type="spellStart"/>
            <w:r w:rsidR="0080750D" w:rsidRPr="0046696F">
              <w:rPr>
                <w:rFonts w:ascii="Times New Roman" w:hAnsi="Times New Roman" w:cs="Times New Roman"/>
                <w:sz w:val="20"/>
                <w:szCs w:val="20"/>
              </w:rPr>
              <w:t>Broact</w:t>
            </w:r>
            <w:proofErr w:type="spellEnd"/>
            <w:r w:rsidR="0080750D"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0750D" w:rsidRPr="0046696F">
              <w:rPr>
                <w:rFonts w:ascii="Times New Roman" w:hAnsi="Times New Roman" w:cs="Times New Roman"/>
                <w:sz w:val="20"/>
                <w:szCs w:val="20"/>
              </w:rPr>
              <w:t>Cefir</w:t>
            </w:r>
            <w:proofErr w:type="spellEnd"/>
            <w:r w:rsidR="0080750D"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Cefrom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0750D" w:rsidRPr="0046696F">
              <w:rPr>
                <w:rFonts w:ascii="Times New Roman" w:hAnsi="Times New Roman" w:cs="Times New Roman"/>
                <w:sz w:val="20"/>
                <w:szCs w:val="20"/>
              </w:rPr>
              <w:t>Keiten</w:t>
            </w:r>
            <w:proofErr w:type="spellEnd"/>
          </w:p>
        </w:tc>
      </w:tr>
      <w:tr w:rsidR="0080750D" w:rsidRPr="006D622D" w14:paraId="0C9FB67B" w14:textId="77777777" w:rsidTr="007A2CFB">
        <w:tc>
          <w:tcPr>
            <w:tcW w:w="2425" w:type="dxa"/>
            <w:vAlign w:val="center"/>
          </w:tcPr>
          <w:p w14:paraId="27FE2BC8" w14:textId="529ADA4A" w:rsidR="0080750D" w:rsidRPr="0046696F" w:rsidRDefault="0080750D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Cephalosporin</w:t>
            </w:r>
            <w:r w:rsid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other</w:t>
            </w:r>
          </w:p>
        </w:tc>
        <w:tc>
          <w:tcPr>
            <w:tcW w:w="6925" w:type="dxa"/>
            <w:vAlign w:val="center"/>
          </w:tcPr>
          <w:p w14:paraId="5CE26654" w14:textId="77777777" w:rsidR="0080750D" w:rsidRPr="0046696F" w:rsidRDefault="0080750D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Cefiderocol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Fejtroja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7C9A13" w14:textId="77777777" w:rsidR="0080750D" w:rsidRPr="0046696F" w:rsidRDefault="0080750D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Ceftaroline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Teflaro</w:t>
            </w:r>
            <w:proofErr w:type="spellEnd"/>
          </w:p>
          <w:p w14:paraId="6B2FCAE1" w14:textId="77777777" w:rsidR="0080750D" w:rsidRPr="0046696F" w:rsidRDefault="0080750D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Ceftolozane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-tazobactam,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Zerbaxa</w:t>
            </w:r>
            <w:proofErr w:type="spellEnd"/>
          </w:p>
          <w:p w14:paraId="2386FCDF" w14:textId="77777777" w:rsidR="0080750D" w:rsidRPr="0046696F" w:rsidRDefault="0080750D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Ceftazidime-avibactam,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Avycaz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750D" w:rsidRPr="006D622D" w14:paraId="4336587C" w14:textId="77777777" w:rsidTr="007A2CFB">
        <w:tc>
          <w:tcPr>
            <w:tcW w:w="2425" w:type="dxa"/>
            <w:vAlign w:val="center"/>
          </w:tcPr>
          <w:p w14:paraId="66283A63" w14:textId="77777777" w:rsidR="0080750D" w:rsidRPr="0046696F" w:rsidRDefault="0080750D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Aztreonam</w:t>
            </w:r>
          </w:p>
        </w:tc>
        <w:tc>
          <w:tcPr>
            <w:tcW w:w="6925" w:type="dxa"/>
            <w:vAlign w:val="center"/>
          </w:tcPr>
          <w:p w14:paraId="3054E087" w14:textId="77777777" w:rsidR="0080750D" w:rsidRPr="0046696F" w:rsidRDefault="0080750D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Aztreonam,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Azactam</w:t>
            </w:r>
            <w:proofErr w:type="spellEnd"/>
          </w:p>
        </w:tc>
      </w:tr>
      <w:tr w:rsidR="0080750D" w:rsidRPr="006D622D" w14:paraId="14CD97C8" w14:textId="77777777" w:rsidTr="007A2CFB">
        <w:tc>
          <w:tcPr>
            <w:tcW w:w="2425" w:type="dxa"/>
            <w:vAlign w:val="center"/>
          </w:tcPr>
          <w:p w14:paraId="16ED64CA" w14:textId="77777777" w:rsidR="0080750D" w:rsidRPr="0046696F" w:rsidRDefault="0080750D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Carbapenems</w:t>
            </w:r>
          </w:p>
        </w:tc>
        <w:tc>
          <w:tcPr>
            <w:tcW w:w="6925" w:type="dxa"/>
            <w:vAlign w:val="center"/>
          </w:tcPr>
          <w:p w14:paraId="2C4067C2" w14:textId="77777777" w:rsidR="0080750D" w:rsidRPr="0046696F" w:rsidRDefault="0080750D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Doripenem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Doribax</w:t>
            </w:r>
            <w:proofErr w:type="spellEnd"/>
          </w:p>
          <w:p w14:paraId="3DD9572B" w14:textId="77777777" w:rsidR="0080750D" w:rsidRPr="0046696F" w:rsidRDefault="0080750D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Ertapenem,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Invanz</w:t>
            </w:r>
            <w:proofErr w:type="spellEnd"/>
          </w:p>
          <w:p w14:paraId="55F1D05B" w14:textId="77777777" w:rsidR="0080750D" w:rsidRPr="0046696F" w:rsidRDefault="0080750D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Imipenem,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Primaxin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Recabrio</w:t>
            </w:r>
            <w:proofErr w:type="spellEnd"/>
          </w:p>
          <w:p w14:paraId="38D314B1" w14:textId="77777777" w:rsidR="0080750D" w:rsidRPr="0046696F" w:rsidRDefault="0080750D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Meropenem,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Merrem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Vabomere</w:t>
            </w:r>
            <w:proofErr w:type="spellEnd"/>
          </w:p>
        </w:tc>
      </w:tr>
      <w:tr w:rsidR="008E33BF" w:rsidRPr="006D622D" w14:paraId="795B4C0B" w14:textId="77777777" w:rsidTr="007A2CFB">
        <w:tc>
          <w:tcPr>
            <w:tcW w:w="2425" w:type="dxa"/>
            <w:vAlign w:val="center"/>
          </w:tcPr>
          <w:p w14:paraId="2E448017" w14:textId="77777777" w:rsidR="008E33BF" w:rsidRPr="0046696F" w:rsidRDefault="008E33BF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Aminoglycoside</w:t>
            </w:r>
          </w:p>
        </w:tc>
        <w:tc>
          <w:tcPr>
            <w:tcW w:w="6925" w:type="dxa"/>
            <w:vAlign w:val="center"/>
          </w:tcPr>
          <w:p w14:paraId="14F2C12F" w14:textId="77777777" w:rsidR="008E33BF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Amikacin</w:t>
            </w:r>
          </w:p>
          <w:p w14:paraId="3FE9DED9" w14:textId="0FDD9BD9" w:rsidR="008E33BF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Gentamicin</w:t>
            </w:r>
            <w:r w:rsidR="002A1ED5"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7157ED" w:rsidRPr="0046696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lternate</w:t>
            </w:r>
            <w:r w:rsidR="007157ED" w:rsidRPr="004669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erroneous spellings: Gentamycin </w:t>
            </w:r>
          </w:p>
          <w:p w14:paraId="0A16FC35" w14:textId="77777777" w:rsidR="008E33BF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Streptomycin</w:t>
            </w:r>
          </w:p>
          <w:p w14:paraId="2ED63AC5" w14:textId="77777777" w:rsidR="008E33BF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Tobramycin</w:t>
            </w:r>
          </w:p>
          <w:p w14:paraId="6B997646" w14:textId="77777777" w:rsidR="008E33BF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Aminoglycoside</w:t>
            </w:r>
          </w:p>
        </w:tc>
      </w:tr>
      <w:tr w:rsidR="0080750D" w:rsidRPr="006D622D" w14:paraId="735AB559" w14:textId="77777777" w:rsidTr="007A2CFB">
        <w:tc>
          <w:tcPr>
            <w:tcW w:w="2425" w:type="dxa"/>
            <w:vAlign w:val="center"/>
          </w:tcPr>
          <w:p w14:paraId="3E814280" w14:textId="77777777" w:rsidR="0080750D" w:rsidRPr="0046696F" w:rsidRDefault="0080750D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Clindamycin</w:t>
            </w:r>
          </w:p>
        </w:tc>
        <w:tc>
          <w:tcPr>
            <w:tcW w:w="6925" w:type="dxa"/>
            <w:vAlign w:val="center"/>
          </w:tcPr>
          <w:p w14:paraId="7FE0EFC1" w14:textId="77777777" w:rsidR="0080750D" w:rsidRPr="0046696F" w:rsidRDefault="0080750D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Clindamycin, Cleocin</w:t>
            </w:r>
          </w:p>
        </w:tc>
      </w:tr>
      <w:tr w:rsidR="0080750D" w:rsidRPr="006D622D" w14:paraId="1E1748F2" w14:textId="77777777" w:rsidTr="007A2CFB">
        <w:tc>
          <w:tcPr>
            <w:tcW w:w="2425" w:type="dxa"/>
            <w:vAlign w:val="center"/>
          </w:tcPr>
          <w:p w14:paraId="79EC0972" w14:textId="77777777" w:rsidR="0080750D" w:rsidRPr="0046696F" w:rsidRDefault="0080750D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Daptomycin</w:t>
            </w:r>
          </w:p>
        </w:tc>
        <w:tc>
          <w:tcPr>
            <w:tcW w:w="6925" w:type="dxa"/>
            <w:vAlign w:val="center"/>
          </w:tcPr>
          <w:p w14:paraId="6F334CD4" w14:textId="77777777" w:rsidR="0080750D" w:rsidRPr="0046696F" w:rsidRDefault="0080750D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Daptomycin,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Cubicin</w:t>
            </w:r>
            <w:proofErr w:type="spellEnd"/>
          </w:p>
        </w:tc>
      </w:tr>
      <w:tr w:rsidR="008E33BF" w:rsidRPr="006D622D" w14:paraId="7D01A917" w14:textId="77777777" w:rsidTr="007A2CFB">
        <w:tc>
          <w:tcPr>
            <w:tcW w:w="2425" w:type="dxa"/>
            <w:vAlign w:val="center"/>
          </w:tcPr>
          <w:p w14:paraId="7E561CFD" w14:textId="77777777" w:rsidR="008E33BF" w:rsidRPr="0046696F" w:rsidRDefault="008E33BF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Fluoroquinolone</w:t>
            </w:r>
          </w:p>
        </w:tc>
        <w:tc>
          <w:tcPr>
            <w:tcW w:w="6925" w:type="dxa"/>
            <w:vAlign w:val="center"/>
          </w:tcPr>
          <w:p w14:paraId="48A31523" w14:textId="77777777" w:rsidR="008E33BF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Ciprofloxacin,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Cetraxal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Ciloxan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Ciproxin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, Alternate and erroneous spellings: Cipro, Cipro I.V.</w:t>
            </w:r>
          </w:p>
          <w:p w14:paraId="336ECA0A" w14:textId="77777777" w:rsidR="008E33BF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Delafloxacin,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Baxdela</w:t>
            </w:r>
            <w:proofErr w:type="spellEnd"/>
          </w:p>
          <w:p w14:paraId="3C49B1CE" w14:textId="77777777" w:rsidR="008E33BF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Gatifloxacin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Tequin</w:t>
            </w:r>
            <w:proofErr w:type="spellEnd"/>
          </w:p>
          <w:p w14:paraId="7237134F" w14:textId="77777777" w:rsidR="008E33BF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Gemifloxacin,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Factive</w:t>
            </w:r>
            <w:proofErr w:type="spellEnd"/>
          </w:p>
          <w:p w14:paraId="45ECB7FB" w14:textId="66FC2899" w:rsidR="008E33BF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Levofloxacin, Levaquin</w:t>
            </w:r>
            <w:r w:rsidR="007157ED" w:rsidRPr="0046696F">
              <w:rPr>
                <w:rFonts w:ascii="Times New Roman" w:hAnsi="Times New Roman" w:cs="Times New Roman"/>
                <w:sz w:val="20"/>
                <w:szCs w:val="20"/>
              </w:rPr>
              <w:t>; a</w:t>
            </w: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lternate</w:t>
            </w:r>
            <w:r w:rsidR="007157ED" w:rsidRPr="004669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erroneous spellings: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Levoquin</w:t>
            </w:r>
            <w:proofErr w:type="spellEnd"/>
          </w:p>
          <w:p w14:paraId="255B02CF" w14:textId="77777777" w:rsidR="008E33BF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Moxifloxacin,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Avelox</w:t>
            </w:r>
            <w:proofErr w:type="spellEnd"/>
          </w:p>
          <w:p w14:paraId="2F8784E2" w14:textId="77777777" w:rsidR="008E33BF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Quinolone</w:t>
            </w:r>
          </w:p>
        </w:tc>
      </w:tr>
      <w:tr w:rsidR="008E33BF" w:rsidRPr="006D622D" w14:paraId="21CD30AD" w14:textId="77777777" w:rsidTr="007A2CFB">
        <w:tc>
          <w:tcPr>
            <w:tcW w:w="2425" w:type="dxa"/>
            <w:vAlign w:val="center"/>
          </w:tcPr>
          <w:p w14:paraId="43C0D323" w14:textId="77777777" w:rsidR="008E33BF" w:rsidRPr="0046696F" w:rsidRDefault="008E33BF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Macrolide</w:t>
            </w:r>
          </w:p>
        </w:tc>
        <w:tc>
          <w:tcPr>
            <w:tcW w:w="6925" w:type="dxa"/>
            <w:vAlign w:val="center"/>
          </w:tcPr>
          <w:p w14:paraId="5770C240" w14:textId="5AAEC686" w:rsidR="008E33BF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Azithromycin, Z-pak, Zithromax</w:t>
            </w:r>
            <w:r w:rsidR="007157ED" w:rsidRPr="0046696F">
              <w:rPr>
                <w:rFonts w:ascii="Times New Roman" w:hAnsi="Times New Roman" w:cs="Times New Roman"/>
                <w:sz w:val="20"/>
                <w:szCs w:val="20"/>
              </w:rPr>
              <w:t>; a</w:t>
            </w: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lternate</w:t>
            </w:r>
            <w:r w:rsidR="007157ED" w:rsidRPr="004669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erroneous spellings: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Zithomax</w:t>
            </w:r>
            <w:proofErr w:type="spellEnd"/>
          </w:p>
          <w:p w14:paraId="1BD8F79B" w14:textId="77777777" w:rsidR="008E33BF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Clarithromycin</w:t>
            </w:r>
          </w:p>
          <w:p w14:paraId="6D9FAD6D" w14:textId="77777777" w:rsidR="008E33BF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Erythromycin</w:t>
            </w:r>
          </w:p>
        </w:tc>
      </w:tr>
      <w:tr w:rsidR="008E33BF" w:rsidRPr="006D622D" w14:paraId="4D2A22AC" w14:textId="77777777" w:rsidTr="007A2CFB">
        <w:tc>
          <w:tcPr>
            <w:tcW w:w="2425" w:type="dxa"/>
            <w:vAlign w:val="center"/>
          </w:tcPr>
          <w:p w14:paraId="57D11CE9" w14:textId="77777777" w:rsidR="008E33BF" w:rsidRPr="0046696F" w:rsidRDefault="008E33BF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Metronidazole</w:t>
            </w:r>
          </w:p>
        </w:tc>
        <w:tc>
          <w:tcPr>
            <w:tcW w:w="6925" w:type="dxa"/>
            <w:vAlign w:val="center"/>
          </w:tcPr>
          <w:p w14:paraId="0C4EFC1A" w14:textId="77777777" w:rsidR="008E33BF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Metronidazole, Flagyl</w:t>
            </w:r>
          </w:p>
        </w:tc>
      </w:tr>
      <w:tr w:rsidR="0080750D" w:rsidRPr="006D622D" w14:paraId="013E2A4E" w14:textId="77777777" w:rsidTr="007A2CFB">
        <w:tc>
          <w:tcPr>
            <w:tcW w:w="2425" w:type="dxa"/>
            <w:vAlign w:val="center"/>
          </w:tcPr>
          <w:p w14:paraId="64810749" w14:textId="77777777" w:rsidR="0080750D" w:rsidRPr="0046696F" w:rsidRDefault="0080750D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Oxazolidinone</w:t>
            </w:r>
          </w:p>
        </w:tc>
        <w:tc>
          <w:tcPr>
            <w:tcW w:w="6925" w:type="dxa"/>
            <w:vAlign w:val="center"/>
          </w:tcPr>
          <w:p w14:paraId="45015D73" w14:textId="77777777" w:rsidR="0080750D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Linezolid,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Zyvox</w:t>
            </w:r>
            <w:proofErr w:type="spellEnd"/>
          </w:p>
          <w:p w14:paraId="606AEE20" w14:textId="77777777" w:rsidR="008E33BF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Tedizolid,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Silvextro</w:t>
            </w:r>
            <w:proofErr w:type="spellEnd"/>
          </w:p>
        </w:tc>
      </w:tr>
      <w:tr w:rsidR="008E33BF" w:rsidRPr="006D622D" w14:paraId="2F9D2AEC" w14:textId="77777777" w:rsidTr="007A2CFB">
        <w:tc>
          <w:tcPr>
            <w:tcW w:w="2425" w:type="dxa"/>
            <w:vAlign w:val="center"/>
          </w:tcPr>
          <w:p w14:paraId="48E99C4C" w14:textId="77777777" w:rsidR="008E33BF" w:rsidRPr="0046696F" w:rsidRDefault="008E33BF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Tetracycline</w:t>
            </w:r>
          </w:p>
        </w:tc>
        <w:tc>
          <w:tcPr>
            <w:tcW w:w="6925" w:type="dxa"/>
            <w:vAlign w:val="center"/>
          </w:tcPr>
          <w:p w14:paraId="451DDEA9" w14:textId="77777777" w:rsidR="008E33BF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Doxycycline,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Vibramycin</w:t>
            </w:r>
            <w:proofErr w:type="spellEnd"/>
          </w:p>
          <w:p w14:paraId="25F3D08A" w14:textId="77777777" w:rsidR="008E33BF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Eravacycline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Xerava</w:t>
            </w:r>
            <w:proofErr w:type="spellEnd"/>
          </w:p>
          <w:p w14:paraId="1593FB21" w14:textId="77777777" w:rsidR="008E33BF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Minocycline,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Dynacin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Minocin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Ximino</w:t>
            </w:r>
            <w:proofErr w:type="spellEnd"/>
          </w:p>
          <w:p w14:paraId="6915CEEB" w14:textId="77777777" w:rsidR="008E33BF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Omadacycline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Nuzyra</w:t>
            </w:r>
            <w:proofErr w:type="spellEnd"/>
          </w:p>
          <w:p w14:paraId="04AFF47A" w14:textId="77777777" w:rsidR="008E33BF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Tetracycline</w:t>
            </w:r>
          </w:p>
          <w:p w14:paraId="6D429D65" w14:textId="77777777" w:rsidR="008E33BF" w:rsidRPr="0046696F" w:rsidRDefault="008E33B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Tigecycline,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Tygacil</w:t>
            </w:r>
            <w:proofErr w:type="spellEnd"/>
          </w:p>
        </w:tc>
      </w:tr>
      <w:tr w:rsidR="008E33BF" w:rsidRPr="006D622D" w14:paraId="29F5C038" w14:textId="77777777" w:rsidTr="007A2CFB">
        <w:tc>
          <w:tcPr>
            <w:tcW w:w="2425" w:type="dxa"/>
            <w:vAlign w:val="center"/>
          </w:tcPr>
          <w:p w14:paraId="3B8463B2" w14:textId="77777777" w:rsidR="008E33BF" w:rsidRPr="0046696F" w:rsidRDefault="008E33BF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TMP-SMX</w:t>
            </w:r>
          </w:p>
        </w:tc>
        <w:tc>
          <w:tcPr>
            <w:tcW w:w="6925" w:type="dxa"/>
            <w:vAlign w:val="center"/>
          </w:tcPr>
          <w:p w14:paraId="60F173D6" w14:textId="77777777" w:rsidR="008E33BF" w:rsidRPr="0046696F" w:rsidRDefault="00BA19D0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Co-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triamoxazole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sulfamethoxazole, trimethoprim, Bactrim,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Septra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TMP, SMX </w:t>
            </w:r>
          </w:p>
        </w:tc>
      </w:tr>
      <w:tr w:rsidR="0080750D" w:rsidRPr="006D622D" w14:paraId="208E256B" w14:textId="77777777" w:rsidTr="007A2CFB">
        <w:tc>
          <w:tcPr>
            <w:tcW w:w="2425" w:type="dxa"/>
            <w:vAlign w:val="center"/>
          </w:tcPr>
          <w:p w14:paraId="53DBF843" w14:textId="77777777" w:rsidR="0080750D" w:rsidRPr="0046696F" w:rsidRDefault="0080750D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Vancomycin</w:t>
            </w:r>
          </w:p>
        </w:tc>
        <w:tc>
          <w:tcPr>
            <w:tcW w:w="6925" w:type="dxa"/>
            <w:vAlign w:val="center"/>
          </w:tcPr>
          <w:p w14:paraId="38D00CF7" w14:textId="77777777" w:rsidR="0080750D" w:rsidRPr="0046696F" w:rsidRDefault="0080750D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Vancomycin (IV only),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Firvanq</w:t>
            </w:r>
            <w:proofErr w:type="spellEnd"/>
          </w:p>
        </w:tc>
      </w:tr>
      <w:tr w:rsidR="00BA19D0" w:rsidRPr="006D622D" w14:paraId="222542DA" w14:textId="77777777" w:rsidTr="007A2CFB">
        <w:tc>
          <w:tcPr>
            <w:tcW w:w="2425" w:type="dxa"/>
            <w:vAlign w:val="center"/>
          </w:tcPr>
          <w:p w14:paraId="083E2A81" w14:textId="77777777" w:rsidR="00BA19D0" w:rsidRPr="0046696F" w:rsidRDefault="00BA19D0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</w:t>
            </w:r>
            <w:proofErr w:type="gramEnd"/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specified antibiotic</w:t>
            </w:r>
          </w:p>
        </w:tc>
        <w:tc>
          <w:tcPr>
            <w:tcW w:w="6925" w:type="dxa"/>
            <w:vAlign w:val="center"/>
          </w:tcPr>
          <w:p w14:paraId="53F145EB" w14:textId="77777777" w:rsidR="00BA19D0" w:rsidRPr="0046696F" w:rsidRDefault="00BA19D0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Colistin, polymyxin</w:t>
            </w:r>
          </w:p>
          <w:p w14:paraId="6A1424E8" w14:textId="77777777" w:rsidR="00BA19D0" w:rsidRPr="0046696F" w:rsidRDefault="00BA19D0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Dalbavancin,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Dalvance</w:t>
            </w:r>
            <w:proofErr w:type="spellEnd"/>
          </w:p>
          <w:p w14:paraId="21D8BEA3" w14:textId="77777777" w:rsidR="00BA19D0" w:rsidRPr="0046696F" w:rsidRDefault="00BA19D0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Fidaxomicin,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Dificid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162B57" w14:textId="5BDCC726" w:rsidR="00BA19D0" w:rsidRPr="0046696F" w:rsidRDefault="00BA19D0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Nitrofurantoin, </w:t>
            </w:r>
            <w:r w:rsidR="00E5275B">
              <w:rPr>
                <w:rFonts w:ascii="Times New Roman" w:hAnsi="Times New Roman" w:cs="Times New Roman"/>
                <w:sz w:val="20"/>
                <w:szCs w:val="20"/>
              </w:rPr>
              <w:t xml:space="preserve">Macrobid,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Macrodantin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Microdantin</w:t>
            </w:r>
            <w:proofErr w:type="spellEnd"/>
          </w:p>
          <w:p w14:paraId="54895DF4" w14:textId="77777777" w:rsidR="00BA19D0" w:rsidRPr="0046696F" w:rsidRDefault="00BA19D0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Oritavancin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Orbactiv</w:t>
            </w:r>
            <w:proofErr w:type="spellEnd"/>
          </w:p>
          <w:p w14:paraId="34E64012" w14:textId="77777777" w:rsidR="00BA19D0" w:rsidRPr="0046696F" w:rsidRDefault="00BA19D0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Quinipristin-dalfopristin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34B1A2" w14:textId="77777777" w:rsidR="00BA19D0" w:rsidRPr="0046696F" w:rsidRDefault="00BA19D0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Rifabutin, Rifampin, Rifapentine</w:t>
            </w:r>
          </w:p>
          <w:p w14:paraId="008F4515" w14:textId="77777777" w:rsidR="00BA19D0" w:rsidRPr="0046696F" w:rsidRDefault="00BA19D0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Rifaximin</w:t>
            </w:r>
          </w:p>
          <w:p w14:paraId="1359F712" w14:textId="77777777" w:rsidR="00BA19D0" w:rsidRPr="0046696F" w:rsidRDefault="00BA19D0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Telavancin,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Vibativ</w:t>
            </w:r>
            <w:proofErr w:type="spellEnd"/>
          </w:p>
          <w:p w14:paraId="7D68377A" w14:textId="77777777" w:rsidR="00BA19D0" w:rsidRPr="0046696F" w:rsidRDefault="00BA19D0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Telithromycin</w:t>
            </w:r>
          </w:p>
        </w:tc>
      </w:tr>
      <w:tr w:rsidR="00820CDF" w:rsidRPr="006D622D" w14:paraId="0D9C672F" w14:textId="77777777" w:rsidTr="007A2CFB">
        <w:tc>
          <w:tcPr>
            <w:tcW w:w="2425" w:type="dxa"/>
            <w:vAlign w:val="center"/>
          </w:tcPr>
          <w:p w14:paraId="0A825EAB" w14:textId="77777777" w:rsidR="00820CDF" w:rsidRPr="0046696F" w:rsidRDefault="00820CDF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Unspecified antibiotic</w:t>
            </w:r>
          </w:p>
        </w:tc>
        <w:tc>
          <w:tcPr>
            <w:tcW w:w="6925" w:type="dxa"/>
            <w:vAlign w:val="center"/>
          </w:tcPr>
          <w:p w14:paraId="467685CF" w14:textId="77777777" w:rsidR="00820CDF" w:rsidRPr="0046696F" w:rsidRDefault="00820CD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Antibiotic</w:t>
            </w:r>
          </w:p>
          <w:p w14:paraId="4BF83F2C" w14:textId="77777777" w:rsidR="00820CDF" w:rsidRPr="0046696F" w:rsidRDefault="00820CD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Antimicrobial</w:t>
            </w:r>
          </w:p>
        </w:tc>
      </w:tr>
      <w:tr w:rsidR="00BA19D0" w:rsidRPr="006D622D" w14:paraId="46E4915D" w14:textId="77777777" w:rsidTr="007A2CFB">
        <w:tc>
          <w:tcPr>
            <w:tcW w:w="2425" w:type="dxa"/>
            <w:vAlign w:val="center"/>
          </w:tcPr>
          <w:p w14:paraId="442F34A4" w14:textId="77777777" w:rsidR="00BA19D0" w:rsidRPr="0046696F" w:rsidRDefault="00BA19D0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Unspecified beta-lactam</w:t>
            </w:r>
          </w:p>
        </w:tc>
        <w:tc>
          <w:tcPr>
            <w:tcW w:w="6925" w:type="dxa"/>
            <w:vAlign w:val="center"/>
          </w:tcPr>
          <w:p w14:paraId="620344C1" w14:textId="77777777" w:rsidR="00BA19D0" w:rsidRPr="0046696F" w:rsidRDefault="00BA19D0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Beta-lactam</w:t>
            </w:r>
          </w:p>
          <w:p w14:paraId="32717D66" w14:textId="77777777" w:rsidR="00BA19D0" w:rsidRPr="0046696F" w:rsidRDefault="00BA19D0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Penicillins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and beta-lactams</w:t>
            </w:r>
          </w:p>
        </w:tc>
      </w:tr>
      <w:tr w:rsidR="00BA19D0" w:rsidRPr="006D622D" w14:paraId="4070BDE0" w14:textId="77777777" w:rsidTr="007A2CFB">
        <w:tc>
          <w:tcPr>
            <w:tcW w:w="2425" w:type="dxa"/>
            <w:vAlign w:val="center"/>
          </w:tcPr>
          <w:p w14:paraId="49A9786C" w14:textId="77777777" w:rsidR="00BA19D0" w:rsidRPr="0046696F" w:rsidRDefault="00BA19D0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Unspecified cephalosporin</w:t>
            </w:r>
          </w:p>
        </w:tc>
        <w:tc>
          <w:tcPr>
            <w:tcW w:w="6925" w:type="dxa"/>
            <w:vAlign w:val="center"/>
          </w:tcPr>
          <w:p w14:paraId="057DA6B2" w14:textId="77777777" w:rsidR="00BA19D0" w:rsidRPr="0046696F" w:rsidRDefault="00BA19D0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Cephalosporin</w:t>
            </w:r>
          </w:p>
        </w:tc>
      </w:tr>
      <w:tr w:rsidR="00BA19D0" w:rsidRPr="006D622D" w14:paraId="38D3A194" w14:textId="77777777" w:rsidTr="007A2CFB">
        <w:tc>
          <w:tcPr>
            <w:tcW w:w="2425" w:type="dxa"/>
            <w:vAlign w:val="center"/>
          </w:tcPr>
          <w:p w14:paraId="40311198" w14:textId="77777777" w:rsidR="00BA19D0" w:rsidRPr="0046696F" w:rsidRDefault="00820CDF" w:rsidP="008E5AA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Unspecified sulfa</w:t>
            </w:r>
          </w:p>
        </w:tc>
        <w:tc>
          <w:tcPr>
            <w:tcW w:w="6925" w:type="dxa"/>
            <w:vAlign w:val="center"/>
          </w:tcPr>
          <w:p w14:paraId="0CB28CE3" w14:textId="750660D7" w:rsidR="00820CDF" w:rsidRPr="0046696F" w:rsidRDefault="00820CDF" w:rsidP="008E5AA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Sulfa drug,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sulfisoxazole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, sulfonamide</w:t>
            </w:r>
            <w:r w:rsidR="002B005F" w:rsidRPr="0046696F">
              <w:rPr>
                <w:rFonts w:ascii="Times New Roman" w:hAnsi="Times New Roman" w:cs="Times New Roman"/>
                <w:sz w:val="20"/>
                <w:szCs w:val="20"/>
              </w:rPr>
              <w:t>; a</w:t>
            </w: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lternate</w:t>
            </w:r>
            <w:r w:rsidR="002B005F" w:rsidRPr="004669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erroneous spellings: Sulfa </w:t>
            </w:r>
            <w:r w:rsidR="00E91FB3" w:rsidRPr="0046696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Free Text, sulfa, sulfa,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sulpha</w:t>
            </w:r>
            <w:proofErr w:type="spellEnd"/>
          </w:p>
        </w:tc>
      </w:tr>
    </w:tbl>
    <w:p w14:paraId="174CABF9" w14:textId="77777777" w:rsidR="0066308C" w:rsidRDefault="0066308C" w:rsidP="009546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F9F5D5" w14:textId="77777777" w:rsidR="0046696F" w:rsidRDefault="004669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857D62E" w14:textId="2772B5F7" w:rsidR="00AC705D" w:rsidRPr="0046696F" w:rsidRDefault="00AC705D" w:rsidP="009546C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C70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="006755C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C705D">
        <w:rPr>
          <w:rFonts w:ascii="Times New Roman" w:hAnsi="Times New Roman" w:cs="Times New Roman"/>
          <w:b/>
          <w:bCs/>
          <w:sz w:val="24"/>
          <w:szCs w:val="24"/>
        </w:rPr>
        <w:t xml:space="preserve">4. Administered antibiotic group definitions.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766386" w:rsidRPr="006D622D" w14:paraId="6271476A" w14:textId="77777777" w:rsidTr="007A2CFB">
        <w:tc>
          <w:tcPr>
            <w:tcW w:w="2425" w:type="dxa"/>
            <w:vAlign w:val="center"/>
          </w:tcPr>
          <w:p w14:paraId="5C808924" w14:textId="4F10F334" w:rsidR="00766386" w:rsidRPr="008934F2" w:rsidRDefault="007A26BF" w:rsidP="005E756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Administered antibiotic group definitions</w:t>
            </w:r>
          </w:p>
        </w:tc>
        <w:tc>
          <w:tcPr>
            <w:tcW w:w="6925" w:type="dxa"/>
            <w:vAlign w:val="center"/>
          </w:tcPr>
          <w:p w14:paraId="4A19FFA5" w14:textId="284A2A11" w:rsidR="00766386" w:rsidRPr="008934F2" w:rsidRDefault="007A26BF" w:rsidP="005E756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Bar-code administration (BCMA) record database search terms </w:t>
            </w:r>
          </w:p>
        </w:tc>
      </w:tr>
      <w:tr w:rsidR="00AC705D" w:rsidRPr="006D622D" w14:paraId="01FBC9D1" w14:textId="77777777" w:rsidTr="007A2CFB">
        <w:tc>
          <w:tcPr>
            <w:tcW w:w="2425" w:type="dxa"/>
            <w:vAlign w:val="center"/>
          </w:tcPr>
          <w:p w14:paraId="4F49A068" w14:textId="7BB4C25F" w:rsidR="00AC705D" w:rsidRPr="008934F2" w:rsidRDefault="00AC705D" w:rsidP="005E756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Aminoglycosides</w:t>
            </w:r>
            <w:r w:rsidR="001C2AD9" w:rsidRPr="008934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925" w:type="dxa"/>
            <w:vAlign w:val="center"/>
          </w:tcPr>
          <w:p w14:paraId="569B952A" w14:textId="77777777" w:rsidR="00AC705D" w:rsidRPr="008934F2" w:rsidRDefault="00AC705D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Amikacin</w:t>
            </w:r>
          </w:p>
          <w:p w14:paraId="29B64EDD" w14:textId="77777777" w:rsidR="00AC705D" w:rsidRPr="008934F2" w:rsidRDefault="00AC705D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Gentamicin</w:t>
            </w:r>
          </w:p>
          <w:p w14:paraId="51FC4F9F" w14:textId="77777777" w:rsidR="00AC705D" w:rsidRPr="008934F2" w:rsidRDefault="00AC705D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Streptomycin</w:t>
            </w:r>
          </w:p>
          <w:p w14:paraId="578770B6" w14:textId="77777777" w:rsidR="00AC705D" w:rsidRPr="008934F2" w:rsidRDefault="00AC705D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Tobramycin</w:t>
            </w:r>
          </w:p>
        </w:tc>
      </w:tr>
      <w:tr w:rsidR="00AC705D" w:rsidRPr="006D622D" w14:paraId="32D25285" w14:textId="77777777" w:rsidTr="007A2CFB">
        <w:tc>
          <w:tcPr>
            <w:tcW w:w="2425" w:type="dxa"/>
            <w:vAlign w:val="center"/>
          </w:tcPr>
          <w:p w14:paraId="337A0648" w14:textId="5B1F4E0C" w:rsidR="00AC705D" w:rsidRPr="008934F2" w:rsidRDefault="00AC705D" w:rsidP="005E756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Anti-MRSA</w:t>
            </w:r>
            <w:r w:rsidR="00844365" w:rsidRPr="0089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agents</w:t>
            </w:r>
          </w:p>
        </w:tc>
        <w:tc>
          <w:tcPr>
            <w:tcW w:w="6925" w:type="dxa"/>
            <w:vAlign w:val="center"/>
          </w:tcPr>
          <w:p w14:paraId="13EE4BCC" w14:textId="408FD30D" w:rsidR="004A15DE" w:rsidRPr="008934F2" w:rsidRDefault="004A15DE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Dalbavancin, </w:t>
            </w: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Dal</w:t>
            </w:r>
            <w:r w:rsidR="00817DCD" w:rsidRPr="008934F2">
              <w:rPr>
                <w:rFonts w:ascii="Times New Roman" w:hAnsi="Times New Roman" w:cs="Times New Roman"/>
                <w:sz w:val="20"/>
                <w:szCs w:val="20"/>
              </w:rPr>
              <w:t>vance</w:t>
            </w:r>
            <w:proofErr w:type="spellEnd"/>
          </w:p>
          <w:p w14:paraId="6B4FCA34" w14:textId="1F261B34" w:rsidR="00AC705D" w:rsidRPr="008934F2" w:rsidRDefault="00AC705D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Daptomycin, </w:t>
            </w: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Cubicin</w:t>
            </w:r>
            <w:proofErr w:type="spellEnd"/>
          </w:p>
          <w:p w14:paraId="6F0D19C2" w14:textId="77777777" w:rsidR="00AC705D" w:rsidRPr="008934F2" w:rsidRDefault="00AC705D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Linezolid, </w:t>
            </w: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Zyvox</w:t>
            </w:r>
            <w:proofErr w:type="spellEnd"/>
          </w:p>
          <w:p w14:paraId="1081E97C" w14:textId="1215B960" w:rsidR="00695160" w:rsidRPr="008934F2" w:rsidRDefault="00695160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Oritavancin</w:t>
            </w:r>
            <w:proofErr w:type="spellEnd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7DCD"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17DCD" w:rsidRPr="008934F2">
              <w:rPr>
                <w:rFonts w:ascii="Times New Roman" w:hAnsi="Times New Roman" w:cs="Times New Roman"/>
                <w:sz w:val="20"/>
                <w:szCs w:val="20"/>
              </w:rPr>
              <w:t>Orbactiv</w:t>
            </w:r>
            <w:proofErr w:type="spellEnd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19FF4E" w14:textId="723C0D32" w:rsidR="00544952" w:rsidRPr="008934F2" w:rsidRDefault="00544952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Quinupristin</w:t>
            </w:r>
            <w:proofErr w:type="spellEnd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Dalfopristin</w:t>
            </w:r>
            <w:proofErr w:type="spellEnd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17DCD" w:rsidRPr="008934F2">
              <w:rPr>
                <w:rFonts w:ascii="Times New Roman" w:hAnsi="Times New Roman" w:cs="Times New Roman"/>
                <w:sz w:val="20"/>
                <w:szCs w:val="20"/>
              </w:rPr>
              <w:t>Synercid</w:t>
            </w:r>
            <w:proofErr w:type="spellEnd"/>
          </w:p>
          <w:p w14:paraId="64A224D4" w14:textId="086789B1" w:rsidR="00AC705D" w:rsidRPr="008934F2" w:rsidRDefault="00AC705D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Tedizolid, </w:t>
            </w: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Silvextro</w:t>
            </w:r>
            <w:proofErr w:type="spellEnd"/>
          </w:p>
          <w:p w14:paraId="3EB5F874" w14:textId="10F7935D" w:rsidR="00695160" w:rsidRPr="008934F2" w:rsidRDefault="00695160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Telavancin, </w:t>
            </w:r>
            <w:proofErr w:type="spellStart"/>
            <w:r w:rsidR="00766386" w:rsidRPr="008934F2">
              <w:rPr>
                <w:rFonts w:ascii="Times New Roman" w:hAnsi="Times New Roman" w:cs="Times New Roman"/>
                <w:sz w:val="20"/>
                <w:szCs w:val="20"/>
              </w:rPr>
              <w:t>Vibativ</w:t>
            </w:r>
            <w:proofErr w:type="spellEnd"/>
          </w:p>
          <w:p w14:paraId="3B6BD4DF" w14:textId="25D4C677" w:rsidR="00AC705D" w:rsidRPr="008934F2" w:rsidRDefault="00AC705D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Vancomycin</w:t>
            </w:r>
            <w:r w:rsidR="00F30B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Firvanq</w:t>
            </w:r>
            <w:proofErr w:type="spellEnd"/>
          </w:p>
        </w:tc>
      </w:tr>
      <w:tr w:rsidR="008A484A" w:rsidRPr="006D622D" w14:paraId="4CC26D66" w14:textId="77777777" w:rsidTr="007A2CFB">
        <w:tc>
          <w:tcPr>
            <w:tcW w:w="2425" w:type="dxa"/>
            <w:vAlign w:val="center"/>
          </w:tcPr>
          <w:p w14:paraId="45DA9B1A" w14:textId="55E875DF" w:rsidR="008A484A" w:rsidRPr="008934F2" w:rsidRDefault="007F7FF2" w:rsidP="005E756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Anti-pseudomonal</w:t>
            </w:r>
            <w:r w:rsidR="008A4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cephalosporins</w:t>
            </w:r>
          </w:p>
        </w:tc>
        <w:tc>
          <w:tcPr>
            <w:tcW w:w="6925" w:type="dxa"/>
            <w:vAlign w:val="center"/>
          </w:tcPr>
          <w:p w14:paraId="1061DEF3" w14:textId="77777777" w:rsidR="008A484A" w:rsidRPr="0046696F" w:rsidRDefault="008A484A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Cefepime,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Maxipime</w:t>
            </w:r>
            <w:proofErr w:type="spellEnd"/>
          </w:p>
          <w:p w14:paraId="6E7D01FE" w14:textId="15B2CB06" w:rsidR="008A484A" w:rsidRPr="008934F2" w:rsidRDefault="008A484A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Ceftazidime,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Fortaz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Tazicef</w:t>
            </w:r>
            <w:proofErr w:type="spellEnd"/>
          </w:p>
        </w:tc>
      </w:tr>
      <w:tr w:rsidR="005E7565" w:rsidRPr="006D622D" w14:paraId="31A73AFC" w14:textId="77777777" w:rsidTr="007A2CFB">
        <w:tc>
          <w:tcPr>
            <w:tcW w:w="2425" w:type="dxa"/>
            <w:vAlign w:val="center"/>
          </w:tcPr>
          <w:p w14:paraId="60878C44" w14:textId="7702204D" w:rsidR="005E7565" w:rsidRDefault="003E2235" w:rsidP="005E756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Anti-pseudomonal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penicillin</w:t>
            </w:r>
            <w:r w:rsidR="008D5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spellEnd"/>
          </w:p>
        </w:tc>
        <w:tc>
          <w:tcPr>
            <w:tcW w:w="6925" w:type="dxa"/>
            <w:vAlign w:val="center"/>
          </w:tcPr>
          <w:p w14:paraId="4B1CF9C8" w14:textId="52BEC3BF" w:rsidR="005E7565" w:rsidRPr="0046696F" w:rsidRDefault="003E223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Piperacillin-tazobactam, Zosyn</w:t>
            </w:r>
          </w:p>
        </w:tc>
      </w:tr>
      <w:tr w:rsidR="005E7565" w:rsidRPr="006D622D" w14:paraId="14441976" w14:textId="77777777" w:rsidTr="007A2CFB">
        <w:tc>
          <w:tcPr>
            <w:tcW w:w="2425" w:type="dxa"/>
            <w:vAlign w:val="center"/>
          </w:tcPr>
          <w:p w14:paraId="49B4742F" w14:textId="6BEC95E9" w:rsidR="005E7565" w:rsidRPr="008934F2" w:rsidRDefault="005E7565" w:rsidP="005E756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Carbapenems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925" w:type="dxa"/>
            <w:vAlign w:val="center"/>
          </w:tcPr>
          <w:p w14:paraId="2ADA0DEF" w14:textId="77777777" w:rsidR="005E7565" w:rsidRPr="008934F2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Doripenem</w:t>
            </w:r>
            <w:proofErr w:type="spellEnd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Doribax</w:t>
            </w:r>
            <w:proofErr w:type="spellEnd"/>
          </w:p>
          <w:p w14:paraId="0A556205" w14:textId="77777777" w:rsidR="005E7565" w:rsidRPr="008934F2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Ertapenem, </w:t>
            </w: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Invanz</w:t>
            </w:r>
            <w:proofErr w:type="spellEnd"/>
          </w:p>
          <w:p w14:paraId="089E0547" w14:textId="77777777" w:rsidR="005E7565" w:rsidRPr="008934F2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Imipenem, </w:t>
            </w: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Primaxin</w:t>
            </w:r>
            <w:proofErr w:type="spellEnd"/>
          </w:p>
          <w:p w14:paraId="313D35C2" w14:textId="6507A9A8" w:rsidR="005E7565" w:rsidRPr="008934F2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Meropenem, </w:t>
            </w: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Merrem</w:t>
            </w:r>
            <w:proofErr w:type="spellEnd"/>
          </w:p>
        </w:tc>
      </w:tr>
      <w:tr w:rsidR="005E7565" w:rsidRPr="006D622D" w14:paraId="3AAD6073" w14:textId="77777777" w:rsidTr="007A2CFB">
        <w:tc>
          <w:tcPr>
            <w:tcW w:w="2425" w:type="dxa"/>
            <w:vAlign w:val="center"/>
          </w:tcPr>
          <w:p w14:paraId="1391905F" w14:textId="71C71CA2" w:rsidR="005E7565" w:rsidRPr="008934F2" w:rsidRDefault="005E7565" w:rsidP="005E756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Clindamycin</w:t>
            </w:r>
            <w:r w:rsidRPr="008934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9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25" w:type="dxa"/>
            <w:vAlign w:val="center"/>
          </w:tcPr>
          <w:p w14:paraId="525C5172" w14:textId="77777777" w:rsidR="005E7565" w:rsidRPr="008934F2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Clindamycin, Cleocin</w:t>
            </w:r>
          </w:p>
        </w:tc>
      </w:tr>
      <w:tr w:rsidR="005E7565" w:rsidRPr="006D622D" w14:paraId="298FDF94" w14:textId="77777777" w:rsidTr="007A2CFB">
        <w:tc>
          <w:tcPr>
            <w:tcW w:w="2425" w:type="dxa"/>
            <w:vAlign w:val="center"/>
          </w:tcPr>
          <w:p w14:paraId="11569FFB" w14:textId="4F8F4098" w:rsidR="005E7565" w:rsidRPr="008934F2" w:rsidRDefault="005E7565" w:rsidP="005E756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Fluoroquinolones</w:t>
            </w:r>
            <w:r w:rsidRPr="008934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925" w:type="dxa"/>
            <w:vAlign w:val="center"/>
          </w:tcPr>
          <w:p w14:paraId="45ADE375" w14:textId="77777777" w:rsidR="005E7565" w:rsidRPr="008934F2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Ciprofloxacin, </w:t>
            </w: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Cetraxal</w:t>
            </w:r>
            <w:proofErr w:type="spellEnd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Ciloxan</w:t>
            </w:r>
            <w:proofErr w:type="spellEnd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Ciproxin</w:t>
            </w:r>
            <w:proofErr w:type="spellEnd"/>
          </w:p>
          <w:p w14:paraId="3AFBC9FC" w14:textId="77777777" w:rsidR="005E7565" w:rsidRPr="008934F2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Delafloxacin, </w:t>
            </w: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Baxdela</w:t>
            </w:r>
            <w:proofErr w:type="spellEnd"/>
          </w:p>
          <w:p w14:paraId="68809126" w14:textId="77777777" w:rsidR="005E7565" w:rsidRPr="008934F2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Gatifloxacin</w:t>
            </w:r>
            <w:proofErr w:type="spellEnd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Tequin</w:t>
            </w:r>
            <w:proofErr w:type="spellEnd"/>
          </w:p>
          <w:p w14:paraId="274D5F62" w14:textId="77777777" w:rsidR="005E7565" w:rsidRPr="008934F2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Gemifloxacin, </w:t>
            </w: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Factive</w:t>
            </w:r>
            <w:proofErr w:type="spellEnd"/>
          </w:p>
          <w:p w14:paraId="5E5100C0" w14:textId="77777777" w:rsidR="005E7565" w:rsidRPr="008934F2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Levofloxacin, Levaquin</w:t>
            </w:r>
          </w:p>
          <w:p w14:paraId="43442D6F" w14:textId="6496B0E5" w:rsidR="005E7565" w:rsidRPr="008934F2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Moxifloxacin, </w:t>
            </w: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Avelox</w:t>
            </w:r>
            <w:proofErr w:type="spellEnd"/>
          </w:p>
        </w:tc>
      </w:tr>
      <w:tr w:rsidR="003E2235" w:rsidRPr="006D622D" w14:paraId="5EA87F47" w14:textId="77777777" w:rsidTr="005E7565">
        <w:tc>
          <w:tcPr>
            <w:tcW w:w="2425" w:type="dxa"/>
            <w:vAlign w:val="center"/>
          </w:tcPr>
          <w:p w14:paraId="5C26FFB8" w14:textId="5203CAF0" w:rsidR="003E2235" w:rsidRDefault="003E2235" w:rsidP="003E223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Monobactams</w:t>
            </w:r>
          </w:p>
        </w:tc>
        <w:tc>
          <w:tcPr>
            <w:tcW w:w="6925" w:type="dxa"/>
            <w:vAlign w:val="center"/>
          </w:tcPr>
          <w:p w14:paraId="5F2D0F15" w14:textId="1D41A44F" w:rsidR="003E2235" w:rsidRPr="0046696F" w:rsidRDefault="003E2235" w:rsidP="003E223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Aztreonam,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Azactam</w:t>
            </w:r>
            <w:proofErr w:type="spellEnd"/>
          </w:p>
        </w:tc>
      </w:tr>
      <w:tr w:rsidR="005E7565" w:rsidRPr="006D622D" w14:paraId="3D60B9C3" w14:textId="77777777" w:rsidTr="007A2CFB">
        <w:tc>
          <w:tcPr>
            <w:tcW w:w="2425" w:type="dxa"/>
            <w:vAlign w:val="center"/>
          </w:tcPr>
          <w:p w14:paraId="2859F40B" w14:textId="0F5478A7" w:rsidR="005E7565" w:rsidRPr="008934F2" w:rsidRDefault="005E7565" w:rsidP="005E756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Narrow-spectrum structurally</w:t>
            </w:r>
            <w:r w:rsidRPr="0089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different</w:t>
            </w:r>
            <w:r w:rsidRPr="0089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cephalosporins</w:t>
            </w:r>
          </w:p>
        </w:tc>
        <w:tc>
          <w:tcPr>
            <w:tcW w:w="6925" w:type="dxa"/>
            <w:vAlign w:val="center"/>
          </w:tcPr>
          <w:p w14:paraId="1DF422CA" w14:textId="1BFA6744" w:rsidR="005E7565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Cefazolin, Ancef, </w:t>
            </w: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Kefzol</w:t>
            </w:r>
            <w:proofErr w:type="spellEnd"/>
          </w:p>
          <w:p w14:paraId="07394137" w14:textId="2C92FA37" w:rsidR="005E7565" w:rsidRPr="002B1BE2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Cefotetan,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Apatef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Cefotan</w:t>
            </w:r>
            <w:proofErr w:type="spellEnd"/>
          </w:p>
          <w:p w14:paraId="29F7DFA4" w14:textId="090318C6" w:rsidR="005E7565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Cefoxitin,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Mefoxin</w:t>
            </w:r>
            <w:proofErr w:type="spellEnd"/>
          </w:p>
          <w:p w14:paraId="23CCF880" w14:textId="651B0564" w:rsidR="005E7565" w:rsidRPr="00944B28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Cefuroxime, Ceftin,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Zinacef</w:t>
            </w:r>
            <w:proofErr w:type="spellEnd"/>
          </w:p>
          <w:p w14:paraId="39E75C3A" w14:textId="77777777" w:rsidR="005E7565" w:rsidRPr="008934F2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Cefdinir, Omnicef</w:t>
            </w:r>
          </w:p>
          <w:p w14:paraId="3F973808" w14:textId="5110FBD9" w:rsidR="005E7565" w:rsidRPr="00CB5856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Cefixime, </w:t>
            </w: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Suprax</w:t>
            </w:r>
            <w:proofErr w:type="spellEnd"/>
          </w:p>
          <w:p w14:paraId="0B26BBF2" w14:textId="77777777" w:rsidR="005E7565" w:rsidRPr="008934F2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Cefotaxime, </w:t>
            </w: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Claforan</w:t>
            </w:r>
            <w:proofErr w:type="spellEnd"/>
          </w:p>
          <w:p w14:paraId="6804E364" w14:textId="77777777" w:rsidR="005E7565" w:rsidRPr="008934F2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Cefpodoxime, </w:t>
            </w: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Vantin</w:t>
            </w:r>
            <w:proofErr w:type="spellEnd"/>
          </w:p>
          <w:p w14:paraId="1E94612D" w14:textId="77777777" w:rsidR="005E7565" w:rsidRPr="008934F2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34F2">
              <w:rPr>
                <w:rFonts w:ascii="Times New Roman" w:hAnsi="Times New Roman" w:cs="Times New Roman"/>
                <w:sz w:val="20"/>
                <w:szCs w:val="20"/>
              </w:rPr>
              <w:t xml:space="preserve">Ceftriaxone, </w:t>
            </w:r>
            <w:proofErr w:type="spellStart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Ceftrisol</w:t>
            </w:r>
            <w:proofErr w:type="spellEnd"/>
            <w:r w:rsidRPr="008934F2">
              <w:rPr>
                <w:rFonts w:ascii="Times New Roman" w:hAnsi="Times New Roman" w:cs="Times New Roman"/>
                <w:sz w:val="20"/>
                <w:szCs w:val="20"/>
              </w:rPr>
              <w:t>, Rocephin</w:t>
            </w:r>
          </w:p>
        </w:tc>
      </w:tr>
      <w:tr w:rsidR="006437C9" w:rsidRPr="006D622D" w14:paraId="5BB9D8D7" w14:textId="77777777" w:rsidTr="005E7565">
        <w:tc>
          <w:tcPr>
            <w:tcW w:w="2425" w:type="dxa"/>
            <w:vAlign w:val="center"/>
          </w:tcPr>
          <w:p w14:paraId="12E48470" w14:textId="072E95B2" w:rsidR="006437C9" w:rsidRDefault="006437C9" w:rsidP="006437C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Narrow-spectrum structurally similar cephalosporins</w:t>
            </w:r>
          </w:p>
        </w:tc>
        <w:tc>
          <w:tcPr>
            <w:tcW w:w="6925" w:type="dxa"/>
            <w:vAlign w:val="center"/>
          </w:tcPr>
          <w:p w14:paraId="21317FB8" w14:textId="77777777" w:rsidR="006437C9" w:rsidRPr="004E3ECD" w:rsidRDefault="006437C9" w:rsidP="006437C9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Cefaclor,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Ceclor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Raniclor</w:t>
            </w:r>
            <w:proofErr w:type="spellEnd"/>
          </w:p>
          <w:p w14:paraId="02FD7636" w14:textId="77777777" w:rsidR="006437C9" w:rsidRDefault="006437C9" w:rsidP="006437C9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Cefadroxil,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Duricef</w:t>
            </w:r>
            <w:proofErr w:type="spellEnd"/>
          </w:p>
          <w:p w14:paraId="50ACAA37" w14:textId="77777777" w:rsidR="006437C9" w:rsidRPr="0046696F" w:rsidRDefault="006437C9" w:rsidP="006437C9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Cefprozil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Cefzil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B96DE5" w14:textId="0B0AED75" w:rsidR="006437C9" w:rsidRPr="008934F2" w:rsidRDefault="006437C9" w:rsidP="006437C9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Cephalexin, Keflex</w:t>
            </w:r>
          </w:p>
        </w:tc>
      </w:tr>
      <w:tr w:rsidR="005E7565" w:rsidRPr="006D622D" w14:paraId="72B6D72F" w14:textId="77777777" w:rsidTr="007A2CFB">
        <w:tc>
          <w:tcPr>
            <w:tcW w:w="2425" w:type="dxa"/>
            <w:vAlign w:val="center"/>
          </w:tcPr>
          <w:p w14:paraId="5333F696" w14:textId="48321F4D" w:rsidR="005E7565" w:rsidRDefault="005E7565" w:rsidP="005E756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Narrow-spectrum </w:t>
            </w:r>
            <w:proofErr w:type="spellStart"/>
            <w:r w:rsidR="008D5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penicillins</w:t>
            </w:r>
            <w:proofErr w:type="spellEnd"/>
          </w:p>
        </w:tc>
        <w:tc>
          <w:tcPr>
            <w:tcW w:w="6925" w:type="dxa"/>
            <w:vAlign w:val="center"/>
          </w:tcPr>
          <w:p w14:paraId="41E9C171" w14:textId="77777777" w:rsidR="005E7565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Amoxicillin</w:t>
            </w:r>
          </w:p>
          <w:p w14:paraId="3FAEE657" w14:textId="77777777" w:rsidR="005E7565" w:rsidRPr="0046696F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Amoxicillin-clavulanic acid, Amoxicillin-clavulanate, Augmentin</w:t>
            </w:r>
          </w:p>
          <w:p w14:paraId="33C76CBA" w14:textId="77777777" w:rsidR="005E7565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Ampicillin,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Polycillin</w:t>
            </w:r>
            <w:proofErr w:type="spellEnd"/>
          </w:p>
          <w:p w14:paraId="04A2DC3D" w14:textId="77777777" w:rsidR="005E7565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Ampicillin-sulbactam, </w:t>
            </w: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Unasyn </w:t>
            </w:r>
          </w:p>
          <w:p w14:paraId="76E7BA44" w14:textId="77777777" w:rsidR="005E7565" w:rsidRPr="0046696F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Dicloxacillin,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Diclocil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Dicloxicil</w:t>
            </w:r>
            <w:proofErr w:type="spellEnd"/>
          </w:p>
          <w:p w14:paraId="32E1C60E" w14:textId="77777777" w:rsidR="005E7565" w:rsidRPr="0046696F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Nafcillin,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Nafcil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Nallpen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77CA99" w14:textId="77777777" w:rsidR="005E7565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Oxacillin, </w:t>
            </w:r>
            <w:proofErr w:type="spellStart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>Bactocil</w:t>
            </w:r>
            <w:proofErr w:type="spellEnd"/>
            <w:r w:rsidRPr="00466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87C5AB" w14:textId="00A41C50" w:rsidR="005E7565" w:rsidRPr="008934F2" w:rsidRDefault="005E7565" w:rsidP="005E756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Penicillin G, Penicillin V,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Bicillin</w:t>
            </w:r>
            <w:proofErr w:type="spellEnd"/>
          </w:p>
        </w:tc>
      </w:tr>
    </w:tbl>
    <w:p w14:paraId="324F0A56" w14:textId="6155ED0C" w:rsidR="00360736" w:rsidRDefault="001C2AD9" w:rsidP="008611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11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Excluded ophthalmic, </w:t>
      </w:r>
      <w:proofErr w:type="spellStart"/>
      <w:r>
        <w:rPr>
          <w:rFonts w:ascii="Times New Roman" w:hAnsi="Times New Roman" w:cs="Times New Roman"/>
          <w:sz w:val="24"/>
          <w:szCs w:val="24"/>
        </w:rPr>
        <w:t>otic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topical </w:t>
      </w:r>
      <w:proofErr w:type="gramStart"/>
      <w:r>
        <w:rPr>
          <w:rFonts w:ascii="Times New Roman" w:hAnsi="Times New Roman" w:cs="Times New Roman"/>
          <w:sz w:val="24"/>
          <w:szCs w:val="24"/>
        </w:rPr>
        <w:t>formulation</w:t>
      </w:r>
      <w:r w:rsidR="00AB487D">
        <w:rPr>
          <w:rFonts w:ascii="Times New Roman" w:hAnsi="Times New Roman" w:cs="Times New Roman"/>
          <w:sz w:val="24"/>
          <w:szCs w:val="24"/>
        </w:rPr>
        <w:t xml:space="preserve">s; </w:t>
      </w:r>
      <w:r w:rsidR="00AB487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30B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F30BFD">
        <w:rPr>
          <w:rFonts w:ascii="Times New Roman" w:hAnsi="Times New Roman" w:cs="Times New Roman"/>
          <w:sz w:val="24"/>
          <w:szCs w:val="24"/>
        </w:rPr>
        <w:t xml:space="preserve"> Excluded combination of carbapenem and β-lactamase inhibitor</w:t>
      </w:r>
      <w:r w:rsidR="00AB487D">
        <w:rPr>
          <w:rFonts w:ascii="Times New Roman" w:hAnsi="Times New Roman" w:cs="Times New Roman"/>
          <w:sz w:val="24"/>
          <w:szCs w:val="24"/>
        </w:rPr>
        <w:t xml:space="preserve">; </w:t>
      </w:r>
      <w:r w:rsidR="00F30BF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61136">
        <w:rPr>
          <w:rFonts w:ascii="Times New Roman" w:hAnsi="Times New Roman" w:cs="Times New Roman"/>
          <w:sz w:val="24"/>
          <w:szCs w:val="24"/>
        </w:rPr>
        <w:t xml:space="preserve"> Excluded oral </w:t>
      </w:r>
      <w:r w:rsidR="00360736">
        <w:rPr>
          <w:rFonts w:ascii="Times New Roman" w:hAnsi="Times New Roman" w:cs="Times New Roman"/>
          <w:sz w:val="24"/>
          <w:szCs w:val="24"/>
        </w:rPr>
        <w:t xml:space="preserve">and rectal </w:t>
      </w:r>
      <w:r w:rsidR="00861136">
        <w:rPr>
          <w:rFonts w:ascii="Times New Roman" w:hAnsi="Times New Roman" w:cs="Times New Roman"/>
          <w:sz w:val="24"/>
          <w:szCs w:val="24"/>
        </w:rPr>
        <w:t>formulation</w:t>
      </w:r>
      <w:r w:rsidR="00360736">
        <w:rPr>
          <w:rFonts w:ascii="Times New Roman" w:hAnsi="Times New Roman" w:cs="Times New Roman"/>
          <w:sz w:val="24"/>
          <w:szCs w:val="24"/>
        </w:rPr>
        <w:t>s</w:t>
      </w:r>
      <w:r w:rsidR="00861136">
        <w:rPr>
          <w:rFonts w:ascii="Times New Roman" w:hAnsi="Times New Roman" w:cs="Times New Roman"/>
          <w:sz w:val="24"/>
          <w:szCs w:val="24"/>
        </w:rPr>
        <w:t>.</w:t>
      </w:r>
    </w:p>
    <w:p w14:paraId="73B58890" w14:textId="03D624D7" w:rsidR="0046696F" w:rsidRDefault="00861136" w:rsidP="007A2CFB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2CFC0" w14:textId="7177A73D" w:rsidR="00E810DE" w:rsidRPr="006A12FB" w:rsidRDefault="005B70F7" w:rsidP="00E810D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="00FF133E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E810DE">
        <w:rPr>
          <w:rFonts w:ascii="Times New Roman" w:hAnsi="Times New Roman" w:cs="Times New Roman"/>
          <w:b/>
          <w:bCs/>
          <w:sz w:val="24"/>
          <w:szCs w:val="24"/>
        </w:rPr>
        <w:t xml:space="preserve">Percent of acute care admissions between 2011 and 2022 where patients reported a non-β-lactam allergy as their only antibiotic allergy or as one of multiple antibiotic allergies. </w:t>
      </w:r>
    </w:p>
    <w:p w14:paraId="5E88E9F7" w14:textId="77777777" w:rsidR="00E810DE" w:rsidRPr="006A12FB" w:rsidRDefault="00E810DE" w:rsidP="00E810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395" w:type="dxa"/>
        <w:tblLayout w:type="fixed"/>
        <w:tblLook w:val="04A0" w:firstRow="1" w:lastRow="0" w:firstColumn="1" w:lastColumn="0" w:noHBand="0" w:noVBand="1"/>
      </w:tblPr>
      <w:tblGrid>
        <w:gridCol w:w="3505"/>
        <w:gridCol w:w="1890"/>
      </w:tblGrid>
      <w:tr w:rsidR="00E810DE" w:rsidRPr="00B72045" w14:paraId="3875C84E" w14:textId="77777777" w:rsidTr="007A2CFB">
        <w:trPr>
          <w:trHeight w:val="242"/>
        </w:trPr>
        <w:tc>
          <w:tcPr>
            <w:tcW w:w="3505" w:type="dxa"/>
            <w:hideMark/>
          </w:tcPr>
          <w:p w14:paraId="45849441" w14:textId="77777777" w:rsidR="00E810DE" w:rsidRPr="009D3957" w:rsidRDefault="00E810DE" w:rsidP="0090246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hideMark/>
          </w:tcPr>
          <w:p w14:paraId="0A384E32" w14:textId="77777777" w:rsidR="00E810DE" w:rsidRDefault="00E810DE" w:rsidP="0090246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 Admissions</w:t>
            </w:r>
            <w:r w:rsidRPr="009D3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D1C79B4" w14:textId="77777777" w:rsidR="00E810DE" w:rsidRPr="009D3957" w:rsidRDefault="00E810DE" w:rsidP="0090246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6F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N=6,54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556F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299</w:t>
            </w:r>
          </w:p>
        </w:tc>
      </w:tr>
      <w:tr w:rsidR="00E810DE" w:rsidRPr="00B72045" w14:paraId="5F16063E" w14:textId="77777777" w:rsidTr="007A2CFB">
        <w:trPr>
          <w:trHeight w:val="53"/>
        </w:trPr>
        <w:tc>
          <w:tcPr>
            <w:tcW w:w="3505" w:type="dxa"/>
            <w:hideMark/>
          </w:tcPr>
          <w:p w14:paraId="795312B2" w14:textId="77777777" w:rsidR="00E810DE" w:rsidRPr="009D3957" w:rsidRDefault="00E810DE" w:rsidP="0090246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Single </w:t>
            </w:r>
            <w:r w:rsidRPr="009D39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allergy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reported </w:t>
            </w:r>
            <w:r w:rsidRPr="009D39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admission</w:t>
            </w:r>
          </w:p>
        </w:tc>
        <w:tc>
          <w:tcPr>
            <w:tcW w:w="1890" w:type="dxa"/>
            <w:hideMark/>
          </w:tcPr>
          <w:p w14:paraId="03012C88" w14:textId="77777777" w:rsidR="00E810DE" w:rsidRPr="009D3957" w:rsidRDefault="00E810DE" w:rsidP="0090246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D395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10DE" w:rsidRPr="00B72045" w14:paraId="20301BAC" w14:textId="77777777" w:rsidTr="007A2CFB">
        <w:trPr>
          <w:trHeight w:val="47"/>
        </w:trPr>
        <w:tc>
          <w:tcPr>
            <w:tcW w:w="3505" w:type="dxa"/>
          </w:tcPr>
          <w:p w14:paraId="6AFA5223" w14:textId="52AB39B6" w:rsidR="00E810DE" w:rsidRPr="009D3957" w:rsidRDefault="00E810D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D3957">
              <w:rPr>
                <w:rFonts w:ascii="Times New Roman" w:hAnsi="Times New Roman" w:cs="Times New Roman"/>
                <w:sz w:val="18"/>
                <w:szCs w:val="18"/>
              </w:rPr>
              <w:t xml:space="preserve">Aminoglycoside      </w:t>
            </w:r>
          </w:p>
        </w:tc>
        <w:tc>
          <w:tcPr>
            <w:tcW w:w="1890" w:type="dxa"/>
            <w:noWrap/>
          </w:tcPr>
          <w:p w14:paraId="202E02DA" w14:textId="3D3E33D5" w:rsidR="00E810DE" w:rsidRPr="009D3957" w:rsidDel="00F5400E" w:rsidRDefault="009C1A8C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5636BC">
              <w:rPr>
                <w:rFonts w:ascii="Times New Roman" w:hAnsi="Times New Roman" w:cs="Times New Roman"/>
                <w:sz w:val="18"/>
                <w:szCs w:val="18"/>
              </w:rPr>
              <w:t>527 (0.05%)</w:t>
            </w:r>
          </w:p>
        </w:tc>
      </w:tr>
      <w:tr w:rsidR="00E810DE" w:rsidRPr="00B72045" w14:paraId="74149F24" w14:textId="77777777" w:rsidTr="007A2CFB">
        <w:trPr>
          <w:trHeight w:val="47"/>
        </w:trPr>
        <w:tc>
          <w:tcPr>
            <w:tcW w:w="3505" w:type="dxa"/>
            <w:hideMark/>
          </w:tcPr>
          <w:p w14:paraId="70A24AFB" w14:textId="454D88DF" w:rsidR="00E810DE" w:rsidRPr="009D3957" w:rsidRDefault="00E810D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D3957">
              <w:rPr>
                <w:rFonts w:ascii="Times New Roman" w:hAnsi="Times New Roman" w:cs="Times New Roman"/>
                <w:sz w:val="18"/>
                <w:szCs w:val="18"/>
              </w:rPr>
              <w:t xml:space="preserve">Clindamycin      </w:t>
            </w:r>
          </w:p>
        </w:tc>
        <w:tc>
          <w:tcPr>
            <w:tcW w:w="1890" w:type="dxa"/>
            <w:noWrap/>
          </w:tcPr>
          <w:p w14:paraId="1D23738D" w14:textId="705C8196" w:rsidR="00E810DE" w:rsidRPr="009D3957" w:rsidRDefault="00AD1633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12,443 (0.19%)</w:t>
            </w:r>
          </w:p>
        </w:tc>
      </w:tr>
      <w:tr w:rsidR="00E810DE" w:rsidRPr="00B72045" w14:paraId="0477876D" w14:textId="77777777" w:rsidTr="007A2CFB">
        <w:trPr>
          <w:trHeight w:val="47"/>
        </w:trPr>
        <w:tc>
          <w:tcPr>
            <w:tcW w:w="3505" w:type="dxa"/>
            <w:hideMark/>
          </w:tcPr>
          <w:p w14:paraId="562A2DC0" w14:textId="04626500" w:rsidR="00E810DE" w:rsidRPr="009D3957" w:rsidRDefault="00E810D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D3957">
              <w:rPr>
                <w:rFonts w:ascii="Times New Roman" w:hAnsi="Times New Roman" w:cs="Times New Roman"/>
                <w:sz w:val="18"/>
                <w:szCs w:val="18"/>
              </w:rPr>
              <w:t xml:space="preserve">Daptomycin        </w:t>
            </w:r>
          </w:p>
        </w:tc>
        <w:tc>
          <w:tcPr>
            <w:tcW w:w="1890" w:type="dxa"/>
            <w:noWrap/>
          </w:tcPr>
          <w:p w14:paraId="2B29FA64" w14:textId="1EBB18D6" w:rsidR="00E810DE" w:rsidRPr="009D3957" w:rsidRDefault="00596D26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1,233 (0.02%)</w:t>
            </w:r>
          </w:p>
        </w:tc>
      </w:tr>
      <w:tr w:rsidR="00E810DE" w:rsidRPr="00B72045" w14:paraId="661133D4" w14:textId="77777777" w:rsidTr="007A2CFB">
        <w:trPr>
          <w:trHeight w:val="47"/>
        </w:trPr>
        <w:tc>
          <w:tcPr>
            <w:tcW w:w="3505" w:type="dxa"/>
            <w:hideMark/>
          </w:tcPr>
          <w:p w14:paraId="789323CE" w14:textId="749A9FF4" w:rsidR="00E810DE" w:rsidRPr="009D3957" w:rsidRDefault="00E810D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D3957">
              <w:rPr>
                <w:rFonts w:ascii="Times New Roman" w:hAnsi="Times New Roman" w:cs="Times New Roman"/>
                <w:sz w:val="18"/>
                <w:szCs w:val="18"/>
              </w:rPr>
              <w:t xml:space="preserve">Fluoroquinolone    </w:t>
            </w:r>
          </w:p>
        </w:tc>
        <w:tc>
          <w:tcPr>
            <w:tcW w:w="1890" w:type="dxa"/>
            <w:noWrap/>
          </w:tcPr>
          <w:p w14:paraId="3FD1936B" w14:textId="74C9C6E9" w:rsidR="00E810DE" w:rsidRPr="009D3957" w:rsidRDefault="00596D26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70,523 (1.07%)</w:t>
            </w:r>
          </w:p>
        </w:tc>
      </w:tr>
      <w:tr w:rsidR="00E810DE" w:rsidRPr="00B72045" w14:paraId="5C1060F2" w14:textId="77777777" w:rsidTr="007A2CFB">
        <w:trPr>
          <w:trHeight w:val="47"/>
        </w:trPr>
        <w:tc>
          <w:tcPr>
            <w:tcW w:w="3505" w:type="dxa"/>
            <w:noWrap/>
            <w:hideMark/>
          </w:tcPr>
          <w:p w14:paraId="3CFE428D" w14:textId="2DE530CE" w:rsidR="00E810DE" w:rsidRPr="009D3957" w:rsidRDefault="00E810D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D3957">
              <w:rPr>
                <w:rFonts w:ascii="Times New Roman" w:hAnsi="Times New Roman" w:cs="Times New Roman"/>
                <w:sz w:val="18"/>
                <w:szCs w:val="18"/>
              </w:rPr>
              <w:t xml:space="preserve">Macrolide    </w:t>
            </w:r>
          </w:p>
        </w:tc>
        <w:tc>
          <w:tcPr>
            <w:tcW w:w="1890" w:type="dxa"/>
            <w:noWrap/>
          </w:tcPr>
          <w:p w14:paraId="014C02B4" w14:textId="3F6C412C" w:rsidR="00E810DE" w:rsidRPr="009D3957" w:rsidRDefault="00596D26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30,605 (0.47%)</w:t>
            </w:r>
          </w:p>
        </w:tc>
      </w:tr>
      <w:tr w:rsidR="00E810DE" w:rsidRPr="00B72045" w14:paraId="2101BA35" w14:textId="77777777" w:rsidTr="007A2CFB">
        <w:trPr>
          <w:trHeight w:val="47"/>
        </w:trPr>
        <w:tc>
          <w:tcPr>
            <w:tcW w:w="3505" w:type="dxa"/>
            <w:noWrap/>
            <w:hideMark/>
          </w:tcPr>
          <w:p w14:paraId="7B640E89" w14:textId="510B4D03" w:rsidR="00E810DE" w:rsidRPr="009D3957" w:rsidRDefault="00E810D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D3957">
              <w:rPr>
                <w:rFonts w:ascii="Times New Roman" w:hAnsi="Times New Roman" w:cs="Times New Roman"/>
                <w:sz w:val="18"/>
                <w:szCs w:val="18"/>
              </w:rPr>
              <w:t xml:space="preserve">Metronidazole     </w:t>
            </w:r>
          </w:p>
        </w:tc>
        <w:tc>
          <w:tcPr>
            <w:tcW w:w="1890" w:type="dxa"/>
            <w:noWrap/>
          </w:tcPr>
          <w:p w14:paraId="488E9548" w14:textId="1E1C49E8" w:rsidR="00E810DE" w:rsidRPr="009D3957" w:rsidRDefault="000203FD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5,540 (0.08%)</w:t>
            </w:r>
          </w:p>
        </w:tc>
      </w:tr>
      <w:tr w:rsidR="00E810DE" w:rsidRPr="00B72045" w14:paraId="545D2F62" w14:textId="77777777" w:rsidTr="007A2CFB">
        <w:trPr>
          <w:trHeight w:val="47"/>
        </w:trPr>
        <w:tc>
          <w:tcPr>
            <w:tcW w:w="3505" w:type="dxa"/>
            <w:noWrap/>
            <w:hideMark/>
          </w:tcPr>
          <w:p w14:paraId="5A514EEE" w14:textId="56EB6E47" w:rsidR="00E810DE" w:rsidRPr="009D3957" w:rsidRDefault="00E810D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D3957">
              <w:rPr>
                <w:rFonts w:ascii="Times New Roman" w:hAnsi="Times New Roman" w:cs="Times New Roman"/>
                <w:sz w:val="18"/>
                <w:szCs w:val="18"/>
              </w:rPr>
              <w:t xml:space="preserve">Oxazolidinone        </w:t>
            </w:r>
          </w:p>
        </w:tc>
        <w:tc>
          <w:tcPr>
            <w:tcW w:w="1890" w:type="dxa"/>
            <w:noWrap/>
          </w:tcPr>
          <w:p w14:paraId="7C4DEBD4" w14:textId="5D06A049" w:rsidR="00E810DE" w:rsidRPr="009D3957" w:rsidRDefault="000203FD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1,559 (0.02%)</w:t>
            </w:r>
          </w:p>
        </w:tc>
      </w:tr>
      <w:tr w:rsidR="00E810DE" w:rsidRPr="00B72045" w14:paraId="25DD5EE8" w14:textId="77777777" w:rsidTr="007A2CFB">
        <w:trPr>
          <w:trHeight w:val="47"/>
        </w:trPr>
        <w:tc>
          <w:tcPr>
            <w:tcW w:w="3505" w:type="dxa"/>
            <w:noWrap/>
            <w:hideMark/>
          </w:tcPr>
          <w:p w14:paraId="15EF96C0" w14:textId="2F19B318" w:rsidR="00E810DE" w:rsidRPr="009D3957" w:rsidRDefault="00E810D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D3957">
              <w:rPr>
                <w:rFonts w:ascii="Times New Roman" w:hAnsi="Times New Roman" w:cs="Times New Roman"/>
                <w:sz w:val="18"/>
                <w:szCs w:val="18"/>
              </w:rPr>
              <w:t xml:space="preserve">Tetracycline     </w:t>
            </w:r>
          </w:p>
        </w:tc>
        <w:tc>
          <w:tcPr>
            <w:tcW w:w="1890" w:type="dxa"/>
            <w:noWrap/>
          </w:tcPr>
          <w:p w14:paraId="2376F68E" w14:textId="1C2BA415" w:rsidR="00E810DE" w:rsidRPr="009D3957" w:rsidRDefault="000203FD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34,861 (</w:t>
            </w:r>
            <w:r w:rsidR="00F514BE">
              <w:rPr>
                <w:rFonts w:ascii="Times New Roman" w:hAnsi="Times New Roman" w:cs="Times New Roman"/>
                <w:sz w:val="18"/>
                <w:szCs w:val="18"/>
              </w:rPr>
              <w:t>0.53%)</w:t>
            </w:r>
          </w:p>
        </w:tc>
      </w:tr>
      <w:tr w:rsidR="00E810DE" w:rsidRPr="00B72045" w14:paraId="2A84E8BB" w14:textId="77777777" w:rsidTr="007A2CFB">
        <w:trPr>
          <w:trHeight w:val="47"/>
        </w:trPr>
        <w:tc>
          <w:tcPr>
            <w:tcW w:w="3505" w:type="dxa"/>
            <w:noWrap/>
            <w:hideMark/>
          </w:tcPr>
          <w:p w14:paraId="388EC266" w14:textId="58D31135" w:rsidR="00E810DE" w:rsidRPr="009D3957" w:rsidRDefault="00E810D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D3957">
              <w:rPr>
                <w:rFonts w:ascii="Times New Roman" w:hAnsi="Times New Roman" w:cs="Times New Roman"/>
                <w:sz w:val="18"/>
                <w:szCs w:val="18"/>
              </w:rPr>
              <w:t>TMP-SMX</w:t>
            </w:r>
          </w:p>
        </w:tc>
        <w:tc>
          <w:tcPr>
            <w:tcW w:w="1890" w:type="dxa"/>
            <w:noWrap/>
          </w:tcPr>
          <w:p w14:paraId="57C48DE8" w14:textId="066DC41D" w:rsidR="00E810DE" w:rsidRPr="009D3957" w:rsidRDefault="00F514B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64,645 (0.99%)</w:t>
            </w:r>
          </w:p>
        </w:tc>
      </w:tr>
      <w:tr w:rsidR="00FA0BE6" w:rsidRPr="00B72045" w14:paraId="774FE442" w14:textId="77777777" w:rsidTr="007A2CFB">
        <w:trPr>
          <w:trHeight w:val="47"/>
        </w:trPr>
        <w:tc>
          <w:tcPr>
            <w:tcW w:w="3505" w:type="dxa"/>
            <w:noWrap/>
          </w:tcPr>
          <w:p w14:paraId="12BF4937" w14:textId="4615695E" w:rsidR="00FA0BE6" w:rsidRPr="009D3957" w:rsidRDefault="00FA0BE6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Unspecified Sulfa</w:t>
            </w:r>
          </w:p>
        </w:tc>
        <w:tc>
          <w:tcPr>
            <w:tcW w:w="1890" w:type="dxa"/>
            <w:noWrap/>
          </w:tcPr>
          <w:p w14:paraId="4F6881FF" w14:textId="6B4A3999" w:rsidR="00FA0BE6" w:rsidRPr="009D3957" w:rsidRDefault="00F514B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140,209 (2.14%)</w:t>
            </w:r>
          </w:p>
        </w:tc>
      </w:tr>
      <w:tr w:rsidR="00E810DE" w:rsidRPr="00B72045" w14:paraId="3C7046DB" w14:textId="77777777" w:rsidTr="007A2CFB">
        <w:trPr>
          <w:trHeight w:val="170"/>
        </w:trPr>
        <w:tc>
          <w:tcPr>
            <w:tcW w:w="3505" w:type="dxa"/>
            <w:noWrap/>
            <w:hideMark/>
          </w:tcPr>
          <w:p w14:paraId="47E1138B" w14:textId="7EEBB074" w:rsidR="00E810DE" w:rsidRPr="009D3957" w:rsidRDefault="00E810D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D3957">
              <w:rPr>
                <w:rFonts w:ascii="Times New Roman" w:hAnsi="Times New Roman" w:cs="Times New Roman"/>
                <w:sz w:val="18"/>
                <w:szCs w:val="18"/>
              </w:rPr>
              <w:t xml:space="preserve">Vancomycin    </w:t>
            </w:r>
          </w:p>
        </w:tc>
        <w:tc>
          <w:tcPr>
            <w:tcW w:w="1890" w:type="dxa"/>
            <w:noWrap/>
          </w:tcPr>
          <w:p w14:paraId="20B78B86" w14:textId="0091FFE4" w:rsidR="00E810DE" w:rsidRPr="009D3957" w:rsidRDefault="00F514B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17,286 (</w:t>
            </w:r>
            <w:r w:rsidR="00D55B5C">
              <w:rPr>
                <w:rFonts w:ascii="Times New Roman" w:hAnsi="Times New Roman" w:cs="Times New Roman"/>
                <w:sz w:val="18"/>
                <w:szCs w:val="18"/>
              </w:rPr>
              <w:t>0.26%)</w:t>
            </w:r>
          </w:p>
        </w:tc>
      </w:tr>
      <w:tr w:rsidR="00E810DE" w:rsidRPr="00B72045" w14:paraId="34BC9E92" w14:textId="77777777" w:rsidTr="007A2CFB">
        <w:trPr>
          <w:trHeight w:val="170"/>
        </w:trPr>
        <w:tc>
          <w:tcPr>
            <w:tcW w:w="3505" w:type="dxa"/>
            <w:noWrap/>
          </w:tcPr>
          <w:p w14:paraId="3A5B1BB9" w14:textId="1441B816" w:rsidR="00E810DE" w:rsidRPr="009D3957" w:rsidRDefault="00E810D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D3957">
              <w:rPr>
                <w:rFonts w:ascii="Times New Roman" w:hAnsi="Times New Roman" w:cs="Times New Roman"/>
                <w:sz w:val="18"/>
                <w:szCs w:val="18"/>
              </w:rPr>
              <w:t xml:space="preserve">Other Specified Antibiotic Allergy     </w:t>
            </w:r>
          </w:p>
        </w:tc>
        <w:tc>
          <w:tcPr>
            <w:tcW w:w="1890" w:type="dxa"/>
            <w:noWrap/>
          </w:tcPr>
          <w:p w14:paraId="54434BB7" w14:textId="4424744B" w:rsidR="00E810DE" w:rsidRPr="009D3957" w:rsidDel="00F5400E" w:rsidRDefault="00D55B5C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5,806 (0.09%)</w:t>
            </w:r>
          </w:p>
        </w:tc>
      </w:tr>
      <w:tr w:rsidR="00FA0BE6" w:rsidRPr="00B72045" w14:paraId="5D5755BE" w14:textId="77777777" w:rsidTr="007A2CFB">
        <w:trPr>
          <w:trHeight w:val="170"/>
        </w:trPr>
        <w:tc>
          <w:tcPr>
            <w:tcW w:w="3505" w:type="dxa"/>
            <w:noWrap/>
          </w:tcPr>
          <w:p w14:paraId="696BC962" w14:textId="6283DD3E" w:rsidR="00FA0BE6" w:rsidRPr="009D3957" w:rsidRDefault="00FA0BE6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Unspecified </w:t>
            </w:r>
            <w:r w:rsidR="00D55B5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ntibiotic</w:t>
            </w:r>
          </w:p>
        </w:tc>
        <w:tc>
          <w:tcPr>
            <w:tcW w:w="1890" w:type="dxa"/>
            <w:noWrap/>
          </w:tcPr>
          <w:p w14:paraId="6719A18C" w14:textId="6C20A68F" w:rsidR="00FA0BE6" w:rsidRPr="009D3957" w:rsidDel="00F5400E" w:rsidRDefault="00D55B5C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(&lt;0.01%)</w:t>
            </w:r>
          </w:p>
        </w:tc>
      </w:tr>
      <w:tr w:rsidR="00E810DE" w:rsidRPr="00B72045" w14:paraId="380F7A89" w14:textId="77777777" w:rsidTr="007A2CFB">
        <w:trPr>
          <w:trHeight w:val="125"/>
        </w:trPr>
        <w:tc>
          <w:tcPr>
            <w:tcW w:w="3505" w:type="dxa"/>
            <w:noWrap/>
          </w:tcPr>
          <w:p w14:paraId="431C20E1" w14:textId="0D092017" w:rsidR="00E810DE" w:rsidRPr="0090246B" w:rsidRDefault="00E810DE" w:rsidP="0090246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24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Multiple allergies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reported </w:t>
            </w:r>
            <w:r w:rsidRPr="009024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admission</w:t>
            </w:r>
            <w:r w:rsidR="002943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90" w:type="dxa"/>
            <w:noWrap/>
          </w:tcPr>
          <w:p w14:paraId="29262969" w14:textId="77777777" w:rsidR="00E810DE" w:rsidRPr="009D3957" w:rsidDel="00F5400E" w:rsidRDefault="00E810DE" w:rsidP="0090246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0DE" w:rsidRPr="00B72045" w14:paraId="2079A14F" w14:textId="77777777" w:rsidTr="007A2CFB">
        <w:trPr>
          <w:trHeight w:val="125"/>
        </w:trPr>
        <w:tc>
          <w:tcPr>
            <w:tcW w:w="3505" w:type="dxa"/>
            <w:noWrap/>
          </w:tcPr>
          <w:p w14:paraId="44DCA7FF" w14:textId="11C31B90" w:rsidR="00E810DE" w:rsidRPr="009D3957" w:rsidRDefault="00E810D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D3957">
              <w:rPr>
                <w:rFonts w:ascii="Times New Roman" w:hAnsi="Times New Roman" w:cs="Times New Roman"/>
                <w:sz w:val="18"/>
                <w:szCs w:val="18"/>
              </w:rPr>
              <w:t xml:space="preserve">Aminoglycoside      </w:t>
            </w:r>
          </w:p>
        </w:tc>
        <w:tc>
          <w:tcPr>
            <w:tcW w:w="1890" w:type="dxa"/>
            <w:noWrap/>
          </w:tcPr>
          <w:p w14:paraId="6025AD63" w14:textId="5FE2E2B7" w:rsidR="00E810DE" w:rsidRPr="009D3957" w:rsidDel="00F5400E" w:rsidRDefault="0093530B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5,648 (0.09%)</w:t>
            </w:r>
          </w:p>
        </w:tc>
      </w:tr>
      <w:tr w:rsidR="00E810DE" w:rsidRPr="00B72045" w14:paraId="0BB249EF" w14:textId="77777777" w:rsidTr="007A2CFB">
        <w:trPr>
          <w:trHeight w:val="125"/>
        </w:trPr>
        <w:tc>
          <w:tcPr>
            <w:tcW w:w="3505" w:type="dxa"/>
            <w:noWrap/>
          </w:tcPr>
          <w:p w14:paraId="752E0E37" w14:textId="131F5591" w:rsidR="00E810DE" w:rsidRDefault="00E810D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D3957">
              <w:rPr>
                <w:rFonts w:ascii="Times New Roman" w:hAnsi="Times New Roman" w:cs="Times New Roman"/>
                <w:sz w:val="18"/>
                <w:szCs w:val="18"/>
              </w:rPr>
              <w:t xml:space="preserve">Clindamycin      </w:t>
            </w:r>
          </w:p>
        </w:tc>
        <w:tc>
          <w:tcPr>
            <w:tcW w:w="1890" w:type="dxa"/>
            <w:noWrap/>
          </w:tcPr>
          <w:p w14:paraId="02E44EDE" w14:textId="4E6CA8DF" w:rsidR="00E810DE" w:rsidRPr="009D3957" w:rsidDel="00F5400E" w:rsidRDefault="00493C7F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23,236 (0.36%)</w:t>
            </w:r>
          </w:p>
        </w:tc>
      </w:tr>
      <w:tr w:rsidR="00E810DE" w:rsidRPr="00B72045" w14:paraId="0CD25329" w14:textId="77777777" w:rsidTr="007A2CFB">
        <w:trPr>
          <w:trHeight w:val="125"/>
        </w:trPr>
        <w:tc>
          <w:tcPr>
            <w:tcW w:w="3505" w:type="dxa"/>
            <w:noWrap/>
          </w:tcPr>
          <w:p w14:paraId="51CAFA8A" w14:textId="6F912BDE" w:rsidR="00E810DE" w:rsidRPr="009D3957" w:rsidRDefault="00E810D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D3957">
              <w:rPr>
                <w:rFonts w:ascii="Times New Roman" w:hAnsi="Times New Roman" w:cs="Times New Roman"/>
                <w:sz w:val="18"/>
                <w:szCs w:val="18"/>
              </w:rPr>
              <w:t xml:space="preserve">Daptomycin        </w:t>
            </w:r>
          </w:p>
        </w:tc>
        <w:tc>
          <w:tcPr>
            <w:tcW w:w="1890" w:type="dxa"/>
            <w:noWrap/>
          </w:tcPr>
          <w:p w14:paraId="72FA711D" w14:textId="5A11A381" w:rsidR="00E810DE" w:rsidRPr="009D3957" w:rsidDel="00F5400E" w:rsidRDefault="00652E16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1,520 (0.02%)</w:t>
            </w:r>
          </w:p>
        </w:tc>
      </w:tr>
      <w:tr w:rsidR="00E810DE" w:rsidRPr="00B72045" w14:paraId="68E4980B" w14:textId="77777777" w:rsidTr="007A2CFB">
        <w:trPr>
          <w:trHeight w:val="125"/>
        </w:trPr>
        <w:tc>
          <w:tcPr>
            <w:tcW w:w="3505" w:type="dxa"/>
            <w:noWrap/>
          </w:tcPr>
          <w:p w14:paraId="7BCCF57A" w14:textId="75F79987" w:rsidR="00E810DE" w:rsidRPr="009D3957" w:rsidRDefault="00E810D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D3957">
              <w:rPr>
                <w:rFonts w:ascii="Times New Roman" w:hAnsi="Times New Roman" w:cs="Times New Roman"/>
                <w:sz w:val="18"/>
                <w:szCs w:val="18"/>
              </w:rPr>
              <w:t xml:space="preserve">Fluoroquinolone    </w:t>
            </w:r>
          </w:p>
        </w:tc>
        <w:tc>
          <w:tcPr>
            <w:tcW w:w="1890" w:type="dxa"/>
            <w:noWrap/>
          </w:tcPr>
          <w:p w14:paraId="00F24242" w14:textId="3DF0C6B8" w:rsidR="00E810DE" w:rsidRPr="009D3957" w:rsidDel="00F5400E" w:rsidRDefault="008C40ED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7B7B19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 (1.11%)</w:t>
            </w:r>
          </w:p>
        </w:tc>
      </w:tr>
      <w:tr w:rsidR="00E810DE" w:rsidRPr="00B72045" w14:paraId="6AD610EC" w14:textId="77777777" w:rsidTr="007A2CFB">
        <w:trPr>
          <w:trHeight w:val="125"/>
        </w:trPr>
        <w:tc>
          <w:tcPr>
            <w:tcW w:w="3505" w:type="dxa"/>
            <w:noWrap/>
          </w:tcPr>
          <w:p w14:paraId="24A9D56F" w14:textId="75FC416E" w:rsidR="00E810DE" w:rsidRPr="009D3957" w:rsidRDefault="00E810D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D3957">
              <w:rPr>
                <w:rFonts w:ascii="Times New Roman" w:hAnsi="Times New Roman" w:cs="Times New Roman"/>
                <w:sz w:val="18"/>
                <w:szCs w:val="18"/>
              </w:rPr>
              <w:t xml:space="preserve">Macrolide    </w:t>
            </w:r>
          </w:p>
        </w:tc>
        <w:tc>
          <w:tcPr>
            <w:tcW w:w="1890" w:type="dxa"/>
            <w:noWrap/>
          </w:tcPr>
          <w:p w14:paraId="226DD6CC" w14:textId="38CAB970" w:rsidR="00E810DE" w:rsidRPr="009D3957" w:rsidDel="00F5400E" w:rsidRDefault="007B7B19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E23CE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429 (0.60%)</w:t>
            </w:r>
          </w:p>
        </w:tc>
      </w:tr>
      <w:tr w:rsidR="00E810DE" w:rsidRPr="00B72045" w14:paraId="66DA419F" w14:textId="77777777" w:rsidTr="007A2CFB">
        <w:trPr>
          <w:trHeight w:val="125"/>
        </w:trPr>
        <w:tc>
          <w:tcPr>
            <w:tcW w:w="3505" w:type="dxa"/>
            <w:noWrap/>
          </w:tcPr>
          <w:p w14:paraId="31540C25" w14:textId="2305AB71" w:rsidR="00E810DE" w:rsidRPr="009D3957" w:rsidRDefault="00E810D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D3957">
              <w:rPr>
                <w:rFonts w:ascii="Times New Roman" w:hAnsi="Times New Roman" w:cs="Times New Roman"/>
                <w:sz w:val="18"/>
                <w:szCs w:val="18"/>
              </w:rPr>
              <w:t xml:space="preserve">Metronidazole     </w:t>
            </w:r>
          </w:p>
        </w:tc>
        <w:tc>
          <w:tcPr>
            <w:tcW w:w="1890" w:type="dxa"/>
            <w:noWrap/>
          </w:tcPr>
          <w:p w14:paraId="0062BC31" w14:textId="3058C411" w:rsidR="00E810DE" w:rsidRPr="009D3957" w:rsidDel="00F5400E" w:rsidRDefault="00E23CEA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8,846 (0.14%)</w:t>
            </w:r>
          </w:p>
        </w:tc>
      </w:tr>
      <w:tr w:rsidR="00E810DE" w:rsidRPr="00B72045" w14:paraId="7926C48E" w14:textId="77777777" w:rsidTr="007A2CFB">
        <w:trPr>
          <w:trHeight w:val="125"/>
        </w:trPr>
        <w:tc>
          <w:tcPr>
            <w:tcW w:w="3505" w:type="dxa"/>
            <w:noWrap/>
          </w:tcPr>
          <w:p w14:paraId="5E1455D7" w14:textId="1FBCDD0B" w:rsidR="00E810DE" w:rsidRPr="009D3957" w:rsidRDefault="00E810D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D3957">
              <w:rPr>
                <w:rFonts w:ascii="Times New Roman" w:hAnsi="Times New Roman" w:cs="Times New Roman"/>
                <w:sz w:val="18"/>
                <w:szCs w:val="18"/>
              </w:rPr>
              <w:t xml:space="preserve">Oxazolidinone        </w:t>
            </w:r>
          </w:p>
        </w:tc>
        <w:tc>
          <w:tcPr>
            <w:tcW w:w="1890" w:type="dxa"/>
            <w:noWrap/>
          </w:tcPr>
          <w:p w14:paraId="4D2E029B" w14:textId="7C722513" w:rsidR="00E810DE" w:rsidRPr="009D3957" w:rsidDel="00F5400E" w:rsidRDefault="00E23CEA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2,455 (0.04%)</w:t>
            </w:r>
          </w:p>
        </w:tc>
      </w:tr>
      <w:tr w:rsidR="00E810DE" w:rsidRPr="00B72045" w14:paraId="102C9822" w14:textId="77777777" w:rsidTr="007A2CFB">
        <w:trPr>
          <w:trHeight w:val="125"/>
        </w:trPr>
        <w:tc>
          <w:tcPr>
            <w:tcW w:w="3505" w:type="dxa"/>
            <w:noWrap/>
          </w:tcPr>
          <w:p w14:paraId="5F4F6A07" w14:textId="18DEE8F2" w:rsidR="00E810DE" w:rsidRPr="009D3957" w:rsidRDefault="00E810D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D3957">
              <w:rPr>
                <w:rFonts w:ascii="Times New Roman" w:hAnsi="Times New Roman" w:cs="Times New Roman"/>
                <w:sz w:val="18"/>
                <w:szCs w:val="18"/>
              </w:rPr>
              <w:t xml:space="preserve">Tetracycline     </w:t>
            </w:r>
          </w:p>
        </w:tc>
        <w:tc>
          <w:tcPr>
            <w:tcW w:w="1890" w:type="dxa"/>
            <w:noWrap/>
          </w:tcPr>
          <w:p w14:paraId="04A384DC" w14:textId="7B5997F7" w:rsidR="00E810DE" w:rsidRPr="009D3957" w:rsidDel="00F5400E" w:rsidRDefault="007D1AB0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6F5F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482 (</w:t>
            </w:r>
            <w:r w:rsidR="006F5F37">
              <w:rPr>
                <w:rFonts w:ascii="Times New Roman" w:hAnsi="Times New Roman" w:cs="Times New Roman"/>
                <w:sz w:val="18"/>
                <w:szCs w:val="18"/>
              </w:rPr>
              <w:t>0.60%)</w:t>
            </w:r>
          </w:p>
        </w:tc>
      </w:tr>
      <w:tr w:rsidR="00E810DE" w:rsidRPr="00B72045" w14:paraId="6CBBA4EC" w14:textId="77777777" w:rsidTr="007A2CFB">
        <w:trPr>
          <w:trHeight w:val="125"/>
        </w:trPr>
        <w:tc>
          <w:tcPr>
            <w:tcW w:w="3505" w:type="dxa"/>
            <w:noWrap/>
          </w:tcPr>
          <w:p w14:paraId="19D50A46" w14:textId="4D87B6C9" w:rsidR="00E810DE" w:rsidRPr="009D3957" w:rsidRDefault="00E810D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D3957">
              <w:rPr>
                <w:rFonts w:ascii="Times New Roman" w:hAnsi="Times New Roman" w:cs="Times New Roman"/>
                <w:sz w:val="18"/>
                <w:szCs w:val="18"/>
              </w:rPr>
              <w:t>TMP-SMX</w:t>
            </w:r>
          </w:p>
        </w:tc>
        <w:tc>
          <w:tcPr>
            <w:tcW w:w="1890" w:type="dxa"/>
            <w:noWrap/>
          </w:tcPr>
          <w:p w14:paraId="1CF7E291" w14:textId="04130723" w:rsidR="00E810DE" w:rsidRPr="009D3957" w:rsidDel="00F5400E" w:rsidRDefault="006528B4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60,563 (0.93%)</w:t>
            </w:r>
          </w:p>
        </w:tc>
      </w:tr>
      <w:tr w:rsidR="00FA0BE6" w:rsidRPr="00B72045" w14:paraId="12904B3B" w14:textId="77777777" w:rsidTr="007A2CFB">
        <w:trPr>
          <w:trHeight w:val="125"/>
        </w:trPr>
        <w:tc>
          <w:tcPr>
            <w:tcW w:w="3505" w:type="dxa"/>
            <w:noWrap/>
          </w:tcPr>
          <w:p w14:paraId="35A1A0C5" w14:textId="12299C35" w:rsidR="00FA0BE6" w:rsidRPr="009D3957" w:rsidRDefault="00FA0BE6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Unspecified Sulfa</w:t>
            </w:r>
          </w:p>
        </w:tc>
        <w:tc>
          <w:tcPr>
            <w:tcW w:w="1890" w:type="dxa"/>
            <w:noWrap/>
          </w:tcPr>
          <w:p w14:paraId="14A17EF5" w14:textId="01DFDF40" w:rsidR="00FA0BE6" w:rsidRPr="009D3957" w:rsidDel="00F5400E" w:rsidRDefault="000A2E7A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99,915 (1.53%)</w:t>
            </w:r>
          </w:p>
        </w:tc>
      </w:tr>
      <w:tr w:rsidR="00E810DE" w:rsidRPr="00B72045" w14:paraId="76D86A0A" w14:textId="77777777" w:rsidTr="007A2CFB">
        <w:trPr>
          <w:trHeight w:val="125"/>
        </w:trPr>
        <w:tc>
          <w:tcPr>
            <w:tcW w:w="3505" w:type="dxa"/>
            <w:noWrap/>
          </w:tcPr>
          <w:p w14:paraId="75B2E02D" w14:textId="28B13809" w:rsidR="00E810DE" w:rsidRPr="009D3957" w:rsidRDefault="00E810D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D3957">
              <w:rPr>
                <w:rFonts w:ascii="Times New Roman" w:hAnsi="Times New Roman" w:cs="Times New Roman"/>
                <w:sz w:val="18"/>
                <w:szCs w:val="18"/>
              </w:rPr>
              <w:t xml:space="preserve">Vancomycin    </w:t>
            </w:r>
          </w:p>
        </w:tc>
        <w:tc>
          <w:tcPr>
            <w:tcW w:w="1890" w:type="dxa"/>
            <w:noWrap/>
          </w:tcPr>
          <w:p w14:paraId="6A4F14A8" w14:textId="2C860959" w:rsidR="00E810DE" w:rsidRPr="009D3957" w:rsidDel="00F5400E" w:rsidRDefault="000A2E7A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21,879 (0.33%)</w:t>
            </w:r>
          </w:p>
        </w:tc>
      </w:tr>
      <w:tr w:rsidR="00E810DE" w:rsidRPr="00B72045" w14:paraId="28B9FE0D" w14:textId="77777777" w:rsidTr="007A2CFB">
        <w:trPr>
          <w:trHeight w:val="125"/>
        </w:trPr>
        <w:tc>
          <w:tcPr>
            <w:tcW w:w="3505" w:type="dxa"/>
            <w:noWrap/>
          </w:tcPr>
          <w:p w14:paraId="6768E8E2" w14:textId="1C8D7FBE" w:rsidR="00E810DE" w:rsidRPr="009D3957" w:rsidRDefault="00E810DE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D3957">
              <w:rPr>
                <w:rFonts w:ascii="Times New Roman" w:hAnsi="Times New Roman" w:cs="Times New Roman"/>
                <w:sz w:val="18"/>
                <w:szCs w:val="18"/>
              </w:rPr>
              <w:t xml:space="preserve">Other Specified Antibiotic Allergy     </w:t>
            </w:r>
          </w:p>
        </w:tc>
        <w:tc>
          <w:tcPr>
            <w:tcW w:w="1890" w:type="dxa"/>
            <w:noWrap/>
          </w:tcPr>
          <w:p w14:paraId="3EBB0BA1" w14:textId="503DED56" w:rsidR="00E810DE" w:rsidRPr="009D3957" w:rsidDel="00F5400E" w:rsidRDefault="000A2E7A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="001C273C">
              <w:rPr>
                <w:rFonts w:ascii="Times New Roman" w:hAnsi="Times New Roman" w:cs="Times New Roman"/>
                <w:sz w:val="18"/>
                <w:szCs w:val="18"/>
              </w:rPr>
              <w:t>347 (0.16%)</w:t>
            </w:r>
          </w:p>
        </w:tc>
      </w:tr>
      <w:tr w:rsidR="00FA0BE6" w:rsidRPr="00B72045" w14:paraId="36437246" w14:textId="77777777" w:rsidTr="007A2CFB">
        <w:trPr>
          <w:trHeight w:val="125"/>
        </w:trPr>
        <w:tc>
          <w:tcPr>
            <w:tcW w:w="3505" w:type="dxa"/>
            <w:noWrap/>
          </w:tcPr>
          <w:p w14:paraId="37789AAD" w14:textId="61FDA23D" w:rsidR="00FA0BE6" w:rsidRPr="009D3957" w:rsidRDefault="00FA0BE6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Unspecified antibiotic</w:t>
            </w:r>
          </w:p>
        </w:tc>
        <w:tc>
          <w:tcPr>
            <w:tcW w:w="1890" w:type="dxa"/>
            <w:noWrap/>
          </w:tcPr>
          <w:p w14:paraId="28D2B3AB" w14:textId="52D4A524" w:rsidR="00FA0BE6" w:rsidRPr="009D3957" w:rsidDel="00F5400E" w:rsidRDefault="000A2E7A" w:rsidP="00E810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 (&lt;0.01%)</w:t>
            </w:r>
          </w:p>
        </w:tc>
      </w:tr>
    </w:tbl>
    <w:p w14:paraId="2BE1DCC3" w14:textId="72A5A2B8" w:rsidR="00E810DE" w:rsidRPr="006A5B66" w:rsidRDefault="00E810DE" w:rsidP="00E810D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C15D30">
        <w:rPr>
          <w:rFonts w:ascii="Times New Roman" w:hAnsi="Times New Roman" w:cs="Times New Roman"/>
          <w:sz w:val="20"/>
          <w:szCs w:val="20"/>
        </w:rPr>
        <w:t xml:space="preserve">Abbreviations: LOS Length of stay, SD Standard deviation </w:t>
      </w:r>
    </w:p>
    <w:p w14:paraId="3545EDA8" w14:textId="35036540" w:rsidR="00894F82" w:rsidRDefault="00294393" w:rsidP="00E810D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94F82">
        <w:rPr>
          <w:rFonts w:ascii="Times New Roman" w:hAnsi="Times New Roman" w:cs="Times New Roman"/>
          <w:sz w:val="20"/>
          <w:szCs w:val="20"/>
        </w:rPr>
        <w:t xml:space="preserve"> </w:t>
      </w:r>
      <w:r w:rsidR="00563FE8">
        <w:rPr>
          <w:rFonts w:ascii="Times New Roman" w:hAnsi="Times New Roman" w:cs="Times New Roman"/>
          <w:sz w:val="20"/>
          <w:szCs w:val="20"/>
        </w:rPr>
        <w:t>Includes patients that reported multiple antibiotic allergies at the time of admission; could report a single or multiple non-</w:t>
      </w:r>
      <w:r w:rsidR="00563FE8" w:rsidRPr="00C15D30">
        <w:rPr>
          <w:rFonts w:ascii="Times New Roman" w:hAnsi="Times New Roman" w:cs="Times New Roman"/>
          <w:sz w:val="20"/>
          <w:szCs w:val="20"/>
        </w:rPr>
        <w:t>β-</w:t>
      </w:r>
      <w:r w:rsidR="00563FE8">
        <w:rPr>
          <w:rFonts w:ascii="Times New Roman" w:hAnsi="Times New Roman" w:cs="Times New Roman"/>
          <w:sz w:val="20"/>
          <w:szCs w:val="20"/>
        </w:rPr>
        <w:t>lactam allergies as part of those multiple antibiotic allergies.</w:t>
      </w:r>
      <w:r w:rsidR="00563FE8" w:rsidRPr="00C15D30">
        <w:rPr>
          <w:rFonts w:ascii="Times New Roman" w:hAnsi="Times New Roman" w:cs="Times New Roman"/>
          <w:sz w:val="20"/>
          <w:szCs w:val="20"/>
        </w:rPr>
        <w:t xml:space="preserve"> </w:t>
      </w:r>
      <w:r w:rsidR="00563FE8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58C1F403" w14:textId="77777777" w:rsidR="0024710A" w:rsidRPr="00AC705D" w:rsidRDefault="0024710A" w:rsidP="0024710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6A39F" w14:textId="3E0F24A5" w:rsidR="008678B1" w:rsidRDefault="00867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FDB4D1" w14:textId="0CF8A691" w:rsidR="00AC705D" w:rsidRDefault="008678B1" w:rsidP="009546C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Figure S1.</w:t>
      </w:r>
      <w:r w:rsidR="006D3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603">
        <w:rPr>
          <w:rFonts w:ascii="Times New Roman" w:hAnsi="Times New Roman" w:cs="Times New Roman"/>
          <w:b/>
          <w:bCs/>
          <w:sz w:val="24"/>
          <w:szCs w:val="24"/>
        </w:rPr>
        <w:t xml:space="preserve">Percent of acute care admissions where </w:t>
      </w:r>
      <w:r w:rsidR="0033657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E966FF">
        <w:rPr>
          <w:rFonts w:ascii="Times New Roman" w:hAnsi="Times New Roman" w:cs="Times New Roman"/>
          <w:b/>
          <w:bCs/>
          <w:sz w:val="24"/>
          <w:szCs w:val="24"/>
        </w:rPr>
        <w:t>penicillin</w:t>
      </w:r>
      <w:r w:rsidR="00336577">
        <w:rPr>
          <w:rFonts w:ascii="Times New Roman" w:hAnsi="Times New Roman" w:cs="Times New Roman"/>
          <w:b/>
          <w:bCs/>
          <w:sz w:val="24"/>
          <w:szCs w:val="24"/>
        </w:rPr>
        <w:t xml:space="preserve">-class allergy was reported </w:t>
      </w:r>
      <w:r w:rsidR="00377BF4">
        <w:rPr>
          <w:rFonts w:ascii="Times New Roman" w:hAnsi="Times New Roman" w:cs="Times New Roman"/>
          <w:b/>
          <w:bCs/>
          <w:sz w:val="24"/>
          <w:szCs w:val="24"/>
        </w:rPr>
        <w:t xml:space="preserve">either as the only antibiotic allergy or as one of multiple antibiotic allergies </w:t>
      </w:r>
      <w:r w:rsidR="00336577">
        <w:rPr>
          <w:rFonts w:ascii="Times New Roman" w:hAnsi="Times New Roman" w:cs="Times New Roman"/>
          <w:b/>
          <w:bCs/>
          <w:sz w:val="24"/>
          <w:szCs w:val="24"/>
        </w:rPr>
        <w:t xml:space="preserve">by age group (≥65 and &lt;65 years). </w:t>
      </w:r>
      <w:r w:rsidR="009F25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332A14" w14:textId="5B6D67D1" w:rsidR="00457BDC" w:rsidRDefault="00457BDC" w:rsidP="006A5B6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276B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77E0AD6" wp14:editId="11F7DC4D">
            <wp:extent cx="6297003" cy="3012886"/>
            <wp:effectExtent l="0" t="0" r="8890" b="0"/>
            <wp:docPr id="72991453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210" cy="3028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76BC" w:rsidRPr="007276BC">
        <w:rPr>
          <w:rFonts w:ascii="Times New Roman" w:hAnsi="Times New Roman" w:cs="Times New Roman"/>
          <w:sz w:val="20"/>
          <w:szCs w:val="20"/>
        </w:rPr>
        <w:t xml:space="preserve"> </w:t>
      </w:r>
      <w:r w:rsidR="007276BC" w:rsidRPr="003413F2">
        <w:rPr>
          <w:rFonts w:ascii="Times New Roman" w:hAnsi="Times New Roman" w:cs="Times New Roman"/>
          <w:sz w:val="20"/>
          <w:szCs w:val="20"/>
        </w:rPr>
        <w:t>Percent</w:t>
      </w:r>
      <w:r w:rsidR="007276BC">
        <w:rPr>
          <w:rFonts w:ascii="Times New Roman" w:hAnsi="Times New Roman" w:cs="Times New Roman"/>
          <w:sz w:val="20"/>
          <w:szCs w:val="20"/>
        </w:rPr>
        <w:t xml:space="preserve"> of acute care admissions </w:t>
      </w:r>
      <w:r w:rsidR="007276BC" w:rsidRPr="007276BC">
        <w:rPr>
          <w:rFonts w:ascii="Times New Roman" w:hAnsi="Times New Roman" w:cs="Times New Roman"/>
          <w:sz w:val="20"/>
          <w:szCs w:val="20"/>
        </w:rPr>
        <w:t>where a penicillin-class allergy was reported either as the only antibiotic allergy or as one of multiple antibiotic allergies</w:t>
      </w:r>
      <w:r w:rsidR="007276BC">
        <w:rPr>
          <w:rFonts w:ascii="Times New Roman" w:hAnsi="Times New Roman" w:cs="Times New Roman"/>
          <w:sz w:val="20"/>
          <w:szCs w:val="20"/>
        </w:rPr>
        <w:t xml:space="preserve"> </w:t>
      </w:r>
      <w:r w:rsidR="003F1BA5">
        <w:rPr>
          <w:rFonts w:ascii="Times New Roman" w:hAnsi="Times New Roman" w:cs="Times New Roman"/>
          <w:sz w:val="20"/>
          <w:szCs w:val="20"/>
        </w:rPr>
        <w:t>for</w:t>
      </w:r>
      <w:r w:rsidR="007276BC">
        <w:rPr>
          <w:rFonts w:ascii="Times New Roman" w:hAnsi="Times New Roman" w:cs="Times New Roman"/>
          <w:sz w:val="20"/>
          <w:szCs w:val="20"/>
        </w:rPr>
        <w:t xml:space="preserve"> age at admission ≥65 (A) and &lt;65 (B). </w:t>
      </w:r>
      <w:r w:rsidR="007276BC">
        <w:rPr>
          <w:rFonts w:ascii="Times New Roman" w:hAnsi="Times New Roman" w:cs="Times New Roman"/>
          <w:sz w:val="20"/>
          <w:szCs w:val="20"/>
        </w:rPr>
        <w:br/>
      </w:r>
      <w:r w:rsidR="007276BC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Each bar represents a 2-year period. The x-axis shows the first year of that 2-year period (e.g., 2011 includes 2011 and 2012).</w:t>
      </w:r>
    </w:p>
    <w:p w14:paraId="4D12512A" w14:textId="05679E5E" w:rsidR="00EE3CF0" w:rsidRDefault="00EE3C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F8160EE" w14:textId="035ACA5F" w:rsidR="00336577" w:rsidRDefault="00336577" w:rsidP="0033657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Figure S2. </w:t>
      </w:r>
      <w:r w:rsidR="00377BF4">
        <w:rPr>
          <w:rFonts w:ascii="Times New Roman" w:hAnsi="Times New Roman" w:cs="Times New Roman"/>
          <w:b/>
          <w:bCs/>
          <w:sz w:val="24"/>
          <w:szCs w:val="24"/>
        </w:rPr>
        <w:t xml:space="preserve">Percent of acute care admissions where a penicillin-class allergy was reported either as the only antibiotic allergy or as one of multiple antibiotic allergies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by region.   </w:t>
      </w:r>
    </w:p>
    <w:p w14:paraId="618DA725" w14:textId="77777777" w:rsidR="00336577" w:rsidRDefault="00336577" w:rsidP="0033657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8A96E" w14:textId="7EAF4335" w:rsidR="003F1BA5" w:rsidRDefault="00D01A2D" w:rsidP="003F1BA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D81F8CA" wp14:editId="4114ECD0">
            <wp:extent cx="6346001" cy="5157470"/>
            <wp:effectExtent l="0" t="0" r="0" b="5080"/>
            <wp:docPr id="15668395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49" cy="51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57BDC">
        <w:rPr>
          <w:rFonts w:ascii="Times New Roman" w:hAnsi="Times New Roman" w:cs="Times New Roman"/>
          <w:sz w:val="20"/>
          <w:szCs w:val="20"/>
        </w:rPr>
        <w:br/>
      </w:r>
      <w:r w:rsidR="00457BDC">
        <w:rPr>
          <w:rFonts w:ascii="Times New Roman" w:hAnsi="Times New Roman" w:cs="Times New Roman"/>
          <w:sz w:val="20"/>
          <w:szCs w:val="20"/>
        </w:rPr>
        <w:br/>
      </w:r>
      <w:r w:rsidR="003F1BA5" w:rsidRPr="003413F2">
        <w:rPr>
          <w:rFonts w:ascii="Times New Roman" w:hAnsi="Times New Roman" w:cs="Times New Roman"/>
          <w:sz w:val="20"/>
          <w:szCs w:val="20"/>
        </w:rPr>
        <w:t>Percent</w:t>
      </w:r>
      <w:r w:rsidR="003F1BA5">
        <w:rPr>
          <w:rFonts w:ascii="Times New Roman" w:hAnsi="Times New Roman" w:cs="Times New Roman"/>
          <w:sz w:val="20"/>
          <w:szCs w:val="20"/>
        </w:rPr>
        <w:t xml:space="preserve"> of acute care admissions </w:t>
      </w:r>
      <w:r w:rsidR="003F1BA5" w:rsidRPr="007276BC">
        <w:rPr>
          <w:rFonts w:ascii="Times New Roman" w:hAnsi="Times New Roman" w:cs="Times New Roman"/>
          <w:sz w:val="20"/>
          <w:szCs w:val="20"/>
        </w:rPr>
        <w:t>where a penicillin-class allergy was reported either as the only antibiotic allergy or as one of multiple antibiotic allergies</w:t>
      </w:r>
      <w:r w:rsidR="003F1BA5">
        <w:rPr>
          <w:rFonts w:ascii="Times New Roman" w:hAnsi="Times New Roman" w:cs="Times New Roman"/>
          <w:sz w:val="20"/>
          <w:szCs w:val="20"/>
        </w:rPr>
        <w:t xml:space="preserve"> for </w:t>
      </w:r>
      <w:r>
        <w:rPr>
          <w:rFonts w:ascii="Times New Roman" w:hAnsi="Times New Roman" w:cs="Times New Roman"/>
          <w:sz w:val="20"/>
          <w:szCs w:val="20"/>
        </w:rPr>
        <w:t>r</w:t>
      </w:r>
      <w:r w:rsidR="00CD2779">
        <w:rPr>
          <w:rFonts w:ascii="Times New Roman" w:hAnsi="Times New Roman" w:cs="Times New Roman"/>
          <w:sz w:val="20"/>
          <w:szCs w:val="20"/>
        </w:rPr>
        <w:t>egions 1-5</w:t>
      </w:r>
      <w:r w:rsidR="00374025">
        <w:rPr>
          <w:rFonts w:ascii="Times New Roman" w:hAnsi="Times New Roman" w:cs="Times New Roman"/>
          <w:sz w:val="20"/>
          <w:szCs w:val="20"/>
        </w:rPr>
        <w:t>.</w:t>
      </w:r>
      <w:r w:rsidR="003F1BA5">
        <w:rPr>
          <w:rFonts w:ascii="Times New Roman" w:hAnsi="Times New Roman" w:cs="Times New Roman"/>
          <w:sz w:val="20"/>
          <w:szCs w:val="20"/>
        </w:rPr>
        <w:t xml:space="preserve"> </w:t>
      </w:r>
      <w:r w:rsidR="002621B4">
        <w:rPr>
          <w:rFonts w:ascii="Times New Roman" w:hAnsi="Times New Roman" w:cs="Times New Roman"/>
          <w:sz w:val="20"/>
          <w:szCs w:val="20"/>
        </w:rPr>
        <w:t xml:space="preserve">Region 1: CT, DC, DE, MA, MD, ME, NC, NH, NJ, NY, PA, RI, VA, VT, WV; Region 2: AL, FL, GA, KY, PR, SC TN; Region 3: IA, IL, IN, KS, KY, MI, MN, MO, ND, NE, OH, SD, WI; Region 4: AR, CO, LA, MS, MT, OK, TX, UT, WY; Region 5: AZ, CA, HI, ID, NM, NV, OR, WA.   </w:t>
      </w:r>
      <w:r w:rsidR="003F1BA5">
        <w:rPr>
          <w:rFonts w:ascii="Times New Roman" w:hAnsi="Times New Roman" w:cs="Times New Roman"/>
          <w:sz w:val="20"/>
          <w:szCs w:val="20"/>
        </w:rPr>
        <w:br/>
      </w:r>
      <w:r w:rsidR="003F1BA5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3F1BA5">
        <w:rPr>
          <w:rFonts w:ascii="Times New Roman" w:hAnsi="Times New Roman" w:cs="Times New Roman"/>
          <w:sz w:val="20"/>
          <w:szCs w:val="20"/>
        </w:rPr>
        <w:t>Each bar represents a 2-year period. The x-axis shows the first year of that 2-year period (e.g., 2011 includes 2011 and 2012).</w:t>
      </w:r>
    </w:p>
    <w:p w14:paraId="0B1AACA8" w14:textId="2CB8B375" w:rsidR="0088262D" w:rsidRDefault="008826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F6E3E56" w14:textId="3FE023CB" w:rsidR="009A3B27" w:rsidRDefault="00336577" w:rsidP="0033657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Figure S3. </w:t>
      </w:r>
      <w:r w:rsidR="00431ABB">
        <w:rPr>
          <w:rFonts w:ascii="Times New Roman" w:hAnsi="Times New Roman" w:cs="Times New Roman"/>
          <w:b/>
          <w:bCs/>
          <w:sz w:val="24"/>
          <w:szCs w:val="24"/>
        </w:rPr>
        <w:t>Non-β-lactam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0D12">
        <w:rPr>
          <w:rFonts w:ascii="Times New Roman" w:hAnsi="Times New Roman" w:cs="Times New Roman"/>
          <w:b/>
          <w:bCs/>
          <w:sz w:val="24"/>
          <w:szCs w:val="24"/>
        </w:rPr>
        <w:t>antibiotic use</w:t>
      </w:r>
      <w:r w:rsidR="009A3B27">
        <w:rPr>
          <w:rFonts w:ascii="Times New Roman" w:hAnsi="Times New Roman" w:cs="Times New Roman"/>
          <w:b/>
          <w:bCs/>
          <w:sz w:val="24"/>
          <w:szCs w:val="24"/>
        </w:rPr>
        <w:t xml:space="preserve"> over time</w:t>
      </w:r>
      <w:r w:rsidR="004D0D12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 w:rsidR="009A3B27">
        <w:rPr>
          <w:rFonts w:ascii="Times New Roman" w:hAnsi="Times New Roman" w:cs="Times New Roman"/>
          <w:b/>
          <w:bCs/>
          <w:sz w:val="24"/>
          <w:szCs w:val="24"/>
        </w:rPr>
        <w:t xml:space="preserve">acute care </w:t>
      </w:r>
      <w:r w:rsidR="004D0D12">
        <w:rPr>
          <w:rFonts w:ascii="Times New Roman" w:hAnsi="Times New Roman" w:cs="Times New Roman"/>
          <w:b/>
          <w:bCs/>
          <w:sz w:val="24"/>
          <w:szCs w:val="24"/>
        </w:rPr>
        <w:t xml:space="preserve">admissions with and without a reported </w:t>
      </w:r>
      <w:r w:rsidR="0088262D">
        <w:rPr>
          <w:rFonts w:ascii="Times New Roman" w:hAnsi="Times New Roman" w:cs="Times New Roman"/>
          <w:b/>
          <w:bCs/>
          <w:sz w:val="24"/>
          <w:szCs w:val="24"/>
        </w:rPr>
        <w:t>penicillin</w:t>
      </w:r>
      <w:r w:rsidR="004D0D12">
        <w:rPr>
          <w:rFonts w:ascii="Times New Roman" w:hAnsi="Times New Roman" w:cs="Times New Roman"/>
          <w:b/>
          <w:bCs/>
          <w:sz w:val="24"/>
          <w:szCs w:val="24"/>
        </w:rPr>
        <w:t>-class allergy</w:t>
      </w:r>
      <w:r w:rsidR="009A3B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D286D36" w14:textId="6ACD04AA" w:rsidR="00465ECC" w:rsidRDefault="00B70D34" w:rsidP="0033657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noProof/>
        </w:rPr>
        <w:drawing>
          <wp:inline distT="0" distB="0" distL="0" distR="0" wp14:anchorId="15246930" wp14:editId="65E5B69A">
            <wp:extent cx="6363270" cy="4403467"/>
            <wp:effectExtent l="0" t="0" r="0" b="0"/>
            <wp:docPr id="6413595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707" cy="4422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6D519A" w14:textId="77777777" w:rsidR="009A3B27" w:rsidRPr="006A5B66" w:rsidRDefault="009A3B27" w:rsidP="00336577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130A1F6E" w14:textId="527C13B8" w:rsidR="0088262D" w:rsidRPr="006A5B66" w:rsidRDefault="00B70D34">
      <w:pPr>
        <w:rPr>
          <w:rFonts w:ascii="Times New Roman" w:hAnsi="Times New Roman" w:cs="Times New Roman"/>
          <w:sz w:val="24"/>
          <w:szCs w:val="24"/>
        </w:rPr>
      </w:pPr>
      <w:r w:rsidRPr="006A5B66">
        <w:rPr>
          <w:rFonts w:ascii="Times New Roman" w:hAnsi="Times New Roman" w:cs="Times New Roman"/>
          <w:sz w:val="20"/>
          <w:szCs w:val="20"/>
        </w:rPr>
        <w:t>Percent</w:t>
      </w:r>
      <w:r>
        <w:rPr>
          <w:rFonts w:ascii="Times New Roman" w:hAnsi="Times New Roman" w:cs="Times New Roman"/>
          <w:sz w:val="20"/>
          <w:szCs w:val="20"/>
        </w:rPr>
        <w:t xml:space="preserve"> of acute care admissions </w:t>
      </w:r>
      <w:r w:rsidR="000625A2" w:rsidRPr="000625A2">
        <w:rPr>
          <w:rFonts w:ascii="Times New Roman" w:hAnsi="Times New Roman" w:cs="Times New Roman"/>
          <w:sz w:val="20"/>
          <w:szCs w:val="20"/>
        </w:rPr>
        <w:t>with and without a reported penicillin-class allergy</w:t>
      </w:r>
      <w:r w:rsidR="000625A2">
        <w:rPr>
          <w:rFonts w:ascii="Times New Roman" w:hAnsi="Times New Roman" w:cs="Times New Roman"/>
          <w:sz w:val="20"/>
          <w:szCs w:val="20"/>
        </w:rPr>
        <w:t xml:space="preserve"> in which patients received ≥1 dose of a</w:t>
      </w:r>
      <w:r w:rsidR="009A4E6C">
        <w:rPr>
          <w:rFonts w:ascii="Times New Roman" w:hAnsi="Times New Roman" w:cs="Times New Roman"/>
          <w:sz w:val="20"/>
          <w:szCs w:val="20"/>
        </w:rPr>
        <w:t xml:space="preserve">n Aminoglycoside (A), Anti-MRSA (B), Clindamycin (C), </w:t>
      </w:r>
      <w:r w:rsidR="00886BDC">
        <w:rPr>
          <w:rFonts w:ascii="Times New Roman" w:hAnsi="Times New Roman" w:cs="Times New Roman"/>
          <w:sz w:val="20"/>
          <w:szCs w:val="20"/>
        </w:rPr>
        <w:t>and</w:t>
      </w:r>
      <w:r w:rsidR="009A4E6C">
        <w:rPr>
          <w:rFonts w:ascii="Times New Roman" w:hAnsi="Times New Roman" w:cs="Times New Roman"/>
          <w:sz w:val="20"/>
          <w:szCs w:val="20"/>
        </w:rPr>
        <w:t xml:space="preserve"> Fluoroquinolone (D) agent. </w:t>
      </w:r>
      <w:r w:rsidR="009A4E6C">
        <w:rPr>
          <w:rFonts w:ascii="Times New Roman" w:hAnsi="Times New Roman" w:cs="Times New Roman"/>
          <w:sz w:val="20"/>
          <w:szCs w:val="20"/>
        </w:rPr>
        <w:br/>
      </w:r>
      <w:r w:rsidR="00ED57A1">
        <w:rPr>
          <w:rFonts w:ascii="Times New Roman" w:hAnsi="Times New Roman" w:cs="Times New Roman"/>
          <w:sz w:val="20"/>
          <w:szCs w:val="20"/>
        </w:rPr>
        <w:t xml:space="preserve">* </w:t>
      </w:r>
      <w:r w:rsidR="009A4E6C">
        <w:rPr>
          <w:rFonts w:ascii="Times New Roman" w:hAnsi="Times New Roman" w:cs="Times New Roman"/>
          <w:sz w:val="20"/>
          <w:szCs w:val="20"/>
        </w:rPr>
        <w:t xml:space="preserve">Each bar represents a 2-year period. The x-axis shows the first year of that 2-year period (e.g., </w:t>
      </w:r>
      <w:r w:rsidR="00F22E38">
        <w:rPr>
          <w:rFonts w:ascii="Times New Roman" w:hAnsi="Times New Roman" w:cs="Times New Roman"/>
          <w:sz w:val="20"/>
          <w:szCs w:val="20"/>
        </w:rPr>
        <w:t xml:space="preserve">2011 includes 2011 and 2012). </w:t>
      </w:r>
      <w:r w:rsidR="0088262D" w:rsidRPr="006A5B66">
        <w:rPr>
          <w:rFonts w:ascii="Times New Roman" w:hAnsi="Times New Roman" w:cs="Times New Roman"/>
          <w:sz w:val="24"/>
          <w:szCs w:val="24"/>
        </w:rPr>
        <w:br w:type="page"/>
      </w:r>
    </w:p>
    <w:p w14:paraId="336C5CB8" w14:textId="75F2F4B8" w:rsidR="00336577" w:rsidRDefault="009A3B27" w:rsidP="0033657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Figure S4. Broad-spectrum β-lactam antibiotic use over time in acute care admissions with and without a reported </w:t>
      </w:r>
      <w:r w:rsidR="007E147A">
        <w:rPr>
          <w:rFonts w:ascii="Times New Roman" w:hAnsi="Times New Roman" w:cs="Times New Roman"/>
          <w:b/>
          <w:bCs/>
          <w:sz w:val="24"/>
          <w:szCs w:val="24"/>
        </w:rPr>
        <w:t>penicillin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-class allergy. </w:t>
      </w:r>
      <w:r w:rsidR="0033657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65BF86B" w14:textId="77777777" w:rsidR="009A3B27" w:rsidRDefault="009A3B27" w:rsidP="0033657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F16A6" w14:textId="4B567ADB" w:rsidR="007E147A" w:rsidRDefault="00AB2DE2" w:rsidP="0033657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A681AFC" wp14:editId="03155EE2">
            <wp:extent cx="6360139" cy="4334751"/>
            <wp:effectExtent l="0" t="0" r="3175" b="8890"/>
            <wp:docPr id="499734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263" cy="436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7D1BE" w14:textId="77777777" w:rsidR="00AB2DE2" w:rsidRDefault="00AB2DE2" w:rsidP="0033657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0326A" w14:textId="60FDDDD8" w:rsidR="0088262D" w:rsidRDefault="00CA3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13F2">
        <w:rPr>
          <w:rFonts w:ascii="Times New Roman" w:hAnsi="Times New Roman" w:cs="Times New Roman"/>
          <w:sz w:val="20"/>
          <w:szCs w:val="20"/>
        </w:rPr>
        <w:t>Percent</w:t>
      </w:r>
      <w:r>
        <w:rPr>
          <w:rFonts w:ascii="Times New Roman" w:hAnsi="Times New Roman" w:cs="Times New Roman"/>
          <w:sz w:val="20"/>
          <w:szCs w:val="20"/>
        </w:rPr>
        <w:t xml:space="preserve"> of acute care admissions </w:t>
      </w:r>
      <w:r w:rsidRPr="000625A2">
        <w:rPr>
          <w:rFonts w:ascii="Times New Roman" w:hAnsi="Times New Roman" w:cs="Times New Roman"/>
          <w:sz w:val="20"/>
          <w:szCs w:val="20"/>
        </w:rPr>
        <w:t>with and without a reported penicillin-class allergy</w:t>
      </w:r>
      <w:r>
        <w:rPr>
          <w:rFonts w:ascii="Times New Roman" w:hAnsi="Times New Roman" w:cs="Times New Roman"/>
          <w:sz w:val="20"/>
          <w:szCs w:val="20"/>
        </w:rPr>
        <w:t xml:space="preserve"> in which patients received ≥1 dose of an Anti-Pseudomonal Cephalosporin (A), Anti-</w:t>
      </w:r>
      <w:r w:rsidR="00C507C3">
        <w:rPr>
          <w:rFonts w:ascii="Times New Roman" w:hAnsi="Times New Roman" w:cs="Times New Roman"/>
          <w:sz w:val="20"/>
          <w:szCs w:val="20"/>
        </w:rPr>
        <w:t>Pseudomonal Penicillin</w:t>
      </w:r>
      <w:r>
        <w:rPr>
          <w:rFonts w:ascii="Times New Roman" w:hAnsi="Times New Roman" w:cs="Times New Roman"/>
          <w:sz w:val="20"/>
          <w:szCs w:val="20"/>
        </w:rPr>
        <w:t xml:space="preserve"> (B), </w:t>
      </w:r>
      <w:r w:rsidR="00C507C3">
        <w:rPr>
          <w:rFonts w:ascii="Times New Roman" w:hAnsi="Times New Roman" w:cs="Times New Roman"/>
          <w:sz w:val="20"/>
          <w:szCs w:val="20"/>
        </w:rPr>
        <w:t>Carbapenem</w:t>
      </w:r>
      <w:r>
        <w:rPr>
          <w:rFonts w:ascii="Times New Roman" w:hAnsi="Times New Roman" w:cs="Times New Roman"/>
          <w:sz w:val="20"/>
          <w:szCs w:val="20"/>
        </w:rPr>
        <w:t xml:space="preserve"> (C), </w:t>
      </w:r>
      <w:r w:rsidR="00886BDC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507C3">
        <w:rPr>
          <w:rFonts w:ascii="Times New Roman" w:hAnsi="Times New Roman" w:cs="Times New Roman"/>
          <w:sz w:val="20"/>
          <w:szCs w:val="20"/>
        </w:rPr>
        <w:t>Monobactam</w:t>
      </w:r>
      <w:r>
        <w:rPr>
          <w:rFonts w:ascii="Times New Roman" w:hAnsi="Times New Roman" w:cs="Times New Roman"/>
          <w:sz w:val="20"/>
          <w:szCs w:val="20"/>
        </w:rPr>
        <w:t xml:space="preserve"> (D) agent. </w:t>
      </w:r>
      <w:r>
        <w:rPr>
          <w:rFonts w:ascii="Times New Roman" w:hAnsi="Times New Roman" w:cs="Times New Roman"/>
          <w:sz w:val="20"/>
          <w:szCs w:val="20"/>
        </w:rPr>
        <w:br/>
      </w:r>
      <w:r w:rsidR="00ED57A1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Each bar represents a 2-year period. The x-axis shows the first year of that 2-year period (e.g., 2011 includes 2011 and 2012). </w:t>
      </w:r>
      <w:r w:rsidR="0088262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A0D2D18" w14:textId="15508A5A" w:rsidR="009A3B27" w:rsidRPr="006D622D" w:rsidRDefault="009A3B27" w:rsidP="003365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Figure S5. Narrow-spectrum β-lactam antibiotic use over time in acute care admissions with and without a reported </w:t>
      </w:r>
      <w:r w:rsidR="00886BDC">
        <w:rPr>
          <w:rFonts w:ascii="Times New Roman" w:hAnsi="Times New Roman" w:cs="Times New Roman"/>
          <w:b/>
          <w:bCs/>
          <w:sz w:val="24"/>
          <w:szCs w:val="24"/>
        </w:rPr>
        <w:t>penicillin</w:t>
      </w:r>
      <w:r>
        <w:rPr>
          <w:rFonts w:ascii="Times New Roman" w:hAnsi="Times New Roman" w:cs="Times New Roman"/>
          <w:b/>
          <w:bCs/>
          <w:sz w:val="24"/>
          <w:szCs w:val="24"/>
        </w:rPr>
        <w:t>-class allergy.</w:t>
      </w:r>
    </w:p>
    <w:p w14:paraId="2567B592" w14:textId="77777777" w:rsidR="00336577" w:rsidRDefault="00336577" w:rsidP="003365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043CF5" w14:textId="6109254C" w:rsidR="00AB2DE2" w:rsidRDefault="00886BDC" w:rsidP="003365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C8AA83" wp14:editId="583256AE">
            <wp:extent cx="6370062" cy="4329808"/>
            <wp:effectExtent l="0" t="0" r="0" b="0"/>
            <wp:docPr id="4141782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227" cy="4361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CB1772" w14:textId="77777777" w:rsidR="00AB2DE2" w:rsidRPr="006D622D" w:rsidRDefault="00AB2DE2" w:rsidP="003365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57CB32" w14:textId="27DC44FE" w:rsidR="00336577" w:rsidRPr="006D622D" w:rsidRDefault="00AB2DE2" w:rsidP="009546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13F2">
        <w:rPr>
          <w:rFonts w:ascii="Times New Roman" w:hAnsi="Times New Roman" w:cs="Times New Roman"/>
          <w:sz w:val="20"/>
          <w:szCs w:val="20"/>
        </w:rPr>
        <w:t>Percent</w:t>
      </w:r>
      <w:r>
        <w:rPr>
          <w:rFonts w:ascii="Times New Roman" w:hAnsi="Times New Roman" w:cs="Times New Roman"/>
          <w:sz w:val="20"/>
          <w:szCs w:val="20"/>
        </w:rPr>
        <w:t xml:space="preserve"> of acute care admissions </w:t>
      </w:r>
      <w:r w:rsidRPr="000625A2">
        <w:rPr>
          <w:rFonts w:ascii="Times New Roman" w:hAnsi="Times New Roman" w:cs="Times New Roman"/>
          <w:sz w:val="20"/>
          <w:szCs w:val="20"/>
        </w:rPr>
        <w:t>with and without a reported penicillin-class allergy</w:t>
      </w:r>
      <w:r>
        <w:rPr>
          <w:rFonts w:ascii="Times New Roman" w:hAnsi="Times New Roman" w:cs="Times New Roman"/>
          <w:sz w:val="20"/>
          <w:szCs w:val="20"/>
        </w:rPr>
        <w:t xml:space="preserve"> in which patients received ≥1 dose of </w:t>
      </w:r>
      <w:r w:rsidR="00886BDC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86BDC">
        <w:rPr>
          <w:rFonts w:ascii="Times New Roman" w:hAnsi="Times New Roman" w:cs="Times New Roman"/>
          <w:sz w:val="20"/>
          <w:szCs w:val="20"/>
        </w:rPr>
        <w:t xml:space="preserve">Narrow-Spectrum Structurally Different Cephalosporin </w:t>
      </w:r>
      <w:r>
        <w:rPr>
          <w:rFonts w:ascii="Times New Roman" w:hAnsi="Times New Roman" w:cs="Times New Roman"/>
          <w:sz w:val="20"/>
          <w:szCs w:val="20"/>
        </w:rPr>
        <w:t xml:space="preserve">(A), </w:t>
      </w:r>
      <w:r w:rsidR="00886BDC">
        <w:rPr>
          <w:rFonts w:ascii="Times New Roman" w:hAnsi="Times New Roman" w:cs="Times New Roman"/>
          <w:sz w:val="20"/>
          <w:szCs w:val="20"/>
        </w:rPr>
        <w:t>Narrow-Spectrum Structurally Similar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86BDC">
        <w:rPr>
          <w:rFonts w:ascii="Times New Roman" w:hAnsi="Times New Roman" w:cs="Times New Roman"/>
          <w:sz w:val="20"/>
          <w:szCs w:val="20"/>
        </w:rPr>
        <w:t>Cephalosporin</w:t>
      </w:r>
      <w:r>
        <w:rPr>
          <w:rFonts w:ascii="Times New Roman" w:hAnsi="Times New Roman" w:cs="Times New Roman"/>
          <w:sz w:val="20"/>
          <w:szCs w:val="20"/>
        </w:rPr>
        <w:t xml:space="preserve"> (B), </w:t>
      </w:r>
      <w:r w:rsidR="00886BDC">
        <w:rPr>
          <w:rFonts w:ascii="Times New Roman" w:hAnsi="Times New Roman" w:cs="Times New Roman"/>
          <w:sz w:val="20"/>
          <w:szCs w:val="20"/>
        </w:rPr>
        <w:t>and Narrow-Spectrum Penicillin</w:t>
      </w:r>
      <w:r>
        <w:rPr>
          <w:rFonts w:ascii="Times New Roman" w:hAnsi="Times New Roman" w:cs="Times New Roman"/>
          <w:sz w:val="20"/>
          <w:szCs w:val="20"/>
        </w:rPr>
        <w:t xml:space="preserve"> (C)</w:t>
      </w:r>
      <w:r w:rsidR="00886BD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agent. </w:t>
      </w:r>
      <w:r>
        <w:rPr>
          <w:rFonts w:ascii="Times New Roman" w:hAnsi="Times New Roman" w:cs="Times New Roman"/>
          <w:sz w:val="20"/>
          <w:szCs w:val="20"/>
        </w:rPr>
        <w:br/>
      </w:r>
      <w:r w:rsidR="00ED57A1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Each bar represents a 2-year period. The x-axis shows the first year of that 2-year period (e.g., 2011 includes 2011 and 2012).</w:t>
      </w:r>
    </w:p>
    <w:sectPr w:rsidR="00336577" w:rsidRPr="006D6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343"/>
    <w:multiLevelType w:val="hybridMultilevel"/>
    <w:tmpl w:val="63064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A32D9"/>
    <w:multiLevelType w:val="hybridMultilevel"/>
    <w:tmpl w:val="F8962A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0E3086"/>
    <w:multiLevelType w:val="hybridMultilevel"/>
    <w:tmpl w:val="7F460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196134"/>
    <w:multiLevelType w:val="hybridMultilevel"/>
    <w:tmpl w:val="83803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4B3409"/>
    <w:multiLevelType w:val="hybridMultilevel"/>
    <w:tmpl w:val="4300B7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174FC4"/>
    <w:multiLevelType w:val="hybridMultilevel"/>
    <w:tmpl w:val="F424C1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913ABE"/>
    <w:multiLevelType w:val="hybridMultilevel"/>
    <w:tmpl w:val="B45CB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35727B"/>
    <w:multiLevelType w:val="hybridMultilevel"/>
    <w:tmpl w:val="960245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5595100">
    <w:abstractNumId w:val="2"/>
  </w:num>
  <w:num w:numId="2" w16cid:durableId="543979754">
    <w:abstractNumId w:val="0"/>
  </w:num>
  <w:num w:numId="3" w16cid:durableId="186601286">
    <w:abstractNumId w:val="6"/>
  </w:num>
  <w:num w:numId="4" w16cid:durableId="352193122">
    <w:abstractNumId w:val="3"/>
  </w:num>
  <w:num w:numId="5" w16cid:durableId="1806848169">
    <w:abstractNumId w:val="4"/>
  </w:num>
  <w:num w:numId="6" w16cid:durableId="605388523">
    <w:abstractNumId w:val="7"/>
  </w:num>
  <w:num w:numId="7" w16cid:durableId="1944796630">
    <w:abstractNumId w:val="1"/>
  </w:num>
  <w:num w:numId="8" w16cid:durableId="1639993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C2"/>
    <w:rsid w:val="000203FD"/>
    <w:rsid w:val="0002455C"/>
    <w:rsid w:val="00037C3D"/>
    <w:rsid w:val="000625A2"/>
    <w:rsid w:val="00070CBC"/>
    <w:rsid w:val="0009776D"/>
    <w:rsid w:val="000A2E7A"/>
    <w:rsid w:val="000C60F2"/>
    <w:rsid w:val="000D5FEC"/>
    <w:rsid w:val="000E00E6"/>
    <w:rsid w:val="00112B2A"/>
    <w:rsid w:val="001219D3"/>
    <w:rsid w:val="00126B5F"/>
    <w:rsid w:val="0014091D"/>
    <w:rsid w:val="00152715"/>
    <w:rsid w:val="00163F1B"/>
    <w:rsid w:val="00164321"/>
    <w:rsid w:val="001655BF"/>
    <w:rsid w:val="001709A4"/>
    <w:rsid w:val="001754A2"/>
    <w:rsid w:val="001B3BEC"/>
    <w:rsid w:val="001C273C"/>
    <w:rsid w:val="001C2AD9"/>
    <w:rsid w:val="001D4B1C"/>
    <w:rsid w:val="001E0376"/>
    <w:rsid w:val="001E3554"/>
    <w:rsid w:val="001E7A58"/>
    <w:rsid w:val="00202553"/>
    <w:rsid w:val="00222639"/>
    <w:rsid w:val="0024710A"/>
    <w:rsid w:val="00250AA6"/>
    <w:rsid w:val="00255909"/>
    <w:rsid w:val="002621B4"/>
    <w:rsid w:val="0026679D"/>
    <w:rsid w:val="00294393"/>
    <w:rsid w:val="002A1B67"/>
    <w:rsid w:val="002A1ED5"/>
    <w:rsid w:val="002A398F"/>
    <w:rsid w:val="002B005F"/>
    <w:rsid w:val="002B1BE2"/>
    <w:rsid w:val="002B7088"/>
    <w:rsid w:val="002C5273"/>
    <w:rsid w:val="002E3549"/>
    <w:rsid w:val="002F7F4A"/>
    <w:rsid w:val="00336577"/>
    <w:rsid w:val="0033758B"/>
    <w:rsid w:val="00360736"/>
    <w:rsid w:val="00372D01"/>
    <w:rsid w:val="00374025"/>
    <w:rsid w:val="00377BF4"/>
    <w:rsid w:val="003A0ECB"/>
    <w:rsid w:val="003C14D4"/>
    <w:rsid w:val="003E2235"/>
    <w:rsid w:val="003F1BA5"/>
    <w:rsid w:val="00411EBF"/>
    <w:rsid w:val="00415EFC"/>
    <w:rsid w:val="00431296"/>
    <w:rsid w:val="00431ABB"/>
    <w:rsid w:val="00457BDC"/>
    <w:rsid w:val="00465B3D"/>
    <w:rsid w:val="00465ECC"/>
    <w:rsid w:val="0046696F"/>
    <w:rsid w:val="00493C7F"/>
    <w:rsid w:val="004A15DE"/>
    <w:rsid w:val="004A4BBC"/>
    <w:rsid w:val="004B63F0"/>
    <w:rsid w:val="004D0D12"/>
    <w:rsid w:val="004E3ECD"/>
    <w:rsid w:val="004E49F4"/>
    <w:rsid w:val="004F589A"/>
    <w:rsid w:val="00515D06"/>
    <w:rsid w:val="00516581"/>
    <w:rsid w:val="00544952"/>
    <w:rsid w:val="005636BC"/>
    <w:rsid w:val="00563FE8"/>
    <w:rsid w:val="005671B4"/>
    <w:rsid w:val="00587528"/>
    <w:rsid w:val="00596D26"/>
    <w:rsid w:val="005B70F7"/>
    <w:rsid w:val="005C7656"/>
    <w:rsid w:val="005E7565"/>
    <w:rsid w:val="005F3E6B"/>
    <w:rsid w:val="00602678"/>
    <w:rsid w:val="006049B9"/>
    <w:rsid w:val="00617053"/>
    <w:rsid w:val="006437C9"/>
    <w:rsid w:val="00647B23"/>
    <w:rsid w:val="006528B4"/>
    <w:rsid w:val="00652E16"/>
    <w:rsid w:val="006556BC"/>
    <w:rsid w:val="0066308C"/>
    <w:rsid w:val="006755CF"/>
    <w:rsid w:val="00675D32"/>
    <w:rsid w:val="006762D5"/>
    <w:rsid w:val="00695160"/>
    <w:rsid w:val="006A1FBA"/>
    <w:rsid w:val="006A5B66"/>
    <w:rsid w:val="006D378E"/>
    <w:rsid w:val="006D622D"/>
    <w:rsid w:val="006F2587"/>
    <w:rsid w:val="006F5F37"/>
    <w:rsid w:val="007157ED"/>
    <w:rsid w:val="007276BC"/>
    <w:rsid w:val="00743EDF"/>
    <w:rsid w:val="007466F1"/>
    <w:rsid w:val="00756E5B"/>
    <w:rsid w:val="00766386"/>
    <w:rsid w:val="00783F42"/>
    <w:rsid w:val="007A26BF"/>
    <w:rsid w:val="007A2CFB"/>
    <w:rsid w:val="007B7B19"/>
    <w:rsid w:val="007D1AB0"/>
    <w:rsid w:val="007E147A"/>
    <w:rsid w:val="007F17F3"/>
    <w:rsid w:val="007F7FF2"/>
    <w:rsid w:val="0080750D"/>
    <w:rsid w:val="00817204"/>
    <w:rsid w:val="00817DCD"/>
    <w:rsid w:val="00820CDF"/>
    <w:rsid w:val="00822A9C"/>
    <w:rsid w:val="00824EB5"/>
    <w:rsid w:val="00833E82"/>
    <w:rsid w:val="00843E18"/>
    <w:rsid w:val="00844365"/>
    <w:rsid w:val="008446BB"/>
    <w:rsid w:val="00861136"/>
    <w:rsid w:val="0086253D"/>
    <w:rsid w:val="00864029"/>
    <w:rsid w:val="008678B1"/>
    <w:rsid w:val="00875C19"/>
    <w:rsid w:val="0088157D"/>
    <w:rsid w:val="0088262D"/>
    <w:rsid w:val="00886BDC"/>
    <w:rsid w:val="008934F2"/>
    <w:rsid w:val="00894F82"/>
    <w:rsid w:val="008A484A"/>
    <w:rsid w:val="008C40ED"/>
    <w:rsid w:val="008D5F00"/>
    <w:rsid w:val="008E33BF"/>
    <w:rsid w:val="008E5AA3"/>
    <w:rsid w:val="00902CA1"/>
    <w:rsid w:val="0093282A"/>
    <w:rsid w:val="0093530B"/>
    <w:rsid w:val="00944B28"/>
    <w:rsid w:val="00950265"/>
    <w:rsid w:val="009546C2"/>
    <w:rsid w:val="00960560"/>
    <w:rsid w:val="009967EE"/>
    <w:rsid w:val="009A3B27"/>
    <w:rsid w:val="009A4E6C"/>
    <w:rsid w:val="009B36C0"/>
    <w:rsid w:val="009C1A8C"/>
    <w:rsid w:val="009C50EA"/>
    <w:rsid w:val="009C667E"/>
    <w:rsid w:val="009F2522"/>
    <w:rsid w:val="009F6343"/>
    <w:rsid w:val="00A03B97"/>
    <w:rsid w:val="00A25CA5"/>
    <w:rsid w:val="00A43A03"/>
    <w:rsid w:val="00A64326"/>
    <w:rsid w:val="00A6465A"/>
    <w:rsid w:val="00A658DD"/>
    <w:rsid w:val="00A71EF2"/>
    <w:rsid w:val="00A80E6C"/>
    <w:rsid w:val="00A80EC8"/>
    <w:rsid w:val="00A95F4A"/>
    <w:rsid w:val="00AB2DE2"/>
    <w:rsid w:val="00AB487D"/>
    <w:rsid w:val="00AC3FCE"/>
    <w:rsid w:val="00AC705D"/>
    <w:rsid w:val="00AD1633"/>
    <w:rsid w:val="00AF2313"/>
    <w:rsid w:val="00B4129E"/>
    <w:rsid w:val="00B576EE"/>
    <w:rsid w:val="00B6081B"/>
    <w:rsid w:val="00B70D34"/>
    <w:rsid w:val="00BA19D0"/>
    <w:rsid w:val="00BB720D"/>
    <w:rsid w:val="00BC56CB"/>
    <w:rsid w:val="00C06043"/>
    <w:rsid w:val="00C43DF0"/>
    <w:rsid w:val="00C507C3"/>
    <w:rsid w:val="00C71D9B"/>
    <w:rsid w:val="00C833DA"/>
    <w:rsid w:val="00C84E3E"/>
    <w:rsid w:val="00CA33EA"/>
    <w:rsid w:val="00CA3603"/>
    <w:rsid w:val="00CB4F3D"/>
    <w:rsid w:val="00CB5856"/>
    <w:rsid w:val="00CC7201"/>
    <w:rsid w:val="00CD2779"/>
    <w:rsid w:val="00CD3586"/>
    <w:rsid w:val="00D01A2D"/>
    <w:rsid w:val="00D47799"/>
    <w:rsid w:val="00D53FCA"/>
    <w:rsid w:val="00D555B1"/>
    <w:rsid w:val="00D55B5C"/>
    <w:rsid w:val="00D969FA"/>
    <w:rsid w:val="00DA390E"/>
    <w:rsid w:val="00DC5D65"/>
    <w:rsid w:val="00E23CEA"/>
    <w:rsid w:val="00E36944"/>
    <w:rsid w:val="00E51E0B"/>
    <w:rsid w:val="00E5275B"/>
    <w:rsid w:val="00E64C21"/>
    <w:rsid w:val="00E810DE"/>
    <w:rsid w:val="00E91048"/>
    <w:rsid w:val="00E91FB3"/>
    <w:rsid w:val="00E966FF"/>
    <w:rsid w:val="00EA1A3A"/>
    <w:rsid w:val="00EB381D"/>
    <w:rsid w:val="00ED57A1"/>
    <w:rsid w:val="00EE3CF0"/>
    <w:rsid w:val="00EF061A"/>
    <w:rsid w:val="00F048A1"/>
    <w:rsid w:val="00F158BF"/>
    <w:rsid w:val="00F21C07"/>
    <w:rsid w:val="00F22E38"/>
    <w:rsid w:val="00F30BFD"/>
    <w:rsid w:val="00F33842"/>
    <w:rsid w:val="00F35190"/>
    <w:rsid w:val="00F373E2"/>
    <w:rsid w:val="00F514BE"/>
    <w:rsid w:val="00F531DE"/>
    <w:rsid w:val="00F5411D"/>
    <w:rsid w:val="00F57E5A"/>
    <w:rsid w:val="00F65F6C"/>
    <w:rsid w:val="00F80D88"/>
    <w:rsid w:val="00F82704"/>
    <w:rsid w:val="00F9467B"/>
    <w:rsid w:val="00FA0BE6"/>
    <w:rsid w:val="00FD06DF"/>
    <w:rsid w:val="00FD2AEA"/>
    <w:rsid w:val="00FD57E0"/>
    <w:rsid w:val="00FE0227"/>
    <w:rsid w:val="00FE5E6F"/>
    <w:rsid w:val="00FF133E"/>
    <w:rsid w:val="342FF58F"/>
    <w:rsid w:val="499B7E4B"/>
    <w:rsid w:val="75089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1482"/>
  <w15:chartTrackingRefBased/>
  <w15:docId w15:val="{8C36E909-78A7-4033-8F8C-A693147B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6C2"/>
    <w:pPr>
      <w:spacing w:after="0" w:line="240" w:lineRule="auto"/>
    </w:pPr>
  </w:style>
  <w:style w:type="table" w:styleId="TableGrid">
    <w:name w:val="Table Grid"/>
    <w:basedOn w:val="TableNormal"/>
    <w:uiPriority w:val="39"/>
    <w:rsid w:val="0060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A43A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A0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43A0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F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5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03c30f-7b10-4695-863c-e632b71f6cec">
      <UserInfo>
        <DisplayName>Liu, Funnce</DisplayName>
        <AccountId>13</AccountId>
        <AccountType/>
      </UserInfo>
      <UserInfo>
        <DisplayName>Hoang-Nguyen, Hang (Mercy) M.</DisplayName>
        <AccountId>12</AccountId>
        <AccountType/>
      </UserInfo>
      <UserInfo>
        <DisplayName>Ham, Erin K (Puget Sound)</DisplayName>
        <AccountId>9</AccountId>
        <AccountType/>
      </UserInfo>
      <UserInfo>
        <DisplayName>Eastment, Mckenna C.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1461B05755D4AB21D996BB35739AB" ma:contentTypeVersion="6" ma:contentTypeDescription="Create a new document." ma:contentTypeScope="" ma:versionID="abffacec8c181e8f8f86ae555f7ea406">
  <xsd:schema xmlns:xsd="http://www.w3.org/2001/XMLSchema" xmlns:xs="http://www.w3.org/2001/XMLSchema" xmlns:p="http://schemas.microsoft.com/office/2006/metadata/properties" xmlns:ns2="75daf796-3407-4e03-8f59-3ac74243e086" xmlns:ns3="a903c30f-7b10-4695-863c-e632b71f6cec" targetNamespace="http://schemas.microsoft.com/office/2006/metadata/properties" ma:root="true" ma:fieldsID="cb27caa4fdfd6bee5e42c4d26205e5ab" ns2:_="" ns3:_="">
    <xsd:import namespace="75daf796-3407-4e03-8f59-3ac74243e086"/>
    <xsd:import namespace="a903c30f-7b10-4695-863c-e632b71f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af796-3407-4e03-8f59-3ac74243e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3c30f-7b10-4695-863c-e632b71f6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CC9C5-0E07-4863-8FE8-EAFFC0418FB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903c30f-7b10-4695-863c-e632b71f6cec"/>
    <ds:schemaRef ds:uri="75daf796-3407-4e03-8f59-3ac74243e08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FD92244-A09A-49AE-ACFB-A8302B632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CB8D4-3922-4DC7-974E-6907762682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BC08A5-0F4A-4EA3-BEB3-5030AF307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af796-3407-4e03-8f59-3ac74243e086"/>
    <ds:schemaRef ds:uri="a903c30f-7b10-4695-863c-e632b71f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CDW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Tulloch-palomino, Luis G. (he/him/his)</dc:creator>
  <cp:keywords/>
  <dc:description/>
  <cp:lastModifiedBy>Tulloch-palomino, Luis G. (he/him/his)</cp:lastModifiedBy>
  <cp:revision>8</cp:revision>
  <dcterms:created xsi:type="dcterms:W3CDTF">2024-12-18T01:04:00Z</dcterms:created>
  <dcterms:modified xsi:type="dcterms:W3CDTF">2024-12-18T01:07:00Z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0x0101004DF1461B05755D4AB21D996BB35739AB</vt:lpwstr>
  </property>
</Properties>
</file>