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685C" w14:textId="01E50D50" w:rsidR="00567F45" w:rsidRDefault="00A02961" w:rsidP="004D791F">
      <w:pPr>
        <w:jc w:val="center"/>
        <w:rPr>
          <w:rFonts w:ascii="Century Gothic" w:hAnsi="Century Gothic"/>
          <w:b/>
          <w:bCs/>
          <w:sz w:val="20"/>
          <w:szCs w:val="20"/>
          <w:u w:val="single"/>
        </w:rPr>
      </w:pPr>
      <w:r w:rsidRPr="00FB1BB0">
        <w:rPr>
          <w:rFonts w:ascii="Century Gothic" w:hAnsi="Century Gothic"/>
          <w:b/>
          <w:bCs/>
          <w:sz w:val="20"/>
          <w:szCs w:val="20"/>
          <w:u w:val="single"/>
        </w:rPr>
        <w:t>Supplemental</w:t>
      </w:r>
      <w:r w:rsidR="001A7623" w:rsidRPr="00FB1BB0">
        <w:rPr>
          <w:rFonts w:ascii="Century Gothic" w:hAnsi="Century Gothic"/>
          <w:b/>
          <w:bCs/>
          <w:sz w:val="20"/>
          <w:szCs w:val="20"/>
          <w:u w:val="single"/>
        </w:rPr>
        <w:t xml:space="preserve"> appendix</w:t>
      </w:r>
    </w:p>
    <w:p w14:paraId="44CE8641" w14:textId="54D84D77" w:rsidR="0032343A" w:rsidRPr="0032343A" w:rsidRDefault="0032343A" w:rsidP="004D791F">
      <w:pPr>
        <w:jc w:val="center"/>
        <w:rPr>
          <w:rFonts w:ascii="Century Gothic" w:hAnsi="Century Gothic"/>
          <w:sz w:val="20"/>
          <w:szCs w:val="20"/>
        </w:rPr>
      </w:pPr>
      <w:r>
        <w:rPr>
          <w:rFonts w:ascii="Century Gothic" w:hAnsi="Century Gothic"/>
          <w:sz w:val="20"/>
          <w:szCs w:val="20"/>
        </w:rPr>
        <w:t>Criteria for expedited and standard automatic intravenous to enteral azithromycin conversion by pharmacist.</w:t>
      </w:r>
    </w:p>
    <w:p w14:paraId="3B8F7477" w14:textId="28FF150B" w:rsidR="00667989" w:rsidRPr="006442E3" w:rsidRDefault="00667989" w:rsidP="00B70DF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entury Gothic" w:hAnsi="Century Gothic"/>
          <w:b/>
          <w:bCs/>
          <w:sz w:val="20"/>
          <w:szCs w:val="20"/>
        </w:rPr>
      </w:pPr>
      <w:r w:rsidRPr="00A015B9">
        <w:rPr>
          <w:rFonts w:ascii="Century Gothic" w:hAnsi="Century Gothic"/>
          <w:b/>
          <w:bCs/>
          <w:sz w:val="20"/>
          <w:szCs w:val="20"/>
          <w:u w:val="single"/>
        </w:rPr>
        <w:t>Expedited</w:t>
      </w:r>
      <w:r w:rsidRPr="006442E3">
        <w:rPr>
          <w:rFonts w:ascii="Century Gothic" w:hAnsi="Century Gothic"/>
          <w:b/>
          <w:bCs/>
          <w:sz w:val="20"/>
          <w:szCs w:val="20"/>
        </w:rPr>
        <w:t xml:space="preserve"> Criteria for </w:t>
      </w:r>
      <w:r w:rsidRPr="00A015B9">
        <w:rPr>
          <w:rFonts w:ascii="Century Gothic" w:hAnsi="Century Gothic"/>
          <w:b/>
          <w:bCs/>
          <w:sz w:val="20"/>
          <w:szCs w:val="20"/>
        </w:rPr>
        <w:t>Automatic</w:t>
      </w:r>
      <w:r w:rsidRPr="006442E3">
        <w:rPr>
          <w:rFonts w:ascii="Century Gothic" w:hAnsi="Century Gothic"/>
          <w:b/>
          <w:bCs/>
          <w:sz w:val="20"/>
          <w:szCs w:val="20"/>
        </w:rPr>
        <w:t xml:space="preserve"> </w:t>
      </w:r>
      <w:r w:rsidR="007A08C3">
        <w:rPr>
          <w:rFonts w:ascii="Century Gothic" w:hAnsi="Century Gothic"/>
          <w:b/>
          <w:bCs/>
          <w:sz w:val="20"/>
          <w:szCs w:val="20"/>
        </w:rPr>
        <w:t>Intravenous</w:t>
      </w:r>
      <w:r w:rsidRPr="006442E3">
        <w:rPr>
          <w:rFonts w:ascii="Century Gothic" w:hAnsi="Century Gothic"/>
          <w:b/>
          <w:bCs/>
          <w:sz w:val="20"/>
          <w:szCs w:val="20"/>
        </w:rPr>
        <w:t xml:space="preserve"> to </w:t>
      </w:r>
      <w:r w:rsidR="007A08C3">
        <w:rPr>
          <w:rFonts w:ascii="Century Gothic" w:hAnsi="Century Gothic"/>
          <w:b/>
          <w:bCs/>
          <w:sz w:val="20"/>
          <w:szCs w:val="20"/>
        </w:rPr>
        <w:t>Enteral</w:t>
      </w:r>
      <w:r w:rsidRPr="006442E3">
        <w:rPr>
          <w:rFonts w:ascii="Century Gothic" w:hAnsi="Century Gothic"/>
          <w:b/>
          <w:bCs/>
          <w:sz w:val="20"/>
          <w:szCs w:val="20"/>
        </w:rPr>
        <w:t xml:space="preserve"> Azithromycin </w:t>
      </w:r>
      <w:r w:rsidR="006442E3" w:rsidRPr="006442E3">
        <w:rPr>
          <w:rFonts w:ascii="Century Gothic" w:hAnsi="Century Gothic"/>
          <w:b/>
          <w:bCs/>
          <w:sz w:val="20"/>
          <w:szCs w:val="20"/>
        </w:rPr>
        <w:t xml:space="preserve">Conversion </w:t>
      </w:r>
      <w:r w:rsidRPr="006442E3">
        <w:rPr>
          <w:rFonts w:ascii="Century Gothic" w:hAnsi="Century Gothic"/>
          <w:b/>
          <w:bCs/>
          <w:sz w:val="20"/>
          <w:szCs w:val="20"/>
        </w:rPr>
        <w:t>By Pharmacist</w:t>
      </w:r>
    </w:p>
    <w:p w14:paraId="16C94CC8" w14:textId="5E2B3949" w:rsidR="00A41226" w:rsidRPr="00B70DF6" w:rsidRDefault="00667989" w:rsidP="00667989">
      <w:pPr>
        <w:rPr>
          <w:rFonts w:ascii="Century Gothic" w:hAnsi="Century Gothic"/>
          <w:i/>
          <w:iCs/>
          <w:sz w:val="20"/>
          <w:szCs w:val="20"/>
        </w:rPr>
      </w:pPr>
      <w:r w:rsidRPr="00B70DF6">
        <w:rPr>
          <w:rFonts w:ascii="Century Gothic" w:hAnsi="Century Gothic"/>
          <w:i/>
          <w:iCs/>
          <w:sz w:val="20"/>
          <w:szCs w:val="20"/>
        </w:rPr>
        <w:t xml:space="preserve">Patients may be converted automatically by the pharmacist from </w:t>
      </w:r>
      <w:r w:rsidR="007A08C3" w:rsidRPr="00B70DF6">
        <w:rPr>
          <w:rFonts w:ascii="Century Gothic" w:hAnsi="Century Gothic"/>
          <w:i/>
          <w:iCs/>
          <w:sz w:val="20"/>
          <w:szCs w:val="20"/>
        </w:rPr>
        <w:t>intravenous to enteral</w:t>
      </w:r>
      <w:r w:rsidRPr="00B70DF6">
        <w:rPr>
          <w:rFonts w:ascii="Century Gothic" w:hAnsi="Century Gothic"/>
          <w:i/>
          <w:iCs/>
          <w:sz w:val="20"/>
          <w:szCs w:val="20"/>
        </w:rPr>
        <w:t xml:space="preserve"> azithromycin at the time of first ordering the </w:t>
      </w:r>
      <w:r w:rsidR="00A015B9" w:rsidRPr="00B70DF6">
        <w:rPr>
          <w:rFonts w:ascii="Century Gothic" w:hAnsi="Century Gothic"/>
          <w:i/>
          <w:iCs/>
          <w:sz w:val="20"/>
          <w:szCs w:val="20"/>
        </w:rPr>
        <w:t xml:space="preserve">intravenous </w:t>
      </w:r>
      <w:r w:rsidRPr="00B70DF6">
        <w:rPr>
          <w:rFonts w:ascii="Century Gothic" w:hAnsi="Century Gothic"/>
          <w:i/>
          <w:iCs/>
          <w:sz w:val="20"/>
          <w:szCs w:val="20"/>
        </w:rPr>
        <w:t>formulation if the following are met</w:t>
      </w:r>
      <w:r w:rsidRPr="00B70DF6">
        <w:rPr>
          <w:rFonts w:ascii="Century Gothic" w:hAnsi="Century Gothic"/>
          <w:i/>
          <w:iCs/>
          <w:sz w:val="20"/>
          <w:szCs w:val="20"/>
        </w:rPr>
        <w:t xml:space="preserve">. </w:t>
      </w:r>
      <w:r w:rsidR="00A41226" w:rsidRPr="00B70DF6">
        <w:rPr>
          <w:rFonts w:ascii="Century Gothic" w:hAnsi="Century Gothic"/>
          <w:i/>
          <w:iCs/>
          <w:sz w:val="20"/>
          <w:szCs w:val="20"/>
        </w:rPr>
        <w:t xml:space="preserve">If the expedited criteria are not met, automatic conversion may only be done when standard criteria are met. </w:t>
      </w:r>
    </w:p>
    <w:p w14:paraId="05D8699F" w14:textId="683EC52E" w:rsidR="004C4B9E" w:rsidRDefault="004C4B9E" w:rsidP="00A41226">
      <w:pPr>
        <w:rPr>
          <w:rFonts w:ascii="Century Gothic" w:hAnsi="Century Gothic"/>
          <w:sz w:val="20"/>
          <w:szCs w:val="20"/>
        </w:rPr>
      </w:pPr>
      <w:r>
        <w:rPr>
          <w:rFonts w:ascii="Century Gothic" w:hAnsi="Century Gothic"/>
          <w:sz w:val="20"/>
          <w:szCs w:val="20"/>
        </w:rPr>
        <w:t>INCLUSION ELIGIBILITY</w:t>
      </w:r>
    </w:p>
    <w:p w14:paraId="5EF19FAA" w14:textId="248E657E" w:rsidR="00A41226" w:rsidRDefault="00A41226" w:rsidP="00A41226">
      <w:pPr>
        <w:rPr>
          <w:rFonts w:ascii="Century Gothic" w:hAnsi="Century Gothic"/>
          <w:sz w:val="20"/>
          <w:szCs w:val="20"/>
        </w:rPr>
      </w:pPr>
      <w:r w:rsidRPr="00FB1BB0">
        <w:rPr>
          <w:rFonts w:ascii="Century Gothic" w:hAnsi="Century Gothic"/>
          <w:sz w:val="20"/>
          <w:szCs w:val="20"/>
        </w:rPr>
        <w:t>□</w:t>
      </w:r>
      <w:r>
        <w:rPr>
          <w:rFonts w:ascii="Century Gothic" w:hAnsi="Century Gothic"/>
          <w:sz w:val="20"/>
          <w:szCs w:val="20"/>
        </w:rPr>
        <w:t xml:space="preserve"> Expedited automatic pharmacist conversion to enteral </w:t>
      </w:r>
      <w:r w:rsidRPr="007A08C3">
        <w:rPr>
          <w:rFonts w:ascii="Century Gothic" w:hAnsi="Century Gothic"/>
          <w:sz w:val="20"/>
          <w:szCs w:val="20"/>
          <w:u w:val="single"/>
        </w:rPr>
        <w:t>not allowed</w:t>
      </w:r>
      <w:r>
        <w:rPr>
          <w:rFonts w:ascii="Century Gothic" w:hAnsi="Century Gothic"/>
          <w:sz w:val="20"/>
          <w:szCs w:val="20"/>
        </w:rPr>
        <w:t xml:space="preserve"> if p</w:t>
      </w:r>
      <w:r>
        <w:rPr>
          <w:rFonts w:ascii="Century Gothic" w:hAnsi="Century Gothic"/>
          <w:sz w:val="20"/>
          <w:szCs w:val="20"/>
        </w:rPr>
        <w:t>atient is</w:t>
      </w:r>
      <w:r>
        <w:rPr>
          <w:rFonts w:ascii="Century Gothic" w:hAnsi="Century Gothic"/>
          <w:sz w:val="20"/>
          <w:szCs w:val="20"/>
        </w:rPr>
        <w:t xml:space="preserve"> </w:t>
      </w:r>
      <w:r>
        <w:rPr>
          <w:rFonts w:ascii="Century Gothic" w:hAnsi="Century Gothic"/>
          <w:sz w:val="20"/>
          <w:szCs w:val="20"/>
        </w:rPr>
        <w:t xml:space="preserve">in or going to </w:t>
      </w:r>
      <w:r>
        <w:rPr>
          <w:rFonts w:ascii="Century Gothic" w:hAnsi="Century Gothic"/>
          <w:sz w:val="20"/>
          <w:szCs w:val="20"/>
        </w:rPr>
        <w:t xml:space="preserve">an </w:t>
      </w:r>
      <w:r>
        <w:rPr>
          <w:rFonts w:ascii="Century Gothic" w:hAnsi="Century Gothic"/>
          <w:sz w:val="20"/>
          <w:szCs w:val="20"/>
        </w:rPr>
        <w:t>Intensive Care Unit location</w:t>
      </w:r>
    </w:p>
    <w:p w14:paraId="04DE4B0B" w14:textId="17F118CF" w:rsidR="00A41226" w:rsidRDefault="00A41226" w:rsidP="00667989">
      <w:pPr>
        <w:rPr>
          <w:rFonts w:ascii="Century Gothic" w:hAnsi="Century Gothic"/>
          <w:sz w:val="20"/>
          <w:szCs w:val="20"/>
        </w:rPr>
      </w:pPr>
      <w:r w:rsidRPr="00FB1BB0">
        <w:rPr>
          <w:rFonts w:ascii="Century Gothic" w:hAnsi="Century Gothic"/>
          <w:sz w:val="20"/>
          <w:szCs w:val="20"/>
        </w:rPr>
        <w:t>□</w:t>
      </w:r>
      <w:r>
        <w:rPr>
          <w:rFonts w:ascii="Century Gothic" w:hAnsi="Century Gothic"/>
          <w:sz w:val="20"/>
          <w:szCs w:val="20"/>
        </w:rPr>
        <w:t xml:space="preserve"> </w:t>
      </w:r>
      <w:r>
        <w:rPr>
          <w:rFonts w:ascii="Century Gothic" w:hAnsi="Century Gothic"/>
          <w:sz w:val="20"/>
          <w:szCs w:val="20"/>
        </w:rPr>
        <w:t>Expedited automatic pharmacist conversion to enteral</w:t>
      </w:r>
      <w:r w:rsidRPr="00A015B9">
        <w:rPr>
          <w:rFonts w:ascii="Century Gothic" w:hAnsi="Century Gothic"/>
          <w:sz w:val="20"/>
          <w:szCs w:val="20"/>
        </w:rPr>
        <w:t xml:space="preserve"> </w:t>
      </w:r>
      <w:r w:rsidR="00A015B9" w:rsidRPr="00A015B9">
        <w:rPr>
          <w:rFonts w:ascii="Century Gothic" w:hAnsi="Century Gothic"/>
          <w:sz w:val="20"/>
          <w:szCs w:val="20"/>
        </w:rPr>
        <w:t>allows for exceptions to the standard requirements</w:t>
      </w:r>
      <w:r w:rsidR="00A015B9">
        <w:rPr>
          <w:rFonts w:ascii="Century Gothic" w:hAnsi="Century Gothic"/>
          <w:sz w:val="20"/>
          <w:szCs w:val="20"/>
        </w:rPr>
        <w:t>, including:</w:t>
      </w:r>
    </w:p>
    <w:p w14:paraId="2ED7BDAA" w14:textId="7C4C13C3" w:rsidR="00A41226" w:rsidRDefault="00A41226" w:rsidP="00667989">
      <w:pPr>
        <w:pStyle w:val="ListParagraph"/>
        <w:numPr>
          <w:ilvl w:val="0"/>
          <w:numId w:val="4"/>
        </w:numPr>
        <w:rPr>
          <w:rFonts w:ascii="Century Gothic" w:hAnsi="Century Gothic"/>
          <w:sz w:val="20"/>
          <w:szCs w:val="20"/>
        </w:rPr>
      </w:pPr>
      <w:r w:rsidRPr="00A41226">
        <w:rPr>
          <w:rFonts w:ascii="Century Gothic" w:hAnsi="Century Gothic"/>
          <w:sz w:val="20"/>
          <w:szCs w:val="20"/>
        </w:rPr>
        <w:t xml:space="preserve">Expedited automatic pharmacist conversion to enteral </w:t>
      </w:r>
      <w:r w:rsidRPr="007A08C3">
        <w:rPr>
          <w:rFonts w:ascii="Century Gothic" w:hAnsi="Century Gothic"/>
          <w:sz w:val="20"/>
          <w:szCs w:val="20"/>
          <w:u w:val="single"/>
        </w:rPr>
        <w:t>allowed</w:t>
      </w:r>
      <w:r w:rsidRPr="00A41226">
        <w:rPr>
          <w:rFonts w:ascii="Century Gothic" w:hAnsi="Century Gothic"/>
          <w:sz w:val="20"/>
          <w:szCs w:val="20"/>
        </w:rPr>
        <w:t xml:space="preserve"> prior to </w:t>
      </w:r>
      <w:r w:rsidR="007A08C3">
        <w:rPr>
          <w:rFonts w:ascii="Century Gothic" w:hAnsi="Century Gothic"/>
          <w:sz w:val="20"/>
          <w:szCs w:val="20"/>
        </w:rPr>
        <w:t xml:space="preserve">reaching </w:t>
      </w:r>
      <w:r w:rsidRPr="00A41226">
        <w:rPr>
          <w:rFonts w:ascii="Century Gothic" w:hAnsi="Century Gothic"/>
          <w:sz w:val="20"/>
          <w:szCs w:val="20"/>
        </w:rPr>
        <w:t xml:space="preserve">24 hours of </w:t>
      </w:r>
      <w:r w:rsidR="00A015B9">
        <w:rPr>
          <w:rFonts w:ascii="Century Gothic" w:hAnsi="Century Gothic"/>
          <w:sz w:val="20"/>
          <w:szCs w:val="20"/>
        </w:rPr>
        <w:t>intravenous</w:t>
      </w:r>
      <w:r w:rsidRPr="00A41226">
        <w:rPr>
          <w:rFonts w:ascii="Century Gothic" w:hAnsi="Century Gothic"/>
          <w:sz w:val="20"/>
          <w:szCs w:val="20"/>
        </w:rPr>
        <w:t xml:space="preserve"> azithromycin </w:t>
      </w:r>
      <w:r w:rsidR="007A08C3">
        <w:rPr>
          <w:rFonts w:ascii="Century Gothic" w:hAnsi="Century Gothic"/>
          <w:sz w:val="20"/>
          <w:szCs w:val="20"/>
        </w:rPr>
        <w:t xml:space="preserve">coverage </w:t>
      </w:r>
      <w:r w:rsidRPr="00A41226">
        <w:rPr>
          <w:rFonts w:ascii="Century Gothic" w:hAnsi="Century Gothic"/>
          <w:sz w:val="20"/>
          <w:szCs w:val="20"/>
        </w:rPr>
        <w:t>(note one dose equates to 24 hours of coverage)</w:t>
      </w:r>
    </w:p>
    <w:p w14:paraId="27D4523F" w14:textId="77777777" w:rsidR="00A41226" w:rsidRDefault="00A41226" w:rsidP="00667989">
      <w:pPr>
        <w:pStyle w:val="ListParagraph"/>
        <w:numPr>
          <w:ilvl w:val="0"/>
          <w:numId w:val="4"/>
        </w:numPr>
        <w:rPr>
          <w:rFonts w:ascii="Century Gothic" w:hAnsi="Century Gothic"/>
          <w:sz w:val="20"/>
          <w:szCs w:val="20"/>
        </w:rPr>
      </w:pPr>
      <w:r w:rsidRPr="00A41226">
        <w:rPr>
          <w:rFonts w:ascii="Century Gothic" w:hAnsi="Century Gothic"/>
          <w:sz w:val="20"/>
          <w:szCs w:val="20"/>
        </w:rPr>
        <w:t xml:space="preserve">Expedited automatic pharmacist conversion to enteral </w:t>
      </w:r>
      <w:r w:rsidRPr="00A015B9">
        <w:rPr>
          <w:rFonts w:ascii="Century Gothic" w:hAnsi="Century Gothic"/>
          <w:sz w:val="20"/>
          <w:szCs w:val="20"/>
          <w:u w:val="single"/>
        </w:rPr>
        <w:t>allowed</w:t>
      </w:r>
      <w:r w:rsidRPr="00A41226">
        <w:rPr>
          <w:rFonts w:ascii="Century Gothic" w:hAnsi="Century Gothic"/>
          <w:sz w:val="20"/>
          <w:szCs w:val="20"/>
        </w:rPr>
        <w:t xml:space="preserve"> if patient has leukocytosis</w:t>
      </w:r>
    </w:p>
    <w:p w14:paraId="1867C2D3" w14:textId="3BA19B2D" w:rsidR="00A41226" w:rsidRDefault="00A41226" w:rsidP="00667989">
      <w:pPr>
        <w:pStyle w:val="ListParagraph"/>
        <w:numPr>
          <w:ilvl w:val="0"/>
          <w:numId w:val="4"/>
        </w:numPr>
        <w:rPr>
          <w:rFonts w:ascii="Century Gothic" w:hAnsi="Century Gothic"/>
          <w:sz w:val="20"/>
          <w:szCs w:val="20"/>
        </w:rPr>
      </w:pPr>
      <w:r w:rsidRPr="00A41226">
        <w:rPr>
          <w:rFonts w:ascii="Century Gothic" w:hAnsi="Century Gothic"/>
          <w:sz w:val="20"/>
          <w:szCs w:val="20"/>
        </w:rPr>
        <w:t xml:space="preserve">Expedited automatic pharmacist conversion to enteral </w:t>
      </w:r>
      <w:r w:rsidRPr="007A08C3">
        <w:rPr>
          <w:rFonts w:ascii="Century Gothic" w:hAnsi="Century Gothic"/>
          <w:sz w:val="20"/>
          <w:szCs w:val="20"/>
          <w:u w:val="single"/>
        </w:rPr>
        <w:t>allowed</w:t>
      </w:r>
      <w:r w:rsidRPr="00A41226">
        <w:rPr>
          <w:rFonts w:ascii="Century Gothic" w:hAnsi="Century Gothic"/>
          <w:sz w:val="20"/>
          <w:szCs w:val="20"/>
        </w:rPr>
        <w:t xml:space="preserve"> if patient is currently afebrile but has been febrile in the last 24 hours (conversion not allowed if currently febrile or recent use of acetaminophen)</w:t>
      </w:r>
    </w:p>
    <w:p w14:paraId="785520BD" w14:textId="75AA2290" w:rsidR="00A41226" w:rsidRDefault="00A41226" w:rsidP="00A41226">
      <w:pPr>
        <w:pStyle w:val="ListParagraph"/>
        <w:numPr>
          <w:ilvl w:val="0"/>
          <w:numId w:val="4"/>
        </w:numPr>
        <w:rPr>
          <w:rFonts w:ascii="Century Gothic" w:hAnsi="Century Gothic"/>
          <w:sz w:val="20"/>
          <w:szCs w:val="20"/>
        </w:rPr>
      </w:pPr>
      <w:r>
        <w:rPr>
          <w:rFonts w:ascii="Century Gothic" w:hAnsi="Century Gothic"/>
          <w:sz w:val="20"/>
          <w:szCs w:val="20"/>
        </w:rPr>
        <w:t>Expedited automatic pharmacist conversion to enteral</w:t>
      </w:r>
      <w:r>
        <w:rPr>
          <w:rFonts w:ascii="Century Gothic" w:hAnsi="Century Gothic"/>
          <w:sz w:val="20"/>
          <w:szCs w:val="20"/>
        </w:rPr>
        <w:t xml:space="preserve"> </w:t>
      </w:r>
      <w:r w:rsidRPr="007A08C3">
        <w:rPr>
          <w:rFonts w:ascii="Century Gothic" w:hAnsi="Century Gothic"/>
          <w:sz w:val="20"/>
          <w:szCs w:val="20"/>
          <w:u w:val="single"/>
        </w:rPr>
        <w:t>allowed</w:t>
      </w:r>
      <w:r>
        <w:rPr>
          <w:rFonts w:ascii="Century Gothic" w:hAnsi="Century Gothic"/>
          <w:sz w:val="20"/>
          <w:szCs w:val="20"/>
        </w:rPr>
        <w:t xml:space="preserve"> if patient has blood culture drawn and it is negative, but it has been less than </w:t>
      </w:r>
      <w:r w:rsidR="004C4B9E">
        <w:rPr>
          <w:rFonts w:ascii="Century Gothic" w:hAnsi="Century Gothic"/>
          <w:sz w:val="20"/>
          <w:szCs w:val="20"/>
        </w:rPr>
        <w:t>24</w:t>
      </w:r>
      <w:r>
        <w:rPr>
          <w:rFonts w:ascii="Century Gothic" w:hAnsi="Century Gothic"/>
          <w:sz w:val="20"/>
          <w:szCs w:val="20"/>
        </w:rPr>
        <w:t xml:space="preserve"> hours since specimen collection</w:t>
      </w:r>
    </w:p>
    <w:p w14:paraId="0EC7909C" w14:textId="54A9D6A9" w:rsidR="006442E3" w:rsidRPr="007A08C3" w:rsidRDefault="007A08C3" w:rsidP="007A08C3">
      <w:pPr>
        <w:pStyle w:val="ListParagraph"/>
        <w:numPr>
          <w:ilvl w:val="0"/>
          <w:numId w:val="4"/>
        </w:numPr>
        <w:rPr>
          <w:rFonts w:ascii="Century Gothic" w:hAnsi="Century Gothic"/>
          <w:sz w:val="20"/>
          <w:szCs w:val="20"/>
        </w:rPr>
      </w:pPr>
      <w:r w:rsidRPr="007A08C3">
        <w:rPr>
          <w:rFonts w:ascii="Century Gothic" w:hAnsi="Century Gothic"/>
          <w:sz w:val="20"/>
          <w:szCs w:val="20"/>
        </w:rPr>
        <w:t xml:space="preserve">Expedited automatic pharmacist conversion to enteral </w:t>
      </w:r>
      <w:r w:rsidRPr="007A08C3">
        <w:rPr>
          <w:rFonts w:ascii="Century Gothic" w:hAnsi="Century Gothic"/>
          <w:sz w:val="20"/>
          <w:szCs w:val="20"/>
          <w:u w:val="single"/>
        </w:rPr>
        <w:t>not allowed</w:t>
      </w:r>
      <w:r w:rsidRPr="007A08C3">
        <w:rPr>
          <w:rFonts w:ascii="Century Gothic" w:hAnsi="Century Gothic"/>
          <w:sz w:val="20"/>
          <w:szCs w:val="20"/>
        </w:rPr>
        <w:t xml:space="preserve"> if patient is hemodynamically unstable</w:t>
      </w:r>
      <w:r w:rsidR="00A015B9">
        <w:rPr>
          <w:rFonts w:ascii="Century Gothic" w:hAnsi="Century Gothic"/>
          <w:sz w:val="20"/>
          <w:szCs w:val="20"/>
        </w:rPr>
        <w:t xml:space="preserve"> (not an exception, included for clarity)</w:t>
      </w:r>
    </w:p>
    <w:p w14:paraId="38A2A136" w14:textId="00F0BA80" w:rsidR="00B70DF6" w:rsidRDefault="004C4B9E">
      <w:pPr>
        <w:rPr>
          <w:rFonts w:ascii="Century Gothic" w:hAnsi="Century Gothic"/>
          <w:sz w:val="20"/>
          <w:szCs w:val="20"/>
        </w:rPr>
      </w:pPr>
      <w:r>
        <w:rPr>
          <w:rFonts w:ascii="Century Gothic" w:hAnsi="Century Gothic"/>
          <w:sz w:val="20"/>
          <w:szCs w:val="20"/>
        </w:rPr>
        <w:t>EXPEDITED CONVERSOIN WORKFLOW</w:t>
      </w:r>
    </w:p>
    <w:p w14:paraId="5D13297E" w14:textId="2ECE3A63" w:rsidR="00A41226" w:rsidRDefault="00A41226">
      <w:pPr>
        <w:rPr>
          <w:rFonts w:ascii="Century Gothic" w:hAnsi="Century Gothic"/>
          <w:sz w:val="20"/>
          <w:szCs w:val="20"/>
        </w:rPr>
      </w:pPr>
      <w:r>
        <w:rPr>
          <w:rFonts w:ascii="Century Gothic" w:hAnsi="Century Gothic"/>
          <w:sz w:val="20"/>
          <w:szCs w:val="20"/>
        </w:rPr>
        <w:t xml:space="preserve">The </w:t>
      </w:r>
      <w:r w:rsidR="00B70DF6" w:rsidRPr="00B70DF6">
        <w:rPr>
          <w:rFonts w:ascii="Century Gothic" w:hAnsi="Century Gothic"/>
          <w:sz w:val="20"/>
          <w:szCs w:val="20"/>
        </w:rPr>
        <w:t>process</w:t>
      </w:r>
      <w:r>
        <w:rPr>
          <w:rFonts w:ascii="Century Gothic" w:hAnsi="Century Gothic"/>
          <w:sz w:val="20"/>
          <w:szCs w:val="20"/>
        </w:rPr>
        <w:t xml:space="preserve"> for patients meeting expedited criteria is as follows:</w:t>
      </w:r>
    </w:p>
    <w:p w14:paraId="7D61E8D0" w14:textId="6D25CD10" w:rsidR="00A41226" w:rsidRPr="00A015B9" w:rsidRDefault="00A41226" w:rsidP="00A015B9">
      <w:pPr>
        <w:pStyle w:val="ListParagraph"/>
        <w:numPr>
          <w:ilvl w:val="0"/>
          <w:numId w:val="5"/>
        </w:numPr>
        <w:rPr>
          <w:rFonts w:ascii="Century Gothic" w:hAnsi="Century Gothic"/>
          <w:sz w:val="20"/>
          <w:szCs w:val="20"/>
        </w:rPr>
      </w:pPr>
      <w:r>
        <w:rPr>
          <w:rFonts w:ascii="Century Gothic" w:hAnsi="Century Gothic"/>
          <w:sz w:val="20"/>
          <w:szCs w:val="20"/>
        </w:rPr>
        <w:t xml:space="preserve">One dose of </w:t>
      </w:r>
      <w:r w:rsidR="00A015B9">
        <w:rPr>
          <w:rFonts w:ascii="Century Gothic" w:hAnsi="Century Gothic"/>
          <w:sz w:val="20"/>
          <w:szCs w:val="20"/>
        </w:rPr>
        <w:t>intravenous</w:t>
      </w:r>
      <w:r>
        <w:rPr>
          <w:rFonts w:ascii="Century Gothic" w:hAnsi="Century Gothic"/>
          <w:sz w:val="20"/>
          <w:szCs w:val="20"/>
        </w:rPr>
        <w:t xml:space="preserve"> azithromycin profiled consistent with start date/time of prescribers </w:t>
      </w:r>
      <w:r w:rsidR="00A015B9">
        <w:rPr>
          <w:rFonts w:ascii="Century Gothic" w:hAnsi="Century Gothic"/>
          <w:sz w:val="20"/>
          <w:szCs w:val="20"/>
        </w:rPr>
        <w:t xml:space="preserve">intravenous </w:t>
      </w:r>
      <w:r>
        <w:rPr>
          <w:rFonts w:ascii="Century Gothic" w:hAnsi="Century Gothic"/>
          <w:sz w:val="20"/>
          <w:szCs w:val="20"/>
        </w:rPr>
        <w:t>order</w:t>
      </w:r>
      <w:r w:rsidR="00A015B9">
        <w:rPr>
          <w:rFonts w:ascii="Century Gothic" w:hAnsi="Century Gothic"/>
          <w:sz w:val="20"/>
          <w:szCs w:val="20"/>
        </w:rPr>
        <w:t xml:space="preserve">. </w:t>
      </w:r>
      <w:r w:rsidRPr="00A015B9">
        <w:rPr>
          <w:rFonts w:ascii="Century Gothic" w:hAnsi="Century Gothic"/>
          <w:sz w:val="20"/>
          <w:szCs w:val="20"/>
        </w:rPr>
        <w:t xml:space="preserve">If patient received a dose of </w:t>
      </w:r>
      <w:r w:rsidR="00A015B9">
        <w:rPr>
          <w:rFonts w:ascii="Century Gothic" w:hAnsi="Century Gothic"/>
          <w:sz w:val="20"/>
          <w:szCs w:val="20"/>
        </w:rPr>
        <w:t xml:space="preserve">intravenous </w:t>
      </w:r>
      <w:r w:rsidRPr="00A015B9">
        <w:rPr>
          <w:rFonts w:ascii="Century Gothic" w:hAnsi="Century Gothic"/>
          <w:sz w:val="20"/>
          <w:szCs w:val="20"/>
        </w:rPr>
        <w:t xml:space="preserve">already (e.g., in the Emergency Department), the patient will be directly converted to </w:t>
      </w:r>
      <w:r w:rsidR="00A015B9">
        <w:rPr>
          <w:rFonts w:ascii="Century Gothic" w:hAnsi="Century Gothic"/>
          <w:sz w:val="20"/>
          <w:szCs w:val="20"/>
        </w:rPr>
        <w:t>enteral.</w:t>
      </w:r>
    </w:p>
    <w:p w14:paraId="3C11B297" w14:textId="5291DF9E" w:rsidR="00A41226" w:rsidRDefault="00A41226" w:rsidP="00A41226">
      <w:pPr>
        <w:pStyle w:val="ListParagraph"/>
        <w:numPr>
          <w:ilvl w:val="0"/>
          <w:numId w:val="5"/>
        </w:numPr>
        <w:rPr>
          <w:rFonts w:ascii="Century Gothic" w:hAnsi="Century Gothic"/>
          <w:sz w:val="20"/>
          <w:szCs w:val="20"/>
        </w:rPr>
      </w:pPr>
      <w:r>
        <w:rPr>
          <w:rFonts w:ascii="Century Gothic" w:hAnsi="Century Gothic"/>
          <w:sz w:val="20"/>
          <w:szCs w:val="20"/>
        </w:rPr>
        <w:t xml:space="preserve">An </w:t>
      </w:r>
      <w:r w:rsidR="00A015B9">
        <w:rPr>
          <w:rFonts w:ascii="Century Gothic" w:hAnsi="Century Gothic"/>
          <w:sz w:val="20"/>
          <w:szCs w:val="20"/>
        </w:rPr>
        <w:t>enteral</w:t>
      </w:r>
      <w:r>
        <w:rPr>
          <w:rFonts w:ascii="Century Gothic" w:hAnsi="Century Gothic"/>
          <w:sz w:val="20"/>
          <w:szCs w:val="20"/>
        </w:rPr>
        <w:t xml:space="preserve"> order will be profiled for the remainder of the course, to start at the time of the next dose</w:t>
      </w:r>
    </w:p>
    <w:p w14:paraId="6B3EC7DE" w14:textId="7462CA4E" w:rsidR="00A41226" w:rsidRPr="00B70DF6" w:rsidRDefault="00A41226">
      <w:pPr>
        <w:rPr>
          <w:rFonts w:ascii="Century Gothic" w:hAnsi="Century Gothic"/>
          <w:i/>
          <w:iCs/>
          <w:sz w:val="20"/>
          <w:szCs w:val="20"/>
        </w:rPr>
      </w:pPr>
      <w:r w:rsidRPr="00B70DF6">
        <w:rPr>
          <w:rFonts w:ascii="Century Gothic" w:hAnsi="Century Gothic"/>
          <w:i/>
          <w:iCs/>
          <w:sz w:val="20"/>
          <w:szCs w:val="20"/>
        </w:rPr>
        <w:t xml:space="preserve">Patients not eligible for expedited conversion will be routinely assessed for potential </w:t>
      </w:r>
      <w:r w:rsidR="00A015B9" w:rsidRPr="00B70DF6">
        <w:rPr>
          <w:rFonts w:ascii="Century Gothic" w:hAnsi="Century Gothic"/>
          <w:i/>
          <w:iCs/>
          <w:sz w:val="20"/>
          <w:szCs w:val="20"/>
        </w:rPr>
        <w:t xml:space="preserve">intravenous </w:t>
      </w:r>
      <w:r w:rsidRPr="00B70DF6">
        <w:rPr>
          <w:rFonts w:ascii="Century Gothic" w:hAnsi="Century Gothic"/>
          <w:i/>
          <w:iCs/>
          <w:sz w:val="20"/>
          <w:szCs w:val="20"/>
        </w:rPr>
        <w:t xml:space="preserve">to </w:t>
      </w:r>
      <w:r w:rsidR="00A015B9" w:rsidRPr="00B70DF6">
        <w:rPr>
          <w:rFonts w:ascii="Century Gothic" w:hAnsi="Century Gothic"/>
          <w:i/>
          <w:iCs/>
          <w:sz w:val="20"/>
          <w:szCs w:val="20"/>
        </w:rPr>
        <w:t>enteral</w:t>
      </w:r>
      <w:r w:rsidRPr="00B70DF6">
        <w:rPr>
          <w:rFonts w:ascii="Century Gothic" w:hAnsi="Century Gothic"/>
          <w:i/>
          <w:iCs/>
          <w:sz w:val="20"/>
          <w:szCs w:val="20"/>
        </w:rPr>
        <w:t xml:space="preserve"> conversion per the standard criteria protocol. </w:t>
      </w:r>
    </w:p>
    <w:p w14:paraId="71AE5179" w14:textId="3C02B579" w:rsidR="006442E3" w:rsidRPr="006442E3" w:rsidRDefault="006442E3" w:rsidP="00B70DF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entury Gothic" w:hAnsi="Century Gothic"/>
          <w:b/>
          <w:bCs/>
          <w:sz w:val="20"/>
          <w:szCs w:val="20"/>
        </w:rPr>
      </w:pPr>
      <w:r w:rsidRPr="00A015B9">
        <w:rPr>
          <w:rFonts w:ascii="Century Gothic" w:hAnsi="Century Gothic"/>
          <w:b/>
          <w:bCs/>
          <w:sz w:val="20"/>
          <w:szCs w:val="20"/>
          <w:u w:val="single"/>
        </w:rPr>
        <w:t>Standard</w:t>
      </w:r>
      <w:r w:rsidRPr="006442E3">
        <w:rPr>
          <w:rFonts w:ascii="Century Gothic" w:hAnsi="Century Gothic"/>
          <w:b/>
          <w:bCs/>
          <w:sz w:val="20"/>
          <w:szCs w:val="20"/>
        </w:rPr>
        <w:t xml:space="preserve"> Criteria for Automatic </w:t>
      </w:r>
      <w:r w:rsidR="00A015B9">
        <w:rPr>
          <w:rFonts w:ascii="Century Gothic" w:hAnsi="Century Gothic"/>
          <w:b/>
          <w:bCs/>
          <w:sz w:val="20"/>
          <w:szCs w:val="20"/>
        </w:rPr>
        <w:t>Intravenous to Enteral</w:t>
      </w:r>
      <w:r w:rsidRPr="006442E3">
        <w:rPr>
          <w:rFonts w:ascii="Century Gothic" w:hAnsi="Century Gothic"/>
          <w:b/>
          <w:bCs/>
          <w:sz w:val="20"/>
          <w:szCs w:val="20"/>
        </w:rPr>
        <w:t xml:space="preserve"> </w:t>
      </w:r>
      <w:r w:rsidRPr="006442E3">
        <w:rPr>
          <w:rFonts w:ascii="Century Gothic" w:hAnsi="Century Gothic"/>
          <w:b/>
          <w:bCs/>
          <w:sz w:val="20"/>
          <w:szCs w:val="20"/>
        </w:rPr>
        <w:t>Antibiotic Conversion</w:t>
      </w:r>
      <w:r w:rsidRPr="006442E3">
        <w:rPr>
          <w:rFonts w:ascii="Century Gothic" w:hAnsi="Century Gothic"/>
          <w:b/>
          <w:bCs/>
          <w:sz w:val="20"/>
          <w:szCs w:val="20"/>
        </w:rPr>
        <w:t xml:space="preserve"> By Pharmacist</w:t>
      </w:r>
    </w:p>
    <w:p w14:paraId="6A66A24C" w14:textId="33628E04" w:rsidR="00A015B9" w:rsidRDefault="00A015B9">
      <w:pPr>
        <w:rPr>
          <w:rFonts w:ascii="Century Gothic" w:hAnsi="Century Gothic"/>
          <w:sz w:val="20"/>
          <w:szCs w:val="20"/>
        </w:rPr>
      </w:pPr>
      <w:r>
        <w:rPr>
          <w:rFonts w:ascii="Century Gothic" w:hAnsi="Century Gothic"/>
          <w:sz w:val="20"/>
          <w:szCs w:val="20"/>
        </w:rPr>
        <w:t>INCLUSION</w:t>
      </w:r>
      <w:r w:rsidR="004C4B9E">
        <w:rPr>
          <w:rFonts w:ascii="Century Gothic" w:hAnsi="Century Gothic"/>
          <w:sz w:val="20"/>
          <w:szCs w:val="20"/>
        </w:rPr>
        <w:t xml:space="preserve"> CRITERIA</w:t>
      </w:r>
    </w:p>
    <w:p w14:paraId="5924E2BF" w14:textId="07F202EB" w:rsidR="006E3B03" w:rsidRPr="00FB1BB0" w:rsidRDefault="006E3B03">
      <w:pPr>
        <w:rPr>
          <w:rFonts w:ascii="Century Gothic" w:hAnsi="Century Gothic"/>
          <w:sz w:val="20"/>
          <w:szCs w:val="20"/>
        </w:rPr>
      </w:pPr>
      <w:r w:rsidRPr="00FB1BB0">
        <w:rPr>
          <w:rFonts w:ascii="Century Gothic" w:hAnsi="Century Gothic"/>
          <w:sz w:val="20"/>
          <w:szCs w:val="20"/>
        </w:rPr>
        <w:t xml:space="preserve">Patients who </w:t>
      </w:r>
      <w:r w:rsidRPr="00FB1BB0">
        <w:rPr>
          <w:rFonts w:ascii="Century Gothic" w:hAnsi="Century Gothic"/>
          <w:b/>
          <w:bCs/>
          <w:sz w:val="20"/>
          <w:szCs w:val="20"/>
        </w:rPr>
        <w:t>meet all</w:t>
      </w:r>
      <w:r w:rsidRPr="00FB1BB0">
        <w:rPr>
          <w:rFonts w:ascii="Century Gothic" w:hAnsi="Century Gothic"/>
          <w:sz w:val="20"/>
          <w:szCs w:val="20"/>
        </w:rPr>
        <w:t xml:space="preserve"> of the following criteria are eligible for automatic pharmacist conversion from </w:t>
      </w:r>
      <w:r w:rsidR="00A015B9">
        <w:rPr>
          <w:rFonts w:ascii="Century Gothic" w:hAnsi="Century Gothic"/>
          <w:sz w:val="20"/>
          <w:szCs w:val="20"/>
        </w:rPr>
        <w:t xml:space="preserve">intravenous to enteral </w:t>
      </w:r>
      <w:r w:rsidRPr="00FB1BB0">
        <w:rPr>
          <w:rFonts w:ascii="Century Gothic" w:hAnsi="Century Gothic"/>
          <w:sz w:val="20"/>
          <w:szCs w:val="20"/>
        </w:rPr>
        <w:t>of azithromycin:</w:t>
      </w:r>
    </w:p>
    <w:p w14:paraId="2157B528" w14:textId="77777777" w:rsidR="00FB1BB0" w:rsidRPr="00FB1BB0" w:rsidRDefault="00FB1BB0" w:rsidP="00FB1BB0">
      <w:pPr>
        <w:rPr>
          <w:rFonts w:ascii="Century Gothic" w:hAnsi="Century Gothic"/>
          <w:sz w:val="20"/>
          <w:szCs w:val="20"/>
        </w:rPr>
      </w:pPr>
      <w:r w:rsidRPr="00FB1BB0">
        <w:rPr>
          <w:rFonts w:ascii="Century Gothic" w:hAnsi="Century Gothic"/>
          <w:sz w:val="20"/>
          <w:szCs w:val="20"/>
        </w:rPr>
        <w:lastRenderedPageBreak/>
        <w:t>□ Intact/ functioning gastrointestinal tract</w:t>
      </w:r>
    </w:p>
    <w:p w14:paraId="5E8D11CE" w14:textId="42524005" w:rsidR="00FB1BB0" w:rsidRDefault="00FB1BB0" w:rsidP="00FB1BB0">
      <w:pPr>
        <w:rPr>
          <w:rFonts w:ascii="Century Gothic" w:hAnsi="Century Gothic"/>
          <w:sz w:val="20"/>
          <w:szCs w:val="20"/>
        </w:rPr>
      </w:pPr>
      <w:r w:rsidRPr="00FB1BB0">
        <w:rPr>
          <w:rFonts w:ascii="Century Gothic" w:hAnsi="Century Gothic"/>
          <w:sz w:val="20"/>
          <w:szCs w:val="20"/>
        </w:rPr>
        <w:t>□</w:t>
      </w:r>
      <w:r>
        <w:rPr>
          <w:rFonts w:ascii="Century Gothic" w:hAnsi="Century Gothic"/>
          <w:sz w:val="20"/>
          <w:szCs w:val="20"/>
        </w:rPr>
        <w:t xml:space="preserve"> Able to tolerate oral or enteral feedings </w:t>
      </w:r>
      <w:r w:rsidR="00667989">
        <w:rPr>
          <w:rFonts w:ascii="Century Gothic" w:hAnsi="Century Gothic"/>
          <w:sz w:val="20"/>
          <w:szCs w:val="20"/>
        </w:rPr>
        <w:t>(e.g., oral diet, at least one liter of oral fluid daily)</w:t>
      </w:r>
    </w:p>
    <w:p w14:paraId="636A284C" w14:textId="1119AA7B" w:rsidR="00FB1BB0" w:rsidRDefault="00FB1BB0" w:rsidP="00FB1BB0">
      <w:pPr>
        <w:rPr>
          <w:rFonts w:ascii="Century Gothic" w:hAnsi="Century Gothic"/>
          <w:sz w:val="20"/>
          <w:szCs w:val="20"/>
        </w:rPr>
      </w:pPr>
      <w:r w:rsidRPr="00FB1BB0">
        <w:rPr>
          <w:rFonts w:ascii="Century Gothic" w:hAnsi="Century Gothic"/>
          <w:sz w:val="20"/>
          <w:szCs w:val="20"/>
        </w:rPr>
        <w:t>□</w:t>
      </w:r>
      <w:r>
        <w:rPr>
          <w:rFonts w:ascii="Century Gothic" w:hAnsi="Century Gothic"/>
          <w:sz w:val="20"/>
          <w:szCs w:val="20"/>
        </w:rPr>
        <w:t xml:space="preserve"> Able to adequately absorb medications via the oral, gastric tube, or nasogastric tube route</w:t>
      </w:r>
    </w:p>
    <w:p w14:paraId="0E69A5D4" w14:textId="540317B3" w:rsidR="00FB1BB0" w:rsidRDefault="00FB1BB0" w:rsidP="00FB1BB0">
      <w:pPr>
        <w:rPr>
          <w:rFonts w:ascii="Century Gothic" w:hAnsi="Century Gothic"/>
          <w:sz w:val="20"/>
          <w:szCs w:val="20"/>
        </w:rPr>
      </w:pPr>
      <w:r w:rsidRPr="00FB1BB0">
        <w:rPr>
          <w:rFonts w:ascii="Century Gothic" w:hAnsi="Century Gothic"/>
          <w:sz w:val="20"/>
          <w:szCs w:val="20"/>
        </w:rPr>
        <w:t>□</w:t>
      </w:r>
      <w:r>
        <w:rPr>
          <w:rFonts w:ascii="Century Gothic" w:hAnsi="Century Gothic"/>
          <w:sz w:val="20"/>
          <w:szCs w:val="20"/>
        </w:rPr>
        <w:t xml:space="preserve"> Taking other medications orally</w:t>
      </w:r>
    </w:p>
    <w:p w14:paraId="48441B1C" w14:textId="7BE20A88" w:rsidR="00667989" w:rsidRDefault="00667989" w:rsidP="00FB1BB0">
      <w:pPr>
        <w:rPr>
          <w:rFonts w:ascii="Century Gothic" w:hAnsi="Century Gothic"/>
          <w:sz w:val="20"/>
          <w:szCs w:val="20"/>
        </w:rPr>
      </w:pPr>
      <w:r w:rsidRPr="00FB1BB0">
        <w:rPr>
          <w:rFonts w:ascii="Century Gothic" w:hAnsi="Century Gothic"/>
          <w:sz w:val="20"/>
          <w:szCs w:val="20"/>
        </w:rPr>
        <w:t>□</w:t>
      </w:r>
      <w:r>
        <w:rPr>
          <w:rFonts w:ascii="Century Gothic" w:hAnsi="Century Gothic"/>
          <w:sz w:val="20"/>
          <w:szCs w:val="20"/>
        </w:rPr>
        <w:t xml:space="preserve"> Patient has received at least 24 hours of intravenous antimicrobial therapy</w:t>
      </w:r>
    </w:p>
    <w:p w14:paraId="02F7127E" w14:textId="21E112E3" w:rsidR="00667989" w:rsidRDefault="00667989" w:rsidP="00FB1BB0">
      <w:pPr>
        <w:rPr>
          <w:rFonts w:ascii="Century Gothic" w:hAnsi="Century Gothic"/>
          <w:sz w:val="20"/>
          <w:szCs w:val="20"/>
        </w:rPr>
      </w:pPr>
      <w:r w:rsidRPr="00FB1BB0">
        <w:rPr>
          <w:rFonts w:ascii="Century Gothic" w:hAnsi="Century Gothic"/>
          <w:sz w:val="20"/>
          <w:szCs w:val="20"/>
        </w:rPr>
        <w:t>□</w:t>
      </w:r>
      <w:r>
        <w:rPr>
          <w:rFonts w:ascii="Century Gothic" w:hAnsi="Century Gothic"/>
          <w:sz w:val="20"/>
          <w:szCs w:val="20"/>
        </w:rPr>
        <w:t xml:space="preserve"> Patient is afebrile without antipyretics for at least 24 hours</w:t>
      </w:r>
    </w:p>
    <w:p w14:paraId="1E70F3E9" w14:textId="59EED0DE" w:rsidR="00667989" w:rsidRDefault="00667989" w:rsidP="00FB1BB0">
      <w:pPr>
        <w:rPr>
          <w:rFonts w:ascii="Century Gothic" w:hAnsi="Century Gothic"/>
          <w:sz w:val="20"/>
          <w:szCs w:val="20"/>
        </w:rPr>
      </w:pPr>
      <w:r w:rsidRPr="00FB1BB0">
        <w:rPr>
          <w:rFonts w:ascii="Century Gothic" w:hAnsi="Century Gothic"/>
          <w:sz w:val="20"/>
          <w:szCs w:val="20"/>
        </w:rPr>
        <w:t>□</w:t>
      </w:r>
      <w:r>
        <w:rPr>
          <w:rFonts w:ascii="Century Gothic" w:hAnsi="Century Gothic"/>
          <w:sz w:val="20"/>
          <w:szCs w:val="20"/>
        </w:rPr>
        <w:t xml:space="preserve"> WBC is within normal range and/or trending towards normal range</w:t>
      </w:r>
    </w:p>
    <w:p w14:paraId="6EE18907" w14:textId="0AA2E3FD" w:rsidR="00667989" w:rsidRDefault="00667989" w:rsidP="00FB1BB0">
      <w:pPr>
        <w:rPr>
          <w:rFonts w:ascii="Century Gothic" w:hAnsi="Century Gothic"/>
          <w:sz w:val="20"/>
          <w:szCs w:val="20"/>
        </w:rPr>
      </w:pPr>
      <w:r w:rsidRPr="00FB1BB0">
        <w:rPr>
          <w:rFonts w:ascii="Century Gothic" w:hAnsi="Century Gothic"/>
          <w:sz w:val="20"/>
          <w:szCs w:val="20"/>
        </w:rPr>
        <w:t>□</w:t>
      </w:r>
      <w:r>
        <w:rPr>
          <w:rFonts w:ascii="Century Gothic" w:hAnsi="Century Gothic"/>
          <w:sz w:val="20"/>
          <w:szCs w:val="20"/>
        </w:rPr>
        <w:t xml:space="preserve"> No positive blood cultures (if blood cultures have been drawn)</w:t>
      </w:r>
    </w:p>
    <w:p w14:paraId="77705555" w14:textId="0DFBA833" w:rsidR="00667989" w:rsidRDefault="00667989" w:rsidP="00FB1BB0">
      <w:pPr>
        <w:rPr>
          <w:rFonts w:ascii="Century Gothic" w:hAnsi="Century Gothic"/>
          <w:sz w:val="20"/>
          <w:szCs w:val="20"/>
        </w:rPr>
      </w:pPr>
      <w:r w:rsidRPr="00FB1BB0">
        <w:rPr>
          <w:rFonts w:ascii="Century Gothic" w:hAnsi="Century Gothic"/>
          <w:sz w:val="20"/>
          <w:szCs w:val="20"/>
        </w:rPr>
        <w:t>□</w:t>
      </w:r>
      <w:r>
        <w:rPr>
          <w:rFonts w:ascii="Century Gothic" w:hAnsi="Century Gothic"/>
          <w:sz w:val="20"/>
          <w:szCs w:val="20"/>
        </w:rPr>
        <w:t xml:space="preserve"> Stable or improving radiographic findings (when applicable)</w:t>
      </w:r>
    </w:p>
    <w:p w14:paraId="7E59AAE8" w14:textId="78985B43" w:rsidR="006E3B03" w:rsidRPr="00FB1BB0" w:rsidRDefault="00667989">
      <w:pPr>
        <w:rPr>
          <w:rFonts w:ascii="Century Gothic" w:hAnsi="Century Gothic"/>
          <w:sz w:val="20"/>
          <w:szCs w:val="20"/>
        </w:rPr>
      </w:pPr>
      <w:r w:rsidRPr="00FB1BB0">
        <w:rPr>
          <w:rFonts w:ascii="Century Gothic" w:hAnsi="Century Gothic"/>
          <w:sz w:val="20"/>
          <w:szCs w:val="20"/>
        </w:rPr>
        <w:t>□</w:t>
      </w:r>
      <w:r>
        <w:rPr>
          <w:rFonts w:ascii="Century Gothic" w:hAnsi="Century Gothic"/>
          <w:sz w:val="20"/>
          <w:szCs w:val="20"/>
        </w:rPr>
        <w:t xml:space="preserve"> Hemodynamic stability</w:t>
      </w:r>
    </w:p>
    <w:p w14:paraId="489D9E81" w14:textId="4F7D0ACE" w:rsidR="00A015B9" w:rsidRDefault="00A015B9">
      <w:pPr>
        <w:rPr>
          <w:rFonts w:ascii="Century Gothic" w:hAnsi="Century Gothic"/>
          <w:sz w:val="20"/>
          <w:szCs w:val="20"/>
        </w:rPr>
      </w:pPr>
      <w:r>
        <w:rPr>
          <w:rFonts w:ascii="Century Gothic" w:hAnsi="Century Gothic"/>
          <w:sz w:val="20"/>
          <w:szCs w:val="20"/>
        </w:rPr>
        <w:t>EXCLUSION</w:t>
      </w:r>
      <w:r w:rsidR="004C4B9E">
        <w:rPr>
          <w:rFonts w:ascii="Century Gothic" w:hAnsi="Century Gothic"/>
          <w:sz w:val="20"/>
          <w:szCs w:val="20"/>
        </w:rPr>
        <w:t xml:space="preserve"> CRITERIA</w:t>
      </w:r>
    </w:p>
    <w:p w14:paraId="4D9CEA43" w14:textId="7D701A2A" w:rsidR="006E3B03" w:rsidRDefault="006E3B03">
      <w:pPr>
        <w:rPr>
          <w:rFonts w:ascii="Century Gothic" w:hAnsi="Century Gothic"/>
          <w:sz w:val="20"/>
          <w:szCs w:val="20"/>
        </w:rPr>
      </w:pPr>
      <w:r w:rsidRPr="00FB1BB0">
        <w:rPr>
          <w:rFonts w:ascii="Century Gothic" w:hAnsi="Century Gothic"/>
          <w:sz w:val="20"/>
          <w:szCs w:val="20"/>
        </w:rPr>
        <w:t xml:space="preserve">Patients </w:t>
      </w:r>
      <w:r w:rsidRPr="00B70DF6">
        <w:rPr>
          <w:rFonts w:ascii="Century Gothic" w:hAnsi="Century Gothic"/>
          <w:b/>
          <w:bCs/>
          <w:sz w:val="20"/>
          <w:szCs w:val="20"/>
        </w:rPr>
        <w:t xml:space="preserve">meeting any </w:t>
      </w:r>
      <w:r w:rsidR="00FB1BB0" w:rsidRPr="00B70DF6">
        <w:rPr>
          <w:rFonts w:ascii="Century Gothic" w:hAnsi="Century Gothic"/>
          <w:b/>
          <w:bCs/>
          <w:sz w:val="20"/>
          <w:szCs w:val="20"/>
        </w:rPr>
        <w:t>one</w:t>
      </w:r>
      <w:r w:rsidR="00FB1BB0" w:rsidRPr="00FB1BB0">
        <w:rPr>
          <w:rFonts w:ascii="Century Gothic" w:hAnsi="Century Gothic"/>
          <w:sz w:val="20"/>
          <w:szCs w:val="20"/>
        </w:rPr>
        <w:t xml:space="preserve"> </w:t>
      </w:r>
      <w:r w:rsidRPr="00FB1BB0">
        <w:rPr>
          <w:rFonts w:ascii="Century Gothic" w:hAnsi="Century Gothic"/>
          <w:sz w:val="20"/>
          <w:szCs w:val="20"/>
        </w:rPr>
        <w:t xml:space="preserve">of the following criteria are not eligible for automatic pharmacist conversion from </w:t>
      </w:r>
      <w:r w:rsidR="00A015B9">
        <w:rPr>
          <w:rFonts w:ascii="Century Gothic" w:hAnsi="Century Gothic"/>
          <w:sz w:val="20"/>
          <w:szCs w:val="20"/>
        </w:rPr>
        <w:t>intravenous to enteral</w:t>
      </w:r>
      <w:r w:rsidRPr="00FB1BB0">
        <w:rPr>
          <w:rFonts w:ascii="Century Gothic" w:hAnsi="Century Gothic"/>
          <w:sz w:val="20"/>
          <w:szCs w:val="20"/>
        </w:rPr>
        <w:t xml:space="preserve"> </w:t>
      </w:r>
      <w:r w:rsidR="00FB1BB0">
        <w:rPr>
          <w:rFonts w:ascii="Century Gothic" w:hAnsi="Century Gothic"/>
          <w:sz w:val="20"/>
          <w:szCs w:val="20"/>
        </w:rPr>
        <w:t>a</w:t>
      </w:r>
      <w:r w:rsidRPr="00FB1BB0">
        <w:rPr>
          <w:rFonts w:ascii="Century Gothic" w:hAnsi="Century Gothic"/>
          <w:sz w:val="20"/>
          <w:szCs w:val="20"/>
        </w:rPr>
        <w:t>zithromycin</w:t>
      </w:r>
      <w:r w:rsidR="00667989">
        <w:rPr>
          <w:rFonts w:ascii="Century Gothic" w:hAnsi="Century Gothic"/>
          <w:sz w:val="20"/>
          <w:szCs w:val="20"/>
        </w:rPr>
        <w:t>.</w:t>
      </w:r>
    </w:p>
    <w:p w14:paraId="35FFE091" w14:textId="014FEC6A" w:rsidR="00667989" w:rsidRPr="00B70DF6" w:rsidRDefault="00B70DF6" w:rsidP="00B70DF6">
      <w:pPr>
        <w:rPr>
          <w:rFonts w:ascii="Century Gothic" w:hAnsi="Century Gothic"/>
          <w:i/>
          <w:iCs/>
          <w:sz w:val="20"/>
          <w:szCs w:val="20"/>
        </w:rPr>
      </w:pPr>
      <w:r>
        <w:rPr>
          <w:rFonts w:ascii="Century Gothic" w:hAnsi="Century Gothic"/>
          <w:i/>
          <w:iCs/>
          <w:sz w:val="20"/>
          <w:szCs w:val="20"/>
        </w:rPr>
        <w:t xml:space="preserve">NOTE: </w:t>
      </w:r>
      <w:r w:rsidR="00667989" w:rsidRPr="00B70DF6">
        <w:rPr>
          <w:rFonts w:ascii="Century Gothic" w:hAnsi="Century Gothic"/>
          <w:i/>
          <w:iCs/>
          <w:sz w:val="20"/>
          <w:szCs w:val="20"/>
        </w:rPr>
        <w:t xml:space="preserve">Patients not meeting automatic pharmacist conversion criteria but who are reasonable candidates for the switch may be changed from intravenous to enteral route azithromycin only after discussion and agreement with the ordering provider.  </w:t>
      </w:r>
    </w:p>
    <w:p w14:paraId="766B7E2A" w14:textId="6A2059E9" w:rsidR="00FB1BB0" w:rsidRDefault="00FB1BB0">
      <w:pPr>
        <w:rPr>
          <w:rFonts w:ascii="Century Gothic" w:hAnsi="Century Gothic"/>
          <w:sz w:val="20"/>
          <w:szCs w:val="20"/>
        </w:rPr>
      </w:pPr>
      <w:r w:rsidRPr="00FB1BB0">
        <w:rPr>
          <w:rFonts w:ascii="Century Gothic" w:hAnsi="Century Gothic"/>
          <w:sz w:val="20"/>
          <w:szCs w:val="20"/>
        </w:rPr>
        <w:t>□</w:t>
      </w:r>
      <w:r>
        <w:rPr>
          <w:rFonts w:ascii="Century Gothic" w:hAnsi="Century Gothic"/>
          <w:sz w:val="20"/>
          <w:szCs w:val="20"/>
        </w:rPr>
        <w:t xml:space="preserve"> Physician ordered medication not to be switched to enteral route</w:t>
      </w:r>
    </w:p>
    <w:p w14:paraId="34A896CA" w14:textId="5B12D331" w:rsidR="00FB1BB0" w:rsidRDefault="00FB1BB0">
      <w:pPr>
        <w:rPr>
          <w:rFonts w:ascii="Century Gothic" w:hAnsi="Century Gothic"/>
          <w:sz w:val="20"/>
          <w:szCs w:val="20"/>
        </w:rPr>
      </w:pPr>
      <w:r w:rsidRPr="00FB1BB0">
        <w:rPr>
          <w:rFonts w:ascii="Century Gothic" w:hAnsi="Century Gothic"/>
          <w:sz w:val="20"/>
          <w:szCs w:val="20"/>
        </w:rPr>
        <w:t>□</w:t>
      </w:r>
      <w:r>
        <w:rPr>
          <w:rFonts w:ascii="Century Gothic" w:hAnsi="Century Gothic"/>
          <w:sz w:val="20"/>
          <w:szCs w:val="20"/>
        </w:rPr>
        <w:t xml:space="preserve"> Patient not taking anything by mouth (NPO status)</w:t>
      </w:r>
    </w:p>
    <w:p w14:paraId="44BA63FA" w14:textId="7E852470" w:rsidR="00FB1BB0" w:rsidRDefault="00FB1BB0">
      <w:pPr>
        <w:rPr>
          <w:rFonts w:ascii="Century Gothic" w:hAnsi="Century Gothic"/>
          <w:sz w:val="20"/>
          <w:szCs w:val="20"/>
        </w:rPr>
      </w:pPr>
      <w:r w:rsidRPr="00FB1BB0">
        <w:rPr>
          <w:rFonts w:ascii="Century Gothic" w:hAnsi="Century Gothic"/>
          <w:sz w:val="20"/>
          <w:szCs w:val="20"/>
        </w:rPr>
        <w:t>□</w:t>
      </w:r>
      <w:r>
        <w:rPr>
          <w:rFonts w:ascii="Century Gothic" w:hAnsi="Century Gothic"/>
          <w:sz w:val="20"/>
          <w:szCs w:val="20"/>
        </w:rPr>
        <w:t xml:space="preserve"> Malabsorption syndrome (e.g., obstruction, ileus, persistent nausea, vomiting or diarrhea in the last 24 hours, short bowel syndrome, motility disorder of the </w:t>
      </w:r>
      <w:r>
        <w:rPr>
          <w:rFonts w:ascii="Century Gothic" w:hAnsi="Century Gothic"/>
          <w:sz w:val="20"/>
          <w:szCs w:val="20"/>
        </w:rPr>
        <w:t xml:space="preserve">gastrointestinal </w:t>
      </w:r>
      <w:r>
        <w:rPr>
          <w:rFonts w:ascii="Century Gothic" w:hAnsi="Century Gothic"/>
          <w:sz w:val="20"/>
          <w:szCs w:val="20"/>
        </w:rPr>
        <w:t>system, gastroparesis)</w:t>
      </w:r>
    </w:p>
    <w:p w14:paraId="7E1370C5" w14:textId="2F8EDF7E" w:rsidR="00FB1BB0" w:rsidRDefault="00FB1BB0">
      <w:pPr>
        <w:rPr>
          <w:rFonts w:ascii="Century Gothic" w:hAnsi="Century Gothic"/>
          <w:sz w:val="20"/>
          <w:szCs w:val="20"/>
        </w:rPr>
      </w:pPr>
      <w:r w:rsidRPr="00FB1BB0">
        <w:rPr>
          <w:rFonts w:ascii="Century Gothic" w:hAnsi="Century Gothic"/>
          <w:sz w:val="20"/>
          <w:szCs w:val="20"/>
        </w:rPr>
        <w:t>□</w:t>
      </w:r>
      <w:r>
        <w:rPr>
          <w:rFonts w:ascii="Century Gothic" w:hAnsi="Century Gothic"/>
          <w:sz w:val="20"/>
          <w:szCs w:val="20"/>
        </w:rPr>
        <w:t xml:space="preserve"> Grade </w:t>
      </w:r>
      <w:r w:rsidR="00A015B9">
        <w:rPr>
          <w:rFonts w:ascii="Century Gothic" w:hAnsi="Century Gothic"/>
          <w:sz w:val="20"/>
          <w:szCs w:val="20"/>
        </w:rPr>
        <w:t>three</w:t>
      </w:r>
      <w:r>
        <w:rPr>
          <w:rFonts w:ascii="Century Gothic" w:hAnsi="Century Gothic"/>
          <w:sz w:val="20"/>
          <w:szCs w:val="20"/>
        </w:rPr>
        <w:t xml:space="preserve"> or </w:t>
      </w:r>
      <w:r w:rsidR="00A015B9">
        <w:rPr>
          <w:rFonts w:ascii="Century Gothic" w:hAnsi="Century Gothic"/>
          <w:sz w:val="20"/>
          <w:szCs w:val="20"/>
        </w:rPr>
        <w:t>four</w:t>
      </w:r>
      <w:r>
        <w:rPr>
          <w:rFonts w:ascii="Century Gothic" w:hAnsi="Century Gothic"/>
          <w:sz w:val="20"/>
          <w:szCs w:val="20"/>
        </w:rPr>
        <w:t xml:space="preserve"> mucositis (e.g., ulcers, extensive erythema – patients cannot swallow solid diet or alimentation is not possible)</w:t>
      </w:r>
    </w:p>
    <w:p w14:paraId="1ADA29CD" w14:textId="4A84B425" w:rsidR="00FB1BB0" w:rsidRPr="00FB1BB0" w:rsidRDefault="00FB1BB0">
      <w:pPr>
        <w:rPr>
          <w:rFonts w:ascii="Century Gothic" w:hAnsi="Century Gothic"/>
          <w:sz w:val="20"/>
          <w:szCs w:val="20"/>
        </w:rPr>
      </w:pPr>
      <w:r w:rsidRPr="00FB1BB0">
        <w:rPr>
          <w:rFonts w:ascii="Century Gothic" w:hAnsi="Century Gothic"/>
          <w:sz w:val="20"/>
          <w:szCs w:val="20"/>
        </w:rPr>
        <w:t>□</w:t>
      </w:r>
      <w:r>
        <w:rPr>
          <w:rFonts w:ascii="Century Gothic" w:hAnsi="Century Gothic"/>
          <w:sz w:val="20"/>
          <w:szCs w:val="20"/>
        </w:rPr>
        <w:t xml:space="preserve"> Active gastrointestinal bleed</w:t>
      </w:r>
    </w:p>
    <w:p w14:paraId="28C175AC" w14:textId="1756B0DE" w:rsidR="006E3B03" w:rsidRDefault="00FB1BB0">
      <w:pPr>
        <w:rPr>
          <w:rFonts w:ascii="Century Gothic" w:hAnsi="Century Gothic"/>
          <w:sz w:val="20"/>
          <w:szCs w:val="20"/>
        </w:rPr>
      </w:pPr>
      <w:r w:rsidRPr="00FB1BB0">
        <w:rPr>
          <w:rFonts w:ascii="Century Gothic" w:hAnsi="Century Gothic"/>
          <w:sz w:val="20"/>
          <w:szCs w:val="20"/>
        </w:rPr>
        <w:t>□</w:t>
      </w:r>
      <w:r w:rsidR="00295CB0">
        <w:rPr>
          <w:rFonts w:ascii="Century Gothic" w:hAnsi="Century Gothic"/>
          <w:sz w:val="20"/>
          <w:szCs w:val="20"/>
        </w:rPr>
        <w:t xml:space="preserve"> </w:t>
      </w:r>
      <w:r w:rsidR="0000521B">
        <w:rPr>
          <w:rFonts w:ascii="Century Gothic" w:hAnsi="Century Gothic"/>
          <w:sz w:val="20"/>
          <w:szCs w:val="20"/>
        </w:rPr>
        <w:t xml:space="preserve">Patient at increased risk for aspiration (e.g., difficulty swallowing, decreased or loss of consciousness, seizures). Check swallow study if applicable. </w:t>
      </w:r>
    </w:p>
    <w:p w14:paraId="7132FE2E" w14:textId="32D1046F" w:rsidR="0000521B" w:rsidRDefault="0000521B">
      <w:pPr>
        <w:rPr>
          <w:rFonts w:ascii="Century Gothic" w:hAnsi="Century Gothic"/>
          <w:sz w:val="20"/>
          <w:szCs w:val="20"/>
        </w:rPr>
      </w:pPr>
      <w:r w:rsidRPr="00FB1BB0">
        <w:rPr>
          <w:rFonts w:ascii="Century Gothic" w:hAnsi="Century Gothic"/>
          <w:sz w:val="20"/>
          <w:szCs w:val="20"/>
        </w:rPr>
        <w:t>□</w:t>
      </w:r>
      <w:r>
        <w:rPr>
          <w:rFonts w:ascii="Century Gothic" w:hAnsi="Century Gothic"/>
          <w:sz w:val="20"/>
          <w:szCs w:val="20"/>
        </w:rPr>
        <w:t xml:space="preserve"> Continuous nasogastric suction or </w:t>
      </w:r>
      <w:r>
        <w:rPr>
          <w:rFonts w:ascii="Century Gothic" w:hAnsi="Century Gothic"/>
          <w:sz w:val="20"/>
          <w:szCs w:val="20"/>
        </w:rPr>
        <w:t>nasogastric</w:t>
      </w:r>
      <w:r>
        <w:rPr>
          <w:rFonts w:ascii="Century Gothic" w:hAnsi="Century Gothic"/>
          <w:sz w:val="20"/>
          <w:szCs w:val="20"/>
        </w:rPr>
        <w:t xml:space="preserve"> output above 150 </w:t>
      </w:r>
      <w:r w:rsidR="00A015B9">
        <w:rPr>
          <w:rFonts w:ascii="Century Gothic" w:hAnsi="Century Gothic"/>
          <w:sz w:val="20"/>
          <w:szCs w:val="20"/>
        </w:rPr>
        <w:t>mL</w:t>
      </w:r>
      <w:r>
        <w:rPr>
          <w:rFonts w:ascii="Century Gothic" w:hAnsi="Century Gothic"/>
          <w:sz w:val="20"/>
          <w:szCs w:val="20"/>
        </w:rPr>
        <w:t xml:space="preserve"> for </w:t>
      </w:r>
      <w:r w:rsidR="00A015B9">
        <w:rPr>
          <w:rFonts w:ascii="Century Gothic" w:hAnsi="Century Gothic"/>
          <w:sz w:val="20"/>
          <w:szCs w:val="20"/>
        </w:rPr>
        <w:t>two</w:t>
      </w:r>
      <w:r>
        <w:rPr>
          <w:rFonts w:ascii="Century Gothic" w:hAnsi="Century Gothic"/>
          <w:sz w:val="20"/>
          <w:szCs w:val="20"/>
        </w:rPr>
        <w:t xml:space="preserve"> or more times in a 24</w:t>
      </w:r>
      <w:r w:rsidR="00A015B9">
        <w:rPr>
          <w:rFonts w:ascii="Century Gothic" w:hAnsi="Century Gothic"/>
          <w:sz w:val="20"/>
          <w:szCs w:val="20"/>
        </w:rPr>
        <w:t>-</w:t>
      </w:r>
      <w:r>
        <w:rPr>
          <w:rFonts w:ascii="Century Gothic" w:hAnsi="Century Gothic"/>
          <w:sz w:val="20"/>
          <w:szCs w:val="20"/>
        </w:rPr>
        <w:t>hour period</w:t>
      </w:r>
    </w:p>
    <w:p w14:paraId="65DA75A4" w14:textId="339B93F9" w:rsidR="0000521B" w:rsidRDefault="0000521B">
      <w:pPr>
        <w:rPr>
          <w:rFonts w:ascii="Century Gothic" w:hAnsi="Century Gothic"/>
          <w:sz w:val="20"/>
          <w:szCs w:val="20"/>
        </w:rPr>
      </w:pPr>
      <w:r w:rsidRPr="00FB1BB0">
        <w:rPr>
          <w:rFonts w:ascii="Century Gothic" w:hAnsi="Century Gothic"/>
          <w:sz w:val="20"/>
          <w:szCs w:val="20"/>
        </w:rPr>
        <w:t>□</w:t>
      </w:r>
      <w:r>
        <w:rPr>
          <w:rFonts w:ascii="Century Gothic" w:hAnsi="Century Gothic"/>
          <w:sz w:val="20"/>
          <w:szCs w:val="20"/>
        </w:rPr>
        <w:t xml:space="preserve"> Serious or life-threatening infection (e.g., meningitis, intracranial abscess, bacteremia, infective endocarditis, osteomyelitis, septic arthritis, orbital cellulitis)</w:t>
      </w:r>
    </w:p>
    <w:p w14:paraId="791EA61A" w14:textId="60CD99EE" w:rsidR="0000521B" w:rsidRDefault="0000521B">
      <w:pPr>
        <w:rPr>
          <w:rFonts w:ascii="Century Gothic" w:hAnsi="Century Gothic"/>
          <w:sz w:val="20"/>
          <w:szCs w:val="20"/>
        </w:rPr>
      </w:pPr>
      <w:r w:rsidRPr="00FB1BB0">
        <w:rPr>
          <w:rFonts w:ascii="Century Gothic" w:hAnsi="Century Gothic"/>
          <w:sz w:val="20"/>
          <w:szCs w:val="20"/>
        </w:rPr>
        <w:t>□</w:t>
      </w:r>
      <w:r>
        <w:rPr>
          <w:rFonts w:ascii="Century Gothic" w:hAnsi="Century Gothic"/>
          <w:sz w:val="20"/>
          <w:szCs w:val="20"/>
        </w:rPr>
        <w:t xml:space="preserve"> Patient is septic, including any of the following: on vasopressors, heart rate above 90 beats per minute, respiratory rate above 20 breaths per minute, systolic blood pressure below 90 mmHG, documented sepsis or septic shock, other variables indicating criteria for sepsis (</w:t>
      </w:r>
      <w:r w:rsidRPr="0000521B">
        <w:rPr>
          <w:rFonts w:ascii="Century Gothic" w:hAnsi="Century Gothic"/>
          <w:i/>
          <w:iCs/>
          <w:sz w:val="20"/>
          <w:szCs w:val="20"/>
        </w:rPr>
        <w:t>e.g.</w:t>
      </w:r>
      <w:r>
        <w:rPr>
          <w:rFonts w:ascii="Century Gothic" w:hAnsi="Century Gothic"/>
          <w:sz w:val="20"/>
          <w:szCs w:val="20"/>
        </w:rPr>
        <w:t>, activation of sepsis power plan)</w:t>
      </w:r>
    </w:p>
    <w:p w14:paraId="1B4E59E5" w14:textId="6AF31AA1" w:rsidR="004D791F" w:rsidRPr="00FB1BB0" w:rsidRDefault="00667989" w:rsidP="004D791F">
      <w:pPr>
        <w:rPr>
          <w:rFonts w:ascii="Century Gothic" w:hAnsi="Century Gothic"/>
          <w:sz w:val="20"/>
          <w:szCs w:val="20"/>
        </w:rPr>
      </w:pPr>
      <w:r w:rsidRPr="00FB1BB0">
        <w:rPr>
          <w:rFonts w:ascii="Century Gothic" w:hAnsi="Century Gothic"/>
          <w:sz w:val="20"/>
          <w:szCs w:val="20"/>
        </w:rPr>
        <w:t>□</w:t>
      </w:r>
      <w:r>
        <w:rPr>
          <w:rFonts w:ascii="Century Gothic" w:hAnsi="Century Gothic"/>
          <w:sz w:val="20"/>
          <w:szCs w:val="20"/>
        </w:rPr>
        <w:t xml:space="preserve"> Immunocompromised status (e.g., ANC below 1,000 cells/mm</w:t>
      </w:r>
      <w:r w:rsidRPr="00667989">
        <w:rPr>
          <w:rFonts w:ascii="Century Gothic" w:hAnsi="Century Gothic"/>
          <w:sz w:val="20"/>
          <w:szCs w:val="20"/>
          <w:vertAlign w:val="superscript"/>
        </w:rPr>
        <w:t>3</w:t>
      </w:r>
      <w:r>
        <w:rPr>
          <w:rFonts w:ascii="Century Gothic" w:hAnsi="Century Gothic"/>
          <w:sz w:val="20"/>
          <w:szCs w:val="20"/>
        </w:rPr>
        <w:t>, leukopenia with WBC below 4,000 cells/mm</w:t>
      </w:r>
      <w:r w:rsidRPr="00667989">
        <w:rPr>
          <w:rFonts w:ascii="Century Gothic" w:hAnsi="Century Gothic"/>
          <w:sz w:val="20"/>
          <w:szCs w:val="20"/>
          <w:vertAlign w:val="superscript"/>
        </w:rPr>
        <w:t>3</w:t>
      </w:r>
      <w:r>
        <w:rPr>
          <w:rFonts w:ascii="Century Gothic" w:hAnsi="Century Gothic"/>
          <w:sz w:val="20"/>
          <w:szCs w:val="20"/>
        </w:rPr>
        <w:t>)</w:t>
      </w:r>
    </w:p>
    <w:sectPr w:rsidR="004D791F" w:rsidRPr="00FB1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7325F"/>
    <w:multiLevelType w:val="hybridMultilevel"/>
    <w:tmpl w:val="6A4C3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4513F"/>
    <w:multiLevelType w:val="multilevel"/>
    <w:tmpl w:val="2E1E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623C1E"/>
    <w:multiLevelType w:val="hybridMultilevel"/>
    <w:tmpl w:val="ABB6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512E7"/>
    <w:multiLevelType w:val="hybridMultilevel"/>
    <w:tmpl w:val="DA72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58519A"/>
    <w:multiLevelType w:val="hybridMultilevel"/>
    <w:tmpl w:val="9694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648045">
    <w:abstractNumId w:val="1"/>
  </w:num>
  <w:num w:numId="2" w16cid:durableId="342783284">
    <w:abstractNumId w:val="2"/>
  </w:num>
  <w:num w:numId="3" w16cid:durableId="1876893913">
    <w:abstractNumId w:val="3"/>
  </w:num>
  <w:num w:numId="4" w16cid:durableId="1183711858">
    <w:abstractNumId w:val="4"/>
  </w:num>
  <w:num w:numId="5" w16cid:durableId="700320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61"/>
    <w:rsid w:val="0000521B"/>
    <w:rsid w:val="000A32FE"/>
    <w:rsid w:val="00111EAC"/>
    <w:rsid w:val="001A7623"/>
    <w:rsid w:val="00295CB0"/>
    <w:rsid w:val="00297433"/>
    <w:rsid w:val="0032343A"/>
    <w:rsid w:val="004C4B9E"/>
    <w:rsid w:val="004D791F"/>
    <w:rsid w:val="0052520A"/>
    <w:rsid w:val="00567F45"/>
    <w:rsid w:val="006442E3"/>
    <w:rsid w:val="00667989"/>
    <w:rsid w:val="006E3B03"/>
    <w:rsid w:val="007A08C3"/>
    <w:rsid w:val="007B542E"/>
    <w:rsid w:val="008F134F"/>
    <w:rsid w:val="00A015B9"/>
    <w:rsid w:val="00A02961"/>
    <w:rsid w:val="00A41226"/>
    <w:rsid w:val="00A4732C"/>
    <w:rsid w:val="00B70DF6"/>
    <w:rsid w:val="00CC27A6"/>
    <w:rsid w:val="00E339D6"/>
    <w:rsid w:val="00E82329"/>
    <w:rsid w:val="00F90784"/>
    <w:rsid w:val="00FB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7380"/>
  <w15:chartTrackingRefBased/>
  <w15:docId w15:val="{5FFAF463-05DF-4A93-9856-B6295DC0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9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9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9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9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9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9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9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9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9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9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9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9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961"/>
    <w:rPr>
      <w:rFonts w:eastAsiaTheme="majorEastAsia" w:cstheme="majorBidi"/>
      <w:color w:val="272727" w:themeColor="text1" w:themeTint="D8"/>
    </w:rPr>
  </w:style>
  <w:style w:type="paragraph" w:styleId="Title">
    <w:name w:val="Title"/>
    <w:basedOn w:val="Normal"/>
    <w:next w:val="Normal"/>
    <w:link w:val="TitleChar"/>
    <w:uiPriority w:val="10"/>
    <w:qFormat/>
    <w:rsid w:val="00A02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961"/>
    <w:pPr>
      <w:spacing w:before="160"/>
      <w:jc w:val="center"/>
    </w:pPr>
    <w:rPr>
      <w:i/>
      <w:iCs/>
      <w:color w:val="404040" w:themeColor="text1" w:themeTint="BF"/>
    </w:rPr>
  </w:style>
  <w:style w:type="character" w:customStyle="1" w:styleId="QuoteChar">
    <w:name w:val="Quote Char"/>
    <w:basedOn w:val="DefaultParagraphFont"/>
    <w:link w:val="Quote"/>
    <w:uiPriority w:val="29"/>
    <w:rsid w:val="00A02961"/>
    <w:rPr>
      <w:i/>
      <w:iCs/>
      <w:color w:val="404040" w:themeColor="text1" w:themeTint="BF"/>
    </w:rPr>
  </w:style>
  <w:style w:type="paragraph" w:styleId="ListParagraph">
    <w:name w:val="List Paragraph"/>
    <w:basedOn w:val="Normal"/>
    <w:uiPriority w:val="34"/>
    <w:qFormat/>
    <w:rsid w:val="00A02961"/>
    <w:pPr>
      <w:ind w:left="720"/>
      <w:contextualSpacing/>
    </w:pPr>
  </w:style>
  <w:style w:type="character" w:styleId="IntenseEmphasis">
    <w:name w:val="Intense Emphasis"/>
    <w:basedOn w:val="DefaultParagraphFont"/>
    <w:uiPriority w:val="21"/>
    <w:qFormat/>
    <w:rsid w:val="00A02961"/>
    <w:rPr>
      <w:i/>
      <w:iCs/>
      <w:color w:val="0F4761" w:themeColor="accent1" w:themeShade="BF"/>
    </w:rPr>
  </w:style>
  <w:style w:type="paragraph" w:styleId="IntenseQuote">
    <w:name w:val="Intense Quote"/>
    <w:basedOn w:val="Normal"/>
    <w:next w:val="Normal"/>
    <w:link w:val="IntenseQuoteChar"/>
    <w:uiPriority w:val="30"/>
    <w:qFormat/>
    <w:rsid w:val="00A02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961"/>
    <w:rPr>
      <w:i/>
      <w:iCs/>
      <w:color w:val="0F4761" w:themeColor="accent1" w:themeShade="BF"/>
    </w:rPr>
  </w:style>
  <w:style w:type="character" w:styleId="IntenseReference">
    <w:name w:val="Intense Reference"/>
    <w:basedOn w:val="DefaultParagraphFont"/>
    <w:uiPriority w:val="32"/>
    <w:qFormat/>
    <w:rsid w:val="00A029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960120">
      <w:bodyDiv w:val="1"/>
      <w:marLeft w:val="0"/>
      <w:marRight w:val="0"/>
      <w:marTop w:val="0"/>
      <w:marBottom w:val="0"/>
      <w:divBdr>
        <w:top w:val="none" w:sz="0" w:space="0" w:color="auto"/>
        <w:left w:val="none" w:sz="0" w:space="0" w:color="auto"/>
        <w:bottom w:val="none" w:sz="0" w:space="0" w:color="auto"/>
        <w:right w:val="none" w:sz="0" w:space="0" w:color="auto"/>
      </w:divBdr>
    </w:div>
    <w:div w:id="191577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Abraham</dc:creator>
  <cp:keywords/>
  <dc:description/>
  <cp:lastModifiedBy>Timothy P. Gauthier</cp:lastModifiedBy>
  <cp:revision>10</cp:revision>
  <cp:lastPrinted>2024-10-28T20:47:00Z</cp:lastPrinted>
  <dcterms:created xsi:type="dcterms:W3CDTF">2024-10-28T19:52:00Z</dcterms:created>
  <dcterms:modified xsi:type="dcterms:W3CDTF">2024-10-28T21:03:00Z</dcterms:modified>
</cp:coreProperties>
</file>