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4F" w:rsidRPr="00510DB0" w:rsidRDefault="00CF604F" w:rsidP="00CF604F">
      <w:pPr>
        <w:rPr>
          <w:rFonts w:ascii="Calibri" w:hAnsi="Calibri" w:cs="Calibri"/>
          <w:b/>
          <w:szCs w:val="20"/>
        </w:rPr>
      </w:pPr>
      <w:r w:rsidRPr="00510DB0">
        <w:rPr>
          <w:rFonts w:ascii="Calibri" w:hAnsi="Calibri" w:cs="Calibri"/>
          <w:b/>
        </w:rPr>
        <w:t xml:space="preserve">Supplementary </w:t>
      </w:r>
      <w:r w:rsidRPr="00510DB0">
        <w:rPr>
          <w:rFonts w:ascii="Calibri" w:hAnsi="Calibri" w:cs="Calibri"/>
          <w:b/>
          <w:szCs w:val="20"/>
        </w:rPr>
        <w:t xml:space="preserve">Table 1. Antimicrobial Stewardship Program Resourcing and Impact on Broad Spectrum Antibiotic Use (Using Denominator of All Broad Spectrum Antibiotic Use) </w:t>
      </w:r>
    </w:p>
    <w:p w:rsidR="00CF604F" w:rsidRDefault="00CF604F" w:rsidP="00CF604F"/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1869"/>
        <w:gridCol w:w="1498"/>
        <w:gridCol w:w="1498"/>
        <w:gridCol w:w="1498"/>
        <w:gridCol w:w="1498"/>
        <w:gridCol w:w="1499"/>
      </w:tblGrid>
      <w:tr w:rsidR="00CF604F" w:rsidTr="00EC2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hideMark/>
          </w:tcPr>
          <w:p w:rsidR="00CF604F" w:rsidRDefault="00CF604F" w:rsidP="00EC2EA3">
            <w:pPr>
              <w:pStyle w:val="NormalWeb"/>
              <w:spacing w:before="240" w:beforeAutospacing="0" w:after="24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Antibiotic Category</w:t>
            </w:r>
          </w:p>
        </w:tc>
        <w:tc>
          <w:tcPr>
            <w:tcW w:w="1498" w:type="dxa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All (n=63)</w:t>
            </w:r>
          </w:p>
          <w:p w:rsidR="00CF604F" w:rsidRPr="008A6BB8" w:rsidRDefault="00CF604F" w:rsidP="00EC2EA3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Median % (IQR)</w:t>
            </w:r>
          </w:p>
        </w:tc>
        <w:tc>
          <w:tcPr>
            <w:tcW w:w="1498" w:type="dxa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Funding or Resources (n=48)</w:t>
            </w:r>
          </w:p>
          <w:p w:rsidR="00CF604F" w:rsidRPr="008A6BB8" w:rsidRDefault="00CF604F" w:rsidP="00EC2E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 Median %(IQR)</w:t>
            </w:r>
          </w:p>
        </w:tc>
        <w:tc>
          <w:tcPr>
            <w:tcW w:w="1498" w:type="dxa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No Funding or Resources (n=15)</w:t>
            </w:r>
          </w:p>
          <w:p w:rsidR="00CF604F" w:rsidRPr="008A6BB8" w:rsidRDefault="00CF604F" w:rsidP="00EC2E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Median % (IQR)</w:t>
            </w:r>
          </w:p>
        </w:tc>
        <w:tc>
          <w:tcPr>
            <w:tcW w:w="1498" w:type="dxa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Association between funding status and broad spectrum use</w:t>
            </w:r>
          </w:p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Unadjusted OR (95% CI)</w:t>
            </w:r>
          </w:p>
        </w:tc>
        <w:tc>
          <w:tcPr>
            <w:tcW w:w="1499" w:type="dxa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Association between funding status and broad spectrum use</w:t>
            </w:r>
          </w:p>
          <w:p w:rsidR="00CF604F" w:rsidRPr="008A6BB8" w:rsidRDefault="00510DB0" w:rsidP="00EC2EA3">
            <w:pPr>
              <w:pStyle w:val="NormalWeb"/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Adjusted </w:t>
            </w:r>
            <w:bookmarkStart w:id="0" w:name="_GoBack"/>
            <w:bookmarkEnd w:id="0"/>
            <w:r w:rsidR="00CF604F" w:rsidRPr="008A6BB8">
              <w:rPr>
                <w:rFonts w:ascii="Arial" w:hAnsi="Arial" w:cs="Arial"/>
                <w:color w:val="000000"/>
                <w:sz w:val="16"/>
                <w:szCs w:val="16"/>
              </w:rPr>
              <w:t>OR (95% CI)</w:t>
            </w:r>
          </w:p>
        </w:tc>
      </w:tr>
      <w:tr w:rsidR="00CF604F" w:rsidTr="00EC2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rPr>
                <w:sz w:val="14"/>
              </w:rPr>
            </w:pPr>
            <w:r w:rsidRPr="008A6BB8">
              <w:rPr>
                <w:rFonts w:ascii="Arial" w:hAnsi="Arial" w:cs="Arial"/>
                <w:color w:val="000000"/>
                <w:sz w:val="14"/>
                <w:szCs w:val="18"/>
              </w:rPr>
              <w:t>Fluoroquinolones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16.6 (13.2 to 27.1)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15.0 (12.8  to 23.7)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24.6 (21.8 to 27.6)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0.65 (0.41 to 1.03)</w:t>
            </w:r>
          </w:p>
        </w:tc>
        <w:tc>
          <w:tcPr>
            <w:tcW w:w="1499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0.64 (0.44 to 0.93)</w:t>
            </w:r>
          </w:p>
        </w:tc>
      </w:tr>
      <w:tr w:rsidR="00CF604F" w:rsidTr="00EC2EA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rPr>
                <w:sz w:val="14"/>
              </w:rPr>
            </w:pPr>
            <w:r w:rsidRPr="008A6BB8">
              <w:rPr>
                <w:rFonts w:ascii="Arial" w:hAnsi="Arial" w:cs="Arial"/>
                <w:color w:val="000000"/>
                <w:sz w:val="14"/>
                <w:szCs w:val="18"/>
              </w:rPr>
              <w:t>Third generation cephalosporins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30.3 (24.4 to 39.4)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30.5 (24.3 to 40.8)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30.1 (28.4 to 34.6)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0.92 (0.59 to 1.46)</w:t>
            </w:r>
          </w:p>
        </w:tc>
        <w:tc>
          <w:tcPr>
            <w:tcW w:w="1499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1.05 (0.74  to 1.53)</w:t>
            </w:r>
          </w:p>
        </w:tc>
      </w:tr>
      <w:tr w:rsidR="00CF604F" w:rsidTr="00EC2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rPr>
                <w:sz w:val="14"/>
              </w:rPr>
            </w:pPr>
            <w:r w:rsidRPr="008A6BB8">
              <w:rPr>
                <w:rFonts w:ascii="Arial" w:hAnsi="Arial" w:cs="Arial"/>
                <w:color w:val="000000"/>
                <w:sz w:val="14"/>
                <w:szCs w:val="18"/>
              </w:rPr>
              <w:t>Beta-lactam/beta-lactamase inhibitors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27.4 (22.9 to 33.0)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25.5 (23.0 to 31.9)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29.2 (23.0 to 34.1)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0.95 (0.75 to 1.20)</w:t>
            </w:r>
          </w:p>
        </w:tc>
        <w:tc>
          <w:tcPr>
            <w:tcW w:w="1499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0.94 (0.74 to 1.20)</w:t>
            </w:r>
          </w:p>
        </w:tc>
      </w:tr>
      <w:tr w:rsidR="00CF604F" w:rsidTr="00EC2EA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rPr>
                <w:sz w:val="14"/>
              </w:rPr>
            </w:pPr>
            <w:proofErr w:type="spellStart"/>
            <w:r w:rsidRPr="008A6BB8">
              <w:rPr>
                <w:rFonts w:ascii="Arial" w:hAnsi="Arial" w:cs="Arial"/>
                <w:color w:val="000000"/>
                <w:sz w:val="14"/>
                <w:szCs w:val="18"/>
              </w:rPr>
              <w:t>Carbapenems</w:t>
            </w:r>
            <w:proofErr w:type="spellEnd"/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7.6 (4.8 to 10.9)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8.1 (5.3 to 11.8)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6.0 (4.3 to 7.3)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1.29 (0.93 to 1.80)</w:t>
            </w:r>
          </w:p>
        </w:tc>
        <w:tc>
          <w:tcPr>
            <w:tcW w:w="1499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1.11 (0.82 to 1.52)</w:t>
            </w:r>
          </w:p>
        </w:tc>
      </w:tr>
      <w:tr w:rsidR="00CF604F" w:rsidTr="00EC2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rPr>
                <w:sz w:val="14"/>
              </w:rPr>
            </w:pPr>
            <w:r w:rsidRPr="008A6BB8">
              <w:rPr>
                <w:rFonts w:ascii="Arial" w:hAnsi="Arial" w:cs="Arial"/>
                <w:color w:val="000000"/>
                <w:sz w:val="14"/>
                <w:szCs w:val="18"/>
              </w:rPr>
              <w:t>Clindamycin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1.3 (0.8 to 1.8)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1.2 (0.6 to 1.6)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2.1 (1.6 to 2.4)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0.50 (0.34 to 0.74)</w:t>
            </w:r>
          </w:p>
        </w:tc>
        <w:tc>
          <w:tcPr>
            <w:tcW w:w="1499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0.55 (0.38 to 0.81)</w:t>
            </w:r>
          </w:p>
        </w:tc>
      </w:tr>
      <w:tr w:rsidR="00CF604F" w:rsidTr="00EC2EA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rPr>
                <w:sz w:val="14"/>
              </w:rPr>
            </w:pPr>
            <w:r w:rsidRPr="008A6BB8">
              <w:rPr>
                <w:rFonts w:ascii="Arial" w:hAnsi="Arial" w:cs="Arial"/>
                <w:color w:val="000000"/>
                <w:sz w:val="14"/>
                <w:szCs w:val="18"/>
              </w:rPr>
              <w:t>Vancomycin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10.5 (6.8 to 13.4)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9.7 (6.7 to 13.6)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11.1 (10.4 to 12.6)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1.00 (0.61 to 1.65)</w:t>
            </w:r>
          </w:p>
        </w:tc>
        <w:tc>
          <w:tcPr>
            <w:tcW w:w="1499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0.89 (0.56 to 1.42)</w:t>
            </w:r>
          </w:p>
        </w:tc>
      </w:tr>
      <w:tr w:rsidR="00CF604F" w:rsidTr="00EC2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rPr>
                <w:sz w:val="14"/>
              </w:rPr>
            </w:pPr>
            <w:r w:rsidRPr="008A6BB8">
              <w:rPr>
                <w:rFonts w:ascii="Arial" w:hAnsi="Arial" w:cs="Arial"/>
                <w:color w:val="000000"/>
                <w:sz w:val="14"/>
                <w:szCs w:val="18"/>
              </w:rPr>
              <w:t>Anti-</w:t>
            </w:r>
            <w:proofErr w:type="spellStart"/>
            <w:r w:rsidRPr="008A6BB8">
              <w:rPr>
                <w:rFonts w:ascii="Arial" w:hAnsi="Arial" w:cs="Arial"/>
                <w:color w:val="000000"/>
                <w:sz w:val="14"/>
                <w:szCs w:val="18"/>
              </w:rPr>
              <w:t>Pseudomonal</w:t>
            </w:r>
            <w:proofErr w:type="spellEnd"/>
            <w:r w:rsidRPr="008A6BB8">
              <w:rPr>
                <w:rFonts w:ascii="Arial" w:hAnsi="Arial" w:cs="Arial"/>
                <w:color w:val="000000"/>
                <w:sz w:val="14"/>
                <w:szCs w:val="18"/>
              </w:rPr>
              <w:t xml:space="preserve"> agents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43.2 (36.1 to 49.8)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41.3 (35.5 to 48.4)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240" w:beforeAutospacing="0" w:after="24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46.3 (42.9 to 52.4)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0.77 (0.57 to 1.05)</w:t>
            </w:r>
          </w:p>
        </w:tc>
        <w:tc>
          <w:tcPr>
            <w:tcW w:w="1499" w:type="dxa"/>
            <w:tcMar>
              <w:left w:w="57" w:type="dxa"/>
              <w:right w:w="57" w:type="dxa"/>
            </w:tcMar>
            <w:vAlign w:val="center"/>
            <w:hideMark/>
          </w:tcPr>
          <w:p w:rsidR="00CF604F" w:rsidRPr="008A6BB8" w:rsidRDefault="00CF604F" w:rsidP="00EC2EA3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A6BB8">
              <w:rPr>
                <w:rFonts w:ascii="Arial" w:hAnsi="Arial" w:cs="Arial"/>
                <w:color w:val="000000"/>
                <w:sz w:val="16"/>
                <w:szCs w:val="16"/>
              </w:rPr>
              <w:t>0.67 (0.54 to 0.88)</w:t>
            </w:r>
          </w:p>
        </w:tc>
      </w:tr>
    </w:tbl>
    <w:p w:rsidR="008E7DE2" w:rsidRDefault="008E7DE2"/>
    <w:sectPr w:rsidR="008E7D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0D"/>
    <w:rsid w:val="00477B0D"/>
    <w:rsid w:val="00510DB0"/>
    <w:rsid w:val="008E7DE2"/>
    <w:rsid w:val="00C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68224-5C5D-4D24-8EBF-5C84205C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04F"/>
    <w:pPr>
      <w:spacing w:before="100" w:beforeAutospacing="1" w:after="100" w:afterAutospacing="1"/>
    </w:pPr>
  </w:style>
  <w:style w:type="table" w:styleId="ListTable6Colorful">
    <w:name w:val="List Table 6 Colorful"/>
    <w:basedOn w:val="TableNormal"/>
    <w:uiPriority w:val="51"/>
    <w:rsid w:val="00CF604F"/>
    <w:pPr>
      <w:spacing w:after="0" w:line="240" w:lineRule="auto"/>
    </w:pPr>
    <w:rPr>
      <w:rFonts w:ascii="Arial" w:eastAsia="Arial" w:hAnsi="Arial" w:cs="Arial"/>
      <w:color w:val="000000" w:themeColor="text1"/>
      <w:lang w:val="en" w:eastAsia="en-GB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Langford</dc:creator>
  <cp:keywords/>
  <dc:description/>
  <cp:lastModifiedBy>Bradley Langford</cp:lastModifiedBy>
  <cp:revision>2</cp:revision>
  <dcterms:created xsi:type="dcterms:W3CDTF">2024-10-21T20:47:00Z</dcterms:created>
  <dcterms:modified xsi:type="dcterms:W3CDTF">2024-10-22T12:55:00Z</dcterms:modified>
</cp:coreProperties>
</file>