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9226" w14:textId="3742BF1F" w:rsidR="00957569" w:rsidRPr="00693FA6" w:rsidRDefault="00E6546F" w:rsidP="004F56A7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Appendix</w:t>
      </w:r>
    </w:p>
    <w:p w14:paraId="75E93669" w14:textId="77777777" w:rsidR="00A94E26" w:rsidRDefault="00A94E26">
      <w:pPr>
        <w:rPr>
          <w:b/>
          <w:bCs/>
          <w:lang w:val="fr-FR"/>
        </w:rPr>
      </w:pPr>
    </w:p>
    <w:p w14:paraId="62B9E389" w14:textId="1178F1AD" w:rsidR="00405B84" w:rsidRDefault="00A75811">
      <w:pPr>
        <w:rPr>
          <w:b/>
          <w:bCs/>
        </w:rPr>
      </w:pPr>
      <w:r>
        <w:rPr>
          <w:b/>
          <w:bCs/>
        </w:rPr>
        <w:t xml:space="preserve">Appendix </w:t>
      </w:r>
      <w:r w:rsidRPr="00693FA6">
        <w:rPr>
          <w:b/>
          <w:bCs/>
        </w:rPr>
        <w:t xml:space="preserve">Table </w:t>
      </w:r>
      <w:r>
        <w:rPr>
          <w:b/>
          <w:bCs/>
        </w:rPr>
        <w:t>1</w:t>
      </w:r>
      <w:r w:rsidRPr="00693FA6">
        <w:rPr>
          <w:b/>
          <w:bCs/>
        </w:rPr>
        <w:t xml:space="preserve">. </w:t>
      </w:r>
      <w:r w:rsidR="009A4129">
        <w:rPr>
          <w:b/>
          <w:bCs/>
        </w:rPr>
        <w:t xml:space="preserve">Incidence rate ratios and </w:t>
      </w:r>
      <w:r w:rsidR="006D47D5">
        <w:rPr>
          <w:b/>
          <w:bCs/>
        </w:rPr>
        <w:t>95% confidence intervals</w:t>
      </w:r>
      <w:r w:rsidRPr="00693FA6">
        <w:rPr>
          <w:b/>
          <w:bCs/>
        </w:rPr>
        <w:t xml:space="preserve"> for </w:t>
      </w:r>
      <w:r>
        <w:rPr>
          <w:b/>
          <w:bCs/>
        </w:rPr>
        <w:t>r</w:t>
      </w:r>
      <w:r w:rsidRPr="00693FA6">
        <w:rPr>
          <w:b/>
          <w:bCs/>
        </w:rPr>
        <w:t xml:space="preserve">ates of </w:t>
      </w:r>
      <w:r>
        <w:rPr>
          <w:b/>
          <w:bCs/>
        </w:rPr>
        <w:t>fluoroquinolone</w:t>
      </w:r>
      <w:r w:rsidRPr="00693FA6">
        <w:rPr>
          <w:b/>
          <w:bCs/>
        </w:rPr>
        <w:t xml:space="preserve"> </w:t>
      </w:r>
      <w:r>
        <w:rPr>
          <w:b/>
          <w:bCs/>
        </w:rPr>
        <w:t>c</w:t>
      </w:r>
      <w:r w:rsidRPr="00693FA6">
        <w:rPr>
          <w:b/>
          <w:bCs/>
        </w:rPr>
        <w:t>laims</w:t>
      </w:r>
      <w:r>
        <w:rPr>
          <w:b/>
          <w:bCs/>
        </w:rPr>
        <w:t xml:space="preserve"> </w:t>
      </w:r>
      <w:r w:rsidR="006D47D5">
        <w:rPr>
          <w:b/>
          <w:bCs/>
        </w:rPr>
        <w:t>from negative binomial regression</w:t>
      </w:r>
      <w:r w:rsidR="00F614E0">
        <w:rPr>
          <w:b/>
          <w:bCs/>
        </w:rPr>
        <w:t xml:space="preserve"> </w:t>
      </w:r>
      <w:r>
        <w:rPr>
          <w:b/>
          <w:bCs/>
        </w:rPr>
        <w:t xml:space="preserve">after excluding variables with &gt; 10% missing </w:t>
      </w:r>
    </w:p>
    <w:p w14:paraId="46BAA1E2" w14:textId="77777777" w:rsidR="00A75811" w:rsidRDefault="00A75811">
      <w:pPr>
        <w:rPr>
          <w:b/>
          <w:bCs/>
          <w:lang w:val="fr-FR"/>
        </w:rPr>
      </w:pPr>
    </w:p>
    <w:p w14:paraId="0D1CD1D5" w14:textId="77777777" w:rsidR="00405B84" w:rsidRDefault="00405B84">
      <w:pPr>
        <w:rPr>
          <w:b/>
          <w:bCs/>
          <w:lang w:val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9"/>
        <w:gridCol w:w="2216"/>
        <w:gridCol w:w="1417"/>
        <w:gridCol w:w="980"/>
      </w:tblGrid>
      <w:tr w:rsidR="008D5EE9" w14:paraId="583EFD72" w14:textId="77777777" w:rsidTr="008D5E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22FDD0B" w14:textId="77777777" w:rsidR="008D5EE9" w:rsidRDefault="008D5EE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13FD0EE" w14:textId="7A64FD8F" w:rsidR="008D5EE9" w:rsidRDefault="008D5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Fluroquinolones claim rate per beneficiary</w:t>
            </w:r>
          </w:p>
        </w:tc>
      </w:tr>
      <w:tr w:rsidR="008D5EE9" w14:paraId="7A2D75B1" w14:textId="77777777" w:rsidTr="008D5E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E718" w14:textId="77777777" w:rsidR="008D5EE9" w:rsidRDefault="008D5EE9">
            <w:pPr>
              <w:rPr>
                <w:i/>
                <w:iCs/>
              </w:rPr>
            </w:pPr>
            <w:r>
              <w:rPr>
                <w:i/>
                <w:iCs/>
              </w:rPr>
              <w:t>Predictors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2DAD" w14:textId="0F93CB4C" w:rsidR="008D5EE9" w:rsidRDefault="008D5EE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Incidence Rate Ratio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3B43" w14:textId="0C26205C" w:rsidR="008D5EE9" w:rsidRDefault="008D5EE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4518" w14:textId="77777777" w:rsidR="008D5EE9" w:rsidRDefault="008D5EE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</w:p>
        </w:tc>
      </w:tr>
      <w:tr w:rsidR="008D5EE9" w14:paraId="51B3BAE7" w14:textId="77777777" w:rsidTr="008D5E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090E8C" w14:textId="77777777" w:rsidR="008D5EE9" w:rsidRDefault="008D5EE9">
            <w:r>
              <w:t>(Intercept)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7FE575" w14:textId="77777777" w:rsidR="008D5EE9" w:rsidRDefault="008D5EE9">
            <w:pPr>
              <w:jc w:val="center"/>
            </w:pPr>
            <w:r>
              <w:t>0.23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926FC1" w14:textId="77777777" w:rsidR="008D5EE9" w:rsidRDefault="008D5EE9">
            <w:pPr>
              <w:jc w:val="center"/>
            </w:pPr>
            <w:r>
              <w:t>0.20 – 0.26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D60611" w14:textId="77777777" w:rsidR="008D5EE9" w:rsidRDefault="008D5EE9">
            <w:pPr>
              <w:jc w:val="center"/>
            </w:pPr>
            <w:r>
              <w:rPr>
                <w:rStyle w:val="Strong"/>
                <w:rFonts w:eastAsiaTheme="majorEastAsia"/>
              </w:rPr>
              <w:t>&lt;0.001</w:t>
            </w:r>
          </w:p>
        </w:tc>
      </w:tr>
      <w:tr w:rsidR="008D5EE9" w14:paraId="312713D2" w14:textId="77777777" w:rsidTr="008D5E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160C27" w14:textId="77777777" w:rsidR="008D5EE9" w:rsidRDefault="008D5EE9">
            <w:r>
              <w:t>Metro imp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DD2503" w14:textId="77777777" w:rsidR="008D5EE9" w:rsidRDefault="008D5EE9">
            <w:pPr>
              <w:jc w:val="center"/>
            </w:pPr>
            <w:r>
              <w:t>0.96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E1ACD8" w14:textId="77777777" w:rsidR="008D5EE9" w:rsidRDefault="008D5EE9">
            <w:pPr>
              <w:jc w:val="center"/>
            </w:pPr>
            <w:r>
              <w:t>0.93 – 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B0C29E" w14:textId="77777777" w:rsidR="008D5EE9" w:rsidRDefault="008D5EE9">
            <w:pPr>
              <w:jc w:val="center"/>
            </w:pPr>
            <w:r>
              <w:t>0.070</w:t>
            </w:r>
          </w:p>
        </w:tc>
      </w:tr>
      <w:tr w:rsidR="008D5EE9" w14:paraId="01888EA6" w14:textId="77777777" w:rsidTr="003C5F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33032D6" w14:textId="77DDDEAB" w:rsidR="008D5EE9" w:rsidRDefault="008D5EE9" w:rsidP="008D5EE9">
            <w:r w:rsidRPr="00693FA6">
              <w:t>Gender [Male, ref Female]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1B0386" w14:textId="77777777" w:rsidR="008D5EE9" w:rsidRDefault="008D5EE9" w:rsidP="008D5EE9">
            <w:pPr>
              <w:jc w:val="center"/>
            </w:pPr>
            <w:r>
              <w:t>0.96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6305F8" w14:textId="77777777" w:rsidR="008D5EE9" w:rsidRDefault="008D5EE9" w:rsidP="008D5EE9">
            <w:pPr>
              <w:jc w:val="center"/>
            </w:pPr>
            <w:r>
              <w:t>0.93 – 0.99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E8D036" w14:textId="77777777" w:rsidR="008D5EE9" w:rsidRDefault="008D5EE9" w:rsidP="008D5EE9">
            <w:pPr>
              <w:jc w:val="center"/>
            </w:pPr>
            <w:r>
              <w:rPr>
                <w:rStyle w:val="Strong"/>
                <w:rFonts w:eastAsiaTheme="majorEastAsia"/>
              </w:rPr>
              <w:t>0.010</w:t>
            </w:r>
          </w:p>
        </w:tc>
      </w:tr>
      <w:tr w:rsidR="008D5EE9" w14:paraId="4543E272" w14:textId="77777777" w:rsidTr="003C5F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ED52069" w14:textId="3E73C17D" w:rsidR="008D5EE9" w:rsidRDefault="008D5EE9" w:rsidP="008D5EE9">
            <w:r w:rsidRPr="00693FA6">
              <w:t>Specialty [ID, ref Surgery]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495F80" w14:textId="77777777" w:rsidR="008D5EE9" w:rsidRDefault="008D5EE9" w:rsidP="008D5EE9">
            <w:pPr>
              <w:jc w:val="center"/>
            </w:pPr>
            <w:r>
              <w:t>0.45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E15A2F" w14:textId="77777777" w:rsidR="008D5EE9" w:rsidRDefault="008D5EE9" w:rsidP="008D5EE9">
            <w:pPr>
              <w:jc w:val="center"/>
            </w:pPr>
            <w:r>
              <w:t>0.40 – 0.52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4DAF1E" w14:textId="77777777" w:rsidR="008D5EE9" w:rsidRDefault="008D5EE9" w:rsidP="008D5EE9">
            <w:pPr>
              <w:jc w:val="center"/>
            </w:pPr>
            <w:r>
              <w:rPr>
                <w:rStyle w:val="Strong"/>
                <w:rFonts w:eastAsiaTheme="majorEastAsia"/>
              </w:rPr>
              <w:t>&lt;0.001</w:t>
            </w:r>
          </w:p>
        </w:tc>
      </w:tr>
      <w:tr w:rsidR="008D5EE9" w14:paraId="04499695" w14:textId="77777777" w:rsidTr="003C5F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853135E" w14:textId="21C8418A" w:rsidR="008D5EE9" w:rsidRDefault="008D5EE9" w:rsidP="008D5EE9">
            <w:r w:rsidRPr="00693FA6">
              <w:t>Specialty [Medical]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1AE2D4" w14:textId="77777777" w:rsidR="008D5EE9" w:rsidRDefault="008D5EE9" w:rsidP="008D5EE9">
            <w:pPr>
              <w:jc w:val="center"/>
            </w:pPr>
            <w:r>
              <w:t>0.92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7CA526" w14:textId="77777777" w:rsidR="008D5EE9" w:rsidRDefault="008D5EE9" w:rsidP="008D5EE9">
            <w:pPr>
              <w:jc w:val="center"/>
            </w:pPr>
            <w:r>
              <w:t>0.81 – 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D87D3E" w14:textId="77777777" w:rsidR="008D5EE9" w:rsidRDefault="008D5EE9" w:rsidP="008D5EE9">
            <w:pPr>
              <w:jc w:val="center"/>
            </w:pPr>
            <w:r>
              <w:t>0.230</w:t>
            </w:r>
          </w:p>
        </w:tc>
      </w:tr>
      <w:tr w:rsidR="008D5EE9" w14:paraId="549C4598" w14:textId="77777777" w:rsidTr="003C5F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6228A8E" w14:textId="48A02FCF" w:rsidR="008D5EE9" w:rsidRDefault="008D5EE9" w:rsidP="008D5EE9">
            <w:r w:rsidRPr="00693FA6">
              <w:t>Specialty [Others]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2A1472" w14:textId="77777777" w:rsidR="008D5EE9" w:rsidRDefault="008D5EE9" w:rsidP="008D5EE9">
            <w:pPr>
              <w:jc w:val="center"/>
            </w:pPr>
            <w:r>
              <w:t>0.44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5F2F5B" w14:textId="77777777" w:rsidR="008D5EE9" w:rsidRDefault="008D5EE9" w:rsidP="008D5EE9">
            <w:pPr>
              <w:jc w:val="center"/>
            </w:pPr>
            <w:r>
              <w:t>0.37 – 0.51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A89D02" w14:textId="77777777" w:rsidR="008D5EE9" w:rsidRDefault="008D5EE9" w:rsidP="008D5EE9">
            <w:pPr>
              <w:jc w:val="center"/>
            </w:pPr>
            <w:r>
              <w:rPr>
                <w:rStyle w:val="Strong"/>
                <w:rFonts w:eastAsiaTheme="majorEastAsia"/>
              </w:rPr>
              <w:t>&lt;0.001</w:t>
            </w:r>
          </w:p>
        </w:tc>
      </w:tr>
      <w:tr w:rsidR="008D5EE9" w14:paraId="3682281B" w14:textId="77777777" w:rsidTr="003C5F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A26B968" w14:textId="55FAC207" w:rsidR="008D5EE9" w:rsidRDefault="008D5EE9" w:rsidP="008D5EE9">
            <w:r w:rsidRPr="00693FA6">
              <w:t>Specialty [Pulmonary]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A36E73" w14:textId="77777777" w:rsidR="008D5EE9" w:rsidRDefault="008D5EE9" w:rsidP="008D5EE9">
            <w:pPr>
              <w:jc w:val="center"/>
            </w:pPr>
            <w:r>
              <w:t>0.94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D0F6F0" w14:textId="77777777" w:rsidR="008D5EE9" w:rsidRDefault="008D5EE9" w:rsidP="008D5EE9">
            <w:pPr>
              <w:jc w:val="center"/>
            </w:pPr>
            <w:r>
              <w:t>0.80 – 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9E21C3" w14:textId="77777777" w:rsidR="008D5EE9" w:rsidRDefault="008D5EE9" w:rsidP="008D5EE9">
            <w:pPr>
              <w:jc w:val="center"/>
            </w:pPr>
            <w:r>
              <w:t>0.434</w:t>
            </w:r>
          </w:p>
        </w:tc>
      </w:tr>
      <w:tr w:rsidR="008D5EE9" w14:paraId="66664BF5" w14:textId="77777777" w:rsidTr="003C5F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A496DCC" w14:textId="63B57B40" w:rsidR="008D5EE9" w:rsidRDefault="008D5EE9" w:rsidP="008D5EE9">
            <w:r w:rsidRPr="00693FA6">
              <w:t>Specialty [Urology]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060AB8" w14:textId="77777777" w:rsidR="008D5EE9" w:rsidRDefault="008D5EE9" w:rsidP="008D5EE9">
            <w:pPr>
              <w:jc w:val="center"/>
            </w:pPr>
            <w:r>
              <w:t>0.78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D605FE" w14:textId="77777777" w:rsidR="008D5EE9" w:rsidRDefault="008D5EE9" w:rsidP="008D5EE9">
            <w:pPr>
              <w:jc w:val="center"/>
            </w:pPr>
            <w:r>
              <w:t>0.67 – 0.90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B0B040" w14:textId="77777777" w:rsidR="008D5EE9" w:rsidRDefault="008D5EE9" w:rsidP="008D5EE9">
            <w:pPr>
              <w:jc w:val="center"/>
            </w:pPr>
            <w:r>
              <w:rPr>
                <w:rStyle w:val="Strong"/>
                <w:rFonts w:eastAsiaTheme="majorEastAsia"/>
              </w:rPr>
              <w:t>0.001</w:t>
            </w:r>
          </w:p>
        </w:tc>
      </w:tr>
      <w:tr w:rsidR="008D5EE9" w14:paraId="5BB37192" w14:textId="77777777" w:rsidTr="00B15B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D7CE57E" w14:textId="1E01CDAB" w:rsidR="008D5EE9" w:rsidRDefault="008D5EE9" w:rsidP="008D5EE9">
            <w:r w:rsidRPr="00693FA6">
              <w:t>Age (years)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7D1DC4" w14:textId="77777777" w:rsidR="008D5EE9" w:rsidRDefault="008D5EE9" w:rsidP="008D5EE9">
            <w:pPr>
              <w:jc w:val="center"/>
            </w:pPr>
            <w:r>
              <w:t>1.08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EBBFF2" w14:textId="77777777" w:rsidR="008D5EE9" w:rsidRDefault="008D5EE9" w:rsidP="008D5EE9">
            <w:pPr>
              <w:jc w:val="center"/>
            </w:pPr>
            <w:r>
              <w:t>1.06 – 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2F7549" w14:textId="77777777" w:rsidR="008D5EE9" w:rsidRDefault="008D5EE9" w:rsidP="008D5EE9">
            <w:pPr>
              <w:jc w:val="center"/>
            </w:pPr>
            <w:r>
              <w:rPr>
                <w:rStyle w:val="Strong"/>
                <w:rFonts w:eastAsiaTheme="majorEastAsia"/>
              </w:rPr>
              <w:t>&lt;0.001</w:t>
            </w:r>
          </w:p>
        </w:tc>
      </w:tr>
      <w:tr w:rsidR="008D5EE9" w14:paraId="44926AD5" w14:textId="77777777" w:rsidTr="00B15B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E18D837" w14:textId="030D2E41" w:rsidR="008D5EE9" w:rsidRDefault="008D5EE9" w:rsidP="008D5EE9">
            <w:r w:rsidRPr="00693FA6">
              <w:t>Risk score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2B7837" w14:textId="77777777" w:rsidR="008D5EE9" w:rsidRDefault="008D5EE9" w:rsidP="008D5EE9">
            <w:pPr>
              <w:jc w:val="center"/>
            </w:pPr>
            <w:r>
              <w:t>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AFC5B3" w14:textId="77777777" w:rsidR="008D5EE9" w:rsidRDefault="008D5EE9" w:rsidP="008D5EE9">
            <w:pPr>
              <w:jc w:val="center"/>
            </w:pPr>
            <w:r>
              <w:t>1.01 – 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403733" w14:textId="77777777" w:rsidR="008D5EE9" w:rsidRDefault="008D5EE9" w:rsidP="008D5EE9">
            <w:pPr>
              <w:jc w:val="center"/>
            </w:pPr>
            <w:r>
              <w:rPr>
                <w:rStyle w:val="Strong"/>
                <w:rFonts w:eastAsiaTheme="majorEastAsia"/>
              </w:rPr>
              <w:t>0.004</w:t>
            </w:r>
          </w:p>
        </w:tc>
      </w:tr>
      <w:tr w:rsidR="008D5EE9" w14:paraId="687CA52D" w14:textId="77777777" w:rsidTr="008D5E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1935E9" w14:textId="40BCC206" w:rsidR="008D5EE9" w:rsidRDefault="008D5EE9">
            <w:r w:rsidRPr="00693FA6">
              <w:t>Prop. Female in practice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35FEE4" w14:textId="77777777" w:rsidR="008D5EE9" w:rsidRDefault="008D5EE9">
            <w:pPr>
              <w:jc w:val="center"/>
            </w:pPr>
            <w:r>
              <w:t>0.90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80431A" w14:textId="77777777" w:rsidR="008D5EE9" w:rsidRDefault="008D5EE9">
            <w:pPr>
              <w:jc w:val="center"/>
            </w:pPr>
            <w:r>
              <w:t>0.88 – 0.91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9B00DB" w14:textId="77777777" w:rsidR="008D5EE9" w:rsidRDefault="008D5EE9">
            <w:pPr>
              <w:jc w:val="center"/>
            </w:pPr>
            <w:r>
              <w:rPr>
                <w:rStyle w:val="Strong"/>
                <w:rFonts w:eastAsiaTheme="majorEastAsia"/>
              </w:rPr>
              <w:t>&lt;0.001</w:t>
            </w:r>
          </w:p>
        </w:tc>
      </w:tr>
      <w:tr w:rsidR="008D5EE9" w14:paraId="12D1D934" w14:textId="77777777" w:rsidTr="008D5E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D9A477" w14:textId="47A33093" w:rsidR="008D5EE9" w:rsidRDefault="008D5EE9">
            <w:r w:rsidRPr="00693FA6">
              <w:t>Prop. with Medicaid in practice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87190A" w14:textId="77777777" w:rsidR="008D5EE9" w:rsidRDefault="008D5EE9">
            <w:pPr>
              <w:jc w:val="center"/>
            </w:pPr>
            <w: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D843C3" w14:textId="77777777" w:rsidR="008D5EE9" w:rsidRDefault="008D5EE9">
            <w:pPr>
              <w:jc w:val="center"/>
            </w:pPr>
            <w:r>
              <w:t>1.12 – 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AC7359" w14:textId="77777777" w:rsidR="008D5EE9" w:rsidRDefault="008D5EE9">
            <w:pPr>
              <w:jc w:val="center"/>
            </w:pPr>
            <w:r>
              <w:rPr>
                <w:rStyle w:val="Strong"/>
                <w:rFonts w:eastAsiaTheme="majorEastAsia"/>
              </w:rPr>
              <w:t>&lt;0.001</w:t>
            </w:r>
          </w:p>
        </w:tc>
      </w:tr>
      <w:tr w:rsidR="008D5EE9" w14:paraId="07618E2B" w14:textId="77777777" w:rsidTr="00795A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7865864" w14:textId="1E697B56" w:rsidR="008D5EE9" w:rsidRDefault="008D5EE9" w:rsidP="008D5EE9">
            <w:r w:rsidRPr="00693FA6">
              <w:t>Population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F9A629" w14:textId="77777777" w:rsidR="008D5EE9" w:rsidRDefault="008D5EE9" w:rsidP="008D5EE9">
            <w:pPr>
              <w:jc w:val="center"/>
            </w:pPr>
            <w:r>
              <w:t>0.95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681E5A" w14:textId="77777777" w:rsidR="008D5EE9" w:rsidRDefault="008D5EE9" w:rsidP="008D5EE9">
            <w:pPr>
              <w:jc w:val="center"/>
            </w:pPr>
            <w:r>
              <w:t>0.94 – 0.96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614A06" w14:textId="77777777" w:rsidR="008D5EE9" w:rsidRDefault="008D5EE9" w:rsidP="008D5EE9">
            <w:pPr>
              <w:jc w:val="center"/>
            </w:pPr>
            <w:r>
              <w:rPr>
                <w:rStyle w:val="Strong"/>
                <w:rFonts w:eastAsiaTheme="majorEastAsia"/>
              </w:rPr>
              <w:t>&lt;0.001</w:t>
            </w:r>
          </w:p>
        </w:tc>
      </w:tr>
      <w:tr w:rsidR="008D5EE9" w14:paraId="58455D6D" w14:textId="77777777" w:rsidTr="00795A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497ADC2" w14:textId="48637278" w:rsidR="008D5EE9" w:rsidRDefault="008D5EE9" w:rsidP="008D5EE9">
            <w:r w:rsidRPr="00693FA6">
              <w:t>SDI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F1D6C7" w14:textId="77777777" w:rsidR="008D5EE9" w:rsidRDefault="008D5EE9" w:rsidP="008D5EE9">
            <w:pPr>
              <w:jc w:val="center"/>
            </w:pPr>
            <w:r>
              <w:t>0.98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C947F8" w14:textId="77777777" w:rsidR="008D5EE9" w:rsidRDefault="008D5EE9" w:rsidP="008D5EE9">
            <w:pPr>
              <w:jc w:val="center"/>
            </w:pPr>
            <w:r>
              <w:t>0.96 – 0.99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DAA6FF" w14:textId="77777777" w:rsidR="008D5EE9" w:rsidRDefault="008D5EE9" w:rsidP="008D5EE9">
            <w:pPr>
              <w:jc w:val="center"/>
            </w:pPr>
            <w:r>
              <w:rPr>
                <w:rStyle w:val="Strong"/>
                <w:rFonts w:eastAsiaTheme="majorEastAsia"/>
              </w:rPr>
              <w:t>0.001</w:t>
            </w:r>
          </w:p>
        </w:tc>
      </w:tr>
      <w:tr w:rsidR="008D5EE9" w14:paraId="29B90139" w14:textId="77777777" w:rsidTr="008D5E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81E01CD" w14:textId="77777777" w:rsidR="008D5EE9" w:rsidRDefault="008D5EE9">
            <w:r>
              <w:t>Observations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2380232" w14:textId="77777777" w:rsidR="008D5EE9" w:rsidRDefault="008D5EE9">
            <w:r>
              <w:t>11996</w:t>
            </w:r>
          </w:p>
        </w:tc>
      </w:tr>
      <w:tr w:rsidR="008D5EE9" w14:paraId="3CE83033" w14:textId="77777777" w:rsidTr="008D5E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9709F01" w14:textId="77777777" w:rsidR="008D5EE9" w:rsidRDefault="008D5EE9">
            <w:r>
              <w:t>R</w:t>
            </w:r>
            <w:r>
              <w:rPr>
                <w:vertAlign w:val="superscript"/>
              </w:rPr>
              <w:t>2</w:t>
            </w:r>
            <w:r>
              <w:t> Nagelkerke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090C527" w14:textId="77777777" w:rsidR="008D5EE9" w:rsidRDefault="008D5EE9">
            <w:r>
              <w:t>0.316</w:t>
            </w:r>
          </w:p>
        </w:tc>
      </w:tr>
    </w:tbl>
    <w:p w14:paraId="1B063F42" w14:textId="4F0B7CAE" w:rsidR="00405B84" w:rsidRDefault="00405B84">
      <w:pPr>
        <w:rPr>
          <w:b/>
          <w:bCs/>
          <w:lang w:val="fr-FR"/>
        </w:rPr>
      </w:pPr>
    </w:p>
    <w:p w14:paraId="2521438B" w14:textId="77777777" w:rsidR="00405B84" w:rsidRDefault="00405B84">
      <w:pPr>
        <w:rPr>
          <w:b/>
          <w:bCs/>
          <w:lang w:val="fr-FR"/>
        </w:rPr>
      </w:pPr>
    </w:p>
    <w:p w14:paraId="57783F24" w14:textId="23D3E3ED" w:rsidR="008D5EE9" w:rsidRPr="00693FA6" w:rsidRDefault="008D5EE9" w:rsidP="008D5EE9">
      <w:pPr>
        <w:rPr>
          <w:rStyle w:val="s1"/>
          <w:rFonts w:ascii="Times New Roman" w:hAnsi="Times New Roman"/>
          <w:sz w:val="24"/>
          <w:szCs w:val="24"/>
        </w:rPr>
      </w:pPr>
      <w:r w:rsidRPr="00693FA6">
        <w:rPr>
          <w:rStyle w:val="s1"/>
          <w:rFonts w:ascii="Times New Roman" w:hAnsi="Times New Roman"/>
          <w:sz w:val="24"/>
          <w:szCs w:val="24"/>
        </w:rPr>
        <w:t xml:space="preserve">CI: Confidence </w:t>
      </w:r>
      <w:r>
        <w:rPr>
          <w:rStyle w:val="s1"/>
          <w:rFonts w:ascii="Times New Roman" w:hAnsi="Times New Roman"/>
          <w:sz w:val="24"/>
          <w:szCs w:val="24"/>
        </w:rPr>
        <w:t>Interval</w:t>
      </w:r>
      <w:r w:rsidRPr="00693FA6">
        <w:rPr>
          <w:rStyle w:val="s1"/>
          <w:rFonts w:ascii="Times New Roman" w:hAnsi="Times New Roman"/>
          <w:sz w:val="24"/>
          <w:szCs w:val="24"/>
        </w:rPr>
        <w:t>; Metro: Metropolitan</w:t>
      </w:r>
      <w:r>
        <w:rPr>
          <w:rStyle w:val="s1"/>
          <w:rFonts w:ascii="Times New Roman" w:hAnsi="Times New Roman"/>
          <w:sz w:val="24"/>
          <w:szCs w:val="24"/>
        </w:rPr>
        <w:t xml:space="preserve"> </w:t>
      </w:r>
      <w:r w:rsidRPr="00693FA6">
        <w:rPr>
          <w:rStyle w:val="s1"/>
          <w:rFonts w:ascii="Times New Roman" w:hAnsi="Times New Roman"/>
          <w:sz w:val="24"/>
          <w:szCs w:val="24"/>
        </w:rPr>
        <w:t>area; ID: Infectious Diseases; SDI: Social Deprivation Index</w:t>
      </w:r>
    </w:p>
    <w:p w14:paraId="66C73991" w14:textId="77777777" w:rsidR="00A46733" w:rsidRPr="008D1B74" w:rsidRDefault="00A46733">
      <w:pPr>
        <w:rPr>
          <w:b/>
          <w:bCs/>
          <w:lang w:val="fr-FR"/>
        </w:rPr>
        <w:sectPr w:rsidR="00A46733" w:rsidRPr="008D1B7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B1056D" w14:textId="2B5777C6" w:rsidR="006D3273" w:rsidRPr="00693FA6" w:rsidRDefault="00EE07AB" w:rsidP="007056A1">
      <w:pPr>
        <w:rPr>
          <w:b/>
          <w:bCs/>
        </w:rPr>
      </w:pPr>
      <w:r>
        <w:rPr>
          <w:b/>
          <w:bCs/>
        </w:rPr>
        <w:lastRenderedPageBreak/>
        <w:t xml:space="preserve">Appendix </w:t>
      </w:r>
      <w:r w:rsidR="006D3273" w:rsidRPr="00693FA6">
        <w:rPr>
          <w:b/>
          <w:bCs/>
        </w:rPr>
        <w:t xml:space="preserve">Table </w:t>
      </w:r>
      <w:r w:rsidR="007056A1">
        <w:rPr>
          <w:b/>
          <w:bCs/>
        </w:rPr>
        <w:t>2</w:t>
      </w:r>
      <w:r w:rsidR="006D3273" w:rsidRPr="00693FA6">
        <w:rPr>
          <w:b/>
          <w:bCs/>
        </w:rPr>
        <w:t xml:space="preserve">. </w:t>
      </w:r>
      <w:r w:rsidR="007056A1">
        <w:rPr>
          <w:b/>
          <w:bCs/>
        </w:rPr>
        <w:t>Multilevel modeling</w:t>
      </w:r>
      <w:r w:rsidR="006D3273" w:rsidRPr="00693FA6">
        <w:rPr>
          <w:b/>
          <w:bCs/>
        </w:rPr>
        <w:t xml:space="preserve"> for </w:t>
      </w:r>
      <w:r w:rsidR="000F68CD">
        <w:rPr>
          <w:b/>
          <w:bCs/>
        </w:rPr>
        <w:t>r</w:t>
      </w:r>
      <w:r w:rsidR="006D3273" w:rsidRPr="00693FA6">
        <w:rPr>
          <w:b/>
          <w:bCs/>
        </w:rPr>
        <w:t xml:space="preserve">ates of </w:t>
      </w:r>
      <w:r w:rsidR="00AE6193">
        <w:rPr>
          <w:b/>
          <w:bCs/>
        </w:rPr>
        <w:t>fluoroquinolone</w:t>
      </w:r>
      <w:r w:rsidR="006D3273" w:rsidRPr="00693FA6">
        <w:rPr>
          <w:b/>
          <w:bCs/>
        </w:rPr>
        <w:t xml:space="preserve"> </w:t>
      </w:r>
      <w:r w:rsidR="000F68CD">
        <w:rPr>
          <w:b/>
          <w:bCs/>
        </w:rPr>
        <w:t>c</w:t>
      </w:r>
      <w:r w:rsidR="006D3273" w:rsidRPr="00693FA6">
        <w:rPr>
          <w:b/>
          <w:bCs/>
        </w:rPr>
        <w:t>laims</w:t>
      </w:r>
      <w:r>
        <w:rPr>
          <w:b/>
          <w:bCs/>
        </w:rPr>
        <w:t xml:space="preserve"> </w:t>
      </w:r>
    </w:p>
    <w:p w14:paraId="21AA52B8" w14:textId="77777777" w:rsidR="006D3273" w:rsidRPr="00693FA6" w:rsidRDefault="006D3273">
      <w:pPr>
        <w:rPr>
          <w:b/>
          <w:bCs/>
        </w:rPr>
      </w:pPr>
    </w:p>
    <w:tbl>
      <w:tblPr>
        <w:tblW w:w="15835" w:type="dxa"/>
        <w:tblCellSpacing w:w="15" w:type="dxa"/>
        <w:tblInd w:w="-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5"/>
        <w:gridCol w:w="630"/>
        <w:gridCol w:w="1170"/>
        <w:gridCol w:w="810"/>
        <w:gridCol w:w="630"/>
        <w:gridCol w:w="1170"/>
        <w:gridCol w:w="810"/>
        <w:gridCol w:w="630"/>
        <w:gridCol w:w="1170"/>
        <w:gridCol w:w="810"/>
        <w:gridCol w:w="630"/>
        <w:gridCol w:w="1170"/>
        <w:gridCol w:w="810"/>
        <w:gridCol w:w="630"/>
        <w:gridCol w:w="1170"/>
        <w:gridCol w:w="900"/>
      </w:tblGrid>
      <w:tr w:rsidR="002B7E4B" w:rsidRPr="00693FA6" w14:paraId="26FC2A9E" w14:textId="77777777" w:rsidTr="00C152AF">
        <w:trPr>
          <w:tblCellSpacing w:w="15" w:type="dxa"/>
        </w:trPr>
        <w:tc>
          <w:tcPr>
            <w:tcW w:w="2650" w:type="dxa"/>
            <w:vAlign w:val="center"/>
            <w:hideMark/>
          </w:tcPr>
          <w:p w14:paraId="3DBAD080" w14:textId="77777777" w:rsidR="002B7E4B" w:rsidRPr="00693FA6" w:rsidRDefault="002B7E4B" w:rsidP="002B7E4B">
            <w:pPr>
              <w:jc w:val="center"/>
              <w:rPr>
                <w:b/>
                <w:bCs/>
              </w:rPr>
            </w:pPr>
            <w:r w:rsidRPr="00693FA6">
              <w:rPr>
                <w:b/>
                <w:bCs/>
              </w:rPr>
              <w:t> </w:t>
            </w:r>
          </w:p>
        </w:tc>
        <w:tc>
          <w:tcPr>
            <w:tcW w:w="2580" w:type="dxa"/>
            <w:gridSpan w:val="3"/>
            <w:hideMark/>
          </w:tcPr>
          <w:p w14:paraId="42DD8EAC" w14:textId="394E8AC0" w:rsidR="002B7E4B" w:rsidRPr="00693FA6" w:rsidRDefault="002B7E4B" w:rsidP="002B7E4B">
            <w:pPr>
              <w:jc w:val="center"/>
              <w:rPr>
                <w:b/>
                <w:bCs/>
              </w:rPr>
            </w:pPr>
            <w:r w:rsidRPr="00693FA6">
              <w:rPr>
                <w:b/>
                <w:bCs/>
              </w:rPr>
              <w:t>M</w:t>
            </w:r>
            <w:r>
              <w:rPr>
                <w:b/>
                <w:bCs/>
              </w:rPr>
              <w:t>LM</w:t>
            </w:r>
            <w:r w:rsidRPr="00693FA6">
              <w:rPr>
                <w:b/>
                <w:bCs/>
              </w:rPr>
              <w:t>1</w:t>
            </w:r>
          </w:p>
        </w:tc>
        <w:tc>
          <w:tcPr>
            <w:tcW w:w="2580" w:type="dxa"/>
            <w:gridSpan w:val="3"/>
            <w:hideMark/>
          </w:tcPr>
          <w:p w14:paraId="48B743F6" w14:textId="13945BA1" w:rsidR="002B7E4B" w:rsidRPr="00693FA6" w:rsidRDefault="002B7E4B" w:rsidP="002B7E4B">
            <w:pPr>
              <w:jc w:val="center"/>
              <w:rPr>
                <w:b/>
                <w:bCs/>
              </w:rPr>
            </w:pPr>
            <w:r w:rsidRPr="00693FA6">
              <w:rPr>
                <w:b/>
                <w:bCs/>
              </w:rPr>
              <w:t>M</w:t>
            </w:r>
            <w:r>
              <w:rPr>
                <w:b/>
                <w:bCs/>
              </w:rPr>
              <w:t>LM</w:t>
            </w:r>
            <w:r w:rsidRPr="00693FA6">
              <w:rPr>
                <w:b/>
                <w:bCs/>
              </w:rPr>
              <w:t>2</w:t>
            </w:r>
          </w:p>
        </w:tc>
        <w:tc>
          <w:tcPr>
            <w:tcW w:w="2580" w:type="dxa"/>
            <w:gridSpan w:val="3"/>
            <w:hideMark/>
          </w:tcPr>
          <w:p w14:paraId="39B7084A" w14:textId="480E5D40" w:rsidR="002B7E4B" w:rsidRPr="00693FA6" w:rsidRDefault="002B7E4B" w:rsidP="002B7E4B">
            <w:pPr>
              <w:jc w:val="center"/>
              <w:rPr>
                <w:b/>
                <w:bCs/>
              </w:rPr>
            </w:pPr>
            <w:r w:rsidRPr="00693FA6">
              <w:rPr>
                <w:b/>
                <w:bCs/>
              </w:rPr>
              <w:t>M</w:t>
            </w:r>
            <w:r>
              <w:rPr>
                <w:b/>
                <w:bCs/>
              </w:rPr>
              <w:t>LM3</w:t>
            </w:r>
          </w:p>
        </w:tc>
        <w:tc>
          <w:tcPr>
            <w:tcW w:w="2580" w:type="dxa"/>
            <w:gridSpan w:val="3"/>
            <w:hideMark/>
          </w:tcPr>
          <w:p w14:paraId="3DC5C325" w14:textId="5A37BBA5" w:rsidR="002B7E4B" w:rsidRPr="00693FA6" w:rsidRDefault="002B7E4B" w:rsidP="002B7E4B">
            <w:pPr>
              <w:jc w:val="center"/>
              <w:rPr>
                <w:b/>
                <w:bCs/>
              </w:rPr>
            </w:pPr>
            <w:r w:rsidRPr="00693FA6">
              <w:rPr>
                <w:b/>
                <w:bCs/>
              </w:rPr>
              <w:t>M</w:t>
            </w:r>
            <w:r>
              <w:rPr>
                <w:b/>
                <w:bCs/>
              </w:rPr>
              <w:t>LM4</w:t>
            </w:r>
          </w:p>
        </w:tc>
        <w:tc>
          <w:tcPr>
            <w:tcW w:w="2655" w:type="dxa"/>
            <w:gridSpan w:val="3"/>
            <w:hideMark/>
          </w:tcPr>
          <w:p w14:paraId="66DC281F" w14:textId="0BE13F6B" w:rsidR="002B7E4B" w:rsidRPr="00693FA6" w:rsidRDefault="002B7E4B" w:rsidP="002B7E4B">
            <w:pPr>
              <w:jc w:val="center"/>
              <w:rPr>
                <w:b/>
                <w:bCs/>
              </w:rPr>
            </w:pPr>
            <w:r w:rsidRPr="00693FA6">
              <w:rPr>
                <w:b/>
                <w:bCs/>
              </w:rPr>
              <w:t>M</w:t>
            </w:r>
            <w:r>
              <w:rPr>
                <w:b/>
                <w:bCs/>
              </w:rPr>
              <w:t>LM5</w:t>
            </w:r>
          </w:p>
        </w:tc>
      </w:tr>
      <w:tr w:rsidR="002B7E4B" w:rsidRPr="00693FA6" w14:paraId="69E33956" w14:textId="77777777" w:rsidTr="0084054F">
        <w:trPr>
          <w:tblCellSpacing w:w="15" w:type="dxa"/>
        </w:trPr>
        <w:tc>
          <w:tcPr>
            <w:tcW w:w="2650" w:type="dxa"/>
            <w:vAlign w:val="center"/>
            <w:hideMark/>
          </w:tcPr>
          <w:p w14:paraId="32FBC4D1" w14:textId="77777777" w:rsidR="002B7E4B" w:rsidRPr="00693FA6" w:rsidRDefault="002B7E4B" w:rsidP="002B7E4B">
            <w:r w:rsidRPr="00693FA6">
              <w:t>Predictors</w:t>
            </w:r>
          </w:p>
        </w:tc>
        <w:tc>
          <w:tcPr>
            <w:tcW w:w="600" w:type="dxa"/>
            <w:hideMark/>
          </w:tcPr>
          <w:p w14:paraId="7FBA6275" w14:textId="3E1E2668" w:rsidR="002B7E4B" w:rsidRPr="00693FA6" w:rsidRDefault="002B7E4B" w:rsidP="002B7E4B">
            <w:r w:rsidRPr="00693FA6">
              <w:t>IRR</w:t>
            </w:r>
          </w:p>
        </w:tc>
        <w:tc>
          <w:tcPr>
            <w:tcW w:w="1140" w:type="dxa"/>
            <w:hideMark/>
          </w:tcPr>
          <w:p w14:paraId="2C602F39" w14:textId="0E4DF2B4" w:rsidR="002B7E4B" w:rsidRPr="00693FA6" w:rsidRDefault="002B7E4B" w:rsidP="002B7E4B">
            <w:r>
              <w:t xml:space="preserve">95% </w:t>
            </w:r>
            <w:r w:rsidRPr="00693FA6">
              <w:t>CI</w:t>
            </w:r>
          </w:p>
        </w:tc>
        <w:tc>
          <w:tcPr>
            <w:tcW w:w="780" w:type="dxa"/>
            <w:hideMark/>
          </w:tcPr>
          <w:p w14:paraId="010055FB" w14:textId="15B612CD" w:rsidR="002B7E4B" w:rsidRPr="00693FA6" w:rsidRDefault="002B7E4B" w:rsidP="002B7E4B">
            <w:r w:rsidRPr="00693FA6">
              <w:t>IRR</w:t>
            </w:r>
          </w:p>
        </w:tc>
        <w:tc>
          <w:tcPr>
            <w:tcW w:w="600" w:type="dxa"/>
            <w:hideMark/>
          </w:tcPr>
          <w:p w14:paraId="04EF4179" w14:textId="77777777" w:rsidR="002B7E4B" w:rsidRPr="00693FA6" w:rsidRDefault="002B7E4B" w:rsidP="002B7E4B">
            <w:r w:rsidRPr="00693FA6">
              <w:t>IRR</w:t>
            </w:r>
          </w:p>
        </w:tc>
        <w:tc>
          <w:tcPr>
            <w:tcW w:w="1140" w:type="dxa"/>
            <w:hideMark/>
          </w:tcPr>
          <w:p w14:paraId="69AF76C7" w14:textId="65B38522" w:rsidR="002B7E4B" w:rsidRPr="00693FA6" w:rsidRDefault="002B7E4B" w:rsidP="002B7E4B">
            <w:r>
              <w:t xml:space="preserve">95% </w:t>
            </w:r>
            <w:r w:rsidRPr="00693FA6">
              <w:t>CI</w:t>
            </w:r>
          </w:p>
        </w:tc>
        <w:tc>
          <w:tcPr>
            <w:tcW w:w="780" w:type="dxa"/>
            <w:hideMark/>
          </w:tcPr>
          <w:p w14:paraId="0B6CA1FF" w14:textId="77777777" w:rsidR="002B7E4B" w:rsidRPr="00693FA6" w:rsidRDefault="002B7E4B" w:rsidP="002B7E4B">
            <w:r w:rsidRPr="00693FA6">
              <w:t>P</w:t>
            </w:r>
          </w:p>
        </w:tc>
        <w:tc>
          <w:tcPr>
            <w:tcW w:w="600" w:type="dxa"/>
            <w:hideMark/>
          </w:tcPr>
          <w:p w14:paraId="618F64DD" w14:textId="77777777" w:rsidR="002B7E4B" w:rsidRPr="00693FA6" w:rsidRDefault="002B7E4B" w:rsidP="002B7E4B">
            <w:r w:rsidRPr="00693FA6">
              <w:t>IRR</w:t>
            </w:r>
          </w:p>
        </w:tc>
        <w:tc>
          <w:tcPr>
            <w:tcW w:w="1140" w:type="dxa"/>
            <w:hideMark/>
          </w:tcPr>
          <w:p w14:paraId="551D5916" w14:textId="001E172F" w:rsidR="002B7E4B" w:rsidRPr="00693FA6" w:rsidRDefault="002B7E4B" w:rsidP="002B7E4B">
            <w:r>
              <w:t xml:space="preserve">95% </w:t>
            </w:r>
            <w:r w:rsidRPr="00693FA6">
              <w:t>CI</w:t>
            </w:r>
          </w:p>
        </w:tc>
        <w:tc>
          <w:tcPr>
            <w:tcW w:w="780" w:type="dxa"/>
            <w:hideMark/>
          </w:tcPr>
          <w:p w14:paraId="61EF82EC" w14:textId="77777777" w:rsidR="002B7E4B" w:rsidRPr="00693FA6" w:rsidRDefault="002B7E4B" w:rsidP="002B7E4B">
            <w:r w:rsidRPr="00693FA6">
              <w:t>P</w:t>
            </w:r>
          </w:p>
        </w:tc>
        <w:tc>
          <w:tcPr>
            <w:tcW w:w="600" w:type="dxa"/>
            <w:hideMark/>
          </w:tcPr>
          <w:p w14:paraId="3C7E8116" w14:textId="77777777" w:rsidR="002B7E4B" w:rsidRPr="00693FA6" w:rsidRDefault="002B7E4B" w:rsidP="002B7E4B">
            <w:r w:rsidRPr="00693FA6">
              <w:t>IRR</w:t>
            </w:r>
          </w:p>
        </w:tc>
        <w:tc>
          <w:tcPr>
            <w:tcW w:w="1140" w:type="dxa"/>
            <w:hideMark/>
          </w:tcPr>
          <w:p w14:paraId="5C2AEB4D" w14:textId="3C751129" w:rsidR="002B7E4B" w:rsidRPr="00693FA6" w:rsidRDefault="002B7E4B" w:rsidP="002B7E4B">
            <w:r>
              <w:t xml:space="preserve">95% </w:t>
            </w:r>
            <w:r w:rsidRPr="00693FA6">
              <w:t>CI</w:t>
            </w:r>
          </w:p>
        </w:tc>
        <w:tc>
          <w:tcPr>
            <w:tcW w:w="780" w:type="dxa"/>
            <w:hideMark/>
          </w:tcPr>
          <w:p w14:paraId="7591DFA8" w14:textId="77777777" w:rsidR="002B7E4B" w:rsidRPr="00693FA6" w:rsidRDefault="002B7E4B" w:rsidP="002B7E4B">
            <w:r w:rsidRPr="00693FA6">
              <w:t>P</w:t>
            </w:r>
          </w:p>
        </w:tc>
        <w:tc>
          <w:tcPr>
            <w:tcW w:w="600" w:type="dxa"/>
            <w:hideMark/>
          </w:tcPr>
          <w:p w14:paraId="783E2571" w14:textId="77777777" w:rsidR="002B7E4B" w:rsidRPr="00693FA6" w:rsidRDefault="002B7E4B" w:rsidP="002B7E4B">
            <w:r w:rsidRPr="00693FA6">
              <w:t>IRR</w:t>
            </w:r>
          </w:p>
        </w:tc>
        <w:tc>
          <w:tcPr>
            <w:tcW w:w="1140" w:type="dxa"/>
            <w:hideMark/>
          </w:tcPr>
          <w:p w14:paraId="032F522C" w14:textId="3E457F8F" w:rsidR="002B7E4B" w:rsidRPr="00693FA6" w:rsidRDefault="002B7E4B" w:rsidP="002B7E4B">
            <w:r>
              <w:t xml:space="preserve">95% </w:t>
            </w:r>
            <w:r w:rsidRPr="00693FA6">
              <w:t>CI</w:t>
            </w:r>
          </w:p>
        </w:tc>
        <w:tc>
          <w:tcPr>
            <w:tcW w:w="855" w:type="dxa"/>
            <w:hideMark/>
          </w:tcPr>
          <w:p w14:paraId="497007AC" w14:textId="77777777" w:rsidR="002B7E4B" w:rsidRPr="00693FA6" w:rsidRDefault="002B7E4B" w:rsidP="002B7E4B">
            <w:r w:rsidRPr="00693FA6">
              <w:t>P</w:t>
            </w:r>
          </w:p>
        </w:tc>
      </w:tr>
      <w:tr w:rsidR="0017021B" w:rsidRPr="00693FA6" w14:paraId="3CCE3C28" w14:textId="77777777" w:rsidTr="0084054F">
        <w:trPr>
          <w:tblCellSpacing w:w="15" w:type="dxa"/>
        </w:trPr>
        <w:tc>
          <w:tcPr>
            <w:tcW w:w="2650" w:type="dxa"/>
            <w:vAlign w:val="center"/>
            <w:hideMark/>
          </w:tcPr>
          <w:p w14:paraId="4D1B7FA5" w14:textId="77777777" w:rsidR="0017021B" w:rsidRPr="00693FA6" w:rsidRDefault="0017021B" w:rsidP="0017021B">
            <w:r w:rsidRPr="00693FA6">
              <w:t>(Intercept)</w:t>
            </w:r>
          </w:p>
        </w:tc>
        <w:tc>
          <w:tcPr>
            <w:tcW w:w="600" w:type="dxa"/>
            <w:hideMark/>
          </w:tcPr>
          <w:p w14:paraId="32FCA9E5" w14:textId="1360D120" w:rsidR="0017021B" w:rsidRPr="00693FA6" w:rsidRDefault="0017021B" w:rsidP="0017021B">
            <w:r>
              <w:t>0.22</w:t>
            </w:r>
          </w:p>
        </w:tc>
        <w:tc>
          <w:tcPr>
            <w:tcW w:w="1140" w:type="dxa"/>
            <w:hideMark/>
          </w:tcPr>
          <w:p w14:paraId="220E7E93" w14:textId="2A5A6A53" w:rsidR="0017021B" w:rsidRPr="00693FA6" w:rsidRDefault="0017021B" w:rsidP="0017021B">
            <w:r>
              <w:t>0.19 – 0.25</w:t>
            </w:r>
          </w:p>
        </w:tc>
        <w:tc>
          <w:tcPr>
            <w:tcW w:w="780" w:type="dxa"/>
            <w:hideMark/>
          </w:tcPr>
          <w:p w14:paraId="211A92B7" w14:textId="49A5F5E5" w:rsidR="0017021B" w:rsidRPr="00693FA6" w:rsidRDefault="0017021B" w:rsidP="0017021B"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137B2AA2" w14:textId="21FFE6B7" w:rsidR="0017021B" w:rsidRPr="00693FA6" w:rsidRDefault="0017021B" w:rsidP="0017021B">
            <w:r>
              <w:t>0.22</w:t>
            </w:r>
          </w:p>
        </w:tc>
        <w:tc>
          <w:tcPr>
            <w:tcW w:w="1140" w:type="dxa"/>
            <w:hideMark/>
          </w:tcPr>
          <w:p w14:paraId="771F4C82" w14:textId="2903C00E" w:rsidR="0017021B" w:rsidRPr="00693FA6" w:rsidRDefault="0017021B" w:rsidP="0017021B">
            <w:r>
              <w:t>0.19 – 0.25</w:t>
            </w:r>
          </w:p>
        </w:tc>
        <w:tc>
          <w:tcPr>
            <w:tcW w:w="780" w:type="dxa"/>
            <w:hideMark/>
          </w:tcPr>
          <w:p w14:paraId="06C71842" w14:textId="5AD83DD8" w:rsidR="0017021B" w:rsidRPr="00693FA6" w:rsidRDefault="0017021B" w:rsidP="0017021B"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1EFA475D" w14:textId="2FD180E7" w:rsidR="0017021B" w:rsidRPr="00693FA6" w:rsidRDefault="0017021B" w:rsidP="0017021B">
            <w:r>
              <w:t>0.22</w:t>
            </w:r>
          </w:p>
        </w:tc>
        <w:tc>
          <w:tcPr>
            <w:tcW w:w="1140" w:type="dxa"/>
            <w:hideMark/>
          </w:tcPr>
          <w:p w14:paraId="029074C9" w14:textId="3C4F3353" w:rsidR="0017021B" w:rsidRPr="00693FA6" w:rsidRDefault="0017021B" w:rsidP="0017021B">
            <w:r>
              <w:t>0.19 – 0.25</w:t>
            </w:r>
          </w:p>
        </w:tc>
        <w:tc>
          <w:tcPr>
            <w:tcW w:w="780" w:type="dxa"/>
            <w:hideMark/>
          </w:tcPr>
          <w:p w14:paraId="7ADCE6C2" w14:textId="1298C2C3" w:rsidR="0017021B" w:rsidRPr="00693FA6" w:rsidRDefault="0017021B" w:rsidP="0017021B"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078D92F9" w14:textId="51410633" w:rsidR="0017021B" w:rsidRPr="00693FA6" w:rsidRDefault="0017021B" w:rsidP="0017021B">
            <w:r>
              <w:t>0.22</w:t>
            </w:r>
          </w:p>
        </w:tc>
        <w:tc>
          <w:tcPr>
            <w:tcW w:w="1140" w:type="dxa"/>
            <w:hideMark/>
          </w:tcPr>
          <w:p w14:paraId="5D4C13A0" w14:textId="46FDFE51" w:rsidR="0017021B" w:rsidRPr="00693FA6" w:rsidRDefault="0017021B" w:rsidP="0017021B">
            <w:r>
              <w:t>0.19 – 0.25</w:t>
            </w:r>
          </w:p>
        </w:tc>
        <w:tc>
          <w:tcPr>
            <w:tcW w:w="780" w:type="dxa"/>
            <w:hideMark/>
          </w:tcPr>
          <w:p w14:paraId="4A99D1AB" w14:textId="6BB9E43C" w:rsidR="0017021B" w:rsidRPr="00693FA6" w:rsidRDefault="0017021B" w:rsidP="0017021B"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0A0D6038" w14:textId="24175AF9" w:rsidR="0017021B" w:rsidRPr="00693FA6" w:rsidRDefault="0017021B" w:rsidP="0017021B">
            <w:r>
              <w:t>0.22</w:t>
            </w:r>
          </w:p>
        </w:tc>
        <w:tc>
          <w:tcPr>
            <w:tcW w:w="1140" w:type="dxa"/>
            <w:hideMark/>
          </w:tcPr>
          <w:p w14:paraId="3E3108AE" w14:textId="259AA0B6" w:rsidR="0017021B" w:rsidRPr="00693FA6" w:rsidRDefault="0017021B" w:rsidP="0017021B">
            <w:r>
              <w:t>0.19 – 0.25</w:t>
            </w:r>
          </w:p>
        </w:tc>
        <w:tc>
          <w:tcPr>
            <w:tcW w:w="855" w:type="dxa"/>
            <w:hideMark/>
          </w:tcPr>
          <w:p w14:paraId="7A26C7DC" w14:textId="76ADC7CF" w:rsidR="0017021B" w:rsidRPr="00693FA6" w:rsidRDefault="0017021B" w:rsidP="0017021B">
            <w:r>
              <w:rPr>
                <w:rStyle w:val="Strong"/>
                <w:rFonts w:eastAsiaTheme="majorEastAsia"/>
              </w:rPr>
              <w:t>&lt;0.001</w:t>
            </w:r>
          </w:p>
        </w:tc>
      </w:tr>
      <w:tr w:rsidR="002F0705" w:rsidRPr="00693FA6" w14:paraId="46FDE94E" w14:textId="77777777" w:rsidTr="0084054F">
        <w:trPr>
          <w:tblCellSpacing w:w="15" w:type="dxa"/>
        </w:trPr>
        <w:tc>
          <w:tcPr>
            <w:tcW w:w="2650" w:type="dxa"/>
            <w:vAlign w:val="center"/>
            <w:hideMark/>
          </w:tcPr>
          <w:p w14:paraId="4EE6A079" w14:textId="406C4C9A" w:rsidR="002F0705" w:rsidRPr="00693FA6" w:rsidRDefault="002F0705" w:rsidP="002F0705">
            <w:r w:rsidRPr="00693FA6">
              <w:t>Metro [Rural, ref Metro]</w:t>
            </w:r>
          </w:p>
        </w:tc>
        <w:tc>
          <w:tcPr>
            <w:tcW w:w="600" w:type="dxa"/>
            <w:hideMark/>
          </w:tcPr>
          <w:p w14:paraId="00A728EA" w14:textId="23EA2210" w:rsidR="002F0705" w:rsidRPr="00693FA6" w:rsidRDefault="002F0705" w:rsidP="002F0705">
            <w:r>
              <w:t>1.06</w:t>
            </w:r>
          </w:p>
        </w:tc>
        <w:tc>
          <w:tcPr>
            <w:tcW w:w="1140" w:type="dxa"/>
            <w:hideMark/>
          </w:tcPr>
          <w:p w14:paraId="27D93C27" w14:textId="1A6961D9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1.01 – 1.12</w:t>
            </w:r>
          </w:p>
        </w:tc>
        <w:tc>
          <w:tcPr>
            <w:tcW w:w="780" w:type="dxa"/>
            <w:hideMark/>
          </w:tcPr>
          <w:p w14:paraId="53E55EE9" w14:textId="1CA5818B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rPr>
                <w:rStyle w:val="Strong"/>
                <w:rFonts w:eastAsiaTheme="majorEastAsia"/>
              </w:rPr>
              <w:t>0.030</w:t>
            </w:r>
          </w:p>
        </w:tc>
        <w:tc>
          <w:tcPr>
            <w:tcW w:w="600" w:type="dxa"/>
            <w:hideMark/>
          </w:tcPr>
          <w:p w14:paraId="21770593" w14:textId="5D09BC98" w:rsidR="002F0705" w:rsidRPr="00693FA6" w:rsidRDefault="002F0705" w:rsidP="002F0705">
            <w:r>
              <w:t>1.06</w:t>
            </w:r>
          </w:p>
        </w:tc>
        <w:tc>
          <w:tcPr>
            <w:tcW w:w="1140" w:type="dxa"/>
            <w:hideMark/>
          </w:tcPr>
          <w:p w14:paraId="6E1D8A01" w14:textId="43681253" w:rsidR="002F0705" w:rsidRPr="00693FA6" w:rsidRDefault="002F0705" w:rsidP="002F0705">
            <w:r>
              <w:t>1.01 – 1.12</w:t>
            </w:r>
          </w:p>
        </w:tc>
        <w:tc>
          <w:tcPr>
            <w:tcW w:w="780" w:type="dxa"/>
            <w:hideMark/>
          </w:tcPr>
          <w:p w14:paraId="7E442BA4" w14:textId="65803A33" w:rsidR="002F0705" w:rsidRPr="00693FA6" w:rsidRDefault="002F0705" w:rsidP="002F0705">
            <w:r>
              <w:rPr>
                <w:rStyle w:val="Strong"/>
                <w:rFonts w:eastAsiaTheme="majorEastAsia"/>
              </w:rPr>
              <w:t>0.031</w:t>
            </w:r>
          </w:p>
        </w:tc>
        <w:tc>
          <w:tcPr>
            <w:tcW w:w="600" w:type="dxa"/>
            <w:hideMark/>
          </w:tcPr>
          <w:p w14:paraId="184B2658" w14:textId="230486AE" w:rsidR="002F0705" w:rsidRPr="00693FA6" w:rsidRDefault="002F0705" w:rsidP="002F0705">
            <w:r>
              <w:t>1.03</w:t>
            </w:r>
          </w:p>
        </w:tc>
        <w:tc>
          <w:tcPr>
            <w:tcW w:w="1140" w:type="dxa"/>
            <w:hideMark/>
          </w:tcPr>
          <w:p w14:paraId="160AC9E0" w14:textId="0A13A17E" w:rsidR="002F0705" w:rsidRPr="00693FA6" w:rsidRDefault="002F0705" w:rsidP="002F0705">
            <w:r>
              <w:t>0.98 – 1.09</w:t>
            </w:r>
          </w:p>
        </w:tc>
        <w:tc>
          <w:tcPr>
            <w:tcW w:w="780" w:type="dxa"/>
            <w:hideMark/>
          </w:tcPr>
          <w:p w14:paraId="36EF49ED" w14:textId="2EEAD0C8" w:rsidR="002F0705" w:rsidRPr="002B7E4B" w:rsidRDefault="002F0705" w:rsidP="002F0705">
            <w:pPr>
              <w:rPr>
                <w:b/>
                <w:bCs/>
              </w:rPr>
            </w:pPr>
            <w:r>
              <w:t>0.242</w:t>
            </w:r>
          </w:p>
        </w:tc>
        <w:tc>
          <w:tcPr>
            <w:tcW w:w="600" w:type="dxa"/>
            <w:hideMark/>
          </w:tcPr>
          <w:p w14:paraId="14F3E1BE" w14:textId="34A54C62" w:rsidR="002F0705" w:rsidRPr="00693FA6" w:rsidRDefault="002F0705" w:rsidP="002F0705">
            <w:r>
              <w:t>1.08</w:t>
            </w:r>
          </w:p>
        </w:tc>
        <w:tc>
          <w:tcPr>
            <w:tcW w:w="1140" w:type="dxa"/>
            <w:hideMark/>
          </w:tcPr>
          <w:p w14:paraId="6B27E4ED" w14:textId="19E3E50F" w:rsidR="002F0705" w:rsidRPr="00693FA6" w:rsidRDefault="002F0705" w:rsidP="002F0705">
            <w:r>
              <w:t>1.02 – 1.15</w:t>
            </w:r>
          </w:p>
        </w:tc>
        <w:tc>
          <w:tcPr>
            <w:tcW w:w="780" w:type="dxa"/>
            <w:hideMark/>
          </w:tcPr>
          <w:p w14:paraId="74864D0F" w14:textId="1927CEA4" w:rsidR="002F0705" w:rsidRPr="00693FA6" w:rsidRDefault="002F0705" w:rsidP="002F0705">
            <w:r>
              <w:rPr>
                <w:rStyle w:val="Strong"/>
                <w:rFonts w:eastAsiaTheme="majorEastAsia"/>
              </w:rPr>
              <w:t>0.006</w:t>
            </w:r>
          </w:p>
        </w:tc>
        <w:tc>
          <w:tcPr>
            <w:tcW w:w="600" w:type="dxa"/>
            <w:hideMark/>
          </w:tcPr>
          <w:p w14:paraId="5F47271E" w14:textId="553E1679" w:rsidR="002F0705" w:rsidRPr="00693FA6" w:rsidRDefault="002F0705" w:rsidP="002F0705">
            <w:r>
              <w:t>1.06</w:t>
            </w:r>
          </w:p>
        </w:tc>
        <w:tc>
          <w:tcPr>
            <w:tcW w:w="1140" w:type="dxa"/>
            <w:hideMark/>
          </w:tcPr>
          <w:p w14:paraId="47B48EAD" w14:textId="3E13289E" w:rsidR="002F0705" w:rsidRPr="00693FA6" w:rsidRDefault="002F0705" w:rsidP="002F0705">
            <w:r>
              <w:t>1.00 – 1.13</w:t>
            </w:r>
          </w:p>
        </w:tc>
        <w:tc>
          <w:tcPr>
            <w:tcW w:w="855" w:type="dxa"/>
            <w:hideMark/>
          </w:tcPr>
          <w:p w14:paraId="74D26873" w14:textId="1A70A5EF" w:rsidR="002F0705" w:rsidRPr="00693FA6" w:rsidRDefault="002F0705" w:rsidP="002F0705">
            <w:r>
              <w:rPr>
                <w:rStyle w:val="Strong"/>
                <w:rFonts w:eastAsiaTheme="majorEastAsia"/>
              </w:rPr>
              <w:t>0.041</w:t>
            </w:r>
          </w:p>
        </w:tc>
      </w:tr>
      <w:tr w:rsidR="002F0705" w:rsidRPr="00693FA6" w14:paraId="437EB897" w14:textId="77777777" w:rsidTr="0084054F">
        <w:trPr>
          <w:tblCellSpacing w:w="15" w:type="dxa"/>
        </w:trPr>
        <w:tc>
          <w:tcPr>
            <w:tcW w:w="2650" w:type="dxa"/>
            <w:vAlign w:val="center"/>
            <w:hideMark/>
          </w:tcPr>
          <w:p w14:paraId="15EC33F9" w14:textId="77777777" w:rsidR="002F0705" w:rsidRPr="00693FA6" w:rsidRDefault="002F0705" w:rsidP="002F0705">
            <w:r w:rsidRPr="00693FA6">
              <w:t>Gender [Male, ref Female]</w:t>
            </w:r>
          </w:p>
        </w:tc>
        <w:tc>
          <w:tcPr>
            <w:tcW w:w="600" w:type="dxa"/>
            <w:hideMark/>
          </w:tcPr>
          <w:p w14:paraId="21929ABF" w14:textId="646F1B08" w:rsidR="002F0705" w:rsidRPr="00693FA6" w:rsidRDefault="002F0705" w:rsidP="002F0705">
            <w:r>
              <w:t>0.97</w:t>
            </w:r>
          </w:p>
        </w:tc>
        <w:tc>
          <w:tcPr>
            <w:tcW w:w="1140" w:type="dxa"/>
            <w:hideMark/>
          </w:tcPr>
          <w:p w14:paraId="10474936" w14:textId="0C849C92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0.94 – 1.00</w:t>
            </w:r>
          </w:p>
        </w:tc>
        <w:tc>
          <w:tcPr>
            <w:tcW w:w="780" w:type="dxa"/>
            <w:hideMark/>
          </w:tcPr>
          <w:p w14:paraId="19D05C75" w14:textId="387433CE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rPr>
                <w:rStyle w:val="Strong"/>
                <w:rFonts w:eastAsiaTheme="majorEastAsia"/>
              </w:rPr>
              <w:t>0.037</w:t>
            </w:r>
          </w:p>
        </w:tc>
        <w:tc>
          <w:tcPr>
            <w:tcW w:w="600" w:type="dxa"/>
            <w:hideMark/>
          </w:tcPr>
          <w:p w14:paraId="6977C50D" w14:textId="221EB74E" w:rsidR="002F0705" w:rsidRPr="00693FA6" w:rsidRDefault="002F0705" w:rsidP="002F0705">
            <w:r>
              <w:t>0.97</w:t>
            </w:r>
          </w:p>
        </w:tc>
        <w:tc>
          <w:tcPr>
            <w:tcW w:w="1140" w:type="dxa"/>
            <w:hideMark/>
          </w:tcPr>
          <w:p w14:paraId="32CF67AE" w14:textId="14D56200" w:rsidR="002F0705" w:rsidRPr="00693FA6" w:rsidRDefault="002F0705" w:rsidP="002F0705">
            <w:r>
              <w:t>0.94 – 1.00</w:t>
            </w:r>
          </w:p>
        </w:tc>
        <w:tc>
          <w:tcPr>
            <w:tcW w:w="780" w:type="dxa"/>
            <w:hideMark/>
          </w:tcPr>
          <w:p w14:paraId="59C93D86" w14:textId="566299C6" w:rsidR="002F0705" w:rsidRPr="00693FA6" w:rsidRDefault="002F0705" w:rsidP="002F0705">
            <w:r>
              <w:rPr>
                <w:rStyle w:val="Strong"/>
                <w:rFonts w:eastAsiaTheme="majorEastAsia"/>
              </w:rPr>
              <w:t>0.037</w:t>
            </w:r>
          </w:p>
        </w:tc>
        <w:tc>
          <w:tcPr>
            <w:tcW w:w="600" w:type="dxa"/>
            <w:hideMark/>
          </w:tcPr>
          <w:p w14:paraId="184A2A2E" w14:textId="0EF62687" w:rsidR="002F0705" w:rsidRPr="00693FA6" w:rsidRDefault="002F0705" w:rsidP="002F0705">
            <w:r>
              <w:t>0.97</w:t>
            </w:r>
          </w:p>
        </w:tc>
        <w:tc>
          <w:tcPr>
            <w:tcW w:w="1140" w:type="dxa"/>
            <w:hideMark/>
          </w:tcPr>
          <w:p w14:paraId="7040DAC9" w14:textId="2B333DB5" w:rsidR="002F0705" w:rsidRPr="00693FA6" w:rsidRDefault="002F0705" w:rsidP="002F0705">
            <w:r>
              <w:t>0.94 – 1.00</w:t>
            </w:r>
          </w:p>
        </w:tc>
        <w:tc>
          <w:tcPr>
            <w:tcW w:w="780" w:type="dxa"/>
            <w:hideMark/>
          </w:tcPr>
          <w:p w14:paraId="03163414" w14:textId="2830E66C" w:rsidR="002F0705" w:rsidRPr="00693FA6" w:rsidRDefault="002F0705" w:rsidP="002F0705">
            <w:r>
              <w:rPr>
                <w:rStyle w:val="Strong"/>
                <w:rFonts w:eastAsiaTheme="majorEastAsia"/>
              </w:rPr>
              <w:t>0.042</w:t>
            </w:r>
          </w:p>
        </w:tc>
        <w:tc>
          <w:tcPr>
            <w:tcW w:w="600" w:type="dxa"/>
            <w:hideMark/>
          </w:tcPr>
          <w:p w14:paraId="05D89BD7" w14:textId="019859F5" w:rsidR="002F0705" w:rsidRPr="00693FA6" w:rsidRDefault="002F0705" w:rsidP="002F0705">
            <w:r>
              <w:t>0.97</w:t>
            </w:r>
          </w:p>
        </w:tc>
        <w:tc>
          <w:tcPr>
            <w:tcW w:w="1140" w:type="dxa"/>
            <w:hideMark/>
          </w:tcPr>
          <w:p w14:paraId="61DF3FE7" w14:textId="703C04B8" w:rsidR="002F0705" w:rsidRPr="00693FA6" w:rsidRDefault="002F0705" w:rsidP="002F0705">
            <w:r>
              <w:t>0.94 – 1.00</w:t>
            </w:r>
          </w:p>
        </w:tc>
        <w:tc>
          <w:tcPr>
            <w:tcW w:w="780" w:type="dxa"/>
            <w:hideMark/>
          </w:tcPr>
          <w:p w14:paraId="4CA3659D" w14:textId="68B408E6" w:rsidR="002F0705" w:rsidRPr="00693FA6" w:rsidRDefault="002F0705" w:rsidP="002F0705">
            <w:r>
              <w:rPr>
                <w:rStyle w:val="Strong"/>
                <w:rFonts w:eastAsiaTheme="majorEastAsia"/>
              </w:rPr>
              <w:t>0.037</w:t>
            </w:r>
          </w:p>
        </w:tc>
        <w:tc>
          <w:tcPr>
            <w:tcW w:w="600" w:type="dxa"/>
            <w:hideMark/>
          </w:tcPr>
          <w:p w14:paraId="337E0763" w14:textId="1DA50F0A" w:rsidR="002F0705" w:rsidRPr="00693FA6" w:rsidRDefault="002F0705" w:rsidP="002F0705">
            <w:r>
              <w:t>0.97</w:t>
            </w:r>
          </w:p>
        </w:tc>
        <w:tc>
          <w:tcPr>
            <w:tcW w:w="1140" w:type="dxa"/>
            <w:hideMark/>
          </w:tcPr>
          <w:p w14:paraId="04EE2228" w14:textId="61938E05" w:rsidR="002F0705" w:rsidRPr="00693FA6" w:rsidRDefault="002F0705" w:rsidP="002F0705">
            <w:r>
              <w:t>0.94 – 1.00</w:t>
            </w:r>
          </w:p>
        </w:tc>
        <w:tc>
          <w:tcPr>
            <w:tcW w:w="855" w:type="dxa"/>
            <w:hideMark/>
          </w:tcPr>
          <w:p w14:paraId="3EA10D0E" w14:textId="73D3224F" w:rsidR="002F0705" w:rsidRPr="00693FA6" w:rsidRDefault="002F0705" w:rsidP="002F0705">
            <w:r>
              <w:rPr>
                <w:rStyle w:val="Strong"/>
                <w:rFonts w:eastAsiaTheme="majorEastAsia"/>
              </w:rPr>
              <w:t>0.042</w:t>
            </w:r>
          </w:p>
        </w:tc>
      </w:tr>
      <w:tr w:rsidR="002F0705" w:rsidRPr="00693FA6" w14:paraId="07DA29D8" w14:textId="77777777" w:rsidTr="0084054F">
        <w:trPr>
          <w:tblCellSpacing w:w="15" w:type="dxa"/>
        </w:trPr>
        <w:tc>
          <w:tcPr>
            <w:tcW w:w="2650" w:type="dxa"/>
            <w:vAlign w:val="center"/>
            <w:hideMark/>
          </w:tcPr>
          <w:p w14:paraId="6F7C3EE9" w14:textId="77777777" w:rsidR="002F0705" w:rsidRPr="00693FA6" w:rsidRDefault="002F0705" w:rsidP="002F0705">
            <w:r w:rsidRPr="00693FA6">
              <w:t>Specialty [ID, ref Surgery]</w:t>
            </w:r>
          </w:p>
        </w:tc>
        <w:tc>
          <w:tcPr>
            <w:tcW w:w="600" w:type="dxa"/>
            <w:hideMark/>
          </w:tcPr>
          <w:p w14:paraId="0C866A7B" w14:textId="20668583" w:rsidR="002F0705" w:rsidRPr="00693FA6" w:rsidRDefault="002F0705" w:rsidP="002F0705">
            <w:r>
              <w:t>0.92</w:t>
            </w:r>
          </w:p>
        </w:tc>
        <w:tc>
          <w:tcPr>
            <w:tcW w:w="1140" w:type="dxa"/>
            <w:hideMark/>
          </w:tcPr>
          <w:p w14:paraId="1BAFB1A6" w14:textId="22AD9737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0.78 – 1.07</w:t>
            </w:r>
          </w:p>
        </w:tc>
        <w:tc>
          <w:tcPr>
            <w:tcW w:w="780" w:type="dxa"/>
            <w:hideMark/>
          </w:tcPr>
          <w:p w14:paraId="3E3EF34A" w14:textId="1AD04476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0.271</w:t>
            </w:r>
          </w:p>
        </w:tc>
        <w:tc>
          <w:tcPr>
            <w:tcW w:w="600" w:type="dxa"/>
            <w:hideMark/>
          </w:tcPr>
          <w:p w14:paraId="10082A63" w14:textId="04FB6D8A" w:rsidR="002F0705" w:rsidRPr="00693FA6" w:rsidRDefault="002F0705" w:rsidP="002F0705">
            <w:r>
              <w:t>0.92</w:t>
            </w:r>
          </w:p>
        </w:tc>
        <w:tc>
          <w:tcPr>
            <w:tcW w:w="1140" w:type="dxa"/>
            <w:hideMark/>
          </w:tcPr>
          <w:p w14:paraId="244EDCE7" w14:textId="464147B5" w:rsidR="002F0705" w:rsidRPr="00693FA6" w:rsidRDefault="002F0705" w:rsidP="002F0705">
            <w:r>
              <w:t>0.78 – 1.07</w:t>
            </w:r>
          </w:p>
        </w:tc>
        <w:tc>
          <w:tcPr>
            <w:tcW w:w="780" w:type="dxa"/>
            <w:hideMark/>
          </w:tcPr>
          <w:p w14:paraId="007D4198" w14:textId="3A08DB60" w:rsidR="002F0705" w:rsidRPr="00693FA6" w:rsidRDefault="002F0705" w:rsidP="002F0705">
            <w:r>
              <w:t>0.271</w:t>
            </w:r>
          </w:p>
        </w:tc>
        <w:tc>
          <w:tcPr>
            <w:tcW w:w="600" w:type="dxa"/>
            <w:hideMark/>
          </w:tcPr>
          <w:p w14:paraId="604A161F" w14:textId="7EB4BBDB" w:rsidR="002F0705" w:rsidRPr="00693FA6" w:rsidRDefault="002F0705" w:rsidP="002F0705">
            <w:r>
              <w:t>0.92</w:t>
            </w:r>
          </w:p>
        </w:tc>
        <w:tc>
          <w:tcPr>
            <w:tcW w:w="1140" w:type="dxa"/>
            <w:hideMark/>
          </w:tcPr>
          <w:p w14:paraId="153F7C0E" w14:textId="364C5BD1" w:rsidR="002F0705" w:rsidRPr="00693FA6" w:rsidRDefault="002F0705" w:rsidP="002F0705">
            <w:r>
              <w:t>0.78 – 1.07</w:t>
            </w:r>
          </w:p>
        </w:tc>
        <w:tc>
          <w:tcPr>
            <w:tcW w:w="780" w:type="dxa"/>
            <w:hideMark/>
          </w:tcPr>
          <w:p w14:paraId="3F86ED64" w14:textId="6DFC8B68" w:rsidR="002F0705" w:rsidRPr="00693FA6" w:rsidRDefault="002F0705" w:rsidP="002F0705">
            <w:r>
              <w:t>0.273</w:t>
            </w:r>
          </w:p>
        </w:tc>
        <w:tc>
          <w:tcPr>
            <w:tcW w:w="600" w:type="dxa"/>
            <w:hideMark/>
          </w:tcPr>
          <w:p w14:paraId="364DFA08" w14:textId="360DD41F" w:rsidR="002F0705" w:rsidRPr="00693FA6" w:rsidRDefault="002F0705" w:rsidP="002F0705">
            <w:r>
              <w:t>0.91</w:t>
            </w:r>
          </w:p>
        </w:tc>
        <w:tc>
          <w:tcPr>
            <w:tcW w:w="1140" w:type="dxa"/>
            <w:hideMark/>
          </w:tcPr>
          <w:p w14:paraId="687DE38A" w14:textId="5AEA7686" w:rsidR="002F0705" w:rsidRPr="00693FA6" w:rsidRDefault="002F0705" w:rsidP="002F0705">
            <w:r>
              <w:t>0.78 – 1.07</w:t>
            </w:r>
          </w:p>
        </w:tc>
        <w:tc>
          <w:tcPr>
            <w:tcW w:w="780" w:type="dxa"/>
            <w:hideMark/>
          </w:tcPr>
          <w:p w14:paraId="408F0EC8" w14:textId="5E74BDED" w:rsidR="002F0705" w:rsidRPr="00693FA6" w:rsidRDefault="002F0705" w:rsidP="002F0705">
            <w:r>
              <w:t>0.256</w:t>
            </w:r>
          </w:p>
        </w:tc>
        <w:tc>
          <w:tcPr>
            <w:tcW w:w="600" w:type="dxa"/>
            <w:hideMark/>
          </w:tcPr>
          <w:p w14:paraId="4B36ECD7" w14:textId="09374F08" w:rsidR="002F0705" w:rsidRPr="00693FA6" w:rsidRDefault="002F0705" w:rsidP="002F0705">
            <w:r>
              <w:t>0.91</w:t>
            </w:r>
          </w:p>
        </w:tc>
        <w:tc>
          <w:tcPr>
            <w:tcW w:w="1140" w:type="dxa"/>
            <w:hideMark/>
          </w:tcPr>
          <w:p w14:paraId="1528DA50" w14:textId="017C5CBE" w:rsidR="002F0705" w:rsidRPr="00693FA6" w:rsidRDefault="002F0705" w:rsidP="002F0705">
            <w:r>
              <w:t>0.78 – 1.07</w:t>
            </w:r>
          </w:p>
        </w:tc>
        <w:tc>
          <w:tcPr>
            <w:tcW w:w="855" w:type="dxa"/>
            <w:hideMark/>
          </w:tcPr>
          <w:p w14:paraId="5B4BD93F" w14:textId="363E2061" w:rsidR="002F0705" w:rsidRPr="00693FA6" w:rsidRDefault="002F0705" w:rsidP="002F0705">
            <w:r>
              <w:t>0.258</w:t>
            </w:r>
          </w:p>
        </w:tc>
      </w:tr>
      <w:tr w:rsidR="002F0705" w:rsidRPr="00693FA6" w14:paraId="4BE7AF61" w14:textId="77777777" w:rsidTr="0084054F">
        <w:trPr>
          <w:tblCellSpacing w:w="15" w:type="dxa"/>
        </w:trPr>
        <w:tc>
          <w:tcPr>
            <w:tcW w:w="2650" w:type="dxa"/>
            <w:vAlign w:val="center"/>
            <w:hideMark/>
          </w:tcPr>
          <w:p w14:paraId="578402C8" w14:textId="77777777" w:rsidR="002F0705" w:rsidRPr="00693FA6" w:rsidRDefault="002F0705" w:rsidP="002F0705">
            <w:r w:rsidRPr="00693FA6">
              <w:t>Specialty [Medical]</w:t>
            </w:r>
          </w:p>
        </w:tc>
        <w:tc>
          <w:tcPr>
            <w:tcW w:w="600" w:type="dxa"/>
            <w:hideMark/>
          </w:tcPr>
          <w:p w14:paraId="7E6B9F26" w14:textId="2723EE32" w:rsidR="002F0705" w:rsidRPr="00693FA6" w:rsidRDefault="002F0705" w:rsidP="002F0705">
            <w:r>
              <w:t>0.45</w:t>
            </w:r>
          </w:p>
        </w:tc>
        <w:tc>
          <w:tcPr>
            <w:tcW w:w="1140" w:type="dxa"/>
            <w:hideMark/>
          </w:tcPr>
          <w:p w14:paraId="01C5759C" w14:textId="4539E9EA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0.39 – 0.51</w:t>
            </w:r>
          </w:p>
        </w:tc>
        <w:tc>
          <w:tcPr>
            <w:tcW w:w="780" w:type="dxa"/>
            <w:hideMark/>
          </w:tcPr>
          <w:p w14:paraId="0F3D9E71" w14:textId="0938FBBE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49F41471" w14:textId="2A6F6640" w:rsidR="002F0705" w:rsidRPr="00693FA6" w:rsidRDefault="002F0705" w:rsidP="002F0705">
            <w:r>
              <w:t>0.45</w:t>
            </w:r>
          </w:p>
        </w:tc>
        <w:tc>
          <w:tcPr>
            <w:tcW w:w="1140" w:type="dxa"/>
            <w:hideMark/>
          </w:tcPr>
          <w:p w14:paraId="33C11728" w14:textId="6E52A317" w:rsidR="002F0705" w:rsidRPr="00693FA6" w:rsidRDefault="002F0705" w:rsidP="002F0705">
            <w:r>
              <w:t>0.39 – 0.51</w:t>
            </w:r>
          </w:p>
        </w:tc>
        <w:tc>
          <w:tcPr>
            <w:tcW w:w="780" w:type="dxa"/>
            <w:hideMark/>
          </w:tcPr>
          <w:p w14:paraId="11A226C9" w14:textId="1B38B30D" w:rsidR="002F0705" w:rsidRPr="00693FA6" w:rsidRDefault="002F0705" w:rsidP="002F0705"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14B6AAEA" w14:textId="67E6AA78" w:rsidR="002F0705" w:rsidRPr="00693FA6" w:rsidRDefault="002F0705" w:rsidP="002F0705">
            <w:r>
              <w:t>0.45</w:t>
            </w:r>
          </w:p>
        </w:tc>
        <w:tc>
          <w:tcPr>
            <w:tcW w:w="1140" w:type="dxa"/>
            <w:hideMark/>
          </w:tcPr>
          <w:p w14:paraId="3EC787D5" w14:textId="414F6F2F" w:rsidR="002F0705" w:rsidRPr="00693FA6" w:rsidRDefault="002F0705" w:rsidP="002F0705">
            <w:r>
              <w:t>0.39 – 0.51</w:t>
            </w:r>
          </w:p>
        </w:tc>
        <w:tc>
          <w:tcPr>
            <w:tcW w:w="780" w:type="dxa"/>
            <w:hideMark/>
          </w:tcPr>
          <w:p w14:paraId="07B2D265" w14:textId="200EFAA7" w:rsidR="002F0705" w:rsidRPr="00693FA6" w:rsidRDefault="002F0705" w:rsidP="002F0705"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723E2243" w14:textId="5201F5C0" w:rsidR="002F0705" w:rsidRPr="00693FA6" w:rsidRDefault="002F0705" w:rsidP="002F0705">
            <w:r>
              <w:t>0.45</w:t>
            </w:r>
          </w:p>
        </w:tc>
        <w:tc>
          <w:tcPr>
            <w:tcW w:w="1140" w:type="dxa"/>
            <w:hideMark/>
          </w:tcPr>
          <w:p w14:paraId="54B55FAC" w14:textId="48660598" w:rsidR="002F0705" w:rsidRPr="00693FA6" w:rsidRDefault="002F0705" w:rsidP="002F0705">
            <w:r>
              <w:t>0.39 – 0.51</w:t>
            </w:r>
          </w:p>
        </w:tc>
        <w:tc>
          <w:tcPr>
            <w:tcW w:w="780" w:type="dxa"/>
            <w:hideMark/>
          </w:tcPr>
          <w:p w14:paraId="4D2422B9" w14:textId="271BAAD4" w:rsidR="002F0705" w:rsidRPr="00693FA6" w:rsidRDefault="002F0705" w:rsidP="002F0705"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7E54F9DB" w14:textId="0DECA772" w:rsidR="002F0705" w:rsidRPr="00693FA6" w:rsidRDefault="002F0705" w:rsidP="002F0705">
            <w:r>
              <w:t>0.45</w:t>
            </w:r>
          </w:p>
        </w:tc>
        <w:tc>
          <w:tcPr>
            <w:tcW w:w="1140" w:type="dxa"/>
            <w:hideMark/>
          </w:tcPr>
          <w:p w14:paraId="1D0240EB" w14:textId="20323ED9" w:rsidR="002F0705" w:rsidRPr="00693FA6" w:rsidRDefault="002F0705" w:rsidP="002F0705">
            <w:r>
              <w:t>0.39 – 0.51</w:t>
            </w:r>
          </w:p>
        </w:tc>
        <w:tc>
          <w:tcPr>
            <w:tcW w:w="855" w:type="dxa"/>
            <w:hideMark/>
          </w:tcPr>
          <w:p w14:paraId="7A8142AC" w14:textId="52C0E65A" w:rsidR="002F0705" w:rsidRPr="00693FA6" w:rsidRDefault="002F0705" w:rsidP="002F0705">
            <w:r>
              <w:rPr>
                <w:rStyle w:val="Strong"/>
                <w:rFonts w:eastAsiaTheme="majorEastAsia"/>
              </w:rPr>
              <w:t>&lt;0.001</w:t>
            </w:r>
          </w:p>
        </w:tc>
      </w:tr>
      <w:tr w:rsidR="002F0705" w:rsidRPr="00693FA6" w14:paraId="63A7059A" w14:textId="77777777" w:rsidTr="0084054F">
        <w:trPr>
          <w:tblCellSpacing w:w="15" w:type="dxa"/>
        </w:trPr>
        <w:tc>
          <w:tcPr>
            <w:tcW w:w="2650" w:type="dxa"/>
            <w:vAlign w:val="center"/>
            <w:hideMark/>
          </w:tcPr>
          <w:p w14:paraId="123FEF7D" w14:textId="77777777" w:rsidR="002F0705" w:rsidRPr="00693FA6" w:rsidRDefault="002F0705" w:rsidP="002F0705">
            <w:r w:rsidRPr="00693FA6">
              <w:t>Specialty [Others]</w:t>
            </w:r>
          </w:p>
        </w:tc>
        <w:tc>
          <w:tcPr>
            <w:tcW w:w="600" w:type="dxa"/>
            <w:hideMark/>
          </w:tcPr>
          <w:p w14:paraId="39D33A52" w14:textId="1616BEC1" w:rsidR="002F0705" w:rsidRPr="00693FA6" w:rsidRDefault="002F0705" w:rsidP="002F0705">
            <w:r>
              <w:t>0.88</w:t>
            </w:r>
          </w:p>
        </w:tc>
        <w:tc>
          <w:tcPr>
            <w:tcW w:w="1140" w:type="dxa"/>
            <w:hideMark/>
          </w:tcPr>
          <w:p w14:paraId="77712032" w14:textId="0A56AB08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0.77 – 1.00</w:t>
            </w:r>
          </w:p>
        </w:tc>
        <w:tc>
          <w:tcPr>
            <w:tcW w:w="780" w:type="dxa"/>
            <w:hideMark/>
          </w:tcPr>
          <w:p w14:paraId="49ED1826" w14:textId="2FD94F4B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rPr>
                <w:rStyle w:val="Strong"/>
                <w:rFonts w:eastAsiaTheme="majorEastAsia"/>
              </w:rPr>
              <w:t>0.043</w:t>
            </w:r>
          </w:p>
        </w:tc>
        <w:tc>
          <w:tcPr>
            <w:tcW w:w="600" w:type="dxa"/>
            <w:hideMark/>
          </w:tcPr>
          <w:p w14:paraId="27C4388E" w14:textId="745E0B81" w:rsidR="002F0705" w:rsidRPr="00693FA6" w:rsidRDefault="002F0705" w:rsidP="002F0705">
            <w:r>
              <w:t>0.88</w:t>
            </w:r>
          </w:p>
        </w:tc>
        <w:tc>
          <w:tcPr>
            <w:tcW w:w="1140" w:type="dxa"/>
            <w:hideMark/>
          </w:tcPr>
          <w:p w14:paraId="2DBA75C1" w14:textId="3FF52971" w:rsidR="002F0705" w:rsidRPr="00693FA6" w:rsidRDefault="002F0705" w:rsidP="002F0705">
            <w:r>
              <w:t>0.77 – 1.00</w:t>
            </w:r>
          </w:p>
        </w:tc>
        <w:tc>
          <w:tcPr>
            <w:tcW w:w="780" w:type="dxa"/>
            <w:hideMark/>
          </w:tcPr>
          <w:p w14:paraId="6544429B" w14:textId="2F1C6DDF" w:rsidR="002F0705" w:rsidRPr="00693FA6" w:rsidRDefault="002F0705" w:rsidP="002F0705">
            <w:r>
              <w:rPr>
                <w:rStyle w:val="Strong"/>
                <w:rFonts w:eastAsiaTheme="majorEastAsia"/>
              </w:rPr>
              <w:t>0.043</w:t>
            </w:r>
          </w:p>
        </w:tc>
        <w:tc>
          <w:tcPr>
            <w:tcW w:w="600" w:type="dxa"/>
            <w:hideMark/>
          </w:tcPr>
          <w:p w14:paraId="06BC17D1" w14:textId="23DC3D05" w:rsidR="002F0705" w:rsidRPr="00693FA6" w:rsidRDefault="002F0705" w:rsidP="002F0705">
            <w:r>
              <w:t>0.88</w:t>
            </w:r>
          </w:p>
        </w:tc>
        <w:tc>
          <w:tcPr>
            <w:tcW w:w="1140" w:type="dxa"/>
            <w:hideMark/>
          </w:tcPr>
          <w:p w14:paraId="78EA68CA" w14:textId="3343AC6F" w:rsidR="002F0705" w:rsidRPr="00693FA6" w:rsidRDefault="002F0705" w:rsidP="002F0705">
            <w:r>
              <w:t>0.77 – 1.00</w:t>
            </w:r>
          </w:p>
        </w:tc>
        <w:tc>
          <w:tcPr>
            <w:tcW w:w="780" w:type="dxa"/>
            <w:hideMark/>
          </w:tcPr>
          <w:p w14:paraId="53C3129B" w14:textId="5F0FF7C6" w:rsidR="002F0705" w:rsidRPr="00693FA6" w:rsidRDefault="002F0705" w:rsidP="002F0705">
            <w:r>
              <w:rPr>
                <w:rStyle w:val="Strong"/>
                <w:rFonts w:eastAsiaTheme="majorEastAsia"/>
              </w:rPr>
              <w:t>0.043</w:t>
            </w:r>
          </w:p>
        </w:tc>
        <w:tc>
          <w:tcPr>
            <w:tcW w:w="600" w:type="dxa"/>
            <w:hideMark/>
          </w:tcPr>
          <w:p w14:paraId="7DAD9CA5" w14:textId="0143FFF7" w:rsidR="002F0705" w:rsidRPr="00693FA6" w:rsidRDefault="002F0705" w:rsidP="002F0705">
            <w:r>
              <w:t>0.87</w:t>
            </w:r>
          </w:p>
        </w:tc>
        <w:tc>
          <w:tcPr>
            <w:tcW w:w="1140" w:type="dxa"/>
            <w:hideMark/>
          </w:tcPr>
          <w:p w14:paraId="085F6C11" w14:textId="4DF4E2F1" w:rsidR="002F0705" w:rsidRPr="00693FA6" w:rsidRDefault="002F0705" w:rsidP="002F0705">
            <w:r>
              <w:t>0.77 – 1.00</w:t>
            </w:r>
          </w:p>
        </w:tc>
        <w:tc>
          <w:tcPr>
            <w:tcW w:w="780" w:type="dxa"/>
            <w:hideMark/>
          </w:tcPr>
          <w:p w14:paraId="4FC1810C" w14:textId="60D57245" w:rsidR="002F0705" w:rsidRPr="00693FA6" w:rsidRDefault="002F0705" w:rsidP="002F0705">
            <w:r>
              <w:rPr>
                <w:rStyle w:val="Strong"/>
                <w:rFonts w:eastAsiaTheme="majorEastAsia"/>
              </w:rPr>
              <w:t>0.042</w:t>
            </w:r>
          </w:p>
        </w:tc>
        <w:tc>
          <w:tcPr>
            <w:tcW w:w="600" w:type="dxa"/>
            <w:hideMark/>
          </w:tcPr>
          <w:p w14:paraId="4D807E07" w14:textId="1167E655" w:rsidR="002F0705" w:rsidRPr="00693FA6" w:rsidRDefault="002F0705" w:rsidP="002F0705">
            <w:r>
              <w:t>0.87</w:t>
            </w:r>
          </w:p>
        </w:tc>
        <w:tc>
          <w:tcPr>
            <w:tcW w:w="1140" w:type="dxa"/>
            <w:hideMark/>
          </w:tcPr>
          <w:p w14:paraId="556FB61F" w14:textId="33B5B698" w:rsidR="002F0705" w:rsidRPr="00693FA6" w:rsidRDefault="002F0705" w:rsidP="002F0705">
            <w:r>
              <w:t>0.77 – 0.99</w:t>
            </w:r>
          </w:p>
        </w:tc>
        <w:tc>
          <w:tcPr>
            <w:tcW w:w="855" w:type="dxa"/>
            <w:hideMark/>
          </w:tcPr>
          <w:p w14:paraId="39AAAC76" w14:textId="495B51DE" w:rsidR="002F0705" w:rsidRPr="00693FA6" w:rsidRDefault="002F0705" w:rsidP="002F0705">
            <w:r>
              <w:rPr>
                <w:rStyle w:val="Strong"/>
                <w:rFonts w:eastAsiaTheme="majorEastAsia"/>
              </w:rPr>
              <w:t>0.041</w:t>
            </w:r>
          </w:p>
        </w:tc>
      </w:tr>
      <w:tr w:rsidR="002F0705" w:rsidRPr="00693FA6" w14:paraId="23B27A55" w14:textId="77777777" w:rsidTr="0084054F">
        <w:trPr>
          <w:tblCellSpacing w:w="15" w:type="dxa"/>
        </w:trPr>
        <w:tc>
          <w:tcPr>
            <w:tcW w:w="2650" w:type="dxa"/>
            <w:vAlign w:val="center"/>
            <w:hideMark/>
          </w:tcPr>
          <w:p w14:paraId="198EE3E0" w14:textId="77777777" w:rsidR="002F0705" w:rsidRPr="00693FA6" w:rsidRDefault="002F0705" w:rsidP="002F0705">
            <w:r w:rsidRPr="00693FA6">
              <w:t>Specialty [Pulmonary]</w:t>
            </w:r>
          </w:p>
        </w:tc>
        <w:tc>
          <w:tcPr>
            <w:tcW w:w="600" w:type="dxa"/>
            <w:hideMark/>
          </w:tcPr>
          <w:p w14:paraId="19C8D6AD" w14:textId="77CAC3F2" w:rsidR="002F0705" w:rsidRPr="00693FA6" w:rsidRDefault="002F0705" w:rsidP="002F0705">
            <w:r>
              <w:t>0.42</w:t>
            </w:r>
          </w:p>
        </w:tc>
        <w:tc>
          <w:tcPr>
            <w:tcW w:w="1140" w:type="dxa"/>
            <w:hideMark/>
          </w:tcPr>
          <w:p w14:paraId="48E07D91" w14:textId="09DCF834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0.35 – 0.49</w:t>
            </w:r>
          </w:p>
        </w:tc>
        <w:tc>
          <w:tcPr>
            <w:tcW w:w="780" w:type="dxa"/>
            <w:hideMark/>
          </w:tcPr>
          <w:p w14:paraId="673E11E5" w14:textId="65110EBE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53415F73" w14:textId="0166DD52" w:rsidR="002F0705" w:rsidRPr="00693FA6" w:rsidRDefault="002F0705" w:rsidP="002F0705">
            <w:r>
              <w:t>0.42</w:t>
            </w:r>
          </w:p>
        </w:tc>
        <w:tc>
          <w:tcPr>
            <w:tcW w:w="1140" w:type="dxa"/>
            <w:hideMark/>
          </w:tcPr>
          <w:p w14:paraId="0DF78FC7" w14:textId="15D679B1" w:rsidR="002F0705" w:rsidRPr="00693FA6" w:rsidRDefault="002F0705" w:rsidP="002F0705">
            <w:r>
              <w:t>0.35 – 0.49</w:t>
            </w:r>
          </w:p>
        </w:tc>
        <w:tc>
          <w:tcPr>
            <w:tcW w:w="780" w:type="dxa"/>
            <w:hideMark/>
          </w:tcPr>
          <w:p w14:paraId="6D538654" w14:textId="0EB9F88C" w:rsidR="002F0705" w:rsidRPr="00693FA6" w:rsidRDefault="002F0705" w:rsidP="002F0705"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385537D5" w14:textId="59290FB7" w:rsidR="002F0705" w:rsidRPr="00693FA6" w:rsidRDefault="002F0705" w:rsidP="002F0705">
            <w:r>
              <w:t>0.42</w:t>
            </w:r>
          </w:p>
        </w:tc>
        <w:tc>
          <w:tcPr>
            <w:tcW w:w="1140" w:type="dxa"/>
            <w:hideMark/>
          </w:tcPr>
          <w:p w14:paraId="384BAED6" w14:textId="79034734" w:rsidR="002F0705" w:rsidRPr="00693FA6" w:rsidRDefault="002F0705" w:rsidP="002F0705">
            <w:r>
              <w:t>0.35 – 0.49</w:t>
            </w:r>
          </w:p>
        </w:tc>
        <w:tc>
          <w:tcPr>
            <w:tcW w:w="780" w:type="dxa"/>
            <w:hideMark/>
          </w:tcPr>
          <w:p w14:paraId="4A7F1405" w14:textId="6E22DAE2" w:rsidR="002F0705" w:rsidRPr="00693FA6" w:rsidRDefault="002F0705" w:rsidP="002F0705"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082FDA36" w14:textId="46A51D39" w:rsidR="002F0705" w:rsidRPr="00693FA6" w:rsidRDefault="002F0705" w:rsidP="002F0705">
            <w:r>
              <w:t>0.42</w:t>
            </w:r>
          </w:p>
        </w:tc>
        <w:tc>
          <w:tcPr>
            <w:tcW w:w="1140" w:type="dxa"/>
            <w:hideMark/>
          </w:tcPr>
          <w:p w14:paraId="2ED30DA7" w14:textId="2080FD63" w:rsidR="002F0705" w:rsidRPr="00693FA6" w:rsidRDefault="002F0705" w:rsidP="002F0705">
            <w:r>
              <w:t>0.36 – 0.49</w:t>
            </w:r>
          </w:p>
        </w:tc>
        <w:tc>
          <w:tcPr>
            <w:tcW w:w="780" w:type="dxa"/>
            <w:hideMark/>
          </w:tcPr>
          <w:p w14:paraId="71BF96CF" w14:textId="0EC8FC1D" w:rsidR="002F0705" w:rsidRPr="00693FA6" w:rsidRDefault="002F0705" w:rsidP="002F0705"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5E09668D" w14:textId="790326B7" w:rsidR="002F0705" w:rsidRPr="00693FA6" w:rsidRDefault="002F0705" w:rsidP="002F0705">
            <w:r>
              <w:t>0.42</w:t>
            </w:r>
          </w:p>
        </w:tc>
        <w:tc>
          <w:tcPr>
            <w:tcW w:w="1140" w:type="dxa"/>
            <w:hideMark/>
          </w:tcPr>
          <w:p w14:paraId="29B02A08" w14:textId="2AE36C0C" w:rsidR="002F0705" w:rsidRPr="00693FA6" w:rsidRDefault="002F0705" w:rsidP="002F0705">
            <w:r>
              <w:t>0.35 – 0.49</w:t>
            </w:r>
          </w:p>
        </w:tc>
        <w:tc>
          <w:tcPr>
            <w:tcW w:w="855" w:type="dxa"/>
            <w:hideMark/>
          </w:tcPr>
          <w:p w14:paraId="66494394" w14:textId="419EC3FC" w:rsidR="002F0705" w:rsidRPr="00693FA6" w:rsidRDefault="002F0705" w:rsidP="002F0705">
            <w:r>
              <w:rPr>
                <w:rStyle w:val="Strong"/>
                <w:rFonts w:eastAsiaTheme="majorEastAsia"/>
              </w:rPr>
              <w:t>&lt;0.001</w:t>
            </w:r>
          </w:p>
        </w:tc>
      </w:tr>
      <w:tr w:rsidR="002F0705" w:rsidRPr="00693FA6" w14:paraId="1775B612" w14:textId="77777777" w:rsidTr="0084054F">
        <w:trPr>
          <w:tblCellSpacing w:w="15" w:type="dxa"/>
        </w:trPr>
        <w:tc>
          <w:tcPr>
            <w:tcW w:w="2650" w:type="dxa"/>
            <w:vAlign w:val="center"/>
            <w:hideMark/>
          </w:tcPr>
          <w:p w14:paraId="110BC222" w14:textId="77777777" w:rsidR="002F0705" w:rsidRPr="00693FA6" w:rsidRDefault="002F0705" w:rsidP="002F0705">
            <w:r w:rsidRPr="00693FA6">
              <w:t>Specialty [Urology]</w:t>
            </w:r>
          </w:p>
        </w:tc>
        <w:tc>
          <w:tcPr>
            <w:tcW w:w="600" w:type="dxa"/>
            <w:hideMark/>
          </w:tcPr>
          <w:p w14:paraId="0B234F1F" w14:textId="54A4A27E" w:rsidR="002F0705" w:rsidRPr="00693FA6" w:rsidRDefault="002F0705" w:rsidP="002F0705">
            <w:r>
              <w:t>0.76</w:t>
            </w:r>
          </w:p>
        </w:tc>
        <w:tc>
          <w:tcPr>
            <w:tcW w:w="1140" w:type="dxa"/>
            <w:hideMark/>
          </w:tcPr>
          <w:p w14:paraId="649F17A6" w14:textId="096A43CC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0.66 – 0.88</w:t>
            </w:r>
          </w:p>
        </w:tc>
        <w:tc>
          <w:tcPr>
            <w:tcW w:w="780" w:type="dxa"/>
            <w:hideMark/>
          </w:tcPr>
          <w:p w14:paraId="465B2EC5" w14:textId="3D1B5FDA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331E11E3" w14:textId="4BC560A6" w:rsidR="002F0705" w:rsidRPr="00693FA6" w:rsidRDefault="002F0705" w:rsidP="002F0705">
            <w:r>
              <w:t>0.76</w:t>
            </w:r>
          </w:p>
        </w:tc>
        <w:tc>
          <w:tcPr>
            <w:tcW w:w="1140" w:type="dxa"/>
            <w:hideMark/>
          </w:tcPr>
          <w:p w14:paraId="23A0EE89" w14:textId="69633648" w:rsidR="002F0705" w:rsidRPr="00693FA6" w:rsidRDefault="002F0705" w:rsidP="002F0705">
            <w:r>
              <w:t>0.66 – 0.88</w:t>
            </w:r>
          </w:p>
        </w:tc>
        <w:tc>
          <w:tcPr>
            <w:tcW w:w="780" w:type="dxa"/>
            <w:hideMark/>
          </w:tcPr>
          <w:p w14:paraId="6FEBB2AB" w14:textId="3EDB0CFF" w:rsidR="002F0705" w:rsidRPr="00693FA6" w:rsidRDefault="002F0705" w:rsidP="002F0705"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40322D1A" w14:textId="15B3A3B4" w:rsidR="002F0705" w:rsidRPr="00693FA6" w:rsidRDefault="002F0705" w:rsidP="002F0705">
            <w:r>
              <w:t>0.76</w:t>
            </w:r>
          </w:p>
        </w:tc>
        <w:tc>
          <w:tcPr>
            <w:tcW w:w="1140" w:type="dxa"/>
            <w:hideMark/>
          </w:tcPr>
          <w:p w14:paraId="5FF91656" w14:textId="24A9747E" w:rsidR="002F0705" w:rsidRPr="00693FA6" w:rsidRDefault="002F0705" w:rsidP="002F0705">
            <w:r>
              <w:t>0.66 – 0.88</w:t>
            </w:r>
          </w:p>
        </w:tc>
        <w:tc>
          <w:tcPr>
            <w:tcW w:w="780" w:type="dxa"/>
            <w:hideMark/>
          </w:tcPr>
          <w:p w14:paraId="71DABD8D" w14:textId="177445DF" w:rsidR="002F0705" w:rsidRPr="00693FA6" w:rsidRDefault="002F0705" w:rsidP="002F0705"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6FA6C208" w14:textId="0F9B1F91" w:rsidR="002F0705" w:rsidRPr="00693FA6" w:rsidRDefault="002F0705" w:rsidP="002F0705">
            <w:r>
              <w:t>0.76</w:t>
            </w:r>
          </w:p>
        </w:tc>
        <w:tc>
          <w:tcPr>
            <w:tcW w:w="1140" w:type="dxa"/>
            <w:hideMark/>
          </w:tcPr>
          <w:p w14:paraId="6B6E97D4" w14:textId="7DCD11D9" w:rsidR="002F0705" w:rsidRPr="00693FA6" w:rsidRDefault="002F0705" w:rsidP="002F0705">
            <w:r>
              <w:t>0.66 – 0.88</w:t>
            </w:r>
          </w:p>
        </w:tc>
        <w:tc>
          <w:tcPr>
            <w:tcW w:w="780" w:type="dxa"/>
            <w:hideMark/>
          </w:tcPr>
          <w:p w14:paraId="0CC381A7" w14:textId="186BC36E" w:rsidR="002F0705" w:rsidRPr="00693FA6" w:rsidRDefault="002F0705" w:rsidP="002F0705"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43518ADB" w14:textId="057DC33F" w:rsidR="002F0705" w:rsidRPr="00693FA6" w:rsidRDefault="002F0705" w:rsidP="002F0705">
            <w:r>
              <w:t>0.76</w:t>
            </w:r>
          </w:p>
        </w:tc>
        <w:tc>
          <w:tcPr>
            <w:tcW w:w="1140" w:type="dxa"/>
            <w:hideMark/>
          </w:tcPr>
          <w:p w14:paraId="2A48CD53" w14:textId="621EA5DA" w:rsidR="002F0705" w:rsidRPr="00693FA6" w:rsidRDefault="002F0705" w:rsidP="002F0705">
            <w:r>
              <w:t>0.66 – 0.88</w:t>
            </w:r>
          </w:p>
        </w:tc>
        <w:tc>
          <w:tcPr>
            <w:tcW w:w="855" w:type="dxa"/>
            <w:hideMark/>
          </w:tcPr>
          <w:p w14:paraId="45F9B3DB" w14:textId="023E7D0C" w:rsidR="002F0705" w:rsidRPr="00693FA6" w:rsidRDefault="002F0705" w:rsidP="002F0705">
            <w:r>
              <w:rPr>
                <w:rStyle w:val="Strong"/>
                <w:rFonts w:eastAsiaTheme="majorEastAsia"/>
              </w:rPr>
              <w:t>&lt;0.001</w:t>
            </w:r>
          </w:p>
        </w:tc>
      </w:tr>
      <w:tr w:rsidR="002F0705" w:rsidRPr="00693FA6" w14:paraId="2DE91936" w14:textId="77777777" w:rsidTr="0084054F">
        <w:trPr>
          <w:tblCellSpacing w:w="15" w:type="dxa"/>
        </w:trPr>
        <w:tc>
          <w:tcPr>
            <w:tcW w:w="2650" w:type="dxa"/>
            <w:vAlign w:val="center"/>
            <w:hideMark/>
          </w:tcPr>
          <w:p w14:paraId="19D69E64" w14:textId="77777777" w:rsidR="002F0705" w:rsidRPr="00693FA6" w:rsidRDefault="002F0705" w:rsidP="002F0705">
            <w:r w:rsidRPr="00693FA6">
              <w:t>Age (years)</w:t>
            </w:r>
          </w:p>
        </w:tc>
        <w:tc>
          <w:tcPr>
            <w:tcW w:w="600" w:type="dxa"/>
            <w:hideMark/>
          </w:tcPr>
          <w:p w14:paraId="5987319A" w14:textId="6EA2724D" w:rsidR="002F0705" w:rsidRPr="00693FA6" w:rsidRDefault="002F0705" w:rsidP="002F0705">
            <w:r>
              <w:t>1.09</w:t>
            </w:r>
          </w:p>
        </w:tc>
        <w:tc>
          <w:tcPr>
            <w:tcW w:w="1140" w:type="dxa"/>
            <w:hideMark/>
          </w:tcPr>
          <w:p w14:paraId="3286C187" w14:textId="6ECDCF82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1.08 – 1.11</w:t>
            </w:r>
          </w:p>
        </w:tc>
        <w:tc>
          <w:tcPr>
            <w:tcW w:w="780" w:type="dxa"/>
            <w:hideMark/>
          </w:tcPr>
          <w:p w14:paraId="76BB370D" w14:textId="2A432789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073BD3DB" w14:textId="431E51A6" w:rsidR="002F0705" w:rsidRPr="00693FA6" w:rsidRDefault="002F0705" w:rsidP="002F0705">
            <w:r>
              <w:t>1.09</w:t>
            </w:r>
          </w:p>
        </w:tc>
        <w:tc>
          <w:tcPr>
            <w:tcW w:w="1140" w:type="dxa"/>
            <w:hideMark/>
          </w:tcPr>
          <w:p w14:paraId="1D3B1BDA" w14:textId="16CF332A" w:rsidR="002F0705" w:rsidRPr="00693FA6" w:rsidRDefault="002F0705" w:rsidP="002F0705">
            <w:r>
              <w:t>1.08 – 1.11</w:t>
            </w:r>
          </w:p>
        </w:tc>
        <w:tc>
          <w:tcPr>
            <w:tcW w:w="780" w:type="dxa"/>
            <w:hideMark/>
          </w:tcPr>
          <w:p w14:paraId="7FA842DF" w14:textId="3477A82C" w:rsidR="002F0705" w:rsidRPr="00693FA6" w:rsidRDefault="002F0705" w:rsidP="002F0705"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751A6C8E" w14:textId="339EB51A" w:rsidR="002F0705" w:rsidRPr="00693FA6" w:rsidRDefault="002F0705" w:rsidP="002F0705">
            <w:r>
              <w:t>1.09</w:t>
            </w:r>
          </w:p>
        </w:tc>
        <w:tc>
          <w:tcPr>
            <w:tcW w:w="1140" w:type="dxa"/>
            <w:hideMark/>
          </w:tcPr>
          <w:p w14:paraId="11C3740E" w14:textId="2B4E3BFC" w:rsidR="002F0705" w:rsidRPr="00693FA6" w:rsidRDefault="002F0705" w:rsidP="002F0705">
            <w:r>
              <w:t>1.08 – 1.11</w:t>
            </w:r>
          </w:p>
        </w:tc>
        <w:tc>
          <w:tcPr>
            <w:tcW w:w="780" w:type="dxa"/>
            <w:hideMark/>
          </w:tcPr>
          <w:p w14:paraId="1248094B" w14:textId="45D0CEC2" w:rsidR="002F0705" w:rsidRPr="00693FA6" w:rsidRDefault="002F0705" w:rsidP="002F0705"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70992B4E" w14:textId="5EB0E018" w:rsidR="002F0705" w:rsidRPr="00693FA6" w:rsidRDefault="002F0705" w:rsidP="002F0705">
            <w:r>
              <w:t>1.09</w:t>
            </w:r>
          </w:p>
        </w:tc>
        <w:tc>
          <w:tcPr>
            <w:tcW w:w="1140" w:type="dxa"/>
            <w:hideMark/>
          </w:tcPr>
          <w:p w14:paraId="3F1F3DDB" w14:textId="72556671" w:rsidR="002F0705" w:rsidRPr="00693FA6" w:rsidRDefault="002F0705" w:rsidP="002F0705">
            <w:r>
              <w:t>1.08 – 1.11</w:t>
            </w:r>
          </w:p>
        </w:tc>
        <w:tc>
          <w:tcPr>
            <w:tcW w:w="780" w:type="dxa"/>
            <w:hideMark/>
          </w:tcPr>
          <w:p w14:paraId="2C94D167" w14:textId="5078479F" w:rsidR="002F0705" w:rsidRPr="00693FA6" w:rsidRDefault="002F0705" w:rsidP="002F0705"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643223E6" w14:textId="5C1C67D5" w:rsidR="002F0705" w:rsidRPr="00693FA6" w:rsidRDefault="002F0705" w:rsidP="002F0705">
            <w:r>
              <w:t>1.09</w:t>
            </w:r>
          </w:p>
        </w:tc>
        <w:tc>
          <w:tcPr>
            <w:tcW w:w="1140" w:type="dxa"/>
            <w:hideMark/>
          </w:tcPr>
          <w:p w14:paraId="72981355" w14:textId="45A92697" w:rsidR="002F0705" w:rsidRPr="00693FA6" w:rsidRDefault="002F0705" w:rsidP="002F0705">
            <w:r>
              <w:t>1.08 – 1.11</w:t>
            </w:r>
          </w:p>
        </w:tc>
        <w:tc>
          <w:tcPr>
            <w:tcW w:w="855" w:type="dxa"/>
            <w:hideMark/>
          </w:tcPr>
          <w:p w14:paraId="4F2A897B" w14:textId="275A0DF8" w:rsidR="002F0705" w:rsidRPr="00693FA6" w:rsidRDefault="002F0705" w:rsidP="002F0705">
            <w:r>
              <w:rPr>
                <w:rStyle w:val="Strong"/>
                <w:rFonts w:eastAsiaTheme="majorEastAsia"/>
              </w:rPr>
              <w:t>&lt;0.001</w:t>
            </w:r>
          </w:p>
        </w:tc>
      </w:tr>
      <w:tr w:rsidR="002F0705" w:rsidRPr="00693FA6" w14:paraId="71B33005" w14:textId="77777777" w:rsidTr="0084054F">
        <w:trPr>
          <w:tblCellSpacing w:w="15" w:type="dxa"/>
        </w:trPr>
        <w:tc>
          <w:tcPr>
            <w:tcW w:w="2650" w:type="dxa"/>
            <w:vAlign w:val="center"/>
            <w:hideMark/>
          </w:tcPr>
          <w:p w14:paraId="62790B2D" w14:textId="77777777" w:rsidR="002F0705" w:rsidRPr="00693FA6" w:rsidRDefault="002F0705" w:rsidP="002F0705">
            <w:r w:rsidRPr="00693FA6">
              <w:t>Risk score</w:t>
            </w:r>
          </w:p>
        </w:tc>
        <w:tc>
          <w:tcPr>
            <w:tcW w:w="600" w:type="dxa"/>
            <w:hideMark/>
          </w:tcPr>
          <w:p w14:paraId="58AEA007" w14:textId="46B8362B" w:rsidR="002F0705" w:rsidRPr="00693FA6" w:rsidRDefault="002F0705" w:rsidP="002F0705">
            <w:r>
              <w:t>1.00</w:t>
            </w:r>
          </w:p>
        </w:tc>
        <w:tc>
          <w:tcPr>
            <w:tcW w:w="1140" w:type="dxa"/>
            <w:hideMark/>
          </w:tcPr>
          <w:p w14:paraId="3E3E0ED9" w14:textId="1D95531F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0.99 – 1.02</w:t>
            </w:r>
          </w:p>
        </w:tc>
        <w:tc>
          <w:tcPr>
            <w:tcW w:w="780" w:type="dxa"/>
            <w:hideMark/>
          </w:tcPr>
          <w:p w14:paraId="6DCC80A8" w14:textId="6A95159D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0.585</w:t>
            </w:r>
          </w:p>
        </w:tc>
        <w:tc>
          <w:tcPr>
            <w:tcW w:w="600" w:type="dxa"/>
            <w:hideMark/>
          </w:tcPr>
          <w:p w14:paraId="5970A776" w14:textId="49C34E12" w:rsidR="002F0705" w:rsidRPr="00693FA6" w:rsidRDefault="002F0705" w:rsidP="002F0705">
            <w:r>
              <w:t>1.00</w:t>
            </w:r>
          </w:p>
        </w:tc>
        <w:tc>
          <w:tcPr>
            <w:tcW w:w="1140" w:type="dxa"/>
            <w:hideMark/>
          </w:tcPr>
          <w:p w14:paraId="51D55293" w14:textId="0BCDB109" w:rsidR="002F0705" w:rsidRPr="00693FA6" w:rsidRDefault="002F0705" w:rsidP="002F0705">
            <w:r>
              <w:t>0.99 – 1.02</w:t>
            </w:r>
          </w:p>
        </w:tc>
        <w:tc>
          <w:tcPr>
            <w:tcW w:w="780" w:type="dxa"/>
            <w:hideMark/>
          </w:tcPr>
          <w:p w14:paraId="7FCDC324" w14:textId="32DFD594" w:rsidR="002F0705" w:rsidRPr="00693FA6" w:rsidRDefault="002F0705" w:rsidP="002F0705">
            <w:r>
              <w:t>0.583</w:t>
            </w:r>
          </w:p>
        </w:tc>
        <w:tc>
          <w:tcPr>
            <w:tcW w:w="600" w:type="dxa"/>
            <w:hideMark/>
          </w:tcPr>
          <w:p w14:paraId="13C431F1" w14:textId="463A5BBD" w:rsidR="002F0705" w:rsidRPr="00693FA6" w:rsidRDefault="002F0705" w:rsidP="002F0705">
            <w:r>
              <w:t>1.00</w:t>
            </w:r>
          </w:p>
        </w:tc>
        <w:tc>
          <w:tcPr>
            <w:tcW w:w="1140" w:type="dxa"/>
            <w:hideMark/>
          </w:tcPr>
          <w:p w14:paraId="68BCB9BF" w14:textId="361B9276" w:rsidR="002F0705" w:rsidRPr="00693FA6" w:rsidRDefault="002F0705" w:rsidP="002F0705">
            <w:r>
              <w:t>0.99 – 1.02</w:t>
            </w:r>
          </w:p>
        </w:tc>
        <w:tc>
          <w:tcPr>
            <w:tcW w:w="780" w:type="dxa"/>
            <w:hideMark/>
          </w:tcPr>
          <w:p w14:paraId="2B2ED45E" w14:textId="42ADF21D" w:rsidR="002F0705" w:rsidRPr="00693FA6" w:rsidRDefault="002F0705" w:rsidP="002F0705">
            <w:r>
              <w:t>0.579</w:t>
            </w:r>
          </w:p>
        </w:tc>
        <w:tc>
          <w:tcPr>
            <w:tcW w:w="600" w:type="dxa"/>
            <w:hideMark/>
          </w:tcPr>
          <w:p w14:paraId="3E95D6EA" w14:textId="53790FBC" w:rsidR="002F0705" w:rsidRPr="00693FA6" w:rsidRDefault="002F0705" w:rsidP="002F0705">
            <w:r>
              <w:t>1.00</w:t>
            </w:r>
          </w:p>
        </w:tc>
        <w:tc>
          <w:tcPr>
            <w:tcW w:w="1140" w:type="dxa"/>
            <w:hideMark/>
          </w:tcPr>
          <w:p w14:paraId="1562B4C3" w14:textId="2B1F83D6" w:rsidR="002F0705" w:rsidRPr="00693FA6" w:rsidRDefault="002F0705" w:rsidP="002F0705">
            <w:r>
              <w:t>0.99 – 1.02</w:t>
            </w:r>
          </w:p>
        </w:tc>
        <w:tc>
          <w:tcPr>
            <w:tcW w:w="780" w:type="dxa"/>
            <w:hideMark/>
          </w:tcPr>
          <w:p w14:paraId="06BD69F2" w14:textId="0010B3B9" w:rsidR="002F0705" w:rsidRPr="00693FA6" w:rsidRDefault="002F0705" w:rsidP="002F0705">
            <w:r>
              <w:t>0.716</w:t>
            </w:r>
          </w:p>
        </w:tc>
        <w:tc>
          <w:tcPr>
            <w:tcW w:w="600" w:type="dxa"/>
            <w:hideMark/>
          </w:tcPr>
          <w:p w14:paraId="2B9618DF" w14:textId="646FF149" w:rsidR="002F0705" w:rsidRPr="00693FA6" w:rsidRDefault="002F0705" w:rsidP="002F0705">
            <w:r>
              <w:t>1.00</w:t>
            </w:r>
          </w:p>
        </w:tc>
        <w:tc>
          <w:tcPr>
            <w:tcW w:w="1140" w:type="dxa"/>
            <w:hideMark/>
          </w:tcPr>
          <w:p w14:paraId="3844E014" w14:textId="4B442DD1" w:rsidR="002F0705" w:rsidRPr="00693FA6" w:rsidRDefault="002F0705" w:rsidP="002F0705">
            <w:r>
              <w:t>0.99 – 1.02</w:t>
            </w:r>
          </w:p>
        </w:tc>
        <w:tc>
          <w:tcPr>
            <w:tcW w:w="855" w:type="dxa"/>
            <w:hideMark/>
          </w:tcPr>
          <w:p w14:paraId="45553A87" w14:textId="09FEDD61" w:rsidR="002F0705" w:rsidRPr="00693FA6" w:rsidRDefault="002F0705" w:rsidP="002F0705">
            <w:r>
              <w:t>0.710</w:t>
            </w:r>
          </w:p>
        </w:tc>
      </w:tr>
      <w:tr w:rsidR="002F0705" w:rsidRPr="00693FA6" w14:paraId="63B6F277" w14:textId="77777777" w:rsidTr="0084054F">
        <w:trPr>
          <w:tblCellSpacing w:w="15" w:type="dxa"/>
        </w:trPr>
        <w:tc>
          <w:tcPr>
            <w:tcW w:w="2650" w:type="dxa"/>
            <w:vAlign w:val="center"/>
            <w:hideMark/>
          </w:tcPr>
          <w:p w14:paraId="02462E00" w14:textId="77777777" w:rsidR="002F0705" w:rsidRPr="00693FA6" w:rsidRDefault="002F0705" w:rsidP="002F0705">
            <w:r w:rsidRPr="00693FA6">
              <w:t>Prop. Female in practice</w:t>
            </w:r>
          </w:p>
        </w:tc>
        <w:tc>
          <w:tcPr>
            <w:tcW w:w="600" w:type="dxa"/>
            <w:hideMark/>
          </w:tcPr>
          <w:p w14:paraId="595F64FB" w14:textId="6C91B0A2" w:rsidR="002F0705" w:rsidRPr="00693FA6" w:rsidRDefault="002F0705" w:rsidP="002F0705">
            <w:r>
              <w:t>0.90</w:t>
            </w:r>
          </w:p>
        </w:tc>
        <w:tc>
          <w:tcPr>
            <w:tcW w:w="1140" w:type="dxa"/>
            <w:hideMark/>
          </w:tcPr>
          <w:p w14:paraId="3BB1C6C1" w14:textId="1D1AE9F9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0.88 – 0.92</w:t>
            </w:r>
          </w:p>
        </w:tc>
        <w:tc>
          <w:tcPr>
            <w:tcW w:w="780" w:type="dxa"/>
            <w:hideMark/>
          </w:tcPr>
          <w:p w14:paraId="2E22B53A" w14:textId="7B71A246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048F471E" w14:textId="1BA3AF55" w:rsidR="002F0705" w:rsidRPr="00693FA6" w:rsidRDefault="002F0705" w:rsidP="002F0705">
            <w:r>
              <w:t>0.90</w:t>
            </w:r>
          </w:p>
        </w:tc>
        <w:tc>
          <w:tcPr>
            <w:tcW w:w="1140" w:type="dxa"/>
            <w:hideMark/>
          </w:tcPr>
          <w:p w14:paraId="07A80399" w14:textId="572B262B" w:rsidR="002F0705" w:rsidRPr="00693FA6" w:rsidRDefault="002F0705" w:rsidP="002F0705">
            <w:r>
              <w:t>0.88 – 0.92</w:t>
            </w:r>
          </w:p>
        </w:tc>
        <w:tc>
          <w:tcPr>
            <w:tcW w:w="780" w:type="dxa"/>
            <w:hideMark/>
          </w:tcPr>
          <w:p w14:paraId="539EB2D0" w14:textId="7653BCF7" w:rsidR="002F0705" w:rsidRPr="00693FA6" w:rsidRDefault="002F0705" w:rsidP="002F0705"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0A3EB22D" w14:textId="63EB7181" w:rsidR="002F0705" w:rsidRPr="00693FA6" w:rsidRDefault="002F0705" w:rsidP="002F0705">
            <w:r>
              <w:t>0.90</w:t>
            </w:r>
          </w:p>
        </w:tc>
        <w:tc>
          <w:tcPr>
            <w:tcW w:w="1140" w:type="dxa"/>
            <w:hideMark/>
          </w:tcPr>
          <w:p w14:paraId="22462F4F" w14:textId="541A415C" w:rsidR="002F0705" w:rsidRPr="00693FA6" w:rsidRDefault="002F0705" w:rsidP="002F0705">
            <w:r>
              <w:t>0.88 – 0.91</w:t>
            </w:r>
          </w:p>
        </w:tc>
        <w:tc>
          <w:tcPr>
            <w:tcW w:w="780" w:type="dxa"/>
            <w:hideMark/>
          </w:tcPr>
          <w:p w14:paraId="79919DB2" w14:textId="5444DCD8" w:rsidR="002F0705" w:rsidRPr="00693FA6" w:rsidRDefault="002F0705" w:rsidP="002F0705"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625BB81D" w14:textId="55E555C6" w:rsidR="002F0705" w:rsidRPr="00693FA6" w:rsidRDefault="002F0705" w:rsidP="002F0705">
            <w:r>
              <w:t>0.90</w:t>
            </w:r>
          </w:p>
        </w:tc>
        <w:tc>
          <w:tcPr>
            <w:tcW w:w="1140" w:type="dxa"/>
            <w:hideMark/>
          </w:tcPr>
          <w:p w14:paraId="73B31383" w14:textId="781C835A" w:rsidR="002F0705" w:rsidRPr="00693FA6" w:rsidRDefault="002F0705" w:rsidP="002F0705">
            <w:r>
              <w:t>0.88 – 0.91</w:t>
            </w:r>
          </w:p>
        </w:tc>
        <w:tc>
          <w:tcPr>
            <w:tcW w:w="780" w:type="dxa"/>
            <w:hideMark/>
          </w:tcPr>
          <w:p w14:paraId="380086C5" w14:textId="796A3AA5" w:rsidR="002F0705" w:rsidRPr="00693FA6" w:rsidRDefault="002F0705" w:rsidP="002F0705"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073F08EA" w14:textId="174388B6" w:rsidR="002F0705" w:rsidRPr="00693FA6" w:rsidRDefault="002F0705" w:rsidP="002F0705">
            <w:r>
              <w:t>0.90</w:t>
            </w:r>
          </w:p>
        </w:tc>
        <w:tc>
          <w:tcPr>
            <w:tcW w:w="1140" w:type="dxa"/>
            <w:hideMark/>
          </w:tcPr>
          <w:p w14:paraId="1845A837" w14:textId="7F68D1C0" w:rsidR="002F0705" w:rsidRPr="00693FA6" w:rsidRDefault="002F0705" w:rsidP="002F0705">
            <w:r>
              <w:t>0.88 – 0.91</w:t>
            </w:r>
          </w:p>
        </w:tc>
        <w:tc>
          <w:tcPr>
            <w:tcW w:w="855" w:type="dxa"/>
            <w:hideMark/>
          </w:tcPr>
          <w:p w14:paraId="43530A17" w14:textId="049FEA23" w:rsidR="002F0705" w:rsidRPr="00693FA6" w:rsidRDefault="002F0705" w:rsidP="002F0705">
            <w:r>
              <w:rPr>
                <w:rStyle w:val="Strong"/>
                <w:rFonts w:eastAsiaTheme="majorEastAsia"/>
              </w:rPr>
              <w:t>&lt;0.001</w:t>
            </w:r>
          </w:p>
        </w:tc>
      </w:tr>
      <w:tr w:rsidR="002F0705" w:rsidRPr="00693FA6" w14:paraId="11ACD5F3" w14:textId="77777777" w:rsidTr="0084054F">
        <w:trPr>
          <w:tblCellSpacing w:w="15" w:type="dxa"/>
        </w:trPr>
        <w:tc>
          <w:tcPr>
            <w:tcW w:w="2650" w:type="dxa"/>
            <w:vAlign w:val="center"/>
            <w:hideMark/>
          </w:tcPr>
          <w:p w14:paraId="7C809E76" w14:textId="77777777" w:rsidR="002F0705" w:rsidRPr="00693FA6" w:rsidRDefault="002F0705" w:rsidP="002F0705">
            <w:r w:rsidRPr="00693FA6">
              <w:t>Prop. Black in practice</w:t>
            </w:r>
          </w:p>
        </w:tc>
        <w:tc>
          <w:tcPr>
            <w:tcW w:w="600" w:type="dxa"/>
            <w:hideMark/>
          </w:tcPr>
          <w:p w14:paraId="6D4C0FE6" w14:textId="3F9DE2F9" w:rsidR="002F0705" w:rsidRPr="00693FA6" w:rsidRDefault="002F0705" w:rsidP="002F0705">
            <w:r>
              <w:t>1.04</w:t>
            </w:r>
          </w:p>
        </w:tc>
        <w:tc>
          <w:tcPr>
            <w:tcW w:w="1140" w:type="dxa"/>
            <w:hideMark/>
          </w:tcPr>
          <w:p w14:paraId="1A0ACE49" w14:textId="0C0B0F91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1.03 – 1.06</w:t>
            </w:r>
          </w:p>
        </w:tc>
        <w:tc>
          <w:tcPr>
            <w:tcW w:w="780" w:type="dxa"/>
            <w:hideMark/>
          </w:tcPr>
          <w:p w14:paraId="2B98975E" w14:textId="616E3510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17F3CA9E" w14:textId="1F52A30F" w:rsidR="002F0705" w:rsidRPr="00693FA6" w:rsidRDefault="002F0705" w:rsidP="002F0705">
            <w:r>
              <w:t>1.04</w:t>
            </w:r>
          </w:p>
        </w:tc>
        <w:tc>
          <w:tcPr>
            <w:tcW w:w="1140" w:type="dxa"/>
            <w:hideMark/>
          </w:tcPr>
          <w:p w14:paraId="7EB0BE3A" w14:textId="62F64A66" w:rsidR="002F0705" w:rsidRPr="00693FA6" w:rsidRDefault="002F0705" w:rsidP="002F0705">
            <w:r>
              <w:t>1.03 – 1.06</w:t>
            </w:r>
          </w:p>
        </w:tc>
        <w:tc>
          <w:tcPr>
            <w:tcW w:w="780" w:type="dxa"/>
            <w:hideMark/>
          </w:tcPr>
          <w:p w14:paraId="5D7EA510" w14:textId="64216110" w:rsidR="002F0705" w:rsidRPr="00693FA6" w:rsidRDefault="002F0705" w:rsidP="002F0705"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5E8F4987" w14:textId="5696906C" w:rsidR="002F0705" w:rsidRPr="00693FA6" w:rsidRDefault="002F0705" w:rsidP="002F0705">
            <w:r>
              <w:t>1.04</w:t>
            </w:r>
          </w:p>
        </w:tc>
        <w:tc>
          <w:tcPr>
            <w:tcW w:w="1140" w:type="dxa"/>
            <w:hideMark/>
          </w:tcPr>
          <w:p w14:paraId="3A049D68" w14:textId="5B086216" w:rsidR="002F0705" w:rsidRPr="00693FA6" w:rsidRDefault="002F0705" w:rsidP="002F0705">
            <w:r>
              <w:t>1.02 – 1.06</w:t>
            </w:r>
          </w:p>
        </w:tc>
        <w:tc>
          <w:tcPr>
            <w:tcW w:w="780" w:type="dxa"/>
            <w:hideMark/>
          </w:tcPr>
          <w:p w14:paraId="5E175EB2" w14:textId="20513F34" w:rsidR="002F0705" w:rsidRPr="00693FA6" w:rsidRDefault="002F0705" w:rsidP="002F0705"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4198AA2E" w14:textId="5C98F643" w:rsidR="002F0705" w:rsidRPr="00693FA6" w:rsidRDefault="002F0705" w:rsidP="002F0705">
            <w:r>
              <w:t>1.04</w:t>
            </w:r>
          </w:p>
        </w:tc>
        <w:tc>
          <w:tcPr>
            <w:tcW w:w="1140" w:type="dxa"/>
            <w:hideMark/>
          </w:tcPr>
          <w:p w14:paraId="18C5868C" w14:textId="05C55B70" w:rsidR="002F0705" w:rsidRPr="00693FA6" w:rsidRDefault="002F0705" w:rsidP="002F0705">
            <w:r>
              <w:t>1.02 – 1.06</w:t>
            </w:r>
          </w:p>
        </w:tc>
        <w:tc>
          <w:tcPr>
            <w:tcW w:w="780" w:type="dxa"/>
            <w:hideMark/>
          </w:tcPr>
          <w:p w14:paraId="6CC7688C" w14:textId="73F33758" w:rsidR="002F0705" w:rsidRPr="00693FA6" w:rsidRDefault="002F0705" w:rsidP="002F0705"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3902ABD6" w14:textId="77EF183F" w:rsidR="002F0705" w:rsidRPr="00693FA6" w:rsidRDefault="002F0705" w:rsidP="002F0705">
            <w:r>
              <w:t>1.04</w:t>
            </w:r>
          </w:p>
        </w:tc>
        <w:tc>
          <w:tcPr>
            <w:tcW w:w="1140" w:type="dxa"/>
            <w:hideMark/>
          </w:tcPr>
          <w:p w14:paraId="3686F6A7" w14:textId="5EC8452B" w:rsidR="002F0705" w:rsidRPr="00693FA6" w:rsidRDefault="002F0705" w:rsidP="002F0705">
            <w:r>
              <w:t>1.02 – 1.06</w:t>
            </w:r>
          </w:p>
        </w:tc>
        <w:tc>
          <w:tcPr>
            <w:tcW w:w="855" w:type="dxa"/>
            <w:hideMark/>
          </w:tcPr>
          <w:p w14:paraId="72B12A33" w14:textId="0F918B1F" w:rsidR="002F0705" w:rsidRPr="00693FA6" w:rsidRDefault="002F0705" w:rsidP="002F0705">
            <w:r>
              <w:rPr>
                <w:rStyle w:val="Strong"/>
                <w:rFonts w:eastAsiaTheme="majorEastAsia"/>
              </w:rPr>
              <w:t>&lt;0.001</w:t>
            </w:r>
          </w:p>
        </w:tc>
      </w:tr>
      <w:tr w:rsidR="002F0705" w:rsidRPr="00693FA6" w14:paraId="58420B5B" w14:textId="77777777" w:rsidTr="0084054F">
        <w:trPr>
          <w:tblCellSpacing w:w="15" w:type="dxa"/>
        </w:trPr>
        <w:tc>
          <w:tcPr>
            <w:tcW w:w="2650" w:type="dxa"/>
            <w:vAlign w:val="center"/>
            <w:hideMark/>
          </w:tcPr>
          <w:p w14:paraId="2E9882A7" w14:textId="77777777" w:rsidR="002F0705" w:rsidRPr="00693FA6" w:rsidRDefault="002F0705" w:rsidP="002F0705">
            <w:r w:rsidRPr="00693FA6">
              <w:t>Prop. Hispanic in practice</w:t>
            </w:r>
          </w:p>
        </w:tc>
        <w:tc>
          <w:tcPr>
            <w:tcW w:w="600" w:type="dxa"/>
            <w:hideMark/>
          </w:tcPr>
          <w:p w14:paraId="2BD8FD10" w14:textId="244502DE" w:rsidR="002F0705" w:rsidRPr="00693FA6" w:rsidRDefault="002F0705" w:rsidP="002F0705">
            <w:r>
              <w:t>1.00</w:t>
            </w:r>
          </w:p>
        </w:tc>
        <w:tc>
          <w:tcPr>
            <w:tcW w:w="1140" w:type="dxa"/>
            <w:hideMark/>
          </w:tcPr>
          <w:p w14:paraId="3E7111B9" w14:textId="393D274A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0.98 – 1.03</w:t>
            </w:r>
          </w:p>
        </w:tc>
        <w:tc>
          <w:tcPr>
            <w:tcW w:w="780" w:type="dxa"/>
            <w:hideMark/>
          </w:tcPr>
          <w:p w14:paraId="12C1C7EB" w14:textId="2F311674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0.832</w:t>
            </w:r>
          </w:p>
        </w:tc>
        <w:tc>
          <w:tcPr>
            <w:tcW w:w="600" w:type="dxa"/>
            <w:hideMark/>
          </w:tcPr>
          <w:p w14:paraId="2F1F3074" w14:textId="23204D3E" w:rsidR="002F0705" w:rsidRPr="00693FA6" w:rsidRDefault="002F0705" w:rsidP="002F0705">
            <w:r>
              <w:t>1.00</w:t>
            </w:r>
          </w:p>
        </w:tc>
        <w:tc>
          <w:tcPr>
            <w:tcW w:w="1140" w:type="dxa"/>
            <w:hideMark/>
          </w:tcPr>
          <w:p w14:paraId="5A92A0D0" w14:textId="180A349F" w:rsidR="002F0705" w:rsidRPr="00693FA6" w:rsidRDefault="002F0705" w:rsidP="002F0705">
            <w:r>
              <w:t>0.98 – 1.03</w:t>
            </w:r>
          </w:p>
        </w:tc>
        <w:tc>
          <w:tcPr>
            <w:tcW w:w="780" w:type="dxa"/>
            <w:hideMark/>
          </w:tcPr>
          <w:p w14:paraId="46304120" w14:textId="17D75451" w:rsidR="002F0705" w:rsidRPr="00693FA6" w:rsidRDefault="002F0705" w:rsidP="002F0705">
            <w:r>
              <w:t>0.819</w:t>
            </w:r>
          </w:p>
        </w:tc>
        <w:tc>
          <w:tcPr>
            <w:tcW w:w="600" w:type="dxa"/>
            <w:hideMark/>
          </w:tcPr>
          <w:p w14:paraId="443F423D" w14:textId="03443C9B" w:rsidR="002F0705" w:rsidRPr="00693FA6" w:rsidRDefault="002F0705" w:rsidP="002F0705">
            <w:r>
              <w:t>1.00</w:t>
            </w:r>
          </w:p>
        </w:tc>
        <w:tc>
          <w:tcPr>
            <w:tcW w:w="1140" w:type="dxa"/>
            <w:hideMark/>
          </w:tcPr>
          <w:p w14:paraId="49DD014A" w14:textId="02CC141C" w:rsidR="002F0705" w:rsidRPr="00693FA6" w:rsidRDefault="002F0705" w:rsidP="002F0705">
            <w:r>
              <w:t>0.98 – 1.02</w:t>
            </w:r>
          </w:p>
        </w:tc>
        <w:tc>
          <w:tcPr>
            <w:tcW w:w="780" w:type="dxa"/>
            <w:hideMark/>
          </w:tcPr>
          <w:p w14:paraId="3E8759A3" w14:textId="3B29D846" w:rsidR="002F0705" w:rsidRPr="00693FA6" w:rsidRDefault="002F0705" w:rsidP="002F0705">
            <w:r>
              <w:t>0.892</w:t>
            </w:r>
          </w:p>
        </w:tc>
        <w:tc>
          <w:tcPr>
            <w:tcW w:w="600" w:type="dxa"/>
            <w:hideMark/>
          </w:tcPr>
          <w:p w14:paraId="69868F50" w14:textId="67DD121C" w:rsidR="002F0705" w:rsidRPr="00693FA6" w:rsidRDefault="002F0705" w:rsidP="002F0705">
            <w:r>
              <w:t>1.02</w:t>
            </w:r>
          </w:p>
        </w:tc>
        <w:tc>
          <w:tcPr>
            <w:tcW w:w="1140" w:type="dxa"/>
            <w:hideMark/>
          </w:tcPr>
          <w:p w14:paraId="6A34ECBE" w14:textId="2C2DFCDF" w:rsidR="002F0705" w:rsidRPr="00693FA6" w:rsidRDefault="002F0705" w:rsidP="002F0705">
            <w:r>
              <w:t>1.00 – 1.05</w:t>
            </w:r>
          </w:p>
        </w:tc>
        <w:tc>
          <w:tcPr>
            <w:tcW w:w="780" w:type="dxa"/>
            <w:hideMark/>
          </w:tcPr>
          <w:p w14:paraId="0B6B1875" w14:textId="7D6F4D11" w:rsidR="002F0705" w:rsidRPr="00693FA6" w:rsidRDefault="002F0705" w:rsidP="002F0705">
            <w:r>
              <w:t>0.088</w:t>
            </w:r>
          </w:p>
        </w:tc>
        <w:tc>
          <w:tcPr>
            <w:tcW w:w="600" w:type="dxa"/>
            <w:hideMark/>
          </w:tcPr>
          <w:p w14:paraId="2695F568" w14:textId="58447D50" w:rsidR="002F0705" w:rsidRPr="00693FA6" w:rsidRDefault="002F0705" w:rsidP="002F0705">
            <w:r>
              <w:t>1.02</w:t>
            </w:r>
          </w:p>
        </w:tc>
        <w:tc>
          <w:tcPr>
            <w:tcW w:w="1140" w:type="dxa"/>
            <w:hideMark/>
          </w:tcPr>
          <w:p w14:paraId="61F45366" w14:textId="47470D37" w:rsidR="002F0705" w:rsidRPr="00693FA6" w:rsidRDefault="002F0705" w:rsidP="002F0705">
            <w:r>
              <w:t>1.00 – 1.05</w:t>
            </w:r>
          </w:p>
        </w:tc>
        <w:tc>
          <w:tcPr>
            <w:tcW w:w="855" w:type="dxa"/>
            <w:hideMark/>
          </w:tcPr>
          <w:p w14:paraId="753047DE" w14:textId="314E7DB6" w:rsidR="002F0705" w:rsidRPr="00693FA6" w:rsidRDefault="002F0705" w:rsidP="002F0705">
            <w:r>
              <w:t>0.113</w:t>
            </w:r>
          </w:p>
        </w:tc>
      </w:tr>
      <w:tr w:rsidR="002F0705" w:rsidRPr="00693FA6" w14:paraId="67A007FB" w14:textId="77777777" w:rsidTr="0084054F">
        <w:trPr>
          <w:tblCellSpacing w:w="15" w:type="dxa"/>
        </w:trPr>
        <w:tc>
          <w:tcPr>
            <w:tcW w:w="2650" w:type="dxa"/>
            <w:vAlign w:val="center"/>
            <w:hideMark/>
          </w:tcPr>
          <w:p w14:paraId="78BA77B3" w14:textId="77777777" w:rsidR="002F0705" w:rsidRPr="00693FA6" w:rsidRDefault="002F0705" w:rsidP="002F0705">
            <w:r w:rsidRPr="00693FA6">
              <w:t>Prop. with Medicaid in practice</w:t>
            </w:r>
          </w:p>
        </w:tc>
        <w:tc>
          <w:tcPr>
            <w:tcW w:w="600" w:type="dxa"/>
            <w:hideMark/>
          </w:tcPr>
          <w:p w14:paraId="248EFF79" w14:textId="6D397A12" w:rsidR="002F0705" w:rsidRPr="00693FA6" w:rsidRDefault="002F0705" w:rsidP="002F0705">
            <w:r>
              <w:t>1.15</w:t>
            </w:r>
          </w:p>
        </w:tc>
        <w:tc>
          <w:tcPr>
            <w:tcW w:w="1140" w:type="dxa"/>
            <w:hideMark/>
          </w:tcPr>
          <w:p w14:paraId="1CEB78BC" w14:textId="781D6591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1.12 – 1.17</w:t>
            </w:r>
          </w:p>
        </w:tc>
        <w:tc>
          <w:tcPr>
            <w:tcW w:w="780" w:type="dxa"/>
            <w:hideMark/>
          </w:tcPr>
          <w:p w14:paraId="10838B7B" w14:textId="78953085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218AB697" w14:textId="78602445" w:rsidR="002F0705" w:rsidRPr="00693FA6" w:rsidRDefault="002F0705" w:rsidP="002F0705">
            <w:r>
              <w:t>1.15</w:t>
            </w:r>
          </w:p>
        </w:tc>
        <w:tc>
          <w:tcPr>
            <w:tcW w:w="1140" w:type="dxa"/>
            <w:hideMark/>
          </w:tcPr>
          <w:p w14:paraId="618B8E94" w14:textId="3FFCD0E2" w:rsidR="002F0705" w:rsidRPr="00693FA6" w:rsidRDefault="002F0705" w:rsidP="002F0705">
            <w:r>
              <w:t>1.12 – 1.17</w:t>
            </w:r>
          </w:p>
        </w:tc>
        <w:tc>
          <w:tcPr>
            <w:tcW w:w="780" w:type="dxa"/>
            <w:hideMark/>
          </w:tcPr>
          <w:p w14:paraId="41E9A7CC" w14:textId="7FB5BF73" w:rsidR="002F0705" w:rsidRPr="00693FA6" w:rsidRDefault="002F0705" w:rsidP="002F0705"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3BD70365" w14:textId="6538C547" w:rsidR="002F0705" w:rsidRPr="00693FA6" w:rsidRDefault="002F0705" w:rsidP="002F0705">
            <w:r>
              <w:t>1.15</w:t>
            </w:r>
          </w:p>
        </w:tc>
        <w:tc>
          <w:tcPr>
            <w:tcW w:w="1140" w:type="dxa"/>
            <w:hideMark/>
          </w:tcPr>
          <w:p w14:paraId="42A9FBB4" w14:textId="50E2849F" w:rsidR="002F0705" w:rsidRPr="00693FA6" w:rsidRDefault="002F0705" w:rsidP="002F0705">
            <w:r>
              <w:t>1.12 – 1.17</w:t>
            </w:r>
          </w:p>
        </w:tc>
        <w:tc>
          <w:tcPr>
            <w:tcW w:w="780" w:type="dxa"/>
            <w:hideMark/>
          </w:tcPr>
          <w:p w14:paraId="0E2A0335" w14:textId="23809676" w:rsidR="002F0705" w:rsidRPr="00693FA6" w:rsidRDefault="002F0705" w:rsidP="002F0705"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7CC9C16C" w14:textId="358226AB" w:rsidR="002F0705" w:rsidRPr="00693FA6" w:rsidRDefault="002F0705" w:rsidP="002F0705">
            <w:r>
              <w:t>1.15</w:t>
            </w:r>
          </w:p>
        </w:tc>
        <w:tc>
          <w:tcPr>
            <w:tcW w:w="1140" w:type="dxa"/>
            <w:hideMark/>
          </w:tcPr>
          <w:p w14:paraId="630E3CC6" w14:textId="216539C8" w:rsidR="002F0705" w:rsidRPr="00693FA6" w:rsidRDefault="002F0705" w:rsidP="002F0705">
            <w:r>
              <w:t>1.12 – 1.17</w:t>
            </w:r>
          </w:p>
        </w:tc>
        <w:tc>
          <w:tcPr>
            <w:tcW w:w="780" w:type="dxa"/>
            <w:hideMark/>
          </w:tcPr>
          <w:p w14:paraId="343E718A" w14:textId="4E1B73CF" w:rsidR="002F0705" w:rsidRPr="00693FA6" w:rsidRDefault="002F0705" w:rsidP="002F0705"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5A968D67" w14:textId="6421C18F" w:rsidR="002F0705" w:rsidRPr="00693FA6" w:rsidRDefault="002F0705" w:rsidP="002F0705">
            <w:r>
              <w:t>1.15</w:t>
            </w:r>
          </w:p>
        </w:tc>
        <w:tc>
          <w:tcPr>
            <w:tcW w:w="1140" w:type="dxa"/>
            <w:hideMark/>
          </w:tcPr>
          <w:p w14:paraId="5CBB9330" w14:textId="17C4586F" w:rsidR="002F0705" w:rsidRPr="00693FA6" w:rsidRDefault="002F0705" w:rsidP="002F0705">
            <w:r>
              <w:t>1.12 – 1.17</w:t>
            </w:r>
          </w:p>
        </w:tc>
        <w:tc>
          <w:tcPr>
            <w:tcW w:w="855" w:type="dxa"/>
            <w:hideMark/>
          </w:tcPr>
          <w:p w14:paraId="230A926C" w14:textId="1894E07D" w:rsidR="002F0705" w:rsidRPr="00693FA6" w:rsidRDefault="002F0705" w:rsidP="002F0705">
            <w:r>
              <w:rPr>
                <w:rStyle w:val="Strong"/>
                <w:rFonts w:eastAsiaTheme="majorEastAsia"/>
              </w:rPr>
              <w:t>&lt;0.001</w:t>
            </w:r>
          </w:p>
        </w:tc>
      </w:tr>
      <w:tr w:rsidR="002F0705" w:rsidRPr="00693FA6" w14:paraId="427708FA" w14:textId="77777777" w:rsidTr="0084054F">
        <w:trPr>
          <w:tblCellSpacing w:w="15" w:type="dxa"/>
        </w:trPr>
        <w:tc>
          <w:tcPr>
            <w:tcW w:w="2650" w:type="dxa"/>
            <w:vAlign w:val="center"/>
            <w:hideMark/>
          </w:tcPr>
          <w:p w14:paraId="015F24B8" w14:textId="77777777" w:rsidR="002F0705" w:rsidRPr="00693FA6" w:rsidRDefault="002F0705" w:rsidP="002F0705">
            <w:r w:rsidRPr="00693FA6">
              <w:t>Population</w:t>
            </w:r>
          </w:p>
        </w:tc>
        <w:tc>
          <w:tcPr>
            <w:tcW w:w="600" w:type="dxa"/>
            <w:hideMark/>
          </w:tcPr>
          <w:p w14:paraId="3A1055F9" w14:textId="61E47F84" w:rsidR="002F0705" w:rsidRPr="00693FA6" w:rsidRDefault="002F0705" w:rsidP="002F0705">
            <w:r>
              <w:t>0.96</w:t>
            </w:r>
          </w:p>
        </w:tc>
        <w:tc>
          <w:tcPr>
            <w:tcW w:w="1140" w:type="dxa"/>
            <w:hideMark/>
          </w:tcPr>
          <w:p w14:paraId="1FBF14F7" w14:textId="1ED6DD3F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0.94 – 0.98</w:t>
            </w:r>
          </w:p>
        </w:tc>
        <w:tc>
          <w:tcPr>
            <w:tcW w:w="780" w:type="dxa"/>
            <w:hideMark/>
          </w:tcPr>
          <w:p w14:paraId="00940F11" w14:textId="77AD8B32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4B12AFA7" w14:textId="442DFE6B" w:rsidR="002F0705" w:rsidRPr="00693FA6" w:rsidRDefault="002F0705" w:rsidP="002F0705">
            <w:r>
              <w:t>0.96</w:t>
            </w:r>
          </w:p>
        </w:tc>
        <w:tc>
          <w:tcPr>
            <w:tcW w:w="1140" w:type="dxa"/>
            <w:hideMark/>
          </w:tcPr>
          <w:p w14:paraId="26E98784" w14:textId="3CBAC0F4" w:rsidR="002F0705" w:rsidRPr="00693FA6" w:rsidRDefault="002F0705" w:rsidP="002F0705">
            <w:r>
              <w:t>0.94 – 0.98</w:t>
            </w:r>
          </w:p>
        </w:tc>
        <w:tc>
          <w:tcPr>
            <w:tcW w:w="780" w:type="dxa"/>
            <w:hideMark/>
          </w:tcPr>
          <w:p w14:paraId="68009CD5" w14:textId="1FED6555" w:rsidR="002F0705" w:rsidRPr="00693FA6" w:rsidRDefault="002F0705" w:rsidP="002F0705"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7A8D74F6" w14:textId="6C90F356" w:rsidR="002F0705" w:rsidRPr="00693FA6" w:rsidRDefault="002F0705" w:rsidP="002F0705">
            <w:r>
              <w:t>0.96</w:t>
            </w:r>
          </w:p>
        </w:tc>
        <w:tc>
          <w:tcPr>
            <w:tcW w:w="1140" w:type="dxa"/>
            <w:hideMark/>
          </w:tcPr>
          <w:p w14:paraId="1FCCFC8D" w14:textId="57F779F9" w:rsidR="002F0705" w:rsidRPr="00693FA6" w:rsidRDefault="002F0705" w:rsidP="002F0705">
            <w:r>
              <w:t>0.94 – 0.98</w:t>
            </w:r>
          </w:p>
        </w:tc>
        <w:tc>
          <w:tcPr>
            <w:tcW w:w="780" w:type="dxa"/>
            <w:hideMark/>
          </w:tcPr>
          <w:p w14:paraId="16017861" w14:textId="7BF6CF5B" w:rsidR="002F0705" w:rsidRPr="00693FA6" w:rsidRDefault="002F0705" w:rsidP="002F0705">
            <w:r>
              <w:rPr>
                <w:rStyle w:val="Strong"/>
                <w:rFonts w:eastAsiaTheme="majorEastAsia"/>
              </w:rPr>
              <w:t>&lt;0.001</w:t>
            </w:r>
          </w:p>
        </w:tc>
        <w:tc>
          <w:tcPr>
            <w:tcW w:w="600" w:type="dxa"/>
            <w:hideMark/>
          </w:tcPr>
          <w:p w14:paraId="5173DBD5" w14:textId="6221D639" w:rsidR="002F0705" w:rsidRPr="00693FA6" w:rsidRDefault="002F0705" w:rsidP="002F0705">
            <w:r>
              <w:t>0.97</w:t>
            </w:r>
          </w:p>
        </w:tc>
        <w:tc>
          <w:tcPr>
            <w:tcW w:w="1140" w:type="dxa"/>
            <w:hideMark/>
          </w:tcPr>
          <w:p w14:paraId="64C555DD" w14:textId="541C9AB0" w:rsidR="002F0705" w:rsidRPr="00693FA6" w:rsidRDefault="002F0705" w:rsidP="002F0705">
            <w:r>
              <w:t>0.95 – 0.99</w:t>
            </w:r>
          </w:p>
        </w:tc>
        <w:tc>
          <w:tcPr>
            <w:tcW w:w="780" w:type="dxa"/>
            <w:hideMark/>
          </w:tcPr>
          <w:p w14:paraId="017BF72D" w14:textId="5C517D12" w:rsidR="002F0705" w:rsidRPr="00693FA6" w:rsidRDefault="002F0705" w:rsidP="002F0705">
            <w:r>
              <w:rPr>
                <w:rStyle w:val="Strong"/>
                <w:rFonts w:eastAsiaTheme="majorEastAsia"/>
              </w:rPr>
              <w:t>0.003</w:t>
            </w:r>
          </w:p>
        </w:tc>
        <w:tc>
          <w:tcPr>
            <w:tcW w:w="600" w:type="dxa"/>
            <w:hideMark/>
          </w:tcPr>
          <w:p w14:paraId="0BC61E71" w14:textId="29C159E6" w:rsidR="002F0705" w:rsidRPr="00693FA6" w:rsidRDefault="002F0705" w:rsidP="002F0705">
            <w:r>
              <w:t>0.97</w:t>
            </w:r>
          </w:p>
        </w:tc>
        <w:tc>
          <w:tcPr>
            <w:tcW w:w="1140" w:type="dxa"/>
            <w:hideMark/>
          </w:tcPr>
          <w:p w14:paraId="4A8A8528" w14:textId="6E5233D2" w:rsidR="002F0705" w:rsidRPr="00693FA6" w:rsidRDefault="002F0705" w:rsidP="002F0705">
            <w:r>
              <w:t>0.95 – 0.99</w:t>
            </w:r>
          </w:p>
        </w:tc>
        <w:tc>
          <w:tcPr>
            <w:tcW w:w="855" w:type="dxa"/>
            <w:hideMark/>
          </w:tcPr>
          <w:p w14:paraId="3F232609" w14:textId="6C5CF824" w:rsidR="002F0705" w:rsidRPr="00693FA6" w:rsidRDefault="002F0705" w:rsidP="002F0705">
            <w:r>
              <w:rPr>
                <w:rStyle w:val="Strong"/>
                <w:rFonts w:eastAsiaTheme="majorEastAsia"/>
              </w:rPr>
              <w:t>0.003</w:t>
            </w:r>
          </w:p>
        </w:tc>
      </w:tr>
      <w:tr w:rsidR="002F0705" w:rsidRPr="00693FA6" w14:paraId="43D8F260" w14:textId="77777777" w:rsidTr="0084054F">
        <w:trPr>
          <w:tblCellSpacing w:w="15" w:type="dxa"/>
        </w:trPr>
        <w:tc>
          <w:tcPr>
            <w:tcW w:w="2650" w:type="dxa"/>
            <w:vAlign w:val="center"/>
            <w:hideMark/>
          </w:tcPr>
          <w:p w14:paraId="6BA03343" w14:textId="77777777" w:rsidR="002F0705" w:rsidRPr="00693FA6" w:rsidRDefault="002F0705" w:rsidP="002F0705">
            <w:r w:rsidRPr="00693FA6">
              <w:t>SDI</w:t>
            </w:r>
          </w:p>
        </w:tc>
        <w:tc>
          <w:tcPr>
            <w:tcW w:w="600" w:type="dxa"/>
            <w:hideMark/>
          </w:tcPr>
          <w:p w14:paraId="7BDB8660" w14:textId="0D56AA49" w:rsidR="002F0705" w:rsidRPr="00693FA6" w:rsidRDefault="002F0705" w:rsidP="002F0705">
            <w:r>
              <w:t>0.99</w:t>
            </w:r>
          </w:p>
        </w:tc>
        <w:tc>
          <w:tcPr>
            <w:tcW w:w="1140" w:type="dxa"/>
            <w:hideMark/>
          </w:tcPr>
          <w:p w14:paraId="2FBF0697" w14:textId="3E690CC1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0.97 – 1.01</w:t>
            </w:r>
          </w:p>
        </w:tc>
        <w:tc>
          <w:tcPr>
            <w:tcW w:w="780" w:type="dxa"/>
            <w:hideMark/>
          </w:tcPr>
          <w:p w14:paraId="4E6C901E" w14:textId="2CBEF8A9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0.279</w:t>
            </w:r>
          </w:p>
        </w:tc>
        <w:tc>
          <w:tcPr>
            <w:tcW w:w="600" w:type="dxa"/>
            <w:hideMark/>
          </w:tcPr>
          <w:p w14:paraId="35E1B0C1" w14:textId="49EA1DA0" w:rsidR="002F0705" w:rsidRPr="00693FA6" w:rsidRDefault="002F0705" w:rsidP="002F0705">
            <w:r>
              <w:t>0.99</w:t>
            </w:r>
          </w:p>
        </w:tc>
        <w:tc>
          <w:tcPr>
            <w:tcW w:w="1140" w:type="dxa"/>
            <w:hideMark/>
          </w:tcPr>
          <w:p w14:paraId="2E46BE7F" w14:textId="6FF65A3B" w:rsidR="002F0705" w:rsidRPr="00693FA6" w:rsidRDefault="002F0705" w:rsidP="002F0705">
            <w:r>
              <w:t>0.97 – 1.01</w:t>
            </w:r>
          </w:p>
        </w:tc>
        <w:tc>
          <w:tcPr>
            <w:tcW w:w="780" w:type="dxa"/>
            <w:hideMark/>
          </w:tcPr>
          <w:p w14:paraId="6B06D491" w14:textId="1CA3DD92" w:rsidR="002F0705" w:rsidRPr="00693FA6" w:rsidRDefault="002F0705" w:rsidP="002F0705">
            <w:r>
              <w:t>0.275</w:t>
            </w:r>
          </w:p>
        </w:tc>
        <w:tc>
          <w:tcPr>
            <w:tcW w:w="600" w:type="dxa"/>
            <w:hideMark/>
          </w:tcPr>
          <w:p w14:paraId="0015B4FE" w14:textId="7500A586" w:rsidR="002F0705" w:rsidRPr="00693FA6" w:rsidRDefault="002F0705" w:rsidP="002F0705">
            <w:r>
              <w:t>0.98</w:t>
            </w:r>
          </w:p>
        </w:tc>
        <w:tc>
          <w:tcPr>
            <w:tcW w:w="1140" w:type="dxa"/>
            <w:hideMark/>
          </w:tcPr>
          <w:p w14:paraId="5BCD208E" w14:textId="50722CF3" w:rsidR="002F0705" w:rsidRPr="00693FA6" w:rsidRDefault="002F0705" w:rsidP="002F0705">
            <w:r>
              <w:t>0.96 – 1.00</w:t>
            </w:r>
          </w:p>
        </w:tc>
        <w:tc>
          <w:tcPr>
            <w:tcW w:w="780" w:type="dxa"/>
            <w:hideMark/>
          </w:tcPr>
          <w:p w14:paraId="6766CED6" w14:textId="162699F1" w:rsidR="002F0705" w:rsidRPr="00693FA6" w:rsidRDefault="002F0705" w:rsidP="002F0705">
            <w:r>
              <w:t>0.082</w:t>
            </w:r>
          </w:p>
        </w:tc>
        <w:tc>
          <w:tcPr>
            <w:tcW w:w="600" w:type="dxa"/>
            <w:hideMark/>
          </w:tcPr>
          <w:p w14:paraId="6E19DAC1" w14:textId="77777777" w:rsidR="002F0705" w:rsidRPr="00693FA6" w:rsidRDefault="002F0705" w:rsidP="002F0705"/>
        </w:tc>
        <w:tc>
          <w:tcPr>
            <w:tcW w:w="1140" w:type="dxa"/>
            <w:hideMark/>
          </w:tcPr>
          <w:p w14:paraId="70EA1758" w14:textId="77777777" w:rsidR="002F0705" w:rsidRPr="00693FA6" w:rsidRDefault="002F0705" w:rsidP="002F0705"/>
        </w:tc>
        <w:tc>
          <w:tcPr>
            <w:tcW w:w="780" w:type="dxa"/>
            <w:hideMark/>
          </w:tcPr>
          <w:p w14:paraId="5F8E8746" w14:textId="77777777" w:rsidR="002F0705" w:rsidRPr="00693FA6" w:rsidRDefault="002F0705" w:rsidP="002F0705"/>
        </w:tc>
        <w:tc>
          <w:tcPr>
            <w:tcW w:w="600" w:type="dxa"/>
            <w:hideMark/>
          </w:tcPr>
          <w:p w14:paraId="79E86F74" w14:textId="77777777" w:rsidR="002F0705" w:rsidRPr="00693FA6" w:rsidRDefault="002F0705" w:rsidP="002F0705"/>
        </w:tc>
        <w:tc>
          <w:tcPr>
            <w:tcW w:w="1140" w:type="dxa"/>
            <w:hideMark/>
          </w:tcPr>
          <w:p w14:paraId="6508ABFA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14:paraId="18BA72F5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</w:tr>
      <w:tr w:rsidR="002F0705" w:rsidRPr="00693FA6" w14:paraId="541B5896" w14:textId="77777777" w:rsidTr="0084054F">
        <w:trPr>
          <w:tblCellSpacing w:w="15" w:type="dxa"/>
        </w:trPr>
        <w:tc>
          <w:tcPr>
            <w:tcW w:w="2650" w:type="dxa"/>
            <w:vAlign w:val="center"/>
            <w:hideMark/>
          </w:tcPr>
          <w:p w14:paraId="74D730C0" w14:textId="06D4FB44" w:rsidR="002F0705" w:rsidRPr="00693FA6" w:rsidRDefault="002F0705" w:rsidP="002F0705">
            <w:r w:rsidRPr="00693FA6">
              <w:t>Metro [Rural] × SDI</w:t>
            </w:r>
          </w:p>
        </w:tc>
        <w:tc>
          <w:tcPr>
            <w:tcW w:w="600" w:type="dxa"/>
            <w:hideMark/>
          </w:tcPr>
          <w:p w14:paraId="7E763AD2" w14:textId="77777777" w:rsidR="002F0705" w:rsidRPr="00693FA6" w:rsidRDefault="002F0705" w:rsidP="002F0705"/>
        </w:tc>
        <w:tc>
          <w:tcPr>
            <w:tcW w:w="1140" w:type="dxa"/>
            <w:hideMark/>
          </w:tcPr>
          <w:p w14:paraId="18BB7AE9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hideMark/>
          </w:tcPr>
          <w:p w14:paraId="6B66F06B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6722266A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24289FEE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hideMark/>
          </w:tcPr>
          <w:p w14:paraId="458C24C2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2C6B0244" w14:textId="37F9B533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1.11</w:t>
            </w:r>
          </w:p>
        </w:tc>
        <w:tc>
          <w:tcPr>
            <w:tcW w:w="1140" w:type="dxa"/>
            <w:hideMark/>
          </w:tcPr>
          <w:p w14:paraId="2042B1BD" w14:textId="52AC3BF2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1.03 – 1.20</w:t>
            </w:r>
          </w:p>
        </w:tc>
        <w:tc>
          <w:tcPr>
            <w:tcW w:w="780" w:type="dxa"/>
            <w:hideMark/>
          </w:tcPr>
          <w:p w14:paraId="39A95AA1" w14:textId="5EB0A760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rPr>
                <w:rStyle w:val="Strong"/>
                <w:rFonts w:eastAsiaTheme="majorEastAsia"/>
              </w:rPr>
              <w:t>0.005</w:t>
            </w:r>
          </w:p>
        </w:tc>
        <w:tc>
          <w:tcPr>
            <w:tcW w:w="600" w:type="dxa"/>
            <w:hideMark/>
          </w:tcPr>
          <w:p w14:paraId="3106AA75" w14:textId="77777777" w:rsidR="002F0705" w:rsidRPr="00693FA6" w:rsidRDefault="002F0705" w:rsidP="002F0705"/>
        </w:tc>
        <w:tc>
          <w:tcPr>
            <w:tcW w:w="1140" w:type="dxa"/>
            <w:hideMark/>
          </w:tcPr>
          <w:p w14:paraId="67C6076B" w14:textId="77777777" w:rsidR="002F0705" w:rsidRPr="00693FA6" w:rsidRDefault="002F0705" w:rsidP="002F0705"/>
        </w:tc>
        <w:tc>
          <w:tcPr>
            <w:tcW w:w="780" w:type="dxa"/>
            <w:hideMark/>
          </w:tcPr>
          <w:p w14:paraId="33178790" w14:textId="77777777" w:rsidR="002F0705" w:rsidRPr="00693FA6" w:rsidRDefault="002F0705" w:rsidP="002F0705"/>
        </w:tc>
        <w:tc>
          <w:tcPr>
            <w:tcW w:w="600" w:type="dxa"/>
            <w:hideMark/>
          </w:tcPr>
          <w:p w14:paraId="28B8642C" w14:textId="77777777" w:rsidR="002F0705" w:rsidRPr="00693FA6" w:rsidRDefault="002F0705" w:rsidP="002F0705"/>
        </w:tc>
        <w:tc>
          <w:tcPr>
            <w:tcW w:w="1140" w:type="dxa"/>
            <w:hideMark/>
          </w:tcPr>
          <w:p w14:paraId="44E7C30D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14:paraId="0A32A61D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</w:tr>
      <w:tr w:rsidR="002F0705" w:rsidRPr="00693FA6" w14:paraId="09CF9AF5" w14:textId="77777777" w:rsidTr="0084054F">
        <w:trPr>
          <w:tblCellSpacing w:w="15" w:type="dxa"/>
        </w:trPr>
        <w:tc>
          <w:tcPr>
            <w:tcW w:w="2650" w:type="dxa"/>
            <w:vAlign w:val="center"/>
            <w:hideMark/>
          </w:tcPr>
          <w:p w14:paraId="38225938" w14:textId="77777777" w:rsidR="002F0705" w:rsidRPr="00693FA6" w:rsidRDefault="002F0705" w:rsidP="002F0705">
            <w:r w:rsidRPr="00693FA6">
              <w:t>% Below FPL</w:t>
            </w:r>
          </w:p>
        </w:tc>
        <w:tc>
          <w:tcPr>
            <w:tcW w:w="600" w:type="dxa"/>
            <w:hideMark/>
          </w:tcPr>
          <w:p w14:paraId="18C5944F" w14:textId="77777777" w:rsidR="002F0705" w:rsidRPr="00693FA6" w:rsidRDefault="002F0705" w:rsidP="002F0705"/>
        </w:tc>
        <w:tc>
          <w:tcPr>
            <w:tcW w:w="1140" w:type="dxa"/>
            <w:hideMark/>
          </w:tcPr>
          <w:p w14:paraId="6ED761CE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hideMark/>
          </w:tcPr>
          <w:p w14:paraId="57D00423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623B868F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20A5FF9B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hideMark/>
          </w:tcPr>
          <w:p w14:paraId="1B4BA71E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4056DA27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5EFBE31B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hideMark/>
          </w:tcPr>
          <w:p w14:paraId="004473F4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5D2115C1" w14:textId="51761188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1.01</w:t>
            </w:r>
          </w:p>
        </w:tc>
        <w:tc>
          <w:tcPr>
            <w:tcW w:w="1140" w:type="dxa"/>
            <w:hideMark/>
          </w:tcPr>
          <w:p w14:paraId="594C7D35" w14:textId="33593400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0.96 – 1.06</w:t>
            </w:r>
          </w:p>
        </w:tc>
        <w:tc>
          <w:tcPr>
            <w:tcW w:w="780" w:type="dxa"/>
            <w:hideMark/>
          </w:tcPr>
          <w:p w14:paraId="666C3849" w14:textId="4E819E07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0.678</w:t>
            </w:r>
          </w:p>
        </w:tc>
        <w:tc>
          <w:tcPr>
            <w:tcW w:w="600" w:type="dxa"/>
            <w:hideMark/>
          </w:tcPr>
          <w:p w14:paraId="60B84726" w14:textId="38A2B58C" w:rsidR="002F0705" w:rsidRPr="00693FA6" w:rsidRDefault="002F0705" w:rsidP="002F0705">
            <w:r>
              <w:t>1.02</w:t>
            </w:r>
          </w:p>
        </w:tc>
        <w:tc>
          <w:tcPr>
            <w:tcW w:w="1140" w:type="dxa"/>
            <w:hideMark/>
          </w:tcPr>
          <w:p w14:paraId="188E5599" w14:textId="1B624732" w:rsidR="002F0705" w:rsidRPr="00693FA6" w:rsidRDefault="002F0705" w:rsidP="002F0705">
            <w:r>
              <w:t>0.97 – 1.07</w:t>
            </w:r>
          </w:p>
        </w:tc>
        <w:tc>
          <w:tcPr>
            <w:tcW w:w="855" w:type="dxa"/>
            <w:hideMark/>
          </w:tcPr>
          <w:p w14:paraId="27768B6D" w14:textId="7CFEDB94" w:rsidR="002F0705" w:rsidRPr="00693FA6" w:rsidRDefault="002F0705" w:rsidP="002F0705">
            <w:r>
              <w:t>0.453</w:t>
            </w:r>
          </w:p>
        </w:tc>
      </w:tr>
      <w:tr w:rsidR="002F0705" w:rsidRPr="00693FA6" w14:paraId="015BC3C1" w14:textId="77777777" w:rsidTr="0084054F">
        <w:trPr>
          <w:tblCellSpacing w:w="15" w:type="dxa"/>
        </w:trPr>
        <w:tc>
          <w:tcPr>
            <w:tcW w:w="2650" w:type="dxa"/>
            <w:vAlign w:val="center"/>
            <w:hideMark/>
          </w:tcPr>
          <w:p w14:paraId="7C7871FB" w14:textId="77777777" w:rsidR="002F0705" w:rsidRPr="00693FA6" w:rsidRDefault="002F0705" w:rsidP="002F0705">
            <w:r w:rsidRPr="00693FA6">
              <w:t>% Single house</w:t>
            </w:r>
          </w:p>
        </w:tc>
        <w:tc>
          <w:tcPr>
            <w:tcW w:w="600" w:type="dxa"/>
            <w:hideMark/>
          </w:tcPr>
          <w:p w14:paraId="33B9A73D" w14:textId="77777777" w:rsidR="002F0705" w:rsidRPr="00693FA6" w:rsidRDefault="002F0705" w:rsidP="002F0705"/>
        </w:tc>
        <w:tc>
          <w:tcPr>
            <w:tcW w:w="1140" w:type="dxa"/>
            <w:hideMark/>
          </w:tcPr>
          <w:p w14:paraId="7451AF24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hideMark/>
          </w:tcPr>
          <w:p w14:paraId="7CB8EC10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5D4528E8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413F394D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hideMark/>
          </w:tcPr>
          <w:p w14:paraId="318623D4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0219423A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1E0E661E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hideMark/>
          </w:tcPr>
          <w:p w14:paraId="29704579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532602C1" w14:textId="547C5E61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1.01</w:t>
            </w:r>
          </w:p>
        </w:tc>
        <w:tc>
          <w:tcPr>
            <w:tcW w:w="1140" w:type="dxa"/>
            <w:hideMark/>
          </w:tcPr>
          <w:p w14:paraId="7444911C" w14:textId="51BD0807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0.97 – 1.05</w:t>
            </w:r>
          </w:p>
        </w:tc>
        <w:tc>
          <w:tcPr>
            <w:tcW w:w="780" w:type="dxa"/>
            <w:hideMark/>
          </w:tcPr>
          <w:p w14:paraId="057FC7B3" w14:textId="32C7C0F9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0.522</w:t>
            </w:r>
          </w:p>
        </w:tc>
        <w:tc>
          <w:tcPr>
            <w:tcW w:w="600" w:type="dxa"/>
            <w:hideMark/>
          </w:tcPr>
          <w:p w14:paraId="121CE07E" w14:textId="06655450" w:rsidR="002F0705" w:rsidRPr="00693FA6" w:rsidRDefault="002F0705" w:rsidP="002F0705">
            <w:r>
              <w:t>1.01</w:t>
            </w:r>
          </w:p>
        </w:tc>
        <w:tc>
          <w:tcPr>
            <w:tcW w:w="1140" w:type="dxa"/>
            <w:hideMark/>
          </w:tcPr>
          <w:p w14:paraId="78DCF9AB" w14:textId="1B0663C0" w:rsidR="002F0705" w:rsidRPr="00693FA6" w:rsidRDefault="002F0705" w:rsidP="002F0705">
            <w:r>
              <w:t>0.98 – 1.05</w:t>
            </w:r>
          </w:p>
        </w:tc>
        <w:tc>
          <w:tcPr>
            <w:tcW w:w="855" w:type="dxa"/>
            <w:hideMark/>
          </w:tcPr>
          <w:p w14:paraId="5063024A" w14:textId="70399015" w:rsidR="002F0705" w:rsidRPr="00693FA6" w:rsidRDefault="002F0705" w:rsidP="002F0705">
            <w:r>
              <w:t>0.460</w:t>
            </w:r>
          </w:p>
        </w:tc>
      </w:tr>
      <w:tr w:rsidR="002F0705" w:rsidRPr="00693FA6" w14:paraId="26EE6056" w14:textId="77777777" w:rsidTr="0084054F">
        <w:trPr>
          <w:tblCellSpacing w:w="15" w:type="dxa"/>
        </w:trPr>
        <w:tc>
          <w:tcPr>
            <w:tcW w:w="2650" w:type="dxa"/>
            <w:vAlign w:val="center"/>
            <w:hideMark/>
          </w:tcPr>
          <w:p w14:paraId="766CCAEA" w14:textId="77777777" w:rsidR="002F0705" w:rsidRPr="00693FA6" w:rsidRDefault="002F0705" w:rsidP="002F0705">
            <w:r w:rsidRPr="00693FA6">
              <w:t xml:space="preserve">% Dropout </w:t>
            </w:r>
          </w:p>
        </w:tc>
        <w:tc>
          <w:tcPr>
            <w:tcW w:w="600" w:type="dxa"/>
            <w:hideMark/>
          </w:tcPr>
          <w:p w14:paraId="46B16FEA" w14:textId="77777777" w:rsidR="002F0705" w:rsidRPr="00693FA6" w:rsidRDefault="002F0705" w:rsidP="002F0705"/>
        </w:tc>
        <w:tc>
          <w:tcPr>
            <w:tcW w:w="1140" w:type="dxa"/>
            <w:hideMark/>
          </w:tcPr>
          <w:p w14:paraId="201F360E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hideMark/>
          </w:tcPr>
          <w:p w14:paraId="68698CF4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34514CA0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2DF563C1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hideMark/>
          </w:tcPr>
          <w:p w14:paraId="3A009D7C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44A664A1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3E6F5260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hideMark/>
          </w:tcPr>
          <w:p w14:paraId="4FB7F734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5F9366EC" w14:textId="03E3AF82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1.02</w:t>
            </w:r>
          </w:p>
        </w:tc>
        <w:tc>
          <w:tcPr>
            <w:tcW w:w="1140" w:type="dxa"/>
            <w:hideMark/>
          </w:tcPr>
          <w:p w14:paraId="34E04E31" w14:textId="72B832AA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0.98 – 1.07</w:t>
            </w:r>
          </w:p>
        </w:tc>
        <w:tc>
          <w:tcPr>
            <w:tcW w:w="780" w:type="dxa"/>
            <w:hideMark/>
          </w:tcPr>
          <w:p w14:paraId="1C247B34" w14:textId="0A7FF391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0.288</w:t>
            </w:r>
          </w:p>
        </w:tc>
        <w:tc>
          <w:tcPr>
            <w:tcW w:w="600" w:type="dxa"/>
            <w:hideMark/>
          </w:tcPr>
          <w:p w14:paraId="3E9745B8" w14:textId="16BC7436" w:rsidR="002F0705" w:rsidRPr="00693FA6" w:rsidRDefault="002F0705" w:rsidP="002F0705">
            <w:r>
              <w:t>1.03</w:t>
            </w:r>
          </w:p>
        </w:tc>
        <w:tc>
          <w:tcPr>
            <w:tcW w:w="1140" w:type="dxa"/>
            <w:hideMark/>
          </w:tcPr>
          <w:p w14:paraId="4C5A76CA" w14:textId="107210D9" w:rsidR="002F0705" w:rsidRPr="00693FA6" w:rsidRDefault="002F0705" w:rsidP="002F0705">
            <w:r>
              <w:t>0.98 – 1.08</w:t>
            </w:r>
          </w:p>
        </w:tc>
        <w:tc>
          <w:tcPr>
            <w:tcW w:w="855" w:type="dxa"/>
            <w:hideMark/>
          </w:tcPr>
          <w:p w14:paraId="458C0025" w14:textId="43790ABD" w:rsidR="002F0705" w:rsidRPr="00693FA6" w:rsidRDefault="002F0705" w:rsidP="002F0705">
            <w:r>
              <w:t>0.201</w:t>
            </w:r>
          </w:p>
        </w:tc>
      </w:tr>
      <w:tr w:rsidR="002F0705" w:rsidRPr="00693FA6" w14:paraId="569733B7" w14:textId="77777777" w:rsidTr="0084054F">
        <w:trPr>
          <w:tblCellSpacing w:w="15" w:type="dxa"/>
        </w:trPr>
        <w:tc>
          <w:tcPr>
            <w:tcW w:w="2650" w:type="dxa"/>
            <w:vAlign w:val="center"/>
            <w:hideMark/>
          </w:tcPr>
          <w:p w14:paraId="21F2955E" w14:textId="77777777" w:rsidR="002F0705" w:rsidRPr="00693FA6" w:rsidRDefault="002F0705" w:rsidP="002F0705">
            <w:r w:rsidRPr="00693FA6">
              <w:lastRenderedPageBreak/>
              <w:t>% No car</w:t>
            </w:r>
          </w:p>
        </w:tc>
        <w:tc>
          <w:tcPr>
            <w:tcW w:w="600" w:type="dxa"/>
            <w:hideMark/>
          </w:tcPr>
          <w:p w14:paraId="7258ED9E" w14:textId="77777777" w:rsidR="002F0705" w:rsidRPr="00693FA6" w:rsidRDefault="002F0705" w:rsidP="002F0705"/>
        </w:tc>
        <w:tc>
          <w:tcPr>
            <w:tcW w:w="1140" w:type="dxa"/>
            <w:hideMark/>
          </w:tcPr>
          <w:p w14:paraId="58A0C89F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hideMark/>
          </w:tcPr>
          <w:p w14:paraId="2B3D7047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6F091893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4B00B5DD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hideMark/>
          </w:tcPr>
          <w:p w14:paraId="754DBFDD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42C686A8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5528C128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hideMark/>
          </w:tcPr>
          <w:p w14:paraId="17870B7A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32D00909" w14:textId="16F98EC2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0.97</w:t>
            </w:r>
          </w:p>
        </w:tc>
        <w:tc>
          <w:tcPr>
            <w:tcW w:w="1140" w:type="dxa"/>
            <w:hideMark/>
          </w:tcPr>
          <w:p w14:paraId="71F75D35" w14:textId="6617B4AC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0.93 – 1.00</w:t>
            </w:r>
          </w:p>
        </w:tc>
        <w:tc>
          <w:tcPr>
            <w:tcW w:w="780" w:type="dxa"/>
            <w:hideMark/>
          </w:tcPr>
          <w:p w14:paraId="39BFAA46" w14:textId="2CDF8218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0.053</w:t>
            </w:r>
          </w:p>
        </w:tc>
        <w:tc>
          <w:tcPr>
            <w:tcW w:w="600" w:type="dxa"/>
            <w:hideMark/>
          </w:tcPr>
          <w:p w14:paraId="08F40830" w14:textId="1D9B7A55" w:rsidR="002F0705" w:rsidRPr="00693FA6" w:rsidRDefault="002F0705" w:rsidP="002F0705">
            <w:r>
              <w:t>0.96</w:t>
            </w:r>
          </w:p>
        </w:tc>
        <w:tc>
          <w:tcPr>
            <w:tcW w:w="1140" w:type="dxa"/>
            <w:hideMark/>
          </w:tcPr>
          <w:p w14:paraId="14EADB3A" w14:textId="479E746C" w:rsidR="002F0705" w:rsidRPr="00693FA6" w:rsidRDefault="002F0705" w:rsidP="002F0705">
            <w:r>
              <w:t>0.93 – 1.00</w:t>
            </w:r>
          </w:p>
        </w:tc>
        <w:tc>
          <w:tcPr>
            <w:tcW w:w="855" w:type="dxa"/>
            <w:hideMark/>
          </w:tcPr>
          <w:p w14:paraId="10E905FB" w14:textId="05611633" w:rsidR="002F0705" w:rsidRPr="00693FA6" w:rsidRDefault="002F0705" w:rsidP="002F0705">
            <w:pPr>
              <w:rPr>
                <w:b/>
                <w:bCs/>
              </w:rPr>
            </w:pPr>
            <w:r>
              <w:rPr>
                <w:rStyle w:val="Strong"/>
                <w:rFonts w:eastAsiaTheme="majorEastAsia"/>
              </w:rPr>
              <w:t>0.037</w:t>
            </w:r>
          </w:p>
        </w:tc>
      </w:tr>
      <w:tr w:rsidR="002F0705" w:rsidRPr="00693FA6" w14:paraId="6D966D4A" w14:textId="77777777" w:rsidTr="0084054F">
        <w:trPr>
          <w:tblCellSpacing w:w="15" w:type="dxa"/>
        </w:trPr>
        <w:tc>
          <w:tcPr>
            <w:tcW w:w="2650" w:type="dxa"/>
            <w:vAlign w:val="center"/>
            <w:hideMark/>
          </w:tcPr>
          <w:p w14:paraId="01A7E2E7" w14:textId="77777777" w:rsidR="002F0705" w:rsidRPr="00693FA6" w:rsidRDefault="002F0705" w:rsidP="002F0705">
            <w:r w:rsidRPr="00693FA6">
              <w:t>% Renter occupied</w:t>
            </w:r>
          </w:p>
        </w:tc>
        <w:tc>
          <w:tcPr>
            <w:tcW w:w="600" w:type="dxa"/>
            <w:hideMark/>
          </w:tcPr>
          <w:p w14:paraId="20B86F38" w14:textId="77777777" w:rsidR="002F0705" w:rsidRPr="00693FA6" w:rsidRDefault="002F0705" w:rsidP="002F0705"/>
        </w:tc>
        <w:tc>
          <w:tcPr>
            <w:tcW w:w="1140" w:type="dxa"/>
            <w:hideMark/>
          </w:tcPr>
          <w:p w14:paraId="5E8F6CC4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hideMark/>
          </w:tcPr>
          <w:p w14:paraId="3F4C941A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77DA7306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127B9542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hideMark/>
          </w:tcPr>
          <w:p w14:paraId="2A19C3FE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3980B7E6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1A1BB71E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hideMark/>
          </w:tcPr>
          <w:p w14:paraId="344CB518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7DCC2039" w14:textId="2424267E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1.03</w:t>
            </w:r>
          </w:p>
        </w:tc>
        <w:tc>
          <w:tcPr>
            <w:tcW w:w="1140" w:type="dxa"/>
            <w:hideMark/>
          </w:tcPr>
          <w:p w14:paraId="1AFD27FD" w14:textId="12DDA03D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1.00 – 1.06</w:t>
            </w:r>
          </w:p>
        </w:tc>
        <w:tc>
          <w:tcPr>
            <w:tcW w:w="780" w:type="dxa"/>
            <w:hideMark/>
          </w:tcPr>
          <w:p w14:paraId="7CF3E35B" w14:textId="02FAED88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0.081</w:t>
            </w:r>
          </w:p>
        </w:tc>
        <w:tc>
          <w:tcPr>
            <w:tcW w:w="600" w:type="dxa"/>
            <w:hideMark/>
          </w:tcPr>
          <w:p w14:paraId="33662115" w14:textId="4AF9DF56" w:rsidR="002F0705" w:rsidRPr="00693FA6" w:rsidRDefault="002F0705" w:rsidP="002F0705">
            <w:r>
              <w:t>1.03</w:t>
            </w:r>
          </w:p>
        </w:tc>
        <w:tc>
          <w:tcPr>
            <w:tcW w:w="1140" w:type="dxa"/>
            <w:hideMark/>
          </w:tcPr>
          <w:p w14:paraId="700FE264" w14:textId="7CD5081C" w:rsidR="002F0705" w:rsidRPr="00693FA6" w:rsidRDefault="002F0705" w:rsidP="002F0705">
            <w:r>
              <w:t>0.99 – 1.06</w:t>
            </w:r>
          </w:p>
        </w:tc>
        <w:tc>
          <w:tcPr>
            <w:tcW w:w="855" w:type="dxa"/>
            <w:hideMark/>
          </w:tcPr>
          <w:p w14:paraId="2C6D0646" w14:textId="3FACA9BA" w:rsidR="002F0705" w:rsidRPr="00693FA6" w:rsidRDefault="002F0705" w:rsidP="002F0705">
            <w:r>
              <w:t>0.102</w:t>
            </w:r>
          </w:p>
        </w:tc>
      </w:tr>
      <w:tr w:rsidR="002F0705" w:rsidRPr="00693FA6" w14:paraId="0D07AEE0" w14:textId="77777777" w:rsidTr="0084054F">
        <w:trPr>
          <w:tblCellSpacing w:w="15" w:type="dxa"/>
        </w:trPr>
        <w:tc>
          <w:tcPr>
            <w:tcW w:w="2650" w:type="dxa"/>
            <w:vAlign w:val="center"/>
            <w:hideMark/>
          </w:tcPr>
          <w:p w14:paraId="3EEBA31F" w14:textId="77777777" w:rsidR="002F0705" w:rsidRPr="00693FA6" w:rsidRDefault="002F0705" w:rsidP="002F0705">
            <w:r w:rsidRPr="00693FA6">
              <w:t>% Crowded units</w:t>
            </w:r>
          </w:p>
        </w:tc>
        <w:tc>
          <w:tcPr>
            <w:tcW w:w="600" w:type="dxa"/>
            <w:hideMark/>
          </w:tcPr>
          <w:p w14:paraId="70DDC42F" w14:textId="77777777" w:rsidR="002F0705" w:rsidRPr="00693FA6" w:rsidRDefault="002F0705" w:rsidP="002F0705"/>
        </w:tc>
        <w:tc>
          <w:tcPr>
            <w:tcW w:w="1140" w:type="dxa"/>
            <w:hideMark/>
          </w:tcPr>
          <w:p w14:paraId="06BC3CCF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hideMark/>
          </w:tcPr>
          <w:p w14:paraId="7E757CE1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7C44BFF7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74856D39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hideMark/>
          </w:tcPr>
          <w:p w14:paraId="3DBC25B5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75FF7049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6383910F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hideMark/>
          </w:tcPr>
          <w:p w14:paraId="4960E60F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25669FB9" w14:textId="311C077B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0.97</w:t>
            </w:r>
          </w:p>
        </w:tc>
        <w:tc>
          <w:tcPr>
            <w:tcW w:w="1140" w:type="dxa"/>
            <w:hideMark/>
          </w:tcPr>
          <w:p w14:paraId="6D0A409D" w14:textId="0EABE349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0.94 – 1.00</w:t>
            </w:r>
          </w:p>
        </w:tc>
        <w:tc>
          <w:tcPr>
            <w:tcW w:w="780" w:type="dxa"/>
            <w:hideMark/>
          </w:tcPr>
          <w:p w14:paraId="3D5DC105" w14:textId="3C4868AA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0.075</w:t>
            </w:r>
          </w:p>
        </w:tc>
        <w:tc>
          <w:tcPr>
            <w:tcW w:w="600" w:type="dxa"/>
            <w:hideMark/>
          </w:tcPr>
          <w:p w14:paraId="50C2AB91" w14:textId="098513F3" w:rsidR="002F0705" w:rsidRPr="00693FA6" w:rsidRDefault="002F0705" w:rsidP="002F0705">
            <w:r>
              <w:t>0.97</w:t>
            </w:r>
          </w:p>
        </w:tc>
        <w:tc>
          <w:tcPr>
            <w:tcW w:w="1140" w:type="dxa"/>
            <w:hideMark/>
          </w:tcPr>
          <w:p w14:paraId="573CAFD8" w14:textId="2A2E84AB" w:rsidR="002F0705" w:rsidRPr="00693FA6" w:rsidRDefault="002F0705" w:rsidP="002F0705">
            <w:r>
              <w:t>0.94 – 1.00</w:t>
            </w:r>
          </w:p>
        </w:tc>
        <w:tc>
          <w:tcPr>
            <w:tcW w:w="855" w:type="dxa"/>
            <w:hideMark/>
          </w:tcPr>
          <w:p w14:paraId="4E32C6F6" w14:textId="1E385DC5" w:rsidR="002F0705" w:rsidRPr="00693FA6" w:rsidRDefault="002F0705" w:rsidP="002F0705">
            <w:r>
              <w:t>0.054</w:t>
            </w:r>
          </w:p>
        </w:tc>
      </w:tr>
      <w:tr w:rsidR="002F0705" w:rsidRPr="00693FA6" w14:paraId="0CB15AFC" w14:textId="77777777" w:rsidTr="0084054F">
        <w:trPr>
          <w:tblCellSpacing w:w="15" w:type="dxa"/>
        </w:trPr>
        <w:tc>
          <w:tcPr>
            <w:tcW w:w="2650" w:type="dxa"/>
            <w:vAlign w:val="center"/>
            <w:hideMark/>
          </w:tcPr>
          <w:p w14:paraId="7ACC833D" w14:textId="77777777" w:rsidR="002F0705" w:rsidRPr="00693FA6" w:rsidRDefault="002F0705" w:rsidP="002F0705">
            <w:r w:rsidRPr="00693FA6">
              <w:t xml:space="preserve">% Unemployed </w:t>
            </w:r>
          </w:p>
        </w:tc>
        <w:tc>
          <w:tcPr>
            <w:tcW w:w="600" w:type="dxa"/>
            <w:hideMark/>
          </w:tcPr>
          <w:p w14:paraId="12D3C063" w14:textId="77777777" w:rsidR="002F0705" w:rsidRPr="00693FA6" w:rsidRDefault="002F0705" w:rsidP="002F0705"/>
        </w:tc>
        <w:tc>
          <w:tcPr>
            <w:tcW w:w="1140" w:type="dxa"/>
            <w:hideMark/>
          </w:tcPr>
          <w:p w14:paraId="608847F1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hideMark/>
          </w:tcPr>
          <w:p w14:paraId="673CC84F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21DD5DC9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4463AEC0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hideMark/>
          </w:tcPr>
          <w:p w14:paraId="3F33E792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4547B47D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6AE40130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hideMark/>
          </w:tcPr>
          <w:p w14:paraId="480E9037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71BF5888" w14:textId="72E3C5C2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0.97</w:t>
            </w:r>
          </w:p>
        </w:tc>
        <w:tc>
          <w:tcPr>
            <w:tcW w:w="1140" w:type="dxa"/>
            <w:hideMark/>
          </w:tcPr>
          <w:p w14:paraId="54B44F58" w14:textId="101FFEDC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0.95 – 1.00</w:t>
            </w:r>
          </w:p>
        </w:tc>
        <w:tc>
          <w:tcPr>
            <w:tcW w:w="780" w:type="dxa"/>
            <w:hideMark/>
          </w:tcPr>
          <w:p w14:paraId="2454B937" w14:textId="0E5D2957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rPr>
                <w:rStyle w:val="Strong"/>
                <w:rFonts w:eastAsiaTheme="majorEastAsia"/>
              </w:rPr>
              <w:t>0.026</w:t>
            </w:r>
          </w:p>
        </w:tc>
        <w:tc>
          <w:tcPr>
            <w:tcW w:w="600" w:type="dxa"/>
            <w:hideMark/>
          </w:tcPr>
          <w:p w14:paraId="61522914" w14:textId="6969423D" w:rsidR="002F0705" w:rsidRPr="00693FA6" w:rsidRDefault="002F0705" w:rsidP="002F0705">
            <w:r>
              <w:t>0.96</w:t>
            </w:r>
          </w:p>
        </w:tc>
        <w:tc>
          <w:tcPr>
            <w:tcW w:w="1140" w:type="dxa"/>
            <w:hideMark/>
          </w:tcPr>
          <w:p w14:paraId="27FEC3A7" w14:textId="7335C372" w:rsidR="002F0705" w:rsidRPr="00693FA6" w:rsidRDefault="002F0705" w:rsidP="002F0705">
            <w:r>
              <w:t>0.93 – 0.98</w:t>
            </w:r>
          </w:p>
        </w:tc>
        <w:tc>
          <w:tcPr>
            <w:tcW w:w="855" w:type="dxa"/>
            <w:hideMark/>
          </w:tcPr>
          <w:p w14:paraId="73A499E8" w14:textId="0D6631B5" w:rsidR="002F0705" w:rsidRPr="00693FA6" w:rsidRDefault="002F0705" w:rsidP="002F0705">
            <w:pPr>
              <w:rPr>
                <w:b/>
                <w:bCs/>
              </w:rPr>
            </w:pPr>
            <w:r>
              <w:rPr>
                <w:rStyle w:val="Strong"/>
                <w:rFonts w:eastAsiaTheme="majorEastAsia"/>
              </w:rPr>
              <w:t>0.002</w:t>
            </w:r>
          </w:p>
        </w:tc>
      </w:tr>
      <w:tr w:rsidR="002F0705" w:rsidRPr="00693FA6" w14:paraId="404CC17F" w14:textId="77777777" w:rsidTr="0084054F">
        <w:trPr>
          <w:tblCellSpacing w:w="15" w:type="dxa"/>
        </w:trPr>
        <w:tc>
          <w:tcPr>
            <w:tcW w:w="2650" w:type="dxa"/>
            <w:vAlign w:val="center"/>
            <w:hideMark/>
          </w:tcPr>
          <w:p w14:paraId="0AFC3936" w14:textId="77777777" w:rsidR="002F0705" w:rsidRPr="00693FA6" w:rsidRDefault="002F0705" w:rsidP="002F0705">
            <w:r w:rsidRPr="00693FA6">
              <w:t>% High needs</w:t>
            </w:r>
          </w:p>
        </w:tc>
        <w:tc>
          <w:tcPr>
            <w:tcW w:w="600" w:type="dxa"/>
            <w:hideMark/>
          </w:tcPr>
          <w:p w14:paraId="092B80EC" w14:textId="77777777" w:rsidR="002F0705" w:rsidRPr="00693FA6" w:rsidRDefault="002F0705" w:rsidP="002F0705"/>
        </w:tc>
        <w:tc>
          <w:tcPr>
            <w:tcW w:w="1140" w:type="dxa"/>
            <w:hideMark/>
          </w:tcPr>
          <w:p w14:paraId="64FD88F7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hideMark/>
          </w:tcPr>
          <w:p w14:paraId="6D7C6483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5828EE4C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354ACB6D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hideMark/>
          </w:tcPr>
          <w:p w14:paraId="116AEB11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4DC8B62E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2801D5BC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hideMark/>
          </w:tcPr>
          <w:p w14:paraId="69714AA9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3A4A2C88" w14:textId="4D983FA8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0.99</w:t>
            </w:r>
          </w:p>
        </w:tc>
        <w:tc>
          <w:tcPr>
            <w:tcW w:w="1140" w:type="dxa"/>
            <w:hideMark/>
          </w:tcPr>
          <w:p w14:paraId="4A9B2FE7" w14:textId="6ED279FF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0.97 – 1.02</w:t>
            </w:r>
          </w:p>
        </w:tc>
        <w:tc>
          <w:tcPr>
            <w:tcW w:w="780" w:type="dxa"/>
            <w:hideMark/>
          </w:tcPr>
          <w:p w14:paraId="3E898A3C" w14:textId="3FB01EE9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0.621</w:t>
            </w:r>
          </w:p>
        </w:tc>
        <w:tc>
          <w:tcPr>
            <w:tcW w:w="600" w:type="dxa"/>
            <w:hideMark/>
          </w:tcPr>
          <w:p w14:paraId="3D88E70E" w14:textId="7C6983EE" w:rsidR="002F0705" w:rsidRPr="00693FA6" w:rsidRDefault="002F0705" w:rsidP="002F0705">
            <w:r>
              <w:t>0.99</w:t>
            </w:r>
          </w:p>
        </w:tc>
        <w:tc>
          <w:tcPr>
            <w:tcW w:w="1140" w:type="dxa"/>
            <w:hideMark/>
          </w:tcPr>
          <w:p w14:paraId="4814D3F6" w14:textId="06B307AE" w:rsidR="002F0705" w:rsidRPr="00693FA6" w:rsidRDefault="002F0705" w:rsidP="002F0705">
            <w:r>
              <w:t>0.97 – 1.02</w:t>
            </w:r>
          </w:p>
        </w:tc>
        <w:tc>
          <w:tcPr>
            <w:tcW w:w="855" w:type="dxa"/>
            <w:hideMark/>
          </w:tcPr>
          <w:p w14:paraId="62144FF8" w14:textId="5F1238FE" w:rsidR="002F0705" w:rsidRPr="00693FA6" w:rsidRDefault="002F0705" w:rsidP="002F0705">
            <w:r>
              <w:t>0.598</w:t>
            </w:r>
          </w:p>
        </w:tc>
      </w:tr>
      <w:tr w:rsidR="002F0705" w:rsidRPr="00693FA6" w14:paraId="560F3352" w14:textId="77777777" w:rsidTr="0084054F">
        <w:trPr>
          <w:tblCellSpacing w:w="15" w:type="dxa"/>
        </w:trPr>
        <w:tc>
          <w:tcPr>
            <w:tcW w:w="2650" w:type="dxa"/>
            <w:vAlign w:val="center"/>
          </w:tcPr>
          <w:p w14:paraId="57404E41" w14:textId="2CB0F388" w:rsidR="002F0705" w:rsidRPr="00693FA6" w:rsidRDefault="002F0705" w:rsidP="002F0705">
            <w:r w:rsidRPr="00693FA6">
              <w:t>% Black</w:t>
            </w:r>
          </w:p>
        </w:tc>
        <w:tc>
          <w:tcPr>
            <w:tcW w:w="600" w:type="dxa"/>
          </w:tcPr>
          <w:p w14:paraId="5906F2D9" w14:textId="77777777" w:rsidR="002F0705" w:rsidRPr="00693FA6" w:rsidRDefault="002F0705" w:rsidP="002F0705"/>
        </w:tc>
        <w:tc>
          <w:tcPr>
            <w:tcW w:w="1140" w:type="dxa"/>
          </w:tcPr>
          <w:p w14:paraId="7A9F437F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14:paraId="4AED6914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14:paraId="10E50D8B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3E4548D7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14:paraId="0308348E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14:paraId="6CD4D3E5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3BD1EDC2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14:paraId="7F9AF5BA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14:paraId="76D1E0FF" w14:textId="0F6CE983" w:rsidR="002F0705" w:rsidRPr="00693FA6" w:rsidRDefault="002F0705" w:rsidP="002F0705">
            <w:r>
              <w:t>1.03</w:t>
            </w:r>
          </w:p>
        </w:tc>
        <w:tc>
          <w:tcPr>
            <w:tcW w:w="1140" w:type="dxa"/>
          </w:tcPr>
          <w:p w14:paraId="6CB17D5C" w14:textId="20753303" w:rsidR="002F0705" w:rsidRPr="00693FA6" w:rsidRDefault="002F0705" w:rsidP="002F0705">
            <w:r>
              <w:t>1.01 – 1.05</w:t>
            </w:r>
          </w:p>
        </w:tc>
        <w:tc>
          <w:tcPr>
            <w:tcW w:w="780" w:type="dxa"/>
          </w:tcPr>
          <w:p w14:paraId="702333D2" w14:textId="726A4325" w:rsidR="002F0705" w:rsidRPr="00693FA6" w:rsidRDefault="002F0705" w:rsidP="002F0705">
            <w:r>
              <w:rPr>
                <w:rStyle w:val="Strong"/>
                <w:rFonts w:eastAsiaTheme="majorEastAsia"/>
              </w:rPr>
              <w:t>0.014</w:t>
            </w:r>
          </w:p>
        </w:tc>
        <w:tc>
          <w:tcPr>
            <w:tcW w:w="600" w:type="dxa"/>
          </w:tcPr>
          <w:p w14:paraId="1187F3CE" w14:textId="78583B07" w:rsidR="002F0705" w:rsidRPr="00693FA6" w:rsidRDefault="002F0705" w:rsidP="002F0705">
            <w:r>
              <w:t>1.03</w:t>
            </w:r>
          </w:p>
        </w:tc>
        <w:tc>
          <w:tcPr>
            <w:tcW w:w="1140" w:type="dxa"/>
          </w:tcPr>
          <w:p w14:paraId="27A0EAB2" w14:textId="27A54562" w:rsidR="002F0705" w:rsidRPr="00693FA6" w:rsidRDefault="002F0705" w:rsidP="002F0705">
            <w:r>
              <w:t>1.00 – 1.05</w:t>
            </w:r>
          </w:p>
        </w:tc>
        <w:tc>
          <w:tcPr>
            <w:tcW w:w="855" w:type="dxa"/>
          </w:tcPr>
          <w:p w14:paraId="635885BB" w14:textId="2509EDB2" w:rsidR="002F0705" w:rsidRPr="00693FA6" w:rsidRDefault="002F0705" w:rsidP="002F0705">
            <w:r>
              <w:rPr>
                <w:rStyle w:val="Strong"/>
                <w:rFonts w:eastAsiaTheme="majorEastAsia"/>
              </w:rPr>
              <w:t>0.019</w:t>
            </w:r>
          </w:p>
        </w:tc>
      </w:tr>
      <w:tr w:rsidR="002F0705" w:rsidRPr="00693FA6" w14:paraId="1E6162B3" w14:textId="77777777" w:rsidTr="0084054F">
        <w:trPr>
          <w:tblCellSpacing w:w="15" w:type="dxa"/>
        </w:trPr>
        <w:tc>
          <w:tcPr>
            <w:tcW w:w="2650" w:type="dxa"/>
            <w:vAlign w:val="center"/>
            <w:hideMark/>
          </w:tcPr>
          <w:p w14:paraId="5BA80E42" w14:textId="77777777" w:rsidR="002F0705" w:rsidRPr="00693FA6" w:rsidRDefault="002F0705" w:rsidP="002F0705">
            <w:r w:rsidRPr="00693FA6">
              <w:t>% Hispanic</w:t>
            </w:r>
          </w:p>
        </w:tc>
        <w:tc>
          <w:tcPr>
            <w:tcW w:w="600" w:type="dxa"/>
            <w:hideMark/>
          </w:tcPr>
          <w:p w14:paraId="5937F41C" w14:textId="77777777" w:rsidR="002F0705" w:rsidRPr="00693FA6" w:rsidRDefault="002F0705" w:rsidP="002F0705"/>
        </w:tc>
        <w:tc>
          <w:tcPr>
            <w:tcW w:w="1140" w:type="dxa"/>
            <w:hideMark/>
          </w:tcPr>
          <w:p w14:paraId="529CB2DB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hideMark/>
          </w:tcPr>
          <w:p w14:paraId="60866FD8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207DAE14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108BEB5E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hideMark/>
          </w:tcPr>
          <w:p w14:paraId="62D12E2B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0DE50A3B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26C62E69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hideMark/>
          </w:tcPr>
          <w:p w14:paraId="1BEF35BB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42ED1AA1" w14:textId="40DCDE45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0.98</w:t>
            </w:r>
          </w:p>
        </w:tc>
        <w:tc>
          <w:tcPr>
            <w:tcW w:w="1140" w:type="dxa"/>
            <w:hideMark/>
          </w:tcPr>
          <w:p w14:paraId="1D236835" w14:textId="03C44BAE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0.95 – 1.02</w:t>
            </w:r>
          </w:p>
        </w:tc>
        <w:tc>
          <w:tcPr>
            <w:tcW w:w="780" w:type="dxa"/>
            <w:hideMark/>
          </w:tcPr>
          <w:p w14:paraId="72618B4C" w14:textId="0FCB7ADA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0.308</w:t>
            </w:r>
          </w:p>
        </w:tc>
        <w:tc>
          <w:tcPr>
            <w:tcW w:w="600" w:type="dxa"/>
            <w:hideMark/>
          </w:tcPr>
          <w:p w14:paraId="2329DED8" w14:textId="5F89A434" w:rsidR="002F0705" w:rsidRPr="00693FA6" w:rsidRDefault="002F0705" w:rsidP="002F0705">
            <w:r>
              <w:t>0.98</w:t>
            </w:r>
          </w:p>
        </w:tc>
        <w:tc>
          <w:tcPr>
            <w:tcW w:w="1140" w:type="dxa"/>
            <w:hideMark/>
          </w:tcPr>
          <w:p w14:paraId="1856BE3E" w14:textId="7FDE2753" w:rsidR="002F0705" w:rsidRPr="00693FA6" w:rsidRDefault="002F0705" w:rsidP="002F0705">
            <w:r>
              <w:t>0.95 – 1.02</w:t>
            </w:r>
          </w:p>
        </w:tc>
        <w:tc>
          <w:tcPr>
            <w:tcW w:w="855" w:type="dxa"/>
            <w:hideMark/>
          </w:tcPr>
          <w:p w14:paraId="52CD05B9" w14:textId="3BD67C4E" w:rsidR="002F0705" w:rsidRPr="00693FA6" w:rsidRDefault="002F0705" w:rsidP="002F0705">
            <w:r>
              <w:t>0.314</w:t>
            </w:r>
          </w:p>
        </w:tc>
      </w:tr>
      <w:tr w:rsidR="002F0705" w:rsidRPr="00693FA6" w14:paraId="2E84236E" w14:textId="77777777" w:rsidTr="0084054F">
        <w:trPr>
          <w:tblCellSpacing w:w="15" w:type="dxa"/>
        </w:trPr>
        <w:tc>
          <w:tcPr>
            <w:tcW w:w="2650" w:type="dxa"/>
            <w:vAlign w:val="center"/>
            <w:hideMark/>
          </w:tcPr>
          <w:p w14:paraId="1914345D" w14:textId="77777777" w:rsidR="002F0705" w:rsidRPr="00693FA6" w:rsidRDefault="002F0705" w:rsidP="002F0705">
            <w:r w:rsidRPr="00693FA6">
              <w:t>% Foreign born</w:t>
            </w:r>
          </w:p>
        </w:tc>
        <w:tc>
          <w:tcPr>
            <w:tcW w:w="600" w:type="dxa"/>
            <w:hideMark/>
          </w:tcPr>
          <w:p w14:paraId="37298444" w14:textId="77777777" w:rsidR="002F0705" w:rsidRPr="00693FA6" w:rsidRDefault="002F0705" w:rsidP="002F0705"/>
        </w:tc>
        <w:tc>
          <w:tcPr>
            <w:tcW w:w="1140" w:type="dxa"/>
            <w:hideMark/>
          </w:tcPr>
          <w:p w14:paraId="4EC3EC2F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hideMark/>
          </w:tcPr>
          <w:p w14:paraId="4D48ABDA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77F5AFCC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27660AA4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hideMark/>
          </w:tcPr>
          <w:p w14:paraId="10B2EDDA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3B5B877B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416957DE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hideMark/>
          </w:tcPr>
          <w:p w14:paraId="015CC5DB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5F1F0CBE" w14:textId="010A685D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1.00</w:t>
            </w:r>
          </w:p>
        </w:tc>
        <w:tc>
          <w:tcPr>
            <w:tcW w:w="1140" w:type="dxa"/>
            <w:hideMark/>
          </w:tcPr>
          <w:p w14:paraId="4538B8FB" w14:textId="7D9C7585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0.97 – 1.02</w:t>
            </w:r>
          </w:p>
        </w:tc>
        <w:tc>
          <w:tcPr>
            <w:tcW w:w="780" w:type="dxa"/>
            <w:hideMark/>
          </w:tcPr>
          <w:p w14:paraId="2C1D3FF7" w14:textId="486BAE87" w:rsidR="002F0705" w:rsidRPr="00693FA6" w:rsidRDefault="002F0705" w:rsidP="002F0705">
            <w:pPr>
              <w:rPr>
                <w:sz w:val="20"/>
                <w:szCs w:val="20"/>
              </w:rPr>
            </w:pPr>
            <w:r>
              <w:t>0.834</w:t>
            </w:r>
          </w:p>
        </w:tc>
        <w:tc>
          <w:tcPr>
            <w:tcW w:w="600" w:type="dxa"/>
            <w:hideMark/>
          </w:tcPr>
          <w:p w14:paraId="792BA4D8" w14:textId="0D7D0E28" w:rsidR="002F0705" w:rsidRPr="00693FA6" w:rsidRDefault="002F0705" w:rsidP="002F0705">
            <w:r>
              <w:t>1.00</w:t>
            </w:r>
          </w:p>
        </w:tc>
        <w:tc>
          <w:tcPr>
            <w:tcW w:w="1140" w:type="dxa"/>
            <w:hideMark/>
          </w:tcPr>
          <w:p w14:paraId="1A5FE290" w14:textId="13AD07B2" w:rsidR="002F0705" w:rsidRPr="00693FA6" w:rsidRDefault="002F0705" w:rsidP="002F0705">
            <w:r>
              <w:t>0.97 – 1.02</w:t>
            </w:r>
          </w:p>
        </w:tc>
        <w:tc>
          <w:tcPr>
            <w:tcW w:w="855" w:type="dxa"/>
            <w:hideMark/>
          </w:tcPr>
          <w:p w14:paraId="6B837DF5" w14:textId="3B01919D" w:rsidR="002F0705" w:rsidRPr="00693FA6" w:rsidRDefault="002F0705" w:rsidP="002F0705">
            <w:r>
              <w:t>0.864</w:t>
            </w:r>
          </w:p>
        </w:tc>
      </w:tr>
      <w:tr w:rsidR="002F0705" w:rsidRPr="00693FA6" w14:paraId="056847A8" w14:textId="77777777" w:rsidTr="0084054F">
        <w:trPr>
          <w:tblCellSpacing w:w="15" w:type="dxa"/>
        </w:trPr>
        <w:tc>
          <w:tcPr>
            <w:tcW w:w="2650" w:type="dxa"/>
            <w:vAlign w:val="center"/>
          </w:tcPr>
          <w:p w14:paraId="1E4FFD84" w14:textId="6EFFEBC7" w:rsidR="002F0705" w:rsidRPr="00693FA6" w:rsidRDefault="002F0705" w:rsidP="002F0705">
            <w:r w:rsidRPr="00693FA6">
              <w:t>Metro [Rural] × % Unemployed</w:t>
            </w:r>
          </w:p>
        </w:tc>
        <w:tc>
          <w:tcPr>
            <w:tcW w:w="600" w:type="dxa"/>
          </w:tcPr>
          <w:p w14:paraId="7DBD8086" w14:textId="77777777" w:rsidR="002F0705" w:rsidRPr="00693FA6" w:rsidRDefault="002F0705" w:rsidP="002F0705"/>
        </w:tc>
        <w:tc>
          <w:tcPr>
            <w:tcW w:w="1140" w:type="dxa"/>
          </w:tcPr>
          <w:p w14:paraId="69F89122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14:paraId="7FE4BA50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14:paraId="04CC7DA9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33FD73C5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14:paraId="1D4F08F6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14:paraId="7C178846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2DD3ED80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14:paraId="364B1BF2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14:paraId="7A7BE196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7D8A2D0D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14:paraId="38EF4BC7" w14:textId="77777777" w:rsidR="002F0705" w:rsidRPr="00693FA6" w:rsidRDefault="002F0705" w:rsidP="002F07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14:paraId="4F3AD51A" w14:textId="2BCFCA40" w:rsidR="002F0705" w:rsidRPr="00693FA6" w:rsidRDefault="002F0705" w:rsidP="002F0705">
            <w:r>
              <w:t>1.06</w:t>
            </w:r>
          </w:p>
        </w:tc>
        <w:tc>
          <w:tcPr>
            <w:tcW w:w="1140" w:type="dxa"/>
          </w:tcPr>
          <w:p w14:paraId="1F0E2F0C" w14:textId="4B0E4D7C" w:rsidR="002F0705" w:rsidRPr="00693FA6" w:rsidRDefault="002F0705" w:rsidP="002F0705">
            <w:r>
              <w:t>1.01 – 1.11</w:t>
            </w:r>
          </w:p>
        </w:tc>
        <w:tc>
          <w:tcPr>
            <w:tcW w:w="855" w:type="dxa"/>
          </w:tcPr>
          <w:p w14:paraId="7E2FA8B6" w14:textId="102C5F33" w:rsidR="002F0705" w:rsidRPr="00693FA6" w:rsidRDefault="002F0705" w:rsidP="002F0705">
            <w:pPr>
              <w:rPr>
                <w:b/>
                <w:bCs/>
              </w:rPr>
            </w:pPr>
            <w:r>
              <w:rPr>
                <w:rStyle w:val="Strong"/>
                <w:rFonts w:eastAsiaTheme="majorEastAsia"/>
              </w:rPr>
              <w:t>0.024</w:t>
            </w:r>
          </w:p>
        </w:tc>
      </w:tr>
      <w:tr w:rsidR="003C181F" w:rsidRPr="00693FA6" w14:paraId="4B19F0CE" w14:textId="77777777" w:rsidTr="003C181F">
        <w:trPr>
          <w:tblCellSpacing w:w="15" w:type="dxa"/>
        </w:trPr>
        <w:tc>
          <w:tcPr>
            <w:tcW w:w="2650" w:type="dxa"/>
            <w:vAlign w:val="center"/>
          </w:tcPr>
          <w:p w14:paraId="01C196F9" w14:textId="61FD2369" w:rsidR="003C181F" w:rsidRPr="00653318" w:rsidRDefault="003C181F" w:rsidP="00C152AF">
            <w:r w:rsidRPr="00653318">
              <w:rPr>
                <w:b/>
                <w:bCs/>
                <w:color w:val="000000"/>
                <w:shd w:val="clear" w:color="auto" w:fill="FFFFFF"/>
              </w:rPr>
              <w:t>Random Effects</w:t>
            </w:r>
          </w:p>
        </w:tc>
        <w:tc>
          <w:tcPr>
            <w:tcW w:w="13095" w:type="dxa"/>
            <w:gridSpan w:val="15"/>
          </w:tcPr>
          <w:p w14:paraId="740A52DD" w14:textId="77777777" w:rsidR="003C181F" w:rsidRPr="00693FA6" w:rsidRDefault="003C181F" w:rsidP="00C152AF"/>
        </w:tc>
      </w:tr>
      <w:tr w:rsidR="003C181F" w:rsidRPr="00693FA6" w14:paraId="46DB20DA" w14:textId="77777777" w:rsidTr="00C152AF">
        <w:trPr>
          <w:tblCellSpacing w:w="15" w:type="dxa"/>
        </w:trPr>
        <w:tc>
          <w:tcPr>
            <w:tcW w:w="2650" w:type="dxa"/>
            <w:vAlign w:val="center"/>
          </w:tcPr>
          <w:p w14:paraId="3CFB3031" w14:textId="2FE481D4" w:rsidR="003C181F" w:rsidRPr="00C33369" w:rsidRDefault="003C181F" w:rsidP="003C181F">
            <w:r w:rsidRPr="00C33369">
              <w:rPr>
                <w:color w:val="000000"/>
                <w:shd w:val="clear" w:color="auto" w:fill="FFFFFF"/>
              </w:rPr>
              <w:t>σ</w:t>
            </w:r>
            <w:r w:rsidRPr="00C33369">
              <w:rPr>
                <w:color w:val="00000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580" w:type="dxa"/>
            <w:gridSpan w:val="3"/>
          </w:tcPr>
          <w:p w14:paraId="0B74A8D6" w14:textId="0CA672EB" w:rsidR="003C181F" w:rsidRPr="00C33369" w:rsidRDefault="003C181F" w:rsidP="003C181F">
            <w:r w:rsidRPr="00C33369">
              <w:t>2.32</w:t>
            </w:r>
          </w:p>
        </w:tc>
        <w:tc>
          <w:tcPr>
            <w:tcW w:w="2580" w:type="dxa"/>
            <w:gridSpan w:val="3"/>
          </w:tcPr>
          <w:p w14:paraId="157DD5D6" w14:textId="6893681A" w:rsidR="003C181F" w:rsidRPr="00C33369" w:rsidRDefault="003C181F" w:rsidP="003C181F">
            <w:r w:rsidRPr="00C33369">
              <w:t>2.32</w:t>
            </w:r>
          </w:p>
        </w:tc>
        <w:tc>
          <w:tcPr>
            <w:tcW w:w="2580" w:type="dxa"/>
            <w:gridSpan w:val="3"/>
          </w:tcPr>
          <w:p w14:paraId="17814025" w14:textId="7A0D9944" w:rsidR="003C181F" w:rsidRPr="00C33369" w:rsidRDefault="003C181F" w:rsidP="003C181F">
            <w:r w:rsidRPr="00C33369">
              <w:t>2.32</w:t>
            </w:r>
          </w:p>
        </w:tc>
        <w:tc>
          <w:tcPr>
            <w:tcW w:w="2580" w:type="dxa"/>
            <w:gridSpan w:val="3"/>
          </w:tcPr>
          <w:p w14:paraId="54869745" w14:textId="76BDAE26" w:rsidR="003C181F" w:rsidRPr="00C33369" w:rsidRDefault="003C181F" w:rsidP="003C181F">
            <w:r w:rsidRPr="00C33369">
              <w:t>2.32</w:t>
            </w:r>
          </w:p>
        </w:tc>
        <w:tc>
          <w:tcPr>
            <w:tcW w:w="2655" w:type="dxa"/>
            <w:gridSpan w:val="3"/>
          </w:tcPr>
          <w:p w14:paraId="4A660503" w14:textId="65CEF019" w:rsidR="003C181F" w:rsidRPr="00C33369" w:rsidRDefault="003C181F" w:rsidP="003C181F">
            <w:r w:rsidRPr="00C33369">
              <w:t>2.32</w:t>
            </w:r>
          </w:p>
        </w:tc>
      </w:tr>
      <w:tr w:rsidR="003C181F" w:rsidRPr="00693FA6" w14:paraId="4C896BEE" w14:textId="77777777" w:rsidTr="00C152AF">
        <w:trPr>
          <w:tblCellSpacing w:w="15" w:type="dxa"/>
        </w:trPr>
        <w:tc>
          <w:tcPr>
            <w:tcW w:w="2650" w:type="dxa"/>
            <w:vAlign w:val="center"/>
          </w:tcPr>
          <w:p w14:paraId="5F882016" w14:textId="39601358" w:rsidR="003C181F" w:rsidRPr="00C33369" w:rsidRDefault="003C181F" w:rsidP="003C181F">
            <w:r w:rsidRPr="00C33369">
              <w:rPr>
                <w:color w:val="000000"/>
                <w:shd w:val="clear" w:color="auto" w:fill="FFFFFF"/>
              </w:rPr>
              <w:t>τ</w:t>
            </w:r>
            <w:r w:rsidRPr="00C33369">
              <w:rPr>
                <w:color w:val="000000"/>
                <w:shd w:val="clear" w:color="auto" w:fill="FFFFFF"/>
                <w:vertAlign w:val="subscript"/>
              </w:rPr>
              <w:t>00</w:t>
            </w:r>
          </w:p>
        </w:tc>
        <w:tc>
          <w:tcPr>
            <w:tcW w:w="2580" w:type="dxa"/>
            <w:gridSpan w:val="3"/>
          </w:tcPr>
          <w:p w14:paraId="0443E47B" w14:textId="4EDDD881" w:rsidR="003C181F" w:rsidRPr="00C33369" w:rsidRDefault="003C181F" w:rsidP="003C181F">
            <w:r w:rsidRPr="00C33369">
              <w:t>0.02 </w:t>
            </w:r>
            <w:r w:rsidRPr="00C33369">
              <w:rPr>
                <w:vertAlign w:val="subscript"/>
              </w:rPr>
              <w:t>zip</w:t>
            </w:r>
          </w:p>
        </w:tc>
        <w:tc>
          <w:tcPr>
            <w:tcW w:w="2580" w:type="dxa"/>
            <w:gridSpan w:val="3"/>
          </w:tcPr>
          <w:p w14:paraId="3BA0F928" w14:textId="2FC7BC82" w:rsidR="003C181F" w:rsidRPr="00C33369" w:rsidRDefault="003C181F" w:rsidP="003C181F">
            <w:r w:rsidRPr="00C33369">
              <w:t>0.02 </w:t>
            </w:r>
            <w:r w:rsidRPr="00C33369">
              <w:rPr>
                <w:vertAlign w:val="subscript"/>
              </w:rPr>
              <w:t>zip</w:t>
            </w:r>
          </w:p>
        </w:tc>
        <w:tc>
          <w:tcPr>
            <w:tcW w:w="2580" w:type="dxa"/>
            <w:gridSpan w:val="3"/>
          </w:tcPr>
          <w:p w14:paraId="29834F65" w14:textId="1C97936E" w:rsidR="003C181F" w:rsidRPr="00C33369" w:rsidRDefault="003C181F" w:rsidP="003C181F">
            <w:r w:rsidRPr="00C33369">
              <w:t>0.02 </w:t>
            </w:r>
            <w:r w:rsidRPr="00C33369">
              <w:rPr>
                <w:vertAlign w:val="subscript"/>
              </w:rPr>
              <w:t>zip</w:t>
            </w:r>
          </w:p>
        </w:tc>
        <w:tc>
          <w:tcPr>
            <w:tcW w:w="2580" w:type="dxa"/>
            <w:gridSpan w:val="3"/>
          </w:tcPr>
          <w:p w14:paraId="2D89A3B1" w14:textId="7DFFB262" w:rsidR="003C181F" w:rsidRPr="00C33369" w:rsidRDefault="003C181F" w:rsidP="003C181F">
            <w:r w:rsidRPr="00C33369">
              <w:t>0.02 </w:t>
            </w:r>
            <w:r w:rsidRPr="00C33369">
              <w:rPr>
                <w:vertAlign w:val="subscript"/>
              </w:rPr>
              <w:t>zip</w:t>
            </w:r>
          </w:p>
        </w:tc>
        <w:tc>
          <w:tcPr>
            <w:tcW w:w="2655" w:type="dxa"/>
            <w:gridSpan w:val="3"/>
          </w:tcPr>
          <w:p w14:paraId="14599A84" w14:textId="556B481F" w:rsidR="003C181F" w:rsidRPr="00C33369" w:rsidRDefault="003C181F" w:rsidP="003C181F">
            <w:r w:rsidRPr="00C33369">
              <w:t>0.02 </w:t>
            </w:r>
            <w:r w:rsidRPr="00C33369">
              <w:rPr>
                <w:vertAlign w:val="subscript"/>
              </w:rPr>
              <w:t>zip</w:t>
            </w:r>
          </w:p>
        </w:tc>
      </w:tr>
      <w:tr w:rsidR="003C181F" w:rsidRPr="00693FA6" w14:paraId="68BF08BF" w14:textId="77777777" w:rsidTr="00C152AF">
        <w:trPr>
          <w:tblCellSpacing w:w="15" w:type="dxa"/>
        </w:trPr>
        <w:tc>
          <w:tcPr>
            <w:tcW w:w="2650" w:type="dxa"/>
            <w:vAlign w:val="center"/>
          </w:tcPr>
          <w:p w14:paraId="2CD60E32" w14:textId="4B22076E" w:rsidR="003C181F" w:rsidRPr="00C33369" w:rsidRDefault="003C181F" w:rsidP="003C181F">
            <w:r w:rsidRPr="00C33369">
              <w:rPr>
                <w:color w:val="000000"/>
                <w:shd w:val="clear" w:color="auto" w:fill="FFFFFF"/>
              </w:rPr>
              <w:t>τ</w:t>
            </w:r>
            <w:r w:rsidRPr="00C33369">
              <w:rPr>
                <w:color w:val="000000"/>
                <w:shd w:val="clear" w:color="auto" w:fill="FFFFFF"/>
                <w:vertAlign w:val="subscript"/>
              </w:rPr>
              <w:t>11</w:t>
            </w:r>
          </w:p>
        </w:tc>
        <w:tc>
          <w:tcPr>
            <w:tcW w:w="2580" w:type="dxa"/>
            <w:gridSpan w:val="3"/>
          </w:tcPr>
          <w:p w14:paraId="2AEB56ED" w14:textId="3F319649" w:rsidR="003C181F" w:rsidRPr="00C33369" w:rsidRDefault="003C181F" w:rsidP="003C181F"/>
        </w:tc>
        <w:tc>
          <w:tcPr>
            <w:tcW w:w="2580" w:type="dxa"/>
            <w:gridSpan w:val="3"/>
          </w:tcPr>
          <w:p w14:paraId="217295DF" w14:textId="7C847827" w:rsidR="003C181F" w:rsidRPr="00C33369" w:rsidRDefault="003C181F" w:rsidP="003C181F">
            <w:r w:rsidRPr="00C33369">
              <w:t>0.00 </w:t>
            </w:r>
            <w:proofErr w:type="spellStart"/>
            <w:r w:rsidRPr="00C33369">
              <w:rPr>
                <w:vertAlign w:val="subscript"/>
              </w:rPr>
              <w:t>zip.sdi</w:t>
            </w:r>
            <w:proofErr w:type="spellEnd"/>
          </w:p>
        </w:tc>
        <w:tc>
          <w:tcPr>
            <w:tcW w:w="2580" w:type="dxa"/>
            <w:gridSpan w:val="3"/>
          </w:tcPr>
          <w:p w14:paraId="43EC4256" w14:textId="0102607D" w:rsidR="003C181F" w:rsidRPr="00C33369" w:rsidRDefault="003C181F" w:rsidP="003C181F">
            <w:r w:rsidRPr="00C33369">
              <w:t>0.00 </w:t>
            </w:r>
            <w:proofErr w:type="spellStart"/>
            <w:r w:rsidRPr="00C33369">
              <w:rPr>
                <w:vertAlign w:val="subscript"/>
              </w:rPr>
              <w:t>zip.sdi</w:t>
            </w:r>
            <w:proofErr w:type="spellEnd"/>
          </w:p>
        </w:tc>
        <w:tc>
          <w:tcPr>
            <w:tcW w:w="2580" w:type="dxa"/>
            <w:gridSpan w:val="3"/>
          </w:tcPr>
          <w:p w14:paraId="59B9AB2B" w14:textId="28167C24" w:rsidR="003C181F" w:rsidRPr="00C33369" w:rsidRDefault="003C181F" w:rsidP="003C181F"/>
        </w:tc>
        <w:tc>
          <w:tcPr>
            <w:tcW w:w="2655" w:type="dxa"/>
            <w:gridSpan w:val="3"/>
          </w:tcPr>
          <w:p w14:paraId="42E866DD" w14:textId="610C188B" w:rsidR="003C181F" w:rsidRPr="00C33369" w:rsidRDefault="003C181F" w:rsidP="003C181F"/>
        </w:tc>
      </w:tr>
      <w:tr w:rsidR="003C181F" w:rsidRPr="00693FA6" w14:paraId="57A43257" w14:textId="77777777" w:rsidTr="00C152AF">
        <w:trPr>
          <w:tblCellSpacing w:w="15" w:type="dxa"/>
        </w:trPr>
        <w:tc>
          <w:tcPr>
            <w:tcW w:w="2650" w:type="dxa"/>
            <w:vAlign w:val="center"/>
          </w:tcPr>
          <w:p w14:paraId="03BF66C6" w14:textId="76C05376" w:rsidR="003C181F" w:rsidRPr="00C33369" w:rsidRDefault="003C181F" w:rsidP="003C181F">
            <w:r w:rsidRPr="00C33369">
              <w:rPr>
                <w:color w:val="000000"/>
                <w:shd w:val="clear" w:color="auto" w:fill="FFFFFF"/>
              </w:rPr>
              <w:t>ρ</w:t>
            </w:r>
            <w:r w:rsidRPr="00C33369">
              <w:rPr>
                <w:color w:val="000000"/>
                <w:shd w:val="clear" w:color="auto" w:fill="FFFFFF"/>
                <w:vertAlign w:val="subscript"/>
              </w:rPr>
              <w:t>01</w:t>
            </w:r>
          </w:p>
        </w:tc>
        <w:tc>
          <w:tcPr>
            <w:tcW w:w="2580" w:type="dxa"/>
            <w:gridSpan w:val="3"/>
          </w:tcPr>
          <w:p w14:paraId="60D6762C" w14:textId="77777777" w:rsidR="003C181F" w:rsidRPr="00C33369" w:rsidRDefault="003C181F" w:rsidP="003C181F"/>
        </w:tc>
        <w:tc>
          <w:tcPr>
            <w:tcW w:w="2580" w:type="dxa"/>
            <w:gridSpan w:val="3"/>
          </w:tcPr>
          <w:p w14:paraId="1E805153" w14:textId="533C59AD" w:rsidR="003C181F" w:rsidRPr="00C33369" w:rsidRDefault="003C181F" w:rsidP="003C181F">
            <w:r w:rsidRPr="00C33369">
              <w:t>0.85 </w:t>
            </w:r>
            <w:r w:rsidRPr="00C33369">
              <w:rPr>
                <w:vertAlign w:val="subscript"/>
              </w:rPr>
              <w:t>zip</w:t>
            </w:r>
          </w:p>
        </w:tc>
        <w:tc>
          <w:tcPr>
            <w:tcW w:w="2580" w:type="dxa"/>
            <w:gridSpan w:val="3"/>
          </w:tcPr>
          <w:p w14:paraId="3BBCA0BD" w14:textId="4D491984" w:rsidR="003C181F" w:rsidRPr="00C33369" w:rsidRDefault="003C181F" w:rsidP="003C181F">
            <w:r w:rsidRPr="00C33369">
              <w:t>0.93 </w:t>
            </w:r>
            <w:r w:rsidRPr="00C33369">
              <w:rPr>
                <w:vertAlign w:val="subscript"/>
              </w:rPr>
              <w:t>zip</w:t>
            </w:r>
          </w:p>
        </w:tc>
        <w:tc>
          <w:tcPr>
            <w:tcW w:w="2580" w:type="dxa"/>
            <w:gridSpan w:val="3"/>
          </w:tcPr>
          <w:p w14:paraId="4E6F465B" w14:textId="77777777" w:rsidR="003C181F" w:rsidRPr="00C33369" w:rsidRDefault="003C181F" w:rsidP="003C181F"/>
        </w:tc>
        <w:tc>
          <w:tcPr>
            <w:tcW w:w="2655" w:type="dxa"/>
            <w:gridSpan w:val="3"/>
          </w:tcPr>
          <w:p w14:paraId="1DEAE6C7" w14:textId="77777777" w:rsidR="003C181F" w:rsidRPr="00C33369" w:rsidRDefault="003C181F" w:rsidP="003C181F"/>
        </w:tc>
      </w:tr>
      <w:tr w:rsidR="00875127" w:rsidRPr="00693FA6" w14:paraId="32CB2114" w14:textId="77777777" w:rsidTr="00C152AF">
        <w:trPr>
          <w:tblCellSpacing w:w="15" w:type="dxa"/>
        </w:trPr>
        <w:tc>
          <w:tcPr>
            <w:tcW w:w="2650" w:type="dxa"/>
            <w:vAlign w:val="center"/>
          </w:tcPr>
          <w:p w14:paraId="0AC5838B" w14:textId="74232F9D" w:rsidR="00875127" w:rsidRPr="00C33369" w:rsidRDefault="00875127" w:rsidP="00875127">
            <w:r w:rsidRPr="00C33369">
              <w:rPr>
                <w:color w:val="000000"/>
                <w:shd w:val="clear" w:color="auto" w:fill="FFFFFF"/>
              </w:rPr>
              <w:t>ICC</w:t>
            </w:r>
          </w:p>
        </w:tc>
        <w:tc>
          <w:tcPr>
            <w:tcW w:w="2580" w:type="dxa"/>
            <w:gridSpan w:val="3"/>
          </w:tcPr>
          <w:p w14:paraId="56542DA8" w14:textId="6EBAF488" w:rsidR="00875127" w:rsidRPr="00C33369" w:rsidRDefault="00875127" w:rsidP="00875127">
            <w:r w:rsidRPr="00C33369">
              <w:t>0.01</w:t>
            </w:r>
          </w:p>
        </w:tc>
        <w:tc>
          <w:tcPr>
            <w:tcW w:w="2580" w:type="dxa"/>
            <w:gridSpan w:val="3"/>
          </w:tcPr>
          <w:p w14:paraId="76686EC7" w14:textId="0A00C04E" w:rsidR="00875127" w:rsidRPr="00C33369" w:rsidRDefault="00875127" w:rsidP="00875127">
            <w:r w:rsidRPr="00C33369">
              <w:t>0.01</w:t>
            </w:r>
          </w:p>
        </w:tc>
        <w:tc>
          <w:tcPr>
            <w:tcW w:w="2580" w:type="dxa"/>
            <w:gridSpan w:val="3"/>
          </w:tcPr>
          <w:p w14:paraId="1F6EC5F3" w14:textId="59DE357E" w:rsidR="00875127" w:rsidRPr="00C33369" w:rsidRDefault="00875127" w:rsidP="00875127">
            <w:r w:rsidRPr="00C33369">
              <w:t>0.01</w:t>
            </w:r>
          </w:p>
        </w:tc>
        <w:tc>
          <w:tcPr>
            <w:tcW w:w="2580" w:type="dxa"/>
            <w:gridSpan w:val="3"/>
          </w:tcPr>
          <w:p w14:paraId="77ACC647" w14:textId="77D83B1F" w:rsidR="00875127" w:rsidRPr="00C33369" w:rsidRDefault="00875127" w:rsidP="00875127">
            <w:r w:rsidRPr="00C33369">
              <w:t>0.01</w:t>
            </w:r>
          </w:p>
        </w:tc>
        <w:tc>
          <w:tcPr>
            <w:tcW w:w="2655" w:type="dxa"/>
            <w:gridSpan w:val="3"/>
          </w:tcPr>
          <w:p w14:paraId="3A3F8B2D" w14:textId="3D610661" w:rsidR="00875127" w:rsidRPr="00C33369" w:rsidRDefault="00875127" w:rsidP="00875127">
            <w:r w:rsidRPr="00C33369">
              <w:t>0.01</w:t>
            </w:r>
          </w:p>
        </w:tc>
      </w:tr>
      <w:tr w:rsidR="003C181F" w:rsidRPr="00693FA6" w14:paraId="52D65528" w14:textId="77777777" w:rsidTr="00C152AF">
        <w:trPr>
          <w:tblCellSpacing w:w="15" w:type="dxa"/>
        </w:trPr>
        <w:tc>
          <w:tcPr>
            <w:tcW w:w="2650" w:type="dxa"/>
            <w:vAlign w:val="center"/>
          </w:tcPr>
          <w:p w14:paraId="24B877B3" w14:textId="6AE38B85" w:rsidR="003C181F" w:rsidRPr="00C33369" w:rsidRDefault="003C181F" w:rsidP="003C181F">
            <w:r w:rsidRPr="00C33369">
              <w:rPr>
                <w:color w:val="000000"/>
                <w:shd w:val="clear" w:color="auto" w:fill="FFFFFF"/>
              </w:rPr>
              <w:t>N</w:t>
            </w:r>
          </w:p>
        </w:tc>
        <w:tc>
          <w:tcPr>
            <w:tcW w:w="2580" w:type="dxa"/>
            <w:gridSpan w:val="3"/>
          </w:tcPr>
          <w:p w14:paraId="53D4CB65" w14:textId="100F8D1E" w:rsidR="003C181F" w:rsidRPr="00C33369" w:rsidRDefault="003C181F" w:rsidP="003C181F">
            <w:r w:rsidRPr="00C33369">
              <w:t>949 </w:t>
            </w:r>
            <w:proofErr w:type="gramStart"/>
            <w:r w:rsidRPr="00C33369">
              <w:rPr>
                <w:vertAlign w:val="subscript"/>
              </w:rPr>
              <w:t>zip</w:t>
            </w:r>
            <w:proofErr w:type="gramEnd"/>
          </w:p>
        </w:tc>
        <w:tc>
          <w:tcPr>
            <w:tcW w:w="2580" w:type="dxa"/>
            <w:gridSpan w:val="3"/>
          </w:tcPr>
          <w:p w14:paraId="258BB277" w14:textId="3FA57737" w:rsidR="003C181F" w:rsidRPr="00C33369" w:rsidRDefault="003C181F" w:rsidP="003C181F">
            <w:r w:rsidRPr="00C33369">
              <w:t>949 </w:t>
            </w:r>
            <w:proofErr w:type="gramStart"/>
            <w:r w:rsidRPr="00C33369">
              <w:rPr>
                <w:vertAlign w:val="subscript"/>
              </w:rPr>
              <w:t>zip</w:t>
            </w:r>
            <w:proofErr w:type="gramEnd"/>
          </w:p>
        </w:tc>
        <w:tc>
          <w:tcPr>
            <w:tcW w:w="2580" w:type="dxa"/>
            <w:gridSpan w:val="3"/>
          </w:tcPr>
          <w:p w14:paraId="7B4A51B9" w14:textId="49DB3F1D" w:rsidR="003C181F" w:rsidRPr="00C33369" w:rsidRDefault="003C181F" w:rsidP="003C181F">
            <w:r w:rsidRPr="00C33369">
              <w:t>949 </w:t>
            </w:r>
            <w:proofErr w:type="gramStart"/>
            <w:r w:rsidRPr="00C33369">
              <w:rPr>
                <w:vertAlign w:val="subscript"/>
              </w:rPr>
              <w:t>zip</w:t>
            </w:r>
            <w:proofErr w:type="gramEnd"/>
          </w:p>
        </w:tc>
        <w:tc>
          <w:tcPr>
            <w:tcW w:w="2580" w:type="dxa"/>
            <w:gridSpan w:val="3"/>
          </w:tcPr>
          <w:p w14:paraId="6D2E25E2" w14:textId="7B1115F8" w:rsidR="003C181F" w:rsidRPr="00C33369" w:rsidRDefault="003C181F" w:rsidP="003C181F">
            <w:r w:rsidRPr="00C33369">
              <w:t>949 </w:t>
            </w:r>
            <w:proofErr w:type="gramStart"/>
            <w:r w:rsidRPr="00C33369">
              <w:rPr>
                <w:vertAlign w:val="subscript"/>
              </w:rPr>
              <w:t>zip</w:t>
            </w:r>
            <w:proofErr w:type="gramEnd"/>
          </w:p>
        </w:tc>
        <w:tc>
          <w:tcPr>
            <w:tcW w:w="2655" w:type="dxa"/>
            <w:gridSpan w:val="3"/>
          </w:tcPr>
          <w:p w14:paraId="1E703CB9" w14:textId="5984D483" w:rsidR="003C181F" w:rsidRPr="00C33369" w:rsidRDefault="003C181F" w:rsidP="003C181F">
            <w:r w:rsidRPr="00C33369">
              <w:t>949 </w:t>
            </w:r>
            <w:proofErr w:type="gramStart"/>
            <w:r w:rsidRPr="00C33369">
              <w:rPr>
                <w:vertAlign w:val="subscript"/>
              </w:rPr>
              <w:t>zip</w:t>
            </w:r>
            <w:proofErr w:type="gramEnd"/>
          </w:p>
        </w:tc>
      </w:tr>
      <w:tr w:rsidR="003C181F" w:rsidRPr="00693FA6" w14:paraId="24604A4A" w14:textId="77777777" w:rsidTr="00C152AF">
        <w:trPr>
          <w:tblCellSpacing w:w="15" w:type="dxa"/>
        </w:trPr>
        <w:tc>
          <w:tcPr>
            <w:tcW w:w="2650" w:type="dxa"/>
            <w:vAlign w:val="center"/>
            <w:hideMark/>
          </w:tcPr>
          <w:p w14:paraId="0C919D20" w14:textId="77777777" w:rsidR="003C181F" w:rsidRPr="00C33369" w:rsidRDefault="003C181F" w:rsidP="003C181F">
            <w:r w:rsidRPr="00C33369">
              <w:t>Observations</w:t>
            </w:r>
          </w:p>
        </w:tc>
        <w:tc>
          <w:tcPr>
            <w:tcW w:w="2580" w:type="dxa"/>
            <w:gridSpan w:val="3"/>
            <w:hideMark/>
          </w:tcPr>
          <w:p w14:paraId="494584BB" w14:textId="77777777" w:rsidR="003C181F" w:rsidRPr="00C33369" w:rsidRDefault="003C181F" w:rsidP="003C181F">
            <w:r w:rsidRPr="00C33369">
              <w:t>11996</w:t>
            </w:r>
          </w:p>
        </w:tc>
        <w:tc>
          <w:tcPr>
            <w:tcW w:w="2580" w:type="dxa"/>
            <w:gridSpan w:val="3"/>
            <w:hideMark/>
          </w:tcPr>
          <w:p w14:paraId="0B01C4F1" w14:textId="77777777" w:rsidR="003C181F" w:rsidRPr="00C33369" w:rsidRDefault="003C181F" w:rsidP="003C181F">
            <w:r w:rsidRPr="00C33369">
              <w:t>11996</w:t>
            </w:r>
          </w:p>
        </w:tc>
        <w:tc>
          <w:tcPr>
            <w:tcW w:w="2580" w:type="dxa"/>
            <w:gridSpan w:val="3"/>
            <w:hideMark/>
          </w:tcPr>
          <w:p w14:paraId="5DECFE35" w14:textId="77777777" w:rsidR="003C181F" w:rsidRPr="00C33369" w:rsidRDefault="003C181F" w:rsidP="003C181F">
            <w:r w:rsidRPr="00C33369">
              <w:t>11996</w:t>
            </w:r>
          </w:p>
        </w:tc>
        <w:tc>
          <w:tcPr>
            <w:tcW w:w="2580" w:type="dxa"/>
            <w:gridSpan w:val="3"/>
            <w:hideMark/>
          </w:tcPr>
          <w:p w14:paraId="67E11AFB" w14:textId="77777777" w:rsidR="003C181F" w:rsidRPr="00C33369" w:rsidRDefault="003C181F" w:rsidP="003C181F">
            <w:r w:rsidRPr="00C33369">
              <w:t>11996</w:t>
            </w:r>
          </w:p>
        </w:tc>
        <w:tc>
          <w:tcPr>
            <w:tcW w:w="2655" w:type="dxa"/>
            <w:gridSpan w:val="3"/>
            <w:hideMark/>
          </w:tcPr>
          <w:p w14:paraId="41D50652" w14:textId="77777777" w:rsidR="003C181F" w:rsidRPr="00C33369" w:rsidRDefault="003C181F" w:rsidP="003C181F">
            <w:r w:rsidRPr="00C33369">
              <w:t>11996</w:t>
            </w:r>
          </w:p>
        </w:tc>
      </w:tr>
      <w:tr w:rsidR="003C181F" w:rsidRPr="00693FA6" w14:paraId="6C875C39" w14:textId="77777777" w:rsidTr="00C152AF">
        <w:trPr>
          <w:tblCellSpacing w:w="15" w:type="dxa"/>
        </w:trPr>
        <w:tc>
          <w:tcPr>
            <w:tcW w:w="2650" w:type="dxa"/>
            <w:vAlign w:val="center"/>
            <w:hideMark/>
          </w:tcPr>
          <w:p w14:paraId="1D0EABD6" w14:textId="7C6B3FE9" w:rsidR="003C181F" w:rsidRPr="00C33369" w:rsidRDefault="003C181F" w:rsidP="003C181F">
            <w:r w:rsidRPr="00C33369">
              <w:rPr>
                <w:color w:val="000000"/>
                <w:shd w:val="clear" w:color="auto" w:fill="FFFFFF"/>
              </w:rPr>
              <w:t>Marginal R</w:t>
            </w:r>
            <w:r w:rsidRPr="00C33369">
              <w:rPr>
                <w:color w:val="000000"/>
                <w:shd w:val="clear" w:color="auto" w:fill="FFFFFF"/>
                <w:vertAlign w:val="superscript"/>
              </w:rPr>
              <w:t>2</w:t>
            </w:r>
            <w:r w:rsidRPr="00C33369">
              <w:rPr>
                <w:color w:val="000000"/>
                <w:shd w:val="clear" w:color="auto" w:fill="FFFFFF"/>
              </w:rPr>
              <w:t>/ Conditional R</w:t>
            </w:r>
            <w:r w:rsidRPr="00C33369">
              <w:rPr>
                <w:color w:val="00000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580" w:type="dxa"/>
            <w:gridSpan w:val="3"/>
            <w:hideMark/>
          </w:tcPr>
          <w:p w14:paraId="56E2F7FF" w14:textId="403222EC" w:rsidR="003C181F" w:rsidRPr="00C33369" w:rsidRDefault="003C181F" w:rsidP="003C181F">
            <w:r w:rsidRPr="00C33369">
              <w:t>0.049 / 0.057</w:t>
            </w:r>
          </w:p>
        </w:tc>
        <w:tc>
          <w:tcPr>
            <w:tcW w:w="2580" w:type="dxa"/>
            <w:gridSpan w:val="3"/>
            <w:hideMark/>
          </w:tcPr>
          <w:p w14:paraId="5C50E7DF" w14:textId="028B66B8" w:rsidR="003C181F" w:rsidRPr="00C33369" w:rsidRDefault="003C181F" w:rsidP="003C181F">
            <w:r w:rsidRPr="00C33369">
              <w:t>0.049 / NA</w:t>
            </w:r>
          </w:p>
        </w:tc>
        <w:tc>
          <w:tcPr>
            <w:tcW w:w="2580" w:type="dxa"/>
            <w:gridSpan w:val="3"/>
            <w:hideMark/>
          </w:tcPr>
          <w:p w14:paraId="26DC47FB" w14:textId="77809838" w:rsidR="003C181F" w:rsidRPr="00C33369" w:rsidRDefault="003C181F" w:rsidP="003C181F">
            <w:r w:rsidRPr="00C33369">
              <w:t>0.049 / NA</w:t>
            </w:r>
          </w:p>
        </w:tc>
        <w:tc>
          <w:tcPr>
            <w:tcW w:w="2580" w:type="dxa"/>
            <w:gridSpan w:val="3"/>
            <w:hideMark/>
          </w:tcPr>
          <w:p w14:paraId="6BC22639" w14:textId="4878F4DA" w:rsidR="003C181F" w:rsidRPr="00C33369" w:rsidRDefault="003C181F" w:rsidP="003C181F">
            <w:r w:rsidRPr="00C33369">
              <w:t>0.049 / 0.057</w:t>
            </w:r>
          </w:p>
        </w:tc>
        <w:tc>
          <w:tcPr>
            <w:tcW w:w="2655" w:type="dxa"/>
            <w:gridSpan w:val="3"/>
            <w:hideMark/>
          </w:tcPr>
          <w:p w14:paraId="124141D6" w14:textId="7E650DED" w:rsidR="003C181F" w:rsidRPr="00C33369" w:rsidRDefault="003C181F" w:rsidP="003C181F">
            <w:r w:rsidRPr="00C33369">
              <w:t>0.050 / 0.057</w:t>
            </w:r>
          </w:p>
        </w:tc>
      </w:tr>
    </w:tbl>
    <w:p w14:paraId="5621E536" w14:textId="77777777" w:rsidR="00A46733" w:rsidRPr="00693FA6" w:rsidRDefault="00A46733">
      <w:pPr>
        <w:rPr>
          <w:b/>
          <w:bCs/>
        </w:rPr>
      </w:pPr>
    </w:p>
    <w:p w14:paraId="19E6BF90" w14:textId="1C6A984C" w:rsidR="003C181F" w:rsidRDefault="0025356C" w:rsidP="006D3273">
      <w:pPr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The first model</w:t>
      </w:r>
      <w:r w:rsidR="007148ED">
        <w:rPr>
          <w:rStyle w:val="s1"/>
          <w:rFonts w:ascii="Times New Roman" w:hAnsi="Times New Roman"/>
          <w:sz w:val="24"/>
          <w:szCs w:val="24"/>
        </w:rPr>
        <w:t xml:space="preserve"> (</w:t>
      </w:r>
      <w:r>
        <w:rPr>
          <w:rStyle w:val="s1"/>
          <w:rFonts w:ascii="Times New Roman" w:hAnsi="Times New Roman"/>
          <w:sz w:val="24"/>
          <w:szCs w:val="24"/>
        </w:rPr>
        <w:t>MLM1</w:t>
      </w:r>
      <w:r w:rsidR="007148ED">
        <w:rPr>
          <w:rStyle w:val="s1"/>
          <w:rFonts w:ascii="Times New Roman" w:hAnsi="Times New Roman"/>
          <w:sz w:val="24"/>
          <w:szCs w:val="24"/>
        </w:rPr>
        <w:t>)</w:t>
      </w:r>
      <w:r>
        <w:rPr>
          <w:rStyle w:val="s1"/>
          <w:rFonts w:ascii="Times New Roman" w:hAnsi="Times New Roman"/>
          <w:sz w:val="24"/>
          <w:szCs w:val="24"/>
        </w:rPr>
        <w:t xml:space="preserve"> contain</w:t>
      </w:r>
      <w:r w:rsidR="002968F2">
        <w:rPr>
          <w:rStyle w:val="s1"/>
          <w:rFonts w:ascii="Times New Roman" w:hAnsi="Times New Roman"/>
          <w:sz w:val="24"/>
          <w:szCs w:val="24"/>
        </w:rPr>
        <w:t xml:space="preserve">ed </w:t>
      </w:r>
      <w:r>
        <w:rPr>
          <w:rStyle w:val="s1"/>
          <w:rFonts w:ascii="Times New Roman" w:hAnsi="Times New Roman"/>
          <w:sz w:val="24"/>
          <w:szCs w:val="24"/>
        </w:rPr>
        <w:t>SDI</w:t>
      </w:r>
      <w:r w:rsidR="003808FC">
        <w:rPr>
          <w:rStyle w:val="s1"/>
          <w:rFonts w:ascii="Times New Roman" w:hAnsi="Times New Roman"/>
          <w:sz w:val="24"/>
          <w:szCs w:val="24"/>
        </w:rPr>
        <w:t xml:space="preserve">, </w:t>
      </w:r>
      <w:r>
        <w:rPr>
          <w:rStyle w:val="s1"/>
          <w:rFonts w:ascii="Times New Roman" w:hAnsi="Times New Roman"/>
          <w:sz w:val="24"/>
          <w:szCs w:val="24"/>
        </w:rPr>
        <w:t>other covariates</w:t>
      </w:r>
      <w:r w:rsidR="002968F2">
        <w:rPr>
          <w:rStyle w:val="s1"/>
          <w:rFonts w:ascii="Times New Roman" w:hAnsi="Times New Roman"/>
          <w:sz w:val="24"/>
          <w:szCs w:val="24"/>
        </w:rPr>
        <w:t>,</w:t>
      </w:r>
      <w:r>
        <w:rPr>
          <w:rStyle w:val="s1"/>
          <w:rFonts w:ascii="Times New Roman" w:hAnsi="Times New Roman"/>
          <w:sz w:val="24"/>
          <w:szCs w:val="24"/>
        </w:rPr>
        <w:t xml:space="preserve"> and a random intercept. The second model</w:t>
      </w:r>
      <w:r w:rsidR="007148ED">
        <w:rPr>
          <w:rStyle w:val="s1"/>
          <w:rFonts w:ascii="Times New Roman" w:hAnsi="Times New Roman"/>
          <w:sz w:val="24"/>
          <w:szCs w:val="24"/>
        </w:rPr>
        <w:t xml:space="preserve"> (</w:t>
      </w:r>
      <w:r>
        <w:rPr>
          <w:rStyle w:val="s1"/>
          <w:rFonts w:ascii="Times New Roman" w:hAnsi="Times New Roman"/>
          <w:sz w:val="24"/>
          <w:szCs w:val="24"/>
        </w:rPr>
        <w:t>MLM2</w:t>
      </w:r>
      <w:r w:rsidR="007148ED">
        <w:rPr>
          <w:rStyle w:val="s1"/>
          <w:rFonts w:ascii="Times New Roman" w:hAnsi="Times New Roman"/>
          <w:sz w:val="24"/>
          <w:szCs w:val="24"/>
        </w:rPr>
        <w:t xml:space="preserve">) </w:t>
      </w:r>
      <w:r>
        <w:rPr>
          <w:rStyle w:val="s1"/>
          <w:rFonts w:ascii="Times New Roman" w:hAnsi="Times New Roman"/>
          <w:sz w:val="24"/>
          <w:szCs w:val="24"/>
        </w:rPr>
        <w:t>add</w:t>
      </w:r>
      <w:r w:rsidR="002968F2">
        <w:rPr>
          <w:rStyle w:val="s1"/>
          <w:rFonts w:ascii="Times New Roman" w:hAnsi="Times New Roman"/>
          <w:sz w:val="24"/>
          <w:szCs w:val="24"/>
        </w:rPr>
        <w:t>ed</w:t>
      </w:r>
      <w:r>
        <w:rPr>
          <w:rStyle w:val="s1"/>
          <w:rFonts w:ascii="Times New Roman" w:hAnsi="Times New Roman"/>
          <w:sz w:val="24"/>
          <w:szCs w:val="24"/>
        </w:rPr>
        <w:t xml:space="preserve"> a random slope for SDI, while the third model</w:t>
      </w:r>
      <w:r w:rsidR="007148ED">
        <w:rPr>
          <w:rStyle w:val="s1"/>
          <w:rFonts w:ascii="Times New Roman" w:hAnsi="Times New Roman"/>
          <w:sz w:val="24"/>
          <w:szCs w:val="24"/>
        </w:rPr>
        <w:t xml:space="preserve"> (</w:t>
      </w:r>
      <w:r w:rsidR="003808FC">
        <w:rPr>
          <w:rStyle w:val="s1"/>
          <w:rFonts w:ascii="Times New Roman" w:hAnsi="Times New Roman"/>
          <w:sz w:val="24"/>
          <w:szCs w:val="24"/>
        </w:rPr>
        <w:t>MLM3</w:t>
      </w:r>
      <w:r w:rsidR="007148ED">
        <w:rPr>
          <w:rStyle w:val="s1"/>
          <w:rFonts w:ascii="Times New Roman" w:hAnsi="Times New Roman"/>
          <w:sz w:val="24"/>
          <w:szCs w:val="24"/>
        </w:rPr>
        <w:t>)</w:t>
      </w:r>
      <w:r w:rsidR="003808FC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2968F2">
        <w:rPr>
          <w:rStyle w:val="s1"/>
          <w:rFonts w:ascii="Times New Roman" w:hAnsi="Times New Roman"/>
          <w:sz w:val="24"/>
          <w:szCs w:val="24"/>
        </w:rPr>
        <w:t>included</w:t>
      </w:r>
      <w:r w:rsidR="003808FC">
        <w:rPr>
          <w:rStyle w:val="s1"/>
          <w:rFonts w:ascii="Times New Roman" w:hAnsi="Times New Roman"/>
          <w:sz w:val="24"/>
          <w:szCs w:val="24"/>
        </w:rPr>
        <w:t xml:space="preserve"> </w:t>
      </w:r>
      <w:r>
        <w:rPr>
          <w:rStyle w:val="s1"/>
          <w:rFonts w:ascii="Times New Roman" w:hAnsi="Times New Roman"/>
          <w:sz w:val="24"/>
          <w:szCs w:val="24"/>
        </w:rPr>
        <w:t xml:space="preserve">an interaction </w:t>
      </w:r>
      <w:r w:rsidR="002968F2">
        <w:rPr>
          <w:rStyle w:val="s1"/>
          <w:rFonts w:ascii="Times New Roman" w:hAnsi="Times New Roman"/>
          <w:sz w:val="24"/>
          <w:szCs w:val="24"/>
        </w:rPr>
        <w:t xml:space="preserve">term </w:t>
      </w:r>
      <w:r>
        <w:rPr>
          <w:rStyle w:val="s1"/>
          <w:rFonts w:ascii="Times New Roman" w:hAnsi="Times New Roman"/>
          <w:sz w:val="24"/>
          <w:szCs w:val="24"/>
        </w:rPr>
        <w:t>between SDI and the metropolitan area. In the fourth model</w:t>
      </w:r>
      <w:r w:rsidR="007148ED">
        <w:rPr>
          <w:rStyle w:val="s1"/>
          <w:rFonts w:ascii="Times New Roman" w:hAnsi="Times New Roman"/>
          <w:sz w:val="24"/>
          <w:szCs w:val="24"/>
        </w:rPr>
        <w:t xml:space="preserve"> (</w:t>
      </w:r>
      <w:r>
        <w:rPr>
          <w:rStyle w:val="s1"/>
          <w:rFonts w:ascii="Times New Roman" w:hAnsi="Times New Roman"/>
          <w:sz w:val="24"/>
          <w:szCs w:val="24"/>
        </w:rPr>
        <w:t xml:space="preserve">MLM4) </w:t>
      </w:r>
      <w:r w:rsidRPr="00693FA6">
        <w:rPr>
          <w:rStyle w:val="s1"/>
          <w:rFonts w:ascii="Times New Roman" w:hAnsi="Times New Roman"/>
          <w:sz w:val="24"/>
          <w:szCs w:val="24"/>
        </w:rPr>
        <w:t xml:space="preserve">all non-collinear normalized SDOH scores </w:t>
      </w:r>
      <w:r>
        <w:rPr>
          <w:rStyle w:val="s1"/>
          <w:rFonts w:ascii="Times New Roman" w:hAnsi="Times New Roman"/>
          <w:sz w:val="24"/>
          <w:szCs w:val="24"/>
        </w:rPr>
        <w:t xml:space="preserve">were </w:t>
      </w:r>
      <w:r w:rsidR="003808FC">
        <w:rPr>
          <w:rStyle w:val="s1"/>
          <w:rFonts w:ascii="Times New Roman" w:hAnsi="Times New Roman"/>
          <w:sz w:val="24"/>
          <w:szCs w:val="24"/>
        </w:rPr>
        <w:t>included</w:t>
      </w:r>
      <w:r>
        <w:rPr>
          <w:rStyle w:val="s1"/>
          <w:rFonts w:ascii="Times New Roman" w:hAnsi="Times New Roman"/>
          <w:sz w:val="24"/>
          <w:szCs w:val="24"/>
        </w:rPr>
        <w:t xml:space="preserve"> </w:t>
      </w:r>
      <w:r w:rsidRPr="00693FA6">
        <w:rPr>
          <w:rStyle w:val="s1"/>
          <w:rFonts w:ascii="Times New Roman" w:hAnsi="Times New Roman"/>
          <w:sz w:val="24"/>
          <w:szCs w:val="24"/>
        </w:rPr>
        <w:t>rather than the composite SDI</w:t>
      </w:r>
      <w:r>
        <w:rPr>
          <w:rStyle w:val="s1"/>
          <w:rFonts w:ascii="Times New Roman" w:hAnsi="Times New Roman"/>
          <w:sz w:val="24"/>
          <w:szCs w:val="24"/>
        </w:rPr>
        <w:t xml:space="preserve"> in addition to the random intercept. Finally, the </w:t>
      </w:r>
      <w:r w:rsidR="003808FC">
        <w:rPr>
          <w:rStyle w:val="s1"/>
          <w:rFonts w:ascii="Times New Roman" w:hAnsi="Times New Roman"/>
          <w:sz w:val="24"/>
          <w:szCs w:val="24"/>
        </w:rPr>
        <w:t xml:space="preserve">fifth </w:t>
      </w:r>
      <w:r>
        <w:rPr>
          <w:rStyle w:val="s1"/>
          <w:rFonts w:ascii="Times New Roman" w:hAnsi="Times New Roman"/>
          <w:sz w:val="24"/>
          <w:szCs w:val="24"/>
        </w:rPr>
        <w:t xml:space="preserve">model (MLM5) </w:t>
      </w:r>
      <w:r w:rsidR="003475CF">
        <w:rPr>
          <w:rStyle w:val="s1"/>
          <w:rFonts w:ascii="Times New Roman" w:hAnsi="Times New Roman"/>
          <w:sz w:val="24"/>
          <w:szCs w:val="24"/>
        </w:rPr>
        <w:t>incorporated</w:t>
      </w:r>
      <w:r w:rsidR="0043034B">
        <w:rPr>
          <w:rStyle w:val="s1"/>
          <w:rFonts w:ascii="Times New Roman" w:hAnsi="Times New Roman"/>
          <w:sz w:val="24"/>
          <w:szCs w:val="24"/>
        </w:rPr>
        <w:t xml:space="preserve"> </w:t>
      </w:r>
      <w:r>
        <w:rPr>
          <w:rStyle w:val="s1"/>
          <w:rFonts w:ascii="Times New Roman" w:hAnsi="Times New Roman"/>
          <w:sz w:val="24"/>
          <w:szCs w:val="24"/>
        </w:rPr>
        <w:t>an interaction between unemployment and the metropolitan area</w:t>
      </w:r>
      <w:r w:rsidR="003808FC">
        <w:rPr>
          <w:rStyle w:val="s1"/>
          <w:rFonts w:ascii="Times New Roman" w:hAnsi="Times New Roman"/>
          <w:sz w:val="24"/>
          <w:szCs w:val="24"/>
        </w:rPr>
        <w:t xml:space="preserve">. </w:t>
      </w:r>
    </w:p>
    <w:p w14:paraId="7BFB8D2D" w14:textId="0A120196" w:rsidR="00436A8E" w:rsidRPr="00C33369" w:rsidRDefault="0025356C">
      <w:r>
        <w:rPr>
          <w:rStyle w:val="s1"/>
          <w:rFonts w:ascii="Times New Roman" w:hAnsi="Times New Roman"/>
          <w:sz w:val="24"/>
          <w:szCs w:val="24"/>
        </w:rPr>
        <w:t xml:space="preserve">MLM: Multilevel model; </w:t>
      </w:r>
      <w:r w:rsidR="006D3273" w:rsidRPr="00693FA6">
        <w:rPr>
          <w:rStyle w:val="s1"/>
          <w:rFonts w:ascii="Times New Roman" w:hAnsi="Times New Roman"/>
          <w:sz w:val="24"/>
          <w:szCs w:val="24"/>
        </w:rPr>
        <w:t xml:space="preserve">IRR: Incidence Rate Ratio; CI: Confidence </w:t>
      </w:r>
      <w:r w:rsidR="00AE6193">
        <w:rPr>
          <w:rStyle w:val="s1"/>
          <w:rFonts w:ascii="Times New Roman" w:hAnsi="Times New Roman"/>
          <w:sz w:val="24"/>
          <w:szCs w:val="24"/>
        </w:rPr>
        <w:t>I</w:t>
      </w:r>
      <w:r w:rsidR="000A7C4C">
        <w:rPr>
          <w:rStyle w:val="s1"/>
          <w:rFonts w:ascii="Times New Roman" w:hAnsi="Times New Roman"/>
          <w:sz w:val="24"/>
          <w:szCs w:val="24"/>
        </w:rPr>
        <w:t>nterval</w:t>
      </w:r>
      <w:r w:rsidR="006D3273" w:rsidRPr="00693FA6">
        <w:rPr>
          <w:rStyle w:val="s1"/>
          <w:rFonts w:ascii="Times New Roman" w:hAnsi="Times New Roman"/>
          <w:sz w:val="24"/>
          <w:szCs w:val="24"/>
        </w:rPr>
        <w:t>; Metro: Metropolitan</w:t>
      </w:r>
      <w:r w:rsidR="00AE6193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6D3273" w:rsidRPr="00693FA6">
        <w:rPr>
          <w:rStyle w:val="s1"/>
          <w:rFonts w:ascii="Times New Roman" w:hAnsi="Times New Roman"/>
          <w:sz w:val="24"/>
          <w:szCs w:val="24"/>
        </w:rPr>
        <w:t>area; ID: Infectious Diseases; SDI: Social Deprivation Index; FPL: % Federal Poverty Level</w:t>
      </w:r>
      <w:r w:rsidR="00C04421">
        <w:rPr>
          <w:rStyle w:val="s1"/>
          <w:rFonts w:ascii="Times New Roman" w:hAnsi="Times New Roman"/>
          <w:sz w:val="24"/>
          <w:szCs w:val="24"/>
        </w:rPr>
        <w:t xml:space="preserve">; ICC: </w:t>
      </w:r>
      <w:r>
        <w:rPr>
          <w:rStyle w:val="s1"/>
          <w:rFonts w:ascii="Times New Roman" w:hAnsi="Times New Roman"/>
          <w:sz w:val="24"/>
          <w:szCs w:val="24"/>
        </w:rPr>
        <w:t>Intraclass correlation coefficient</w:t>
      </w:r>
      <w:r w:rsidR="00C33369">
        <w:t xml:space="preserve">. </w:t>
      </w:r>
    </w:p>
    <w:sectPr w:rsidR="00436A8E" w:rsidRPr="00C33369" w:rsidSect="00A46733">
      <w:pgSz w:w="16834" w:h="11894" w:orient="landscape"/>
      <w:pgMar w:top="1440" w:right="180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AppleSystemUIFont">
    <w:altName w:val="Cambria"/>
    <w:panose1 w:val="020B0604020202020204"/>
    <w:charset w:val="00"/>
    <w:family w:val="roman"/>
    <w:notTrueType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2CAAF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0245D7"/>
    <w:multiLevelType w:val="hybridMultilevel"/>
    <w:tmpl w:val="F42A7D6E"/>
    <w:lvl w:ilvl="0" w:tplc="C3E84E52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B07D5"/>
    <w:multiLevelType w:val="hybridMultilevel"/>
    <w:tmpl w:val="AAE0000E"/>
    <w:lvl w:ilvl="0" w:tplc="7996E0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959"/>
    <w:multiLevelType w:val="hybridMultilevel"/>
    <w:tmpl w:val="0A8263E0"/>
    <w:lvl w:ilvl="0" w:tplc="CE82CC02">
      <w:start w:val="17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D492F"/>
    <w:multiLevelType w:val="hybridMultilevel"/>
    <w:tmpl w:val="931CFCC4"/>
    <w:lvl w:ilvl="0" w:tplc="0A325B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2C3DF9"/>
    <w:multiLevelType w:val="hybridMultilevel"/>
    <w:tmpl w:val="FE72F6AE"/>
    <w:lvl w:ilvl="0" w:tplc="6C6E3A10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F650A"/>
    <w:multiLevelType w:val="hybridMultilevel"/>
    <w:tmpl w:val="CF8CD6E0"/>
    <w:lvl w:ilvl="0" w:tplc="052A7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73C5B"/>
    <w:multiLevelType w:val="hybridMultilevel"/>
    <w:tmpl w:val="4BC431FA"/>
    <w:lvl w:ilvl="0" w:tplc="77B622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20C81"/>
    <w:multiLevelType w:val="hybridMultilevel"/>
    <w:tmpl w:val="16341AF2"/>
    <w:lvl w:ilvl="0" w:tplc="EA0A3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37732"/>
    <w:multiLevelType w:val="multilevel"/>
    <w:tmpl w:val="A3625190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86A70"/>
    <w:multiLevelType w:val="hybridMultilevel"/>
    <w:tmpl w:val="A432A384"/>
    <w:lvl w:ilvl="0" w:tplc="A508BCB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34E41"/>
    <w:multiLevelType w:val="hybridMultilevel"/>
    <w:tmpl w:val="758884E6"/>
    <w:lvl w:ilvl="0" w:tplc="DA8A593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105B1"/>
    <w:multiLevelType w:val="multilevel"/>
    <w:tmpl w:val="1BEA6792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45F67"/>
    <w:multiLevelType w:val="hybridMultilevel"/>
    <w:tmpl w:val="5D0897AE"/>
    <w:lvl w:ilvl="0" w:tplc="69C2B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40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A5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AB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64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4D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6E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CB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E2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137110"/>
    <w:multiLevelType w:val="hybridMultilevel"/>
    <w:tmpl w:val="C068CD44"/>
    <w:lvl w:ilvl="0" w:tplc="4C92D264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D63F0"/>
    <w:multiLevelType w:val="hybridMultilevel"/>
    <w:tmpl w:val="5B369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D17F99"/>
    <w:multiLevelType w:val="hybridMultilevel"/>
    <w:tmpl w:val="CC8C9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F3858"/>
    <w:multiLevelType w:val="hybridMultilevel"/>
    <w:tmpl w:val="025E28C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E0EE9"/>
    <w:multiLevelType w:val="multilevel"/>
    <w:tmpl w:val="92D214AA"/>
    <w:styleLink w:val="Current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2174"/>
    <w:multiLevelType w:val="hybridMultilevel"/>
    <w:tmpl w:val="33C81126"/>
    <w:lvl w:ilvl="0" w:tplc="04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0" w15:restartNumberingAfterBreak="0">
    <w:nsid w:val="568C11E2"/>
    <w:multiLevelType w:val="hybridMultilevel"/>
    <w:tmpl w:val="FB5EEE9C"/>
    <w:lvl w:ilvl="0" w:tplc="392A7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C26A4"/>
    <w:multiLevelType w:val="hybridMultilevel"/>
    <w:tmpl w:val="CCD8F252"/>
    <w:lvl w:ilvl="0" w:tplc="C2EA46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42E30"/>
    <w:multiLevelType w:val="hybridMultilevel"/>
    <w:tmpl w:val="2640C6F0"/>
    <w:lvl w:ilvl="0" w:tplc="655C1A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E370C"/>
    <w:multiLevelType w:val="hybridMultilevel"/>
    <w:tmpl w:val="A0CE8B4C"/>
    <w:lvl w:ilvl="0" w:tplc="7D18A7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D26DA"/>
    <w:multiLevelType w:val="hybridMultilevel"/>
    <w:tmpl w:val="87A8C50C"/>
    <w:lvl w:ilvl="0" w:tplc="14A09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44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EB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E7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CE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C0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E3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67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6E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2285AEE"/>
    <w:multiLevelType w:val="hybridMultilevel"/>
    <w:tmpl w:val="24DC6348"/>
    <w:lvl w:ilvl="0" w:tplc="391AF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31ED1"/>
    <w:multiLevelType w:val="hybridMultilevel"/>
    <w:tmpl w:val="6868CD02"/>
    <w:lvl w:ilvl="0" w:tplc="51661E8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4656B"/>
    <w:multiLevelType w:val="hybridMultilevel"/>
    <w:tmpl w:val="96303514"/>
    <w:lvl w:ilvl="0" w:tplc="6AA25E8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E3199"/>
    <w:multiLevelType w:val="hybridMultilevel"/>
    <w:tmpl w:val="19AE9F32"/>
    <w:lvl w:ilvl="0" w:tplc="C3E84E5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BE224E"/>
    <w:multiLevelType w:val="hybridMultilevel"/>
    <w:tmpl w:val="2490F5EA"/>
    <w:lvl w:ilvl="0" w:tplc="7ADCA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F1727"/>
    <w:multiLevelType w:val="hybridMultilevel"/>
    <w:tmpl w:val="BD0C05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2764A"/>
    <w:multiLevelType w:val="hybridMultilevel"/>
    <w:tmpl w:val="7778C2D0"/>
    <w:lvl w:ilvl="0" w:tplc="98183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7387A"/>
    <w:multiLevelType w:val="hybridMultilevel"/>
    <w:tmpl w:val="DA42C65A"/>
    <w:lvl w:ilvl="0" w:tplc="E74E2E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D4A6E"/>
    <w:multiLevelType w:val="multilevel"/>
    <w:tmpl w:val="5E1A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8053F8"/>
    <w:multiLevelType w:val="hybridMultilevel"/>
    <w:tmpl w:val="37F080C6"/>
    <w:lvl w:ilvl="0" w:tplc="C2D04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C64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A0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8E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EE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8F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A03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23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04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84099727">
    <w:abstractNumId w:val="26"/>
  </w:num>
  <w:num w:numId="2" w16cid:durableId="1281494384">
    <w:abstractNumId w:val="20"/>
  </w:num>
  <w:num w:numId="3" w16cid:durableId="302583392">
    <w:abstractNumId w:val="32"/>
  </w:num>
  <w:num w:numId="4" w16cid:durableId="1738090598">
    <w:abstractNumId w:val="19"/>
  </w:num>
  <w:num w:numId="5" w16cid:durableId="415368207">
    <w:abstractNumId w:val="16"/>
  </w:num>
  <w:num w:numId="6" w16cid:durableId="1840146711">
    <w:abstractNumId w:val="8"/>
  </w:num>
  <w:num w:numId="7" w16cid:durableId="186525037">
    <w:abstractNumId w:val="25"/>
  </w:num>
  <w:num w:numId="8" w16cid:durableId="124735598">
    <w:abstractNumId w:val="22"/>
  </w:num>
  <w:num w:numId="9" w16cid:durableId="1435051210">
    <w:abstractNumId w:val="2"/>
  </w:num>
  <w:num w:numId="10" w16cid:durableId="1193836416">
    <w:abstractNumId w:val="6"/>
  </w:num>
  <w:num w:numId="11" w16cid:durableId="1882277759">
    <w:abstractNumId w:val="29"/>
  </w:num>
  <w:num w:numId="12" w16cid:durableId="1214660835">
    <w:abstractNumId w:val="9"/>
  </w:num>
  <w:num w:numId="13" w16cid:durableId="1280913662">
    <w:abstractNumId w:val="12"/>
  </w:num>
  <w:num w:numId="14" w16cid:durableId="2008095572">
    <w:abstractNumId w:val="18"/>
  </w:num>
  <w:num w:numId="15" w16cid:durableId="1751807857">
    <w:abstractNumId w:val="11"/>
  </w:num>
  <w:num w:numId="16" w16cid:durableId="294457163">
    <w:abstractNumId w:val="10"/>
  </w:num>
  <w:num w:numId="17" w16cid:durableId="2004778223">
    <w:abstractNumId w:val="28"/>
  </w:num>
  <w:num w:numId="18" w16cid:durableId="1880508510">
    <w:abstractNumId w:val="1"/>
  </w:num>
  <w:num w:numId="19" w16cid:durableId="1211066494">
    <w:abstractNumId w:val="15"/>
  </w:num>
  <w:num w:numId="20" w16cid:durableId="1756127140">
    <w:abstractNumId w:val="21"/>
  </w:num>
  <w:num w:numId="21" w16cid:durableId="839085080">
    <w:abstractNumId w:val="0"/>
  </w:num>
  <w:num w:numId="22" w16cid:durableId="923614854">
    <w:abstractNumId w:val="34"/>
  </w:num>
  <w:num w:numId="23" w16cid:durableId="1872305197">
    <w:abstractNumId w:val="24"/>
  </w:num>
  <w:num w:numId="24" w16cid:durableId="518784105">
    <w:abstractNumId w:val="30"/>
  </w:num>
  <w:num w:numId="25" w16cid:durableId="1006402703">
    <w:abstractNumId w:val="31"/>
  </w:num>
  <w:num w:numId="26" w16cid:durableId="215898406">
    <w:abstractNumId w:val="33"/>
  </w:num>
  <w:num w:numId="27" w16cid:durableId="1341080583">
    <w:abstractNumId w:val="23"/>
  </w:num>
  <w:num w:numId="28" w16cid:durableId="2060474994">
    <w:abstractNumId w:val="13"/>
  </w:num>
  <w:num w:numId="29" w16cid:durableId="1881475544">
    <w:abstractNumId w:val="5"/>
  </w:num>
  <w:num w:numId="30" w16cid:durableId="504826543">
    <w:abstractNumId w:val="17"/>
  </w:num>
  <w:num w:numId="31" w16cid:durableId="1623414245">
    <w:abstractNumId w:val="3"/>
  </w:num>
  <w:num w:numId="32" w16cid:durableId="350107910">
    <w:abstractNumId w:val="27"/>
  </w:num>
  <w:num w:numId="33" w16cid:durableId="105269842">
    <w:abstractNumId w:val="14"/>
  </w:num>
  <w:num w:numId="34" w16cid:durableId="184877488">
    <w:abstractNumId w:val="4"/>
  </w:num>
  <w:num w:numId="35" w16cid:durableId="5573977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F5727E"/>
    <w:rsid w:val="00000CB5"/>
    <w:rsid w:val="0000121F"/>
    <w:rsid w:val="0000232D"/>
    <w:rsid w:val="00003362"/>
    <w:rsid w:val="00007230"/>
    <w:rsid w:val="00010606"/>
    <w:rsid w:val="000119D2"/>
    <w:rsid w:val="00011A84"/>
    <w:rsid w:val="0001555F"/>
    <w:rsid w:val="00021B13"/>
    <w:rsid w:val="0003017A"/>
    <w:rsid w:val="00030E3E"/>
    <w:rsid w:val="00031437"/>
    <w:rsid w:val="00031F00"/>
    <w:rsid w:val="00033D06"/>
    <w:rsid w:val="00037C66"/>
    <w:rsid w:val="00043FDC"/>
    <w:rsid w:val="000511AD"/>
    <w:rsid w:val="00053E9B"/>
    <w:rsid w:val="00055398"/>
    <w:rsid w:val="00055C43"/>
    <w:rsid w:val="0006051F"/>
    <w:rsid w:val="00061CA1"/>
    <w:rsid w:val="00063E53"/>
    <w:rsid w:val="00065DCC"/>
    <w:rsid w:val="000666A6"/>
    <w:rsid w:val="00067A3E"/>
    <w:rsid w:val="00067FCB"/>
    <w:rsid w:val="0007008A"/>
    <w:rsid w:val="000709DC"/>
    <w:rsid w:val="00070B02"/>
    <w:rsid w:val="000717FA"/>
    <w:rsid w:val="00072735"/>
    <w:rsid w:val="00075231"/>
    <w:rsid w:val="000765F7"/>
    <w:rsid w:val="0007663F"/>
    <w:rsid w:val="00085A46"/>
    <w:rsid w:val="00091973"/>
    <w:rsid w:val="00091C4C"/>
    <w:rsid w:val="00096C49"/>
    <w:rsid w:val="00097B64"/>
    <w:rsid w:val="00097C68"/>
    <w:rsid w:val="00097FCD"/>
    <w:rsid w:val="000A22EE"/>
    <w:rsid w:val="000A605C"/>
    <w:rsid w:val="000A6D78"/>
    <w:rsid w:val="000A7C4C"/>
    <w:rsid w:val="000B0258"/>
    <w:rsid w:val="000B6460"/>
    <w:rsid w:val="000C7786"/>
    <w:rsid w:val="000D23C1"/>
    <w:rsid w:val="000D24B8"/>
    <w:rsid w:val="000D479C"/>
    <w:rsid w:val="000D65D0"/>
    <w:rsid w:val="000E067D"/>
    <w:rsid w:val="000E099C"/>
    <w:rsid w:val="000E1925"/>
    <w:rsid w:val="000E199F"/>
    <w:rsid w:val="000E4E0A"/>
    <w:rsid w:val="000E60B3"/>
    <w:rsid w:val="000E7648"/>
    <w:rsid w:val="000F096D"/>
    <w:rsid w:val="000F1C4A"/>
    <w:rsid w:val="000F52D7"/>
    <w:rsid w:val="000F6246"/>
    <w:rsid w:val="000F68CD"/>
    <w:rsid w:val="000F7C62"/>
    <w:rsid w:val="001008CE"/>
    <w:rsid w:val="00106A7A"/>
    <w:rsid w:val="00106CCD"/>
    <w:rsid w:val="00107A06"/>
    <w:rsid w:val="00113BA0"/>
    <w:rsid w:val="00114CB7"/>
    <w:rsid w:val="001163C2"/>
    <w:rsid w:val="00116900"/>
    <w:rsid w:val="00117D89"/>
    <w:rsid w:val="001236A9"/>
    <w:rsid w:val="0012432F"/>
    <w:rsid w:val="001259AD"/>
    <w:rsid w:val="00125B7D"/>
    <w:rsid w:val="001271A4"/>
    <w:rsid w:val="001271DD"/>
    <w:rsid w:val="0013098A"/>
    <w:rsid w:val="0013196D"/>
    <w:rsid w:val="001337AC"/>
    <w:rsid w:val="00134B56"/>
    <w:rsid w:val="0013760F"/>
    <w:rsid w:val="0015118E"/>
    <w:rsid w:val="00151D48"/>
    <w:rsid w:val="001543B1"/>
    <w:rsid w:val="00155AA9"/>
    <w:rsid w:val="0015670A"/>
    <w:rsid w:val="00160B75"/>
    <w:rsid w:val="00161666"/>
    <w:rsid w:val="00162C3F"/>
    <w:rsid w:val="0016480C"/>
    <w:rsid w:val="001650DC"/>
    <w:rsid w:val="00166390"/>
    <w:rsid w:val="001665F4"/>
    <w:rsid w:val="00167E77"/>
    <w:rsid w:val="0017021B"/>
    <w:rsid w:val="00171363"/>
    <w:rsid w:val="00171942"/>
    <w:rsid w:val="00172D6D"/>
    <w:rsid w:val="00173920"/>
    <w:rsid w:val="0017754B"/>
    <w:rsid w:val="00183893"/>
    <w:rsid w:val="00186393"/>
    <w:rsid w:val="001869CC"/>
    <w:rsid w:val="00186FFE"/>
    <w:rsid w:val="0018790F"/>
    <w:rsid w:val="00190B01"/>
    <w:rsid w:val="001924B3"/>
    <w:rsid w:val="00192831"/>
    <w:rsid w:val="00194174"/>
    <w:rsid w:val="001955EA"/>
    <w:rsid w:val="001955FC"/>
    <w:rsid w:val="001961E3"/>
    <w:rsid w:val="00196238"/>
    <w:rsid w:val="00197CE8"/>
    <w:rsid w:val="001A0AEE"/>
    <w:rsid w:val="001A1E4B"/>
    <w:rsid w:val="001A2C32"/>
    <w:rsid w:val="001A2CF5"/>
    <w:rsid w:val="001A46D9"/>
    <w:rsid w:val="001A7302"/>
    <w:rsid w:val="001A7305"/>
    <w:rsid w:val="001A7408"/>
    <w:rsid w:val="001B19CA"/>
    <w:rsid w:val="001B42CE"/>
    <w:rsid w:val="001B55B9"/>
    <w:rsid w:val="001B5E40"/>
    <w:rsid w:val="001B79E8"/>
    <w:rsid w:val="001C06D3"/>
    <w:rsid w:val="001C4801"/>
    <w:rsid w:val="001C480D"/>
    <w:rsid w:val="001C49A5"/>
    <w:rsid w:val="001C5230"/>
    <w:rsid w:val="001D1F3B"/>
    <w:rsid w:val="001D2618"/>
    <w:rsid w:val="001D4712"/>
    <w:rsid w:val="001D5133"/>
    <w:rsid w:val="001D65C6"/>
    <w:rsid w:val="001D6E40"/>
    <w:rsid w:val="001E3E8E"/>
    <w:rsid w:val="001E4B4D"/>
    <w:rsid w:val="001E5491"/>
    <w:rsid w:val="001E763C"/>
    <w:rsid w:val="001E78C6"/>
    <w:rsid w:val="001F2293"/>
    <w:rsid w:val="001F29CC"/>
    <w:rsid w:val="001F46D3"/>
    <w:rsid w:val="001F5D33"/>
    <w:rsid w:val="001F645C"/>
    <w:rsid w:val="001F7C9D"/>
    <w:rsid w:val="0020016E"/>
    <w:rsid w:val="00200B9A"/>
    <w:rsid w:val="0020167F"/>
    <w:rsid w:val="00202DD7"/>
    <w:rsid w:val="0020430D"/>
    <w:rsid w:val="00205BBF"/>
    <w:rsid w:val="00206DC8"/>
    <w:rsid w:val="00211DA1"/>
    <w:rsid w:val="0021284E"/>
    <w:rsid w:val="00212EA6"/>
    <w:rsid w:val="002139EE"/>
    <w:rsid w:val="00215F20"/>
    <w:rsid w:val="002174AF"/>
    <w:rsid w:val="0022138C"/>
    <w:rsid w:val="00223D42"/>
    <w:rsid w:val="00224588"/>
    <w:rsid w:val="00224FAF"/>
    <w:rsid w:val="00225157"/>
    <w:rsid w:val="00225832"/>
    <w:rsid w:val="0022760B"/>
    <w:rsid w:val="00231472"/>
    <w:rsid w:val="00231CDD"/>
    <w:rsid w:val="00233B29"/>
    <w:rsid w:val="00233C76"/>
    <w:rsid w:val="00234ECF"/>
    <w:rsid w:val="00236A99"/>
    <w:rsid w:val="00237E8F"/>
    <w:rsid w:val="00241BA6"/>
    <w:rsid w:val="00242F16"/>
    <w:rsid w:val="00245F02"/>
    <w:rsid w:val="002475B8"/>
    <w:rsid w:val="0025117E"/>
    <w:rsid w:val="002532EF"/>
    <w:rsid w:val="0025356C"/>
    <w:rsid w:val="00253D56"/>
    <w:rsid w:val="002622A4"/>
    <w:rsid w:val="00262FDA"/>
    <w:rsid w:val="00263F0E"/>
    <w:rsid w:val="002709FF"/>
    <w:rsid w:val="00276028"/>
    <w:rsid w:val="00276DDD"/>
    <w:rsid w:val="00284811"/>
    <w:rsid w:val="00285B95"/>
    <w:rsid w:val="00291291"/>
    <w:rsid w:val="00291BB9"/>
    <w:rsid w:val="002924ED"/>
    <w:rsid w:val="00292968"/>
    <w:rsid w:val="002937B5"/>
    <w:rsid w:val="002937D5"/>
    <w:rsid w:val="002968F2"/>
    <w:rsid w:val="002A341F"/>
    <w:rsid w:val="002A7FF0"/>
    <w:rsid w:val="002B155D"/>
    <w:rsid w:val="002B2443"/>
    <w:rsid w:val="002B33CE"/>
    <w:rsid w:val="002B3D5A"/>
    <w:rsid w:val="002B42BD"/>
    <w:rsid w:val="002B46C9"/>
    <w:rsid w:val="002B7E4B"/>
    <w:rsid w:val="002C01E1"/>
    <w:rsid w:val="002C0339"/>
    <w:rsid w:val="002C1286"/>
    <w:rsid w:val="002C41EB"/>
    <w:rsid w:val="002C5062"/>
    <w:rsid w:val="002C644F"/>
    <w:rsid w:val="002C69D8"/>
    <w:rsid w:val="002C76D3"/>
    <w:rsid w:val="002C77D9"/>
    <w:rsid w:val="002D03E7"/>
    <w:rsid w:val="002D2F2C"/>
    <w:rsid w:val="002D5B63"/>
    <w:rsid w:val="002E3B4E"/>
    <w:rsid w:val="002E666E"/>
    <w:rsid w:val="002E7D92"/>
    <w:rsid w:val="002F0705"/>
    <w:rsid w:val="002F0F4C"/>
    <w:rsid w:val="002F1863"/>
    <w:rsid w:val="002F289B"/>
    <w:rsid w:val="00300452"/>
    <w:rsid w:val="0030629F"/>
    <w:rsid w:val="0030637B"/>
    <w:rsid w:val="00313B9E"/>
    <w:rsid w:val="003152CD"/>
    <w:rsid w:val="00322A68"/>
    <w:rsid w:val="00325E3E"/>
    <w:rsid w:val="00330085"/>
    <w:rsid w:val="003326FF"/>
    <w:rsid w:val="00335E5A"/>
    <w:rsid w:val="003407E0"/>
    <w:rsid w:val="00340A36"/>
    <w:rsid w:val="00340EF2"/>
    <w:rsid w:val="00342092"/>
    <w:rsid w:val="003464C2"/>
    <w:rsid w:val="003475CF"/>
    <w:rsid w:val="003560B2"/>
    <w:rsid w:val="00357E2B"/>
    <w:rsid w:val="00357FEE"/>
    <w:rsid w:val="00361385"/>
    <w:rsid w:val="00361585"/>
    <w:rsid w:val="003617A5"/>
    <w:rsid w:val="00362520"/>
    <w:rsid w:val="00362D5C"/>
    <w:rsid w:val="00372103"/>
    <w:rsid w:val="003730C0"/>
    <w:rsid w:val="00375FF8"/>
    <w:rsid w:val="00376698"/>
    <w:rsid w:val="003805B7"/>
    <w:rsid w:val="003808FC"/>
    <w:rsid w:val="00386C9D"/>
    <w:rsid w:val="00386D4E"/>
    <w:rsid w:val="00390075"/>
    <w:rsid w:val="00393459"/>
    <w:rsid w:val="00397E0C"/>
    <w:rsid w:val="003A0D8C"/>
    <w:rsid w:val="003A360C"/>
    <w:rsid w:val="003A3AC3"/>
    <w:rsid w:val="003A4C4B"/>
    <w:rsid w:val="003A549B"/>
    <w:rsid w:val="003A79A7"/>
    <w:rsid w:val="003B479F"/>
    <w:rsid w:val="003B539A"/>
    <w:rsid w:val="003C181F"/>
    <w:rsid w:val="003C1A26"/>
    <w:rsid w:val="003D220C"/>
    <w:rsid w:val="003E1265"/>
    <w:rsid w:val="003E14D2"/>
    <w:rsid w:val="003E42DD"/>
    <w:rsid w:val="003E4D6B"/>
    <w:rsid w:val="003E549B"/>
    <w:rsid w:val="003E60E7"/>
    <w:rsid w:val="003F032C"/>
    <w:rsid w:val="003F065C"/>
    <w:rsid w:val="003F255B"/>
    <w:rsid w:val="00402BC1"/>
    <w:rsid w:val="00403429"/>
    <w:rsid w:val="004050F3"/>
    <w:rsid w:val="00405B84"/>
    <w:rsid w:val="004060A2"/>
    <w:rsid w:val="00412CBA"/>
    <w:rsid w:val="004161B2"/>
    <w:rsid w:val="00416C23"/>
    <w:rsid w:val="00421AFF"/>
    <w:rsid w:val="00425CFC"/>
    <w:rsid w:val="00427675"/>
    <w:rsid w:val="0043034B"/>
    <w:rsid w:val="00430AA5"/>
    <w:rsid w:val="00430C53"/>
    <w:rsid w:val="0043209B"/>
    <w:rsid w:val="00432597"/>
    <w:rsid w:val="00433887"/>
    <w:rsid w:val="0043605D"/>
    <w:rsid w:val="00436A8E"/>
    <w:rsid w:val="00436D3E"/>
    <w:rsid w:val="00437038"/>
    <w:rsid w:val="0043740B"/>
    <w:rsid w:val="00440D92"/>
    <w:rsid w:val="00442BCC"/>
    <w:rsid w:val="00443817"/>
    <w:rsid w:val="004445C2"/>
    <w:rsid w:val="00446696"/>
    <w:rsid w:val="00447337"/>
    <w:rsid w:val="004532E7"/>
    <w:rsid w:val="004564A7"/>
    <w:rsid w:val="00456DFF"/>
    <w:rsid w:val="00457E3F"/>
    <w:rsid w:val="00457F0F"/>
    <w:rsid w:val="00462EE7"/>
    <w:rsid w:val="004642CE"/>
    <w:rsid w:val="004645C7"/>
    <w:rsid w:val="00471EAC"/>
    <w:rsid w:val="00472E7F"/>
    <w:rsid w:val="0047403E"/>
    <w:rsid w:val="00475760"/>
    <w:rsid w:val="00485517"/>
    <w:rsid w:val="00486496"/>
    <w:rsid w:val="00486D5A"/>
    <w:rsid w:val="004917D5"/>
    <w:rsid w:val="00492BFF"/>
    <w:rsid w:val="00494C19"/>
    <w:rsid w:val="00496D86"/>
    <w:rsid w:val="00497C48"/>
    <w:rsid w:val="004A6329"/>
    <w:rsid w:val="004A6DA5"/>
    <w:rsid w:val="004A728F"/>
    <w:rsid w:val="004A78B4"/>
    <w:rsid w:val="004A7A60"/>
    <w:rsid w:val="004B68C2"/>
    <w:rsid w:val="004C532B"/>
    <w:rsid w:val="004C6BC3"/>
    <w:rsid w:val="004D1400"/>
    <w:rsid w:val="004D1F3B"/>
    <w:rsid w:val="004D3248"/>
    <w:rsid w:val="004D6016"/>
    <w:rsid w:val="004D64A2"/>
    <w:rsid w:val="004E261D"/>
    <w:rsid w:val="004E515B"/>
    <w:rsid w:val="004E6554"/>
    <w:rsid w:val="004E6E0A"/>
    <w:rsid w:val="004F19F9"/>
    <w:rsid w:val="004F2BF5"/>
    <w:rsid w:val="004F3237"/>
    <w:rsid w:val="004F559B"/>
    <w:rsid w:val="004F56A7"/>
    <w:rsid w:val="004F75BA"/>
    <w:rsid w:val="00501211"/>
    <w:rsid w:val="00503963"/>
    <w:rsid w:val="0050471E"/>
    <w:rsid w:val="00504BB2"/>
    <w:rsid w:val="00504F86"/>
    <w:rsid w:val="00505A81"/>
    <w:rsid w:val="00506AC9"/>
    <w:rsid w:val="005077FE"/>
    <w:rsid w:val="0051051D"/>
    <w:rsid w:val="00511CDD"/>
    <w:rsid w:val="00514DDD"/>
    <w:rsid w:val="005153D0"/>
    <w:rsid w:val="0052328C"/>
    <w:rsid w:val="00523B37"/>
    <w:rsid w:val="00524344"/>
    <w:rsid w:val="0052616D"/>
    <w:rsid w:val="005305A9"/>
    <w:rsid w:val="00532C77"/>
    <w:rsid w:val="00533944"/>
    <w:rsid w:val="00535798"/>
    <w:rsid w:val="00536B16"/>
    <w:rsid w:val="00541383"/>
    <w:rsid w:val="005429EF"/>
    <w:rsid w:val="00544F16"/>
    <w:rsid w:val="00545726"/>
    <w:rsid w:val="00547432"/>
    <w:rsid w:val="00547F3F"/>
    <w:rsid w:val="005515E9"/>
    <w:rsid w:val="0055230A"/>
    <w:rsid w:val="005525A1"/>
    <w:rsid w:val="00552E16"/>
    <w:rsid w:val="00553D2C"/>
    <w:rsid w:val="005549C9"/>
    <w:rsid w:val="005566C3"/>
    <w:rsid w:val="00561543"/>
    <w:rsid w:val="005633A3"/>
    <w:rsid w:val="00564A0F"/>
    <w:rsid w:val="00564B81"/>
    <w:rsid w:val="00566038"/>
    <w:rsid w:val="005662FC"/>
    <w:rsid w:val="005667DD"/>
    <w:rsid w:val="005730CA"/>
    <w:rsid w:val="00573DE8"/>
    <w:rsid w:val="00574FB3"/>
    <w:rsid w:val="00575658"/>
    <w:rsid w:val="00575991"/>
    <w:rsid w:val="00576DD6"/>
    <w:rsid w:val="00583951"/>
    <w:rsid w:val="005854AD"/>
    <w:rsid w:val="00586EA5"/>
    <w:rsid w:val="00590BBF"/>
    <w:rsid w:val="00593F53"/>
    <w:rsid w:val="00595E4D"/>
    <w:rsid w:val="005A29E5"/>
    <w:rsid w:val="005A312D"/>
    <w:rsid w:val="005A33E8"/>
    <w:rsid w:val="005A575C"/>
    <w:rsid w:val="005B1802"/>
    <w:rsid w:val="005B2E63"/>
    <w:rsid w:val="005B63ED"/>
    <w:rsid w:val="005C3252"/>
    <w:rsid w:val="005D2574"/>
    <w:rsid w:val="005D4E6E"/>
    <w:rsid w:val="005D5457"/>
    <w:rsid w:val="005D7D62"/>
    <w:rsid w:val="005E2555"/>
    <w:rsid w:val="005E2FCD"/>
    <w:rsid w:val="005E3F05"/>
    <w:rsid w:val="005E45EA"/>
    <w:rsid w:val="005E5D29"/>
    <w:rsid w:val="005E62E6"/>
    <w:rsid w:val="005E6D92"/>
    <w:rsid w:val="005F1AE6"/>
    <w:rsid w:val="005F5EE6"/>
    <w:rsid w:val="005F7F4E"/>
    <w:rsid w:val="00602FB3"/>
    <w:rsid w:val="00605DFF"/>
    <w:rsid w:val="00607284"/>
    <w:rsid w:val="0061257E"/>
    <w:rsid w:val="00614162"/>
    <w:rsid w:val="00614C22"/>
    <w:rsid w:val="00614EA4"/>
    <w:rsid w:val="006154F7"/>
    <w:rsid w:val="00622E6D"/>
    <w:rsid w:val="006237DB"/>
    <w:rsid w:val="006245E7"/>
    <w:rsid w:val="00625995"/>
    <w:rsid w:val="00625C23"/>
    <w:rsid w:val="00626660"/>
    <w:rsid w:val="00632696"/>
    <w:rsid w:val="006343A1"/>
    <w:rsid w:val="006352B0"/>
    <w:rsid w:val="006411A7"/>
    <w:rsid w:val="0064322B"/>
    <w:rsid w:val="0064375A"/>
    <w:rsid w:val="00643873"/>
    <w:rsid w:val="00645B35"/>
    <w:rsid w:val="006467A7"/>
    <w:rsid w:val="006470B6"/>
    <w:rsid w:val="00647610"/>
    <w:rsid w:val="00653275"/>
    <w:rsid w:val="00653318"/>
    <w:rsid w:val="00656916"/>
    <w:rsid w:val="006576C4"/>
    <w:rsid w:val="00660344"/>
    <w:rsid w:val="00661434"/>
    <w:rsid w:val="00664B1F"/>
    <w:rsid w:val="006676A5"/>
    <w:rsid w:val="00667B2D"/>
    <w:rsid w:val="00670922"/>
    <w:rsid w:val="0067441E"/>
    <w:rsid w:val="00674D21"/>
    <w:rsid w:val="00682C6C"/>
    <w:rsid w:val="00683273"/>
    <w:rsid w:val="00685FDE"/>
    <w:rsid w:val="0068724E"/>
    <w:rsid w:val="00687ADB"/>
    <w:rsid w:val="00690AF3"/>
    <w:rsid w:val="006922C4"/>
    <w:rsid w:val="00692FE0"/>
    <w:rsid w:val="00693FA6"/>
    <w:rsid w:val="006954AF"/>
    <w:rsid w:val="00696F98"/>
    <w:rsid w:val="006A05F4"/>
    <w:rsid w:val="006A0FCD"/>
    <w:rsid w:val="006A2C13"/>
    <w:rsid w:val="006A2C79"/>
    <w:rsid w:val="006A2C93"/>
    <w:rsid w:val="006A30EF"/>
    <w:rsid w:val="006A520B"/>
    <w:rsid w:val="006A5562"/>
    <w:rsid w:val="006A5DCA"/>
    <w:rsid w:val="006A7640"/>
    <w:rsid w:val="006B4065"/>
    <w:rsid w:val="006B5698"/>
    <w:rsid w:val="006C4150"/>
    <w:rsid w:val="006C6123"/>
    <w:rsid w:val="006C6312"/>
    <w:rsid w:val="006C6A10"/>
    <w:rsid w:val="006D2E70"/>
    <w:rsid w:val="006D3273"/>
    <w:rsid w:val="006D47D5"/>
    <w:rsid w:val="006D51AC"/>
    <w:rsid w:val="006D6A45"/>
    <w:rsid w:val="006D757D"/>
    <w:rsid w:val="006E1935"/>
    <w:rsid w:val="006E502C"/>
    <w:rsid w:val="006E537E"/>
    <w:rsid w:val="006E5F0C"/>
    <w:rsid w:val="006F3E34"/>
    <w:rsid w:val="006F4FA6"/>
    <w:rsid w:val="006F6823"/>
    <w:rsid w:val="006F6D07"/>
    <w:rsid w:val="007056A1"/>
    <w:rsid w:val="0070645A"/>
    <w:rsid w:val="0070791A"/>
    <w:rsid w:val="00710F99"/>
    <w:rsid w:val="007121E8"/>
    <w:rsid w:val="00713CAA"/>
    <w:rsid w:val="0071424C"/>
    <w:rsid w:val="007148ED"/>
    <w:rsid w:val="00717153"/>
    <w:rsid w:val="00724924"/>
    <w:rsid w:val="007268AD"/>
    <w:rsid w:val="007272AC"/>
    <w:rsid w:val="00730FB5"/>
    <w:rsid w:val="00733A2B"/>
    <w:rsid w:val="00733FD8"/>
    <w:rsid w:val="00740F6D"/>
    <w:rsid w:val="00742C3D"/>
    <w:rsid w:val="00743263"/>
    <w:rsid w:val="00745899"/>
    <w:rsid w:val="00747CCD"/>
    <w:rsid w:val="0075102A"/>
    <w:rsid w:val="00752403"/>
    <w:rsid w:val="00752BE6"/>
    <w:rsid w:val="0075404E"/>
    <w:rsid w:val="0075689D"/>
    <w:rsid w:val="007630CF"/>
    <w:rsid w:val="00763CC3"/>
    <w:rsid w:val="00765DC8"/>
    <w:rsid w:val="00767C01"/>
    <w:rsid w:val="00767DC7"/>
    <w:rsid w:val="0077237A"/>
    <w:rsid w:val="0077312D"/>
    <w:rsid w:val="007732C4"/>
    <w:rsid w:val="00774B20"/>
    <w:rsid w:val="00775269"/>
    <w:rsid w:val="007773B7"/>
    <w:rsid w:val="00782B57"/>
    <w:rsid w:val="00782BF2"/>
    <w:rsid w:val="0078406A"/>
    <w:rsid w:val="00784877"/>
    <w:rsid w:val="007855B2"/>
    <w:rsid w:val="0078590B"/>
    <w:rsid w:val="00786F71"/>
    <w:rsid w:val="0079182D"/>
    <w:rsid w:val="00793BE7"/>
    <w:rsid w:val="00796C0D"/>
    <w:rsid w:val="007A273D"/>
    <w:rsid w:val="007A4588"/>
    <w:rsid w:val="007A7E8E"/>
    <w:rsid w:val="007B106B"/>
    <w:rsid w:val="007B3F1C"/>
    <w:rsid w:val="007B3F5B"/>
    <w:rsid w:val="007B4B47"/>
    <w:rsid w:val="007B5367"/>
    <w:rsid w:val="007B5DC8"/>
    <w:rsid w:val="007B7E45"/>
    <w:rsid w:val="007C098E"/>
    <w:rsid w:val="007C7149"/>
    <w:rsid w:val="007D07A7"/>
    <w:rsid w:val="007D1F73"/>
    <w:rsid w:val="007D463E"/>
    <w:rsid w:val="007D55CA"/>
    <w:rsid w:val="007E1592"/>
    <w:rsid w:val="007E459D"/>
    <w:rsid w:val="007E643F"/>
    <w:rsid w:val="007E700E"/>
    <w:rsid w:val="007F12DA"/>
    <w:rsid w:val="007F216A"/>
    <w:rsid w:val="007F2759"/>
    <w:rsid w:val="007F3099"/>
    <w:rsid w:val="007F4C41"/>
    <w:rsid w:val="007F4EB3"/>
    <w:rsid w:val="007F7CEF"/>
    <w:rsid w:val="00800AA5"/>
    <w:rsid w:val="00800D0E"/>
    <w:rsid w:val="0080166E"/>
    <w:rsid w:val="00803723"/>
    <w:rsid w:val="008115D2"/>
    <w:rsid w:val="0081355A"/>
    <w:rsid w:val="0081518E"/>
    <w:rsid w:val="0081691F"/>
    <w:rsid w:val="00817696"/>
    <w:rsid w:val="00820158"/>
    <w:rsid w:val="00823F59"/>
    <w:rsid w:val="008263B2"/>
    <w:rsid w:val="00827782"/>
    <w:rsid w:val="0083192A"/>
    <w:rsid w:val="008322ED"/>
    <w:rsid w:val="00833EBC"/>
    <w:rsid w:val="00837994"/>
    <w:rsid w:val="0084054F"/>
    <w:rsid w:val="008431CC"/>
    <w:rsid w:val="00843205"/>
    <w:rsid w:val="00844A0E"/>
    <w:rsid w:val="00845127"/>
    <w:rsid w:val="00845887"/>
    <w:rsid w:val="00846B1E"/>
    <w:rsid w:val="00847D18"/>
    <w:rsid w:val="008503B2"/>
    <w:rsid w:val="00854452"/>
    <w:rsid w:val="00856FC1"/>
    <w:rsid w:val="008605AA"/>
    <w:rsid w:val="00860DDC"/>
    <w:rsid w:val="0086128A"/>
    <w:rsid w:val="0086145D"/>
    <w:rsid w:val="008620BB"/>
    <w:rsid w:val="00863513"/>
    <w:rsid w:val="008641EE"/>
    <w:rsid w:val="008650C4"/>
    <w:rsid w:val="00866174"/>
    <w:rsid w:val="00866E93"/>
    <w:rsid w:val="00870008"/>
    <w:rsid w:val="0087078F"/>
    <w:rsid w:val="008712A6"/>
    <w:rsid w:val="0087196C"/>
    <w:rsid w:val="008734D3"/>
    <w:rsid w:val="00875127"/>
    <w:rsid w:val="00875B4A"/>
    <w:rsid w:val="0088020E"/>
    <w:rsid w:val="00881397"/>
    <w:rsid w:val="00884455"/>
    <w:rsid w:val="00886236"/>
    <w:rsid w:val="00886DD8"/>
    <w:rsid w:val="00887185"/>
    <w:rsid w:val="00894286"/>
    <w:rsid w:val="00896BDF"/>
    <w:rsid w:val="00897C03"/>
    <w:rsid w:val="008A1D8F"/>
    <w:rsid w:val="008A2000"/>
    <w:rsid w:val="008A2339"/>
    <w:rsid w:val="008A259C"/>
    <w:rsid w:val="008A4BBE"/>
    <w:rsid w:val="008A704B"/>
    <w:rsid w:val="008B0ADE"/>
    <w:rsid w:val="008B28C6"/>
    <w:rsid w:val="008B7B0A"/>
    <w:rsid w:val="008B7E6B"/>
    <w:rsid w:val="008C0165"/>
    <w:rsid w:val="008C3054"/>
    <w:rsid w:val="008C4481"/>
    <w:rsid w:val="008C4B91"/>
    <w:rsid w:val="008C552C"/>
    <w:rsid w:val="008D1B74"/>
    <w:rsid w:val="008D4F02"/>
    <w:rsid w:val="008D5EE9"/>
    <w:rsid w:val="008D6F43"/>
    <w:rsid w:val="008D7B49"/>
    <w:rsid w:val="008E095D"/>
    <w:rsid w:val="008E0F50"/>
    <w:rsid w:val="008E5933"/>
    <w:rsid w:val="008F0B07"/>
    <w:rsid w:val="008F21D2"/>
    <w:rsid w:val="008F7097"/>
    <w:rsid w:val="008F771D"/>
    <w:rsid w:val="00902AD6"/>
    <w:rsid w:val="00902F50"/>
    <w:rsid w:val="009065A0"/>
    <w:rsid w:val="00906C57"/>
    <w:rsid w:val="00912479"/>
    <w:rsid w:val="00914296"/>
    <w:rsid w:val="009148C1"/>
    <w:rsid w:val="009152B7"/>
    <w:rsid w:val="00915480"/>
    <w:rsid w:val="009202CB"/>
    <w:rsid w:val="00921B9B"/>
    <w:rsid w:val="00922A2C"/>
    <w:rsid w:val="009230F3"/>
    <w:rsid w:val="00930450"/>
    <w:rsid w:val="00931FCE"/>
    <w:rsid w:val="0093363C"/>
    <w:rsid w:val="0093642D"/>
    <w:rsid w:val="00936518"/>
    <w:rsid w:val="00936E7C"/>
    <w:rsid w:val="009416EE"/>
    <w:rsid w:val="00942DA5"/>
    <w:rsid w:val="00951283"/>
    <w:rsid w:val="009526E0"/>
    <w:rsid w:val="00957569"/>
    <w:rsid w:val="009575DD"/>
    <w:rsid w:val="00960AEF"/>
    <w:rsid w:val="00961867"/>
    <w:rsid w:val="009644F1"/>
    <w:rsid w:val="00965F19"/>
    <w:rsid w:val="00965FC8"/>
    <w:rsid w:val="009666D3"/>
    <w:rsid w:val="0096700E"/>
    <w:rsid w:val="009701AD"/>
    <w:rsid w:val="009710D5"/>
    <w:rsid w:val="00971A38"/>
    <w:rsid w:val="00971DF5"/>
    <w:rsid w:val="00972CDE"/>
    <w:rsid w:val="009730D0"/>
    <w:rsid w:val="00973BF9"/>
    <w:rsid w:val="00973D1D"/>
    <w:rsid w:val="00974E7C"/>
    <w:rsid w:val="0097766B"/>
    <w:rsid w:val="009809F1"/>
    <w:rsid w:val="00980BDA"/>
    <w:rsid w:val="0098159B"/>
    <w:rsid w:val="00981756"/>
    <w:rsid w:val="009835E8"/>
    <w:rsid w:val="009840F2"/>
    <w:rsid w:val="00985848"/>
    <w:rsid w:val="009908FC"/>
    <w:rsid w:val="00994091"/>
    <w:rsid w:val="00994E76"/>
    <w:rsid w:val="0099555E"/>
    <w:rsid w:val="009961B3"/>
    <w:rsid w:val="009A185F"/>
    <w:rsid w:val="009A1C45"/>
    <w:rsid w:val="009A204E"/>
    <w:rsid w:val="009A3776"/>
    <w:rsid w:val="009A3B9E"/>
    <w:rsid w:val="009A4129"/>
    <w:rsid w:val="009A5059"/>
    <w:rsid w:val="009A595F"/>
    <w:rsid w:val="009A7058"/>
    <w:rsid w:val="009B399F"/>
    <w:rsid w:val="009B7534"/>
    <w:rsid w:val="009B7715"/>
    <w:rsid w:val="009C1346"/>
    <w:rsid w:val="009C1808"/>
    <w:rsid w:val="009C1A33"/>
    <w:rsid w:val="009C43C3"/>
    <w:rsid w:val="009C693B"/>
    <w:rsid w:val="009D310A"/>
    <w:rsid w:val="009D35A7"/>
    <w:rsid w:val="009D5EE2"/>
    <w:rsid w:val="009D737C"/>
    <w:rsid w:val="009E1528"/>
    <w:rsid w:val="009E2506"/>
    <w:rsid w:val="009E3194"/>
    <w:rsid w:val="009E5075"/>
    <w:rsid w:val="009E5160"/>
    <w:rsid w:val="009E5359"/>
    <w:rsid w:val="009E5C13"/>
    <w:rsid w:val="009E76D6"/>
    <w:rsid w:val="009E7B42"/>
    <w:rsid w:val="009F0EBA"/>
    <w:rsid w:val="009F2748"/>
    <w:rsid w:val="009F2A2A"/>
    <w:rsid w:val="009F36EB"/>
    <w:rsid w:val="009F50D2"/>
    <w:rsid w:val="00A00CE5"/>
    <w:rsid w:val="00A02555"/>
    <w:rsid w:val="00A03375"/>
    <w:rsid w:val="00A041F0"/>
    <w:rsid w:val="00A05DCB"/>
    <w:rsid w:val="00A1317A"/>
    <w:rsid w:val="00A138DB"/>
    <w:rsid w:val="00A16352"/>
    <w:rsid w:val="00A176B0"/>
    <w:rsid w:val="00A215F7"/>
    <w:rsid w:val="00A24BDF"/>
    <w:rsid w:val="00A26A41"/>
    <w:rsid w:val="00A26D52"/>
    <w:rsid w:val="00A27263"/>
    <w:rsid w:val="00A32BC5"/>
    <w:rsid w:val="00A32D64"/>
    <w:rsid w:val="00A34C64"/>
    <w:rsid w:val="00A369A8"/>
    <w:rsid w:val="00A36D86"/>
    <w:rsid w:val="00A374FA"/>
    <w:rsid w:val="00A42084"/>
    <w:rsid w:val="00A434BB"/>
    <w:rsid w:val="00A4637B"/>
    <w:rsid w:val="00A46733"/>
    <w:rsid w:val="00A47DA7"/>
    <w:rsid w:val="00A50554"/>
    <w:rsid w:val="00A50EFC"/>
    <w:rsid w:val="00A536EA"/>
    <w:rsid w:val="00A55A0F"/>
    <w:rsid w:val="00A56EF8"/>
    <w:rsid w:val="00A6095F"/>
    <w:rsid w:val="00A62C5D"/>
    <w:rsid w:val="00A63171"/>
    <w:rsid w:val="00A63DAE"/>
    <w:rsid w:val="00A65112"/>
    <w:rsid w:val="00A6674B"/>
    <w:rsid w:val="00A67E7C"/>
    <w:rsid w:val="00A70D4F"/>
    <w:rsid w:val="00A713ED"/>
    <w:rsid w:val="00A71C7E"/>
    <w:rsid w:val="00A75811"/>
    <w:rsid w:val="00A7676C"/>
    <w:rsid w:val="00A76CE8"/>
    <w:rsid w:val="00A81E0C"/>
    <w:rsid w:val="00A83A9B"/>
    <w:rsid w:val="00A83FE7"/>
    <w:rsid w:val="00A91FF2"/>
    <w:rsid w:val="00A94E26"/>
    <w:rsid w:val="00A94FD2"/>
    <w:rsid w:val="00A95C45"/>
    <w:rsid w:val="00A9793D"/>
    <w:rsid w:val="00AA0201"/>
    <w:rsid w:val="00AA1098"/>
    <w:rsid w:val="00AA114C"/>
    <w:rsid w:val="00AA2603"/>
    <w:rsid w:val="00AA28E5"/>
    <w:rsid w:val="00AA37FF"/>
    <w:rsid w:val="00AA7010"/>
    <w:rsid w:val="00AB07FD"/>
    <w:rsid w:val="00AB23A1"/>
    <w:rsid w:val="00AB2896"/>
    <w:rsid w:val="00AB59B3"/>
    <w:rsid w:val="00AB644F"/>
    <w:rsid w:val="00AB696D"/>
    <w:rsid w:val="00AB7487"/>
    <w:rsid w:val="00AB7491"/>
    <w:rsid w:val="00AB769E"/>
    <w:rsid w:val="00AC2114"/>
    <w:rsid w:val="00AC7581"/>
    <w:rsid w:val="00AD7303"/>
    <w:rsid w:val="00AE263F"/>
    <w:rsid w:val="00AE281F"/>
    <w:rsid w:val="00AE4AA4"/>
    <w:rsid w:val="00AE6193"/>
    <w:rsid w:val="00AE66F3"/>
    <w:rsid w:val="00AE760C"/>
    <w:rsid w:val="00AF0175"/>
    <w:rsid w:val="00AF6FF9"/>
    <w:rsid w:val="00B00C9B"/>
    <w:rsid w:val="00B01378"/>
    <w:rsid w:val="00B01A46"/>
    <w:rsid w:val="00B04477"/>
    <w:rsid w:val="00B05753"/>
    <w:rsid w:val="00B060BC"/>
    <w:rsid w:val="00B06D7F"/>
    <w:rsid w:val="00B07EE6"/>
    <w:rsid w:val="00B112B7"/>
    <w:rsid w:val="00B13EC5"/>
    <w:rsid w:val="00B16CE2"/>
    <w:rsid w:val="00B2083A"/>
    <w:rsid w:val="00B2184B"/>
    <w:rsid w:val="00B21D8A"/>
    <w:rsid w:val="00B23481"/>
    <w:rsid w:val="00B266E0"/>
    <w:rsid w:val="00B305A7"/>
    <w:rsid w:val="00B3078D"/>
    <w:rsid w:val="00B325D9"/>
    <w:rsid w:val="00B348EA"/>
    <w:rsid w:val="00B40305"/>
    <w:rsid w:val="00B437A4"/>
    <w:rsid w:val="00B44257"/>
    <w:rsid w:val="00B45A5A"/>
    <w:rsid w:val="00B45C84"/>
    <w:rsid w:val="00B47FEF"/>
    <w:rsid w:val="00B52F48"/>
    <w:rsid w:val="00B54B25"/>
    <w:rsid w:val="00B5778C"/>
    <w:rsid w:val="00B62595"/>
    <w:rsid w:val="00B62C58"/>
    <w:rsid w:val="00B635D2"/>
    <w:rsid w:val="00B71331"/>
    <w:rsid w:val="00B72246"/>
    <w:rsid w:val="00B7266B"/>
    <w:rsid w:val="00B74899"/>
    <w:rsid w:val="00B74C8E"/>
    <w:rsid w:val="00B751E5"/>
    <w:rsid w:val="00B753F9"/>
    <w:rsid w:val="00B75FF7"/>
    <w:rsid w:val="00B76056"/>
    <w:rsid w:val="00B77CC5"/>
    <w:rsid w:val="00B82456"/>
    <w:rsid w:val="00B848D6"/>
    <w:rsid w:val="00B84B28"/>
    <w:rsid w:val="00B90B92"/>
    <w:rsid w:val="00B9262D"/>
    <w:rsid w:val="00B972B3"/>
    <w:rsid w:val="00BA227D"/>
    <w:rsid w:val="00BA4AEA"/>
    <w:rsid w:val="00BB16B2"/>
    <w:rsid w:val="00BB25DB"/>
    <w:rsid w:val="00BB434D"/>
    <w:rsid w:val="00BB55D7"/>
    <w:rsid w:val="00BB725A"/>
    <w:rsid w:val="00BC1315"/>
    <w:rsid w:val="00BC6E86"/>
    <w:rsid w:val="00BC7214"/>
    <w:rsid w:val="00BD037D"/>
    <w:rsid w:val="00BD0E53"/>
    <w:rsid w:val="00BD10FB"/>
    <w:rsid w:val="00BD4247"/>
    <w:rsid w:val="00BD4289"/>
    <w:rsid w:val="00BD56DC"/>
    <w:rsid w:val="00BD698C"/>
    <w:rsid w:val="00BD6BA1"/>
    <w:rsid w:val="00BE4B03"/>
    <w:rsid w:val="00BE4C84"/>
    <w:rsid w:val="00BE5596"/>
    <w:rsid w:val="00BE6193"/>
    <w:rsid w:val="00BE7A9F"/>
    <w:rsid w:val="00BE7D2E"/>
    <w:rsid w:val="00BE7F4E"/>
    <w:rsid w:val="00BF0892"/>
    <w:rsid w:val="00BF2057"/>
    <w:rsid w:val="00BF252A"/>
    <w:rsid w:val="00BF479D"/>
    <w:rsid w:val="00BF7874"/>
    <w:rsid w:val="00C01581"/>
    <w:rsid w:val="00C01B02"/>
    <w:rsid w:val="00C03E9C"/>
    <w:rsid w:val="00C04421"/>
    <w:rsid w:val="00C04AAD"/>
    <w:rsid w:val="00C05022"/>
    <w:rsid w:val="00C05EE8"/>
    <w:rsid w:val="00C072FB"/>
    <w:rsid w:val="00C074B6"/>
    <w:rsid w:val="00C074E6"/>
    <w:rsid w:val="00C101EE"/>
    <w:rsid w:val="00C1390D"/>
    <w:rsid w:val="00C1392B"/>
    <w:rsid w:val="00C150C5"/>
    <w:rsid w:val="00C15202"/>
    <w:rsid w:val="00C152AF"/>
    <w:rsid w:val="00C219F9"/>
    <w:rsid w:val="00C22D83"/>
    <w:rsid w:val="00C23E53"/>
    <w:rsid w:val="00C24A89"/>
    <w:rsid w:val="00C25BC3"/>
    <w:rsid w:val="00C30618"/>
    <w:rsid w:val="00C33369"/>
    <w:rsid w:val="00C344C2"/>
    <w:rsid w:val="00C36B19"/>
    <w:rsid w:val="00C37056"/>
    <w:rsid w:val="00C37FCF"/>
    <w:rsid w:val="00C40B55"/>
    <w:rsid w:val="00C41160"/>
    <w:rsid w:val="00C416F3"/>
    <w:rsid w:val="00C43DF8"/>
    <w:rsid w:val="00C43F89"/>
    <w:rsid w:val="00C465A8"/>
    <w:rsid w:val="00C52503"/>
    <w:rsid w:val="00C5566C"/>
    <w:rsid w:val="00C61469"/>
    <w:rsid w:val="00C62394"/>
    <w:rsid w:val="00C67C69"/>
    <w:rsid w:val="00C67C91"/>
    <w:rsid w:val="00C700A8"/>
    <w:rsid w:val="00C728B7"/>
    <w:rsid w:val="00C73644"/>
    <w:rsid w:val="00C75841"/>
    <w:rsid w:val="00C758FC"/>
    <w:rsid w:val="00C801CA"/>
    <w:rsid w:val="00C81A96"/>
    <w:rsid w:val="00C82D5D"/>
    <w:rsid w:val="00C84D01"/>
    <w:rsid w:val="00C851EB"/>
    <w:rsid w:val="00C8526C"/>
    <w:rsid w:val="00C859F1"/>
    <w:rsid w:val="00C87FB3"/>
    <w:rsid w:val="00C92CE6"/>
    <w:rsid w:val="00C957A9"/>
    <w:rsid w:val="00C96DB4"/>
    <w:rsid w:val="00CA315D"/>
    <w:rsid w:val="00CA3431"/>
    <w:rsid w:val="00CA38EE"/>
    <w:rsid w:val="00CA55C4"/>
    <w:rsid w:val="00CA681B"/>
    <w:rsid w:val="00CB0961"/>
    <w:rsid w:val="00CB12B0"/>
    <w:rsid w:val="00CB1F4D"/>
    <w:rsid w:val="00CB29FC"/>
    <w:rsid w:val="00CB3169"/>
    <w:rsid w:val="00CC09C7"/>
    <w:rsid w:val="00CC29A3"/>
    <w:rsid w:val="00CC3F21"/>
    <w:rsid w:val="00CC4519"/>
    <w:rsid w:val="00CC46BC"/>
    <w:rsid w:val="00CC5C46"/>
    <w:rsid w:val="00CC7530"/>
    <w:rsid w:val="00CC7655"/>
    <w:rsid w:val="00CC766E"/>
    <w:rsid w:val="00CC7C87"/>
    <w:rsid w:val="00CD08A5"/>
    <w:rsid w:val="00CD1008"/>
    <w:rsid w:val="00CD655E"/>
    <w:rsid w:val="00CE0BC6"/>
    <w:rsid w:val="00CE1FD6"/>
    <w:rsid w:val="00CE5086"/>
    <w:rsid w:val="00CE603D"/>
    <w:rsid w:val="00CF1D43"/>
    <w:rsid w:val="00CF4F4A"/>
    <w:rsid w:val="00CF7411"/>
    <w:rsid w:val="00CF7AF5"/>
    <w:rsid w:val="00D03091"/>
    <w:rsid w:val="00D05F38"/>
    <w:rsid w:val="00D06B47"/>
    <w:rsid w:val="00D072A5"/>
    <w:rsid w:val="00D07416"/>
    <w:rsid w:val="00D10144"/>
    <w:rsid w:val="00D11193"/>
    <w:rsid w:val="00D13E26"/>
    <w:rsid w:val="00D155BB"/>
    <w:rsid w:val="00D2227D"/>
    <w:rsid w:val="00D241D9"/>
    <w:rsid w:val="00D2770E"/>
    <w:rsid w:val="00D277C5"/>
    <w:rsid w:val="00D30875"/>
    <w:rsid w:val="00D31362"/>
    <w:rsid w:val="00D31F06"/>
    <w:rsid w:val="00D3255E"/>
    <w:rsid w:val="00D42211"/>
    <w:rsid w:val="00D423C6"/>
    <w:rsid w:val="00D43E72"/>
    <w:rsid w:val="00D46D06"/>
    <w:rsid w:val="00D5402E"/>
    <w:rsid w:val="00D563DE"/>
    <w:rsid w:val="00D63C88"/>
    <w:rsid w:val="00D6606D"/>
    <w:rsid w:val="00D660EA"/>
    <w:rsid w:val="00D76E92"/>
    <w:rsid w:val="00D82186"/>
    <w:rsid w:val="00D84182"/>
    <w:rsid w:val="00D85AAD"/>
    <w:rsid w:val="00D910AA"/>
    <w:rsid w:val="00D924EB"/>
    <w:rsid w:val="00D9335B"/>
    <w:rsid w:val="00D94445"/>
    <w:rsid w:val="00D96483"/>
    <w:rsid w:val="00D9712E"/>
    <w:rsid w:val="00D972EE"/>
    <w:rsid w:val="00DA0430"/>
    <w:rsid w:val="00DA1C03"/>
    <w:rsid w:val="00DA23BB"/>
    <w:rsid w:val="00DA24C8"/>
    <w:rsid w:val="00DA3626"/>
    <w:rsid w:val="00DA45D2"/>
    <w:rsid w:val="00DA4F89"/>
    <w:rsid w:val="00DA5DF2"/>
    <w:rsid w:val="00DB1FCD"/>
    <w:rsid w:val="00DB6340"/>
    <w:rsid w:val="00DC128F"/>
    <w:rsid w:val="00DC3970"/>
    <w:rsid w:val="00DC3DCD"/>
    <w:rsid w:val="00DD6CED"/>
    <w:rsid w:val="00DE2345"/>
    <w:rsid w:val="00DE2965"/>
    <w:rsid w:val="00DE316C"/>
    <w:rsid w:val="00DE4126"/>
    <w:rsid w:val="00DE41FD"/>
    <w:rsid w:val="00DE6CA8"/>
    <w:rsid w:val="00DF41DD"/>
    <w:rsid w:val="00E0012B"/>
    <w:rsid w:val="00E028C9"/>
    <w:rsid w:val="00E02904"/>
    <w:rsid w:val="00E0327A"/>
    <w:rsid w:val="00E03A9A"/>
    <w:rsid w:val="00E05208"/>
    <w:rsid w:val="00E119A8"/>
    <w:rsid w:val="00E130FB"/>
    <w:rsid w:val="00E136AF"/>
    <w:rsid w:val="00E149CC"/>
    <w:rsid w:val="00E213D7"/>
    <w:rsid w:val="00E21FA4"/>
    <w:rsid w:val="00E25874"/>
    <w:rsid w:val="00E26D05"/>
    <w:rsid w:val="00E30256"/>
    <w:rsid w:val="00E32758"/>
    <w:rsid w:val="00E36491"/>
    <w:rsid w:val="00E40259"/>
    <w:rsid w:val="00E41764"/>
    <w:rsid w:val="00E43C54"/>
    <w:rsid w:val="00E43D5C"/>
    <w:rsid w:val="00E44306"/>
    <w:rsid w:val="00E4459B"/>
    <w:rsid w:val="00E50E2E"/>
    <w:rsid w:val="00E52961"/>
    <w:rsid w:val="00E52EB3"/>
    <w:rsid w:val="00E52EC5"/>
    <w:rsid w:val="00E54D09"/>
    <w:rsid w:val="00E5644A"/>
    <w:rsid w:val="00E569AB"/>
    <w:rsid w:val="00E575A6"/>
    <w:rsid w:val="00E600E2"/>
    <w:rsid w:val="00E60512"/>
    <w:rsid w:val="00E61FA2"/>
    <w:rsid w:val="00E626FF"/>
    <w:rsid w:val="00E632EC"/>
    <w:rsid w:val="00E6447F"/>
    <w:rsid w:val="00E64FC6"/>
    <w:rsid w:val="00E6546F"/>
    <w:rsid w:val="00E6696E"/>
    <w:rsid w:val="00E66DF9"/>
    <w:rsid w:val="00E67F82"/>
    <w:rsid w:val="00E72D69"/>
    <w:rsid w:val="00E76AC0"/>
    <w:rsid w:val="00E76F19"/>
    <w:rsid w:val="00E774EF"/>
    <w:rsid w:val="00E80916"/>
    <w:rsid w:val="00E815B0"/>
    <w:rsid w:val="00E8575A"/>
    <w:rsid w:val="00E9004A"/>
    <w:rsid w:val="00E91F8D"/>
    <w:rsid w:val="00E97340"/>
    <w:rsid w:val="00EA3A37"/>
    <w:rsid w:val="00EB2F15"/>
    <w:rsid w:val="00EC3E1B"/>
    <w:rsid w:val="00EC4349"/>
    <w:rsid w:val="00EC4B1E"/>
    <w:rsid w:val="00EC4E5A"/>
    <w:rsid w:val="00EC5F00"/>
    <w:rsid w:val="00EC6500"/>
    <w:rsid w:val="00EC7FC2"/>
    <w:rsid w:val="00ED07F7"/>
    <w:rsid w:val="00ED1A18"/>
    <w:rsid w:val="00ED68F1"/>
    <w:rsid w:val="00EE07AB"/>
    <w:rsid w:val="00EE13E9"/>
    <w:rsid w:val="00EE35FD"/>
    <w:rsid w:val="00EE5045"/>
    <w:rsid w:val="00EE62CF"/>
    <w:rsid w:val="00EE70E2"/>
    <w:rsid w:val="00EF05CC"/>
    <w:rsid w:val="00EF2B89"/>
    <w:rsid w:val="00F01BA5"/>
    <w:rsid w:val="00F03ECD"/>
    <w:rsid w:val="00F045D8"/>
    <w:rsid w:val="00F0498F"/>
    <w:rsid w:val="00F07ACD"/>
    <w:rsid w:val="00F119EA"/>
    <w:rsid w:val="00F11DD8"/>
    <w:rsid w:val="00F131D5"/>
    <w:rsid w:val="00F16732"/>
    <w:rsid w:val="00F1701D"/>
    <w:rsid w:val="00F17D44"/>
    <w:rsid w:val="00F2014B"/>
    <w:rsid w:val="00F21423"/>
    <w:rsid w:val="00F245CF"/>
    <w:rsid w:val="00F2513E"/>
    <w:rsid w:val="00F25215"/>
    <w:rsid w:val="00F256CE"/>
    <w:rsid w:val="00F27A25"/>
    <w:rsid w:val="00F32A24"/>
    <w:rsid w:val="00F32D46"/>
    <w:rsid w:val="00F36AE7"/>
    <w:rsid w:val="00F37D79"/>
    <w:rsid w:val="00F41E7C"/>
    <w:rsid w:val="00F44051"/>
    <w:rsid w:val="00F443E8"/>
    <w:rsid w:val="00F46864"/>
    <w:rsid w:val="00F47BEE"/>
    <w:rsid w:val="00F504C6"/>
    <w:rsid w:val="00F51E8D"/>
    <w:rsid w:val="00F52052"/>
    <w:rsid w:val="00F52C99"/>
    <w:rsid w:val="00F542EC"/>
    <w:rsid w:val="00F5567F"/>
    <w:rsid w:val="00F5727E"/>
    <w:rsid w:val="00F60B31"/>
    <w:rsid w:val="00F614E0"/>
    <w:rsid w:val="00F639C0"/>
    <w:rsid w:val="00F646D3"/>
    <w:rsid w:val="00F661C5"/>
    <w:rsid w:val="00F70116"/>
    <w:rsid w:val="00F72A42"/>
    <w:rsid w:val="00F738B3"/>
    <w:rsid w:val="00F73F08"/>
    <w:rsid w:val="00F75A61"/>
    <w:rsid w:val="00F80418"/>
    <w:rsid w:val="00F839DB"/>
    <w:rsid w:val="00F843C2"/>
    <w:rsid w:val="00F85A51"/>
    <w:rsid w:val="00F87A95"/>
    <w:rsid w:val="00F90295"/>
    <w:rsid w:val="00F95409"/>
    <w:rsid w:val="00F965B8"/>
    <w:rsid w:val="00F97799"/>
    <w:rsid w:val="00FA0C3E"/>
    <w:rsid w:val="00FA1BDE"/>
    <w:rsid w:val="00FA2076"/>
    <w:rsid w:val="00FA2C04"/>
    <w:rsid w:val="00FA39DE"/>
    <w:rsid w:val="00FA6D9F"/>
    <w:rsid w:val="00FA7E70"/>
    <w:rsid w:val="00FB27F1"/>
    <w:rsid w:val="00FB3E54"/>
    <w:rsid w:val="00FC16FA"/>
    <w:rsid w:val="00FC2106"/>
    <w:rsid w:val="00FC271D"/>
    <w:rsid w:val="00FC421F"/>
    <w:rsid w:val="00FC4833"/>
    <w:rsid w:val="00FC6C8A"/>
    <w:rsid w:val="00FD0C85"/>
    <w:rsid w:val="00FD0DC2"/>
    <w:rsid w:val="00FD1335"/>
    <w:rsid w:val="00FD2126"/>
    <w:rsid w:val="00FD2EF7"/>
    <w:rsid w:val="00FD4B51"/>
    <w:rsid w:val="00FE2677"/>
    <w:rsid w:val="00FE4214"/>
    <w:rsid w:val="00FE5F95"/>
    <w:rsid w:val="00FF01A5"/>
    <w:rsid w:val="00FF0B67"/>
    <w:rsid w:val="00FF2F28"/>
    <w:rsid w:val="00FF3A9F"/>
    <w:rsid w:val="00FF5209"/>
    <w:rsid w:val="00FF71BE"/>
    <w:rsid w:val="00FF78FA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EC9BD"/>
  <w15:docId w15:val="{E0EA650F-6911-9D49-BD6B-BF049A6E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1E5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5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5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56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5756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TableGrid">
    <w:name w:val="Table Grid"/>
    <w:basedOn w:val="TableNormal"/>
    <w:uiPriority w:val="39"/>
    <w:rsid w:val="00957569"/>
    <w:rPr>
      <w:kern w:val="0"/>
      <w:sz w:val="22"/>
      <w:szCs w:val="22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7569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uiPriority w:val="1"/>
    <w:qFormat/>
    <w:rsid w:val="00957569"/>
    <w:rPr>
      <w:rFonts w:ascii="Calibri" w:hAnsi="Calibri" w:cs="Calibri"/>
      <w:kern w:val="0"/>
      <w:sz w:val="22"/>
      <w:szCs w:val="22"/>
      <w:lang w:val="en-GB"/>
      <w14:ligatures w14:val="none"/>
    </w:rPr>
  </w:style>
  <w:style w:type="character" w:customStyle="1" w:styleId="normaltextrun">
    <w:name w:val="normaltextrun"/>
    <w:basedOn w:val="DefaultParagraphFont"/>
    <w:rsid w:val="00957569"/>
  </w:style>
  <w:style w:type="paragraph" w:styleId="ListParagraph">
    <w:name w:val="List Paragraph"/>
    <w:basedOn w:val="Normal"/>
    <w:uiPriority w:val="34"/>
    <w:qFormat/>
    <w:rsid w:val="00957569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957569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957569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EndNoteBibliography">
    <w:name w:val="EndNote Bibliography"/>
    <w:basedOn w:val="Normal"/>
    <w:link w:val="EndNoteBibliographyChar"/>
    <w:rsid w:val="00957569"/>
  </w:style>
  <w:style w:type="character" w:customStyle="1" w:styleId="EndNoteBibliographyChar">
    <w:name w:val="EndNote Bibliography Char"/>
    <w:basedOn w:val="DefaultParagraphFont"/>
    <w:link w:val="EndNoteBibliography"/>
    <w:rsid w:val="00957569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9575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569"/>
    <w:rPr>
      <w:color w:val="605E5C"/>
      <w:shd w:val="clear" w:color="auto" w:fill="E1DFDD"/>
    </w:rPr>
  </w:style>
  <w:style w:type="paragraph" w:customStyle="1" w:styleId="p1">
    <w:name w:val="p1"/>
    <w:basedOn w:val="Normal"/>
    <w:rsid w:val="00957569"/>
    <w:rPr>
      <w:rFonts w:ascii=".AppleSystemUIFont" w:hAnsi=".AppleSystemUIFont"/>
      <w:sz w:val="26"/>
      <w:szCs w:val="26"/>
    </w:rPr>
  </w:style>
  <w:style w:type="character" w:customStyle="1" w:styleId="s1">
    <w:name w:val="s1"/>
    <w:basedOn w:val="DefaultParagraphFont"/>
    <w:rsid w:val="00957569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957569"/>
  </w:style>
  <w:style w:type="character" w:styleId="Emphasis">
    <w:name w:val="Emphasis"/>
    <w:basedOn w:val="DefaultParagraphFont"/>
    <w:uiPriority w:val="20"/>
    <w:qFormat/>
    <w:rsid w:val="00957569"/>
    <w:rPr>
      <w:i/>
      <w:iCs/>
    </w:rPr>
  </w:style>
  <w:style w:type="character" w:customStyle="1" w:styleId="ej-keyword">
    <w:name w:val="ej-keyword"/>
    <w:basedOn w:val="DefaultParagraphFont"/>
    <w:rsid w:val="00957569"/>
  </w:style>
  <w:style w:type="character" w:customStyle="1" w:styleId="markedcontent">
    <w:name w:val="markedcontent"/>
    <w:basedOn w:val="DefaultParagraphFont"/>
    <w:rsid w:val="00957569"/>
  </w:style>
  <w:style w:type="character" w:styleId="FollowedHyperlink">
    <w:name w:val="FollowedHyperlink"/>
    <w:basedOn w:val="DefaultParagraphFont"/>
    <w:uiPriority w:val="99"/>
    <w:semiHidden/>
    <w:unhideWhenUsed/>
    <w:rsid w:val="00957569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957569"/>
    <w:pPr>
      <w:numPr>
        <w:numId w:val="12"/>
      </w:numPr>
    </w:pPr>
  </w:style>
  <w:style w:type="numbering" w:customStyle="1" w:styleId="CurrentList2">
    <w:name w:val="Current List2"/>
    <w:uiPriority w:val="99"/>
    <w:rsid w:val="00957569"/>
    <w:pPr>
      <w:numPr>
        <w:numId w:val="13"/>
      </w:numPr>
    </w:pPr>
  </w:style>
  <w:style w:type="numbering" w:customStyle="1" w:styleId="CurrentList3">
    <w:name w:val="Current List3"/>
    <w:uiPriority w:val="99"/>
    <w:rsid w:val="00957569"/>
    <w:pPr>
      <w:numPr>
        <w:numId w:val="14"/>
      </w:numPr>
    </w:pPr>
  </w:style>
  <w:style w:type="character" w:styleId="Strong">
    <w:name w:val="Strong"/>
    <w:basedOn w:val="DefaultParagraphFont"/>
    <w:uiPriority w:val="22"/>
    <w:qFormat/>
    <w:rsid w:val="0095756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7569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styleId="HTMLCode">
    <w:name w:val="HTML Code"/>
    <w:basedOn w:val="DefaultParagraphFont"/>
    <w:uiPriority w:val="99"/>
    <w:semiHidden/>
    <w:unhideWhenUsed/>
    <w:rsid w:val="00957569"/>
    <w:rPr>
      <w:rFonts w:ascii="Courier New" w:eastAsia="Times New Roman" w:hAnsi="Courier New" w:cs="Courier New"/>
      <w:sz w:val="20"/>
      <w:szCs w:val="20"/>
    </w:rPr>
  </w:style>
  <w:style w:type="character" w:customStyle="1" w:styleId="highlight">
    <w:name w:val="highlight"/>
    <w:basedOn w:val="DefaultParagraphFont"/>
    <w:rsid w:val="00957569"/>
  </w:style>
  <w:style w:type="paragraph" w:customStyle="1" w:styleId="Default">
    <w:name w:val="Default"/>
    <w:rsid w:val="00957569"/>
    <w:pPr>
      <w:autoSpaceDE w:val="0"/>
      <w:autoSpaceDN w:val="0"/>
      <w:adjustRightInd w:val="0"/>
    </w:pPr>
    <w:rPr>
      <w:rFonts w:ascii="Calibri" w:hAnsi="Calibri" w:cs="Calibri"/>
      <w:color w:val="000000"/>
      <w:kern w:val="0"/>
      <w14:ligatures w14:val="none"/>
    </w:rPr>
  </w:style>
  <w:style w:type="character" w:customStyle="1" w:styleId="mixed-citation">
    <w:name w:val="mixed-citation"/>
    <w:basedOn w:val="DefaultParagraphFont"/>
    <w:rsid w:val="00957569"/>
  </w:style>
  <w:style w:type="character" w:customStyle="1" w:styleId="ref-title">
    <w:name w:val="ref-title"/>
    <w:basedOn w:val="DefaultParagraphFont"/>
    <w:rsid w:val="00957569"/>
  </w:style>
  <w:style w:type="paragraph" w:customStyle="1" w:styleId="lcds-shareitem">
    <w:name w:val="lcds-share__item"/>
    <w:basedOn w:val="Normal"/>
    <w:rsid w:val="0095756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F1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1C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1C4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C4A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4A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styleId="Revision">
    <w:name w:val="Revision"/>
    <w:hidden/>
    <w:uiPriority w:val="99"/>
    <w:semiHidden/>
    <w:rsid w:val="009C1346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705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52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139D14-C2BA-47CD-AC8F-DAFC6BD9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 Al Mohajer</dc:creator>
  <cp:keywords/>
  <dc:description/>
  <cp:lastModifiedBy>Mayar Al Mohajer</cp:lastModifiedBy>
  <cp:revision>2</cp:revision>
  <cp:lastPrinted>2023-07-29T23:54:00Z</cp:lastPrinted>
  <dcterms:created xsi:type="dcterms:W3CDTF">2023-12-07T04:36:00Z</dcterms:created>
  <dcterms:modified xsi:type="dcterms:W3CDTF">2023-12-07T04:36:00Z</dcterms:modified>
</cp:coreProperties>
</file>