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Supplementary Tables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Supplementary Table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en-US"/>
        </w:rPr>
        <w:t>Reasons cited by ID for not performing TTE.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8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35"/>
        <w:gridCol w:w="198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Body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Reason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Number of cases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83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Body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Very low clinical concern for IE</w:t>
            </w:r>
          </w:p>
        </w:tc>
        <w:tc>
          <w:tcPr>
            <w:tcW w:type="dxa" w:w="198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Body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Recurrent case with previously negative TTE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Body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Patient too clinically unstable for TTE to be done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Body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Concurrent SARS-CoV-2 infection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Body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Unclear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Body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TOTAL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7</w:t>
            </w:r>
          </w:p>
        </w:tc>
      </w:tr>
    </w:tbl>
    <w:p>
      <w:pPr>
        <w:pStyle w:val="Body"/>
        <w:widowControl w:val="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Abbreviations: ID = infectious disease, TTE = transthoracic echocardiography, SARS-CoV-2 = Severe acute respiratory syndrome coronavirus 2, IE = infective endocarditis</w:t>
      </w: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outlineLvl w:val="9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f0000"/>
          <w:sz w:val="24"/>
          <w:szCs w:val="24"/>
          <w:u w:color="ff0000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  <w:br w:type="page"/>
      </w: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Supplementary Table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Secondary outcomes </w:t>
      </w:r>
    </w:p>
    <w:tbl>
      <w:tblPr>
        <w:tblW w:w="100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15"/>
        <w:gridCol w:w="1170"/>
        <w:gridCol w:w="1350"/>
        <w:gridCol w:w="1395"/>
        <w:gridCol w:w="1575"/>
        <w:gridCol w:w="15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outlineLvl w:val="9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Outcome</w:t>
            </w:r>
          </w:p>
        </w:tc>
        <w:tc>
          <w:tcPr>
            <w:tcW w:type="dxa" w:w="705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Number of cases (percentage)</w:t>
            </w:r>
          </w:p>
        </w:tc>
      </w:tr>
      <w:tr>
        <w:tblPrEx>
          <w:shd w:val="clear" w:color="auto" w:fill="ced7e7"/>
        </w:tblPrEx>
        <w:trPr>
          <w:trHeight w:val="917" w:hRule="atLeast"/>
        </w:trPr>
        <w:tc>
          <w:tcPr>
            <w:tcW w:type="dxa" w:w="30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All Cases</w:t>
            </w:r>
          </w:p>
          <w:p>
            <w:pPr>
              <w:pStyle w:val="heading 5"/>
              <w:keepNext w:val="0"/>
              <w:keepLine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(N = 221)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TEE performed</w:t>
            </w:r>
          </w:p>
          <w:p>
            <w:pPr>
              <w:pStyle w:val="heading 5"/>
              <w:keepNext w:val="0"/>
              <w:keepLine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(N = 46)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TEE not performed</w:t>
            </w:r>
          </w:p>
          <w:p>
            <w:pPr>
              <w:pStyle w:val="heading 5"/>
              <w:keepNext w:val="0"/>
              <w:keepLine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(N = 175)</w:t>
            </w:r>
          </w:p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Endocarditis</w:t>
            </w:r>
          </w:p>
          <w:p>
            <w:pPr>
              <w:pStyle w:val="heading 5"/>
              <w:keepNext w:val="0"/>
              <w:keepLine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(N = 39)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Not endocarditis</w:t>
            </w:r>
          </w:p>
          <w:p>
            <w:pPr>
              <w:pStyle w:val="heading 5"/>
              <w:keepNext w:val="0"/>
              <w:keepLine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(N = 182)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01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30-day all-cause mortality</w:t>
            </w:r>
          </w:p>
        </w:tc>
        <w:tc>
          <w:tcPr>
            <w:tcW w:type="dxa" w:w="117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 (6)</w:t>
            </w:r>
          </w:p>
        </w:tc>
        <w:tc>
          <w:tcPr>
            <w:tcW w:type="dxa" w:w="1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 (2)</w:t>
            </w:r>
          </w:p>
        </w:tc>
        <w:tc>
          <w:tcPr>
            <w:tcW w:type="dxa" w:w="139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 (7)</w:t>
            </w:r>
          </w:p>
        </w:tc>
        <w:tc>
          <w:tcPr>
            <w:tcW w:type="dxa" w:w="157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 (15)</w:t>
            </w:r>
          </w:p>
        </w:tc>
        <w:tc>
          <w:tcPr>
            <w:tcW w:type="dxa" w:w="15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 (4)*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1-year all-cause mortality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 (25)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 (20)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 (26)</w:t>
            </w:r>
          </w:p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 (36)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 (23)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Recurrent SAB within 1 year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 (9)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 (11)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 (8)</w:t>
            </w:r>
          </w:p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 (8)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 (9)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CDI within 3 months of treatment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 (5)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 (9)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 (5)</w:t>
            </w:r>
          </w:p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 (5)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 (5)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Antibiotic-associated nephrotoxicity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 (5)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 (2)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 (6)</w:t>
            </w:r>
          </w:p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 (3)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 (5)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Antibiotic-associated neutropenia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 (1)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 (4)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 (1)</w:t>
            </w:r>
          </w:p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 (3)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 (1)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Antibiotic-associated thrombocytopenia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 (1)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 (0)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 (1)</w:t>
            </w:r>
          </w:p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 (0)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 (1)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Antibiotic hypersensitivity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 (3)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 (4)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 (2)</w:t>
            </w:r>
          </w:p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 (8)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heading 5"/>
              <w:keepNext w:val="0"/>
              <w:keepLines w:val="0"/>
              <w:spacing w:before="0" w:after="0" w:line="240" w:lineRule="auto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 (2)</w:t>
            </w:r>
          </w:p>
        </w:tc>
      </w:tr>
    </w:tbl>
    <w:p>
      <w:pPr>
        <w:pStyle w:val="heading 5"/>
        <w:keepNext w:val="0"/>
        <w:keepLines w:val="0"/>
        <w:widowControl w:val="0"/>
        <w:spacing w:before="0" w:after="0" w:line="240" w:lineRule="auto"/>
        <w:ind w:left="108" w:hanging="108"/>
        <w:outlineLvl w:val="9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widowControl w:val="0"/>
        <w:spacing w:before="0" w:after="0" w:line="240" w:lineRule="auto"/>
        <w:outlineLvl w:val="9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TTE = transthoracic echocardiography, TEE = transesophageal echocardiography, SAB = 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S. aureus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bacteremia, CDI = 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C. difficile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infection</w:t>
      </w: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Groups were compared by Fisher exact test. No outcomes had significant 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α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= 0.05) differences between the groups.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5">
    <w:name w:val="heading 5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80"/>
      <w:ind w:left="0" w:right="0" w:firstLine="0"/>
      <w:jc w:val="left"/>
      <w:outlineLvl w:val="2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2"/>
      <w:szCs w:val="22"/>
      <w:u w:val="none" w:color="666666"/>
      <w:shd w:val="nil" w:color="auto" w:fill="auto"/>
      <w:vertAlign w:val="baseline"/>
      <w:lang w:val="en-US"/>
      <w14:textFill>
        <w14:solidFill>
          <w14:srgbClr w14:val="66666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