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544C" w14:textId="77777777" w:rsidR="007F4E6A" w:rsidRPr="00CC1704" w:rsidRDefault="007F4E6A" w:rsidP="007F4E6A">
      <w:r w:rsidRPr="00AF6705">
        <w:rPr>
          <w:rFonts w:ascii="Arial" w:eastAsia="Calibri" w:hAnsi="Arial" w:cs="Arial"/>
          <w:sz w:val="24"/>
          <w:szCs w:val="24"/>
        </w:rPr>
        <w:t xml:space="preserve">Appendix 1. </w:t>
      </w:r>
      <w:r w:rsidRPr="00AF6705">
        <w:rPr>
          <w:rFonts w:ascii="Arial" w:hAnsi="Arial" w:cs="Arial"/>
          <w:color w:val="000000" w:themeColor="text1"/>
          <w:sz w:val="24"/>
          <w:szCs w:val="24"/>
        </w:rPr>
        <w:t xml:space="preserve">VIHDA Program considers the following </w:t>
      </w:r>
      <w:proofErr w:type="gramStart"/>
      <w:r w:rsidRPr="00AF6705">
        <w:rPr>
          <w:rFonts w:ascii="Arial" w:hAnsi="Arial" w:cs="Arial"/>
          <w:color w:val="000000" w:themeColor="text1"/>
          <w:sz w:val="24"/>
          <w:szCs w:val="24"/>
        </w:rPr>
        <w:t>criteria</w:t>
      </w:r>
      <w:proofErr w:type="gramEnd"/>
    </w:p>
    <w:p w14:paraId="5A56AA98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536F536">
        <w:rPr>
          <w:rFonts w:ascii="Arial" w:hAnsi="Arial" w:cs="Arial"/>
          <w:b/>
          <w:bCs/>
          <w:color w:val="000000" w:themeColor="text1"/>
          <w:lang w:val="en-US"/>
        </w:rPr>
        <w:t>Ventilator associated pneumonia (VAP)</w:t>
      </w:r>
    </w:p>
    <w:p w14:paraId="49DB71E5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1. At least one of the following signs and symptoms:</w:t>
      </w:r>
    </w:p>
    <w:p w14:paraId="02AD4586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- Impaired gas exchange (expressed as Pa/Fi deterioration or need to increase PEEP or FiO2 after 48 hours of stability)</w:t>
      </w:r>
    </w:p>
    <w:p w14:paraId="4C50C54D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- Fever (&gt;38ºC) with no other recognized cause</w:t>
      </w:r>
    </w:p>
    <w:p w14:paraId="51ADE77A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–Leukopenia (&lt;4000) or leukocytosis (&gt;12,000)</w:t>
      </w:r>
    </w:p>
    <w:p w14:paraId="17960F43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2. Presence of new or progressive pulmonary infiltrate on persistent chest radiograph more than 48 hours</w:t>
      </w:r>
    </w:p>
    <w:p w14:paraId="72D42BF1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3. purulent tracheal aspirate (TA)</w:t>
      </w:r>
    </w:p>
    <w:p w14:paraId="50A6BC01" w14:textId="77777777" w:rsidR="007F4E6A" w:rsidRPr="00F66C17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4. Positive microbiological technique (tracheal aspirate &gt;= 105 CFU of a potentially pathogenic microorganism, or bronchoalveolar lavage &gt; 104 CFU, or protected brushing &gt; 103).</w:t>
      </w:r>
    </w:p>
    <w:p w14:paraId="27874B28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536F536">
        <w:rPr>
          <w:rFonts w:ascii="Arial" w:hAnsi="Arial" w:cs="Arial"/>
          <w:b/>
          <w:bCs/>
          <w:color w:val="000000" w:themeColor="text1"/>
          <w:lang w:val="en-US"/>
        </w:rPr>
        <w:t>Catheter associated urinary tract infection (CAUTI)</w:t>
      </w:r>
    </w:p>
    <w:p w14:paraId="0C5AFA60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They must meet the following 3 points:</w:t>
      </w:r>
    </w:p>
    <w:p w14:paraId="1943FB3C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 xml:space="preserve">1. Patient with urinary catheter for &gt; 48 consecutive hours on the day of the event </w:t>
      </w:r>
      <w:proofErr w:type="gramStart"/>
      <w:r w:rsidRPr="0536F536">
        <w:rPr>
          <w:rFonts w:ascii="Arial" w:hAnsi="Arial" w:cs="Arial"/>
          <w:color w:val="000000" w:themeColor="text1"/>
          <w:lang w:val="en-US"/>
        </w:rPr>
        <w:t>and also</w:t>
      </w:r>
      <w:proofErr w:type="gramEnd"/>
      <w:r w:rsidRPr="0536F536">
        <w:rPr>
          <w:rFonts w:ascii="Arial" w:hAnsi="Arial" w:cs="Arial"/>
          <w:color w:val="000000" w:themeColor="text1"/>
          <w:lang w:val="en-US"/>
        </w:rPr>
        <w:t>:</w:t>
      </w:r>
    </w:p>
    <w:p w14:paraId="6009F5C7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a) who was present for any part of the day of the event</w:t>
      </w:r>
    </w:p>
    <w:p w14:paraId="7926A9FB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b) had been removed the previous day.</w:t>
      </w:r>
    </w:p>
    <w:p w14:paraId="5B540874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2. At least one of the following signs or symptoms with no other recognized cause: fever (&gt;38ºC), suprapubic pain, pain or tenderness of the costovertebral angle, urgency to micturition, dysuria and/or increased urinary frequency</w:t>
      </w:r>
    </w:p>
    <w:p w14:paraId="41D53729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3. Positive urine culture with &lt;105 CFU/ml with no more than 2 species of microorganisms</w:t>
      </w:r>
    </w:p>
    <w:p w14:paraId="2BB204C0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536F536">
        <w:rPr>
          <w:rFonts w:ascii="Arial" w:hAnsi="Arial" w:cs="Arial"/>
          <w:b/>
          <w:bCs/>
          <w:color w:val="000000" w:themeColor="text1"/>
          <w:lang w:val="en-US"/>
        </w:rPr>
        <w:lastRenderedPageBreak/>
        <w:t>Catheter associated bloodstream infection (CLABSI)</w:t>
      </w:r>
    </w:p>
    <w:p w14:paraId="676CFFF5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A central venous access-associated bacteremia (BACT-CC) occurs in a patient who meets any of the following criteria:</w:t>
      </w:r>
    </w:p>
    <w:p w14:paraId="5BA43B69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 xml:space="preserve">1. Clinical signs (fever, hypotension, pain, erythema, discharge, increased temperature) with positive culture of the catheter tip by semiquantitative technique of Maki ≥ 15 CFU and/or quantitative of Brun </w:t>
      </w:r>
      <w:proofErr w:type="gramStart"/>
      <w:r w:rsidRPr="0536F536">
        <w:rPr>
          <w:rFonts w:ascii="Arial" w:hAnsi="Arial" w:cs="Arial"/>
          <w:color w:val="000000" w:themeColor="text1"/>
          <w:lang w:val="en-US"/>
        </w:rPr>
        <w:t>Buisson ,</w:t>
      </w:r>
      <w:proofErr w:type="gramEnd"/>
      <w:r w:rsidRPr="0536F536">
        <w:rPr>
          <w:rFonts w:ascii="Arial" w:hAnsi="Arial" w:cs="Arial"/>
          <w:color w:val="000000" w:themeColor="text1"/>
          <w:lang w:val="en-US"/>
        </w:rPr>
        <w:t xml:space="preserve"> plus positive blood cultures from samples taken before removing the catheter with a count ≥1000, or positive yeasts.</w:t>
      </w:r>
    </w:p>
    <w:p w14:paraId="46880A14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 xml:space="preserve">2. Positive peripheral blood culture plus catheter tip culture by Maki technique ≥ 15 CFU, in the absence of another focus responsible for </w:t>
      </w:r>
      <w:proofErr w:type="spellStart"/>
      <w:r w:rsidRPr="0536F536">
        <w:rPr>
          <w:rFonts w:ascii="Arial" w:hAnsi="Arial" w:cs="Arial"/>
          <w:color w:val="000000" w:themeColor="text1"/>
          <w:lang w:val="en-US"/>
        </w:rPr>
        <w:t>bacteraemia</w:t>
      </w:r>
      <w:proofErr w:type="spellEnd"/>
      <w:r w:rsidRPr="0536F536">
        <w:rPr>
          <w:rFonts w:ascii="Arial" w:hAnsi="Arial" w:cs="Arial"/>
          <w:color w:val="000000" w:themeColor="text1"/>
          <w:lang w:val="en-US"/>
        </w:rPr>
        <w:t>.</w:t>
      </w:r>
    </w:p>
    <w:p w14:paraId="6BF7806C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 xml:space="preserve">3. Positive blood culture plus clinical signs of sepsis plus imaging findings (US </w:t>
      </w:r>
      <w:proofErr w:type="gramStart"/>
      <w:r w:rsidRPr="0536F536">
        <w:rPr>
          <w:rFonts w:ascii="Arial" w:hAnsi="Arial" w:cs="Arial"/>
          <w:color w:val="000000" w:themeColor="text1"/>
          <w:lang w:val="en-US"/>
        </w:rPr>
        <w:t>Doppler ,</w:t>
      </w:r>
      <w:proofErr w:type="gramEnd"/>
      <w:r w:rsidRPr="0536F536">
        <w:rPr>
          <w:rFonts w:ascii="Arial" w:hAnsi="Arial" w:cs="Arial"/>
          <w:color w:val="000000" w:themeColor="text1"/>
          <w:lang w:val="en-US"/>
        </w:rPr>
        <w:t xml:space="preserve"> CT, MRI, phlebography) of central vein thrombosis or collection compatible with septic embolus or </w:t>
      </w:r>
      <w:proofErr w:type="spellStart"/>
      <w:r w:rsidRPr="0536F536">
        <w:rPr>
          <w:rFonts w:ascii="Arial" w:hAnsi="Arial" w:cs="Arial"/>
          <w:color w:val="000000" w:themeColor="text1"/>
          <w:lang w:val="en-US"/>
        </w:rPr>
        <w:t>fungoma</w:t>
      </w:r>
      <w:proofErr w:type="spellEnd"/>
      <w:r w:rsidRPr="0536F536">
        <w:rPr>
          <w:rFonts w:ascii="Arial" w:hAnsi="Arial" w:cs="Arial"/>
          <w:color w:val="000000" w:themeColor="text1"/>
          <w:lang w:val="en-US"/>
        </w:rPr>
        <w:t xml:space="preserve"> related to the presence of central catheters.</w:t>
      </w:r>
    </w:p>
    <w:p w14:paraId="1106A34D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 xml:space="preserve">4. Positive quantitative </w:t>
      </w:r>
      <w:proofErr w:type="spellStart"/>
      <w:r w:rsidRPr="0536F536">
        <w:rPr>
          <w:rFonts w:ascii="Arial" w:hAnsi="Arial" w:cs="Arial"/>
          <w:color w:val="000000" w:themeColor="text1"/>
          <w:lang w:val="en-US"/>
        </w:rPr>
        <w:t>retroculture</w:t>
      </w:r>
      <w:proofErr w:type="spellEnd"/>
      <w:r w:rsidRPr="0536F536">
        <w:rPr>
          <w:rFonts w:ascii="Arial" w:hAnsi="Arial" w:cs="Arial"/>
          <w:color w:val="000000" w:themeColor="text1"/>
          <w:lang w:val="en-US"/>
        </w:rPr>
        <w:t xml:space="preserve"> with a differential colony count ≥5 to 10 times (or positivity time &gt; 2 hours) in relation to the colony count of the same peripheral blood culture germ associated with a clinical picture.</w:t>
      </w:r>
    </w:p>
    <w:p w14:paraId="46B38263" w14:textId="77777777" w:rsidR="007F4E6A" w:rsidRPr="006F1C6A" w:rsidRDefault="007F4E6A" w:rsidP="007F4E6A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536F536">
        <w:rPr>
          <w:rFonts w:ascii="Arial" w:hAnsi="Arial" w:cs="Arial"/>
          <w:color w:val="000000" w:themeColor="text1"/>
          <w:lang w:val="en-US"/>
        </w:rPr>
        <w:t>5. Positive blood culture plus positive culture from puncture aspiration of the catheter insertion area.</w:t>
      </w:r>
    </w:p>
    <w:p w14:paraId="6F9DD964" w14:textId="77777777" w:rsidR="007F4E6A" w:rsidRPr="006F1C6A" w:rsidRDefault="007F4E6A" w:rsidP="007F4E6A">
      <w:pPr>
        <w:spacing w:line="360" w:lineRule="auto"/>
        <w:rPr>
          <w:rFonts w:ascii="Arial" w:eastAsia="Calibri" w:hAnsi="Arial" w:cs="Arial"/>
          <w:color w:val="FF0000"/>
        </w:rPr>
      </w:pPr>
    </w:p>
    <w:p w14:paraId="35DB5606" w14:textId="77777777" w:rsidR="00E81913" w:rsidRDefault="00E81913"/>
    <w:sectPr w:rsidR="00E81913" w:rsidSect="00DE3B8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DBC4" w14:textId="77777777" w:rsidR="00A726A6" w:rsidRDefault="00A726A6">
      <w:pPr>
        <w:spacing w:after="0" w:line="240" w:lineRule="auto"/>
      </w:pPr>
      <w:r>
        <w:separator/>
      </w:r>
    </w:p>
  </w:endnote>
  <w:endnote w:type="continuationSeparator" w:id="0">
    <w:p w14:paraId="5AEB0BF4" w14:textId="77777777" w:rsidR="00A726A6" w:rsidRDefault="00A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6615"/>
      <w:docPartObj>
        <w:docPartGallery w:val="Page Numbers (Bottom of Page)"/>
        <w:docPartUnique/>
      </w:docPartObj>
    </w:sdtPr>
    <w:sdtContent>
      <w:p w14:paraId="15A9D1D5" w14:textId="77777777" w:rsidR="00C629C6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30C8">
          <w:rPr>
            <w:noProof/>
            <w:lang w:val="es-ES"/>
          </w:rPr>
          <w:t>26</w:t>
        </w:r>
        <w:r>
          <w:fldChar w:fldCharType="end"/>
        </w:r>
      </w:p>
    </w:sdtContent>
  </w:sdt>
  <w:p w14:paraId="2EE39FA3" w14:textId="77777777" w:rsidR="00C629C6" w:rsidRDefault="00C6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14A8" w14:textId="77777777" w:rsidR="00A726A6" w:rsidRDefault="00A726A6">
      <w:pPr>
        <w:spacing w:after="0" w:line="240" w:lineRule="auto"/>
      </w:pPr>
      <w:r>
        <w:separator/>
      </w:r>
    </w:p>
  </w:footnote>
  <w:footnote w:type="continuationSeparator" w:id="0">
    <w:p w14:paraId="400EA17A" w14:textId="77777777" w:rsidR="00A726A6" w:rsidRDefault="00A7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A"/>
    <w:rsid w:val="002404E9"/>
    <w:rsid w:val="00520B2F"/>
    <w:rsid w:val="00697F5E"/>
    <w:rsid w:val="007F4E6A"/>
    <w:rsid w:val="00A726A6"/>
    <w:rsid w:val="00AF6705"/>
    <w:rsid w:val="00BA5C32"/>
    <w:rsid w:val="00C629C6"/>
    <w:rsid w:val="00D53115"/>
    <w:rsid w:val="00DE3B8B"/>
    <w:rsid w:val="00E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B441"/>
  <w14:defaultImageDpi w14:val="32767"/>
  <w15:chartTrackingRefBased/>
  <w15:docId w15:val="{BF562710-36CA-6045-982B-20BAA91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4E6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E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E6A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F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Cornistein Wanda</dc:creator>
  <cp:keywords/>
  <dc:description/>
  <cp:lastModifiedBy>Turner, Tyrra</cp:lastModifiedBy>
  <cp:revision>3</cp:revision>
  <dcterms:created xsi:type="dcterms:W3CDTF">2023-07-30T22:52:00Z</dcterms:created>
  <dcterms:modified xsi:type="dcterms:W3CDTF">2023-08-04T20:00:00Z</dcterms:modified>
</cp:coreProperties>
</file>