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5ECB6" w14:textId="77777777" w:rsidR="006157A0" w:rsidRDefault="006157A0" w:rsidP="006157A0">
      <w:pPr>
        <w:pStyle w:val="Heading1"/>
        <w:rPr>
          <w:rFonts w:eastAsia="Times New Roman"/>
          <w:lang w:eastAsia="en-NL"/>
        </w:rPr>
      </w:pPr>
      <w:r>
        <w:rPr>
          <w:rFonts w:eastAsia="Times New Roman"/>
          <w:lang w:eastAsia="en-NL"/>
        </w:rPr>
        <w:t>Supplementary materials</w:t>
      </w:r>
    </w:p>
    <w:p w14:paraId="61A6B0CC" w14:textId="77777777" w:rsidR="006157A0" w:rsidRPr="00EA6C46" w:rsidRDefault="006157A0" w:rsidP="006157A0">
      <w:pPr>
        <w:pStyle w:val="Heading2"/>
        <w:rPr>
          <w:lang w:eastAsia="en-NL"/>
        </w:rPr>
      </w:pPr>
      <w:r>
        <w:rPr>
          <w:lang w:eastAsia="en-NL"/>
        </w:rPr>
        <w:t xml:space="preserve">PURE system composition </w:t>
      </w:r>
    </w:p>
    <w:p w14:paraId="52D9622B" w14:textId="58B908CF" w:rsidR="006157A0" w:rsidRDefault="006157A0" w:rsidP="006157A0">
      <w:pPr>
        <w:rPr>
          <w:lang w:eastAsia="en-NL"/>
        </w:rPr>
      </w:pPr>
      <w:r>
        <w:rPr>
          <w:lang w:eastAsia="en-NL"/>
        </w:rPr>
        <w:t xml:space="preserve">The list of PURE system components with their concentrations </w:t>
      </w:r>
      <w:r>
        <w:rPr>
          <w:lang w:eastAsia="en-NL"/>
        </w:rPr>
        <w:fldChar w:fldCharType="begin"/>
      </w:r>
      <w:r w:rsidR="00A47F0D">
        <w:rPr>
          <w:lang w:eastAsia="en-NL"/>
        </w:rPr>
        <w:instrText xml:space="preserve"> ADDIN ZOTERO_ITEM CSL_CITATION {"citationID":"iGSFJYDf","properties":{"formattedCitation":"(Shimizu {\\i{}et al.} 2005)","plainCitation":"(Shimizu et al. 2005)","noteIndex":0},"citationItems":[{"id":2654,"uris":["http://zotero.org/users/9770906/items/3N7F94V5"],"itemData":{"id":2654,"type":"article-journal","abstract":"We have developed a partially recombinant, cell-free, protein-synthesis system reconstituted solely from those essential elements of the Escherichia coli translation system, termed protein synthesis using recombinant elements (PURE). It provides higher reaction controllability in comparison to crude cell-free protein-synthesis systems for translation studies and biotechnology applications. The PURE system stands out among translation methods in that it provides not only a simple and unique “reverse” purification method of separating the synthesized protein from reaction mixture, but also that the system can be tailor-made according to individual protein requirements. In this paper, two new approaches to obtaining active proteins are described: the use of molecular chaperones, and modification of the reaction conditions. Several possible applications of the PURE system are also discussed.","collection-title":"Engineering Translation","container-title":"Methods","DOI":"10.1016/j.ymeth.2005.04.006","ISSN":"1046-2023","issue":"3","journalAbbreviation":"Methods","page":"299-304","source":"ScienceDirect","title":"Protein synthesis by pure translation systems","volume":"36","author":[{"family":"Shimizu","given":"Yoshihiro"},{"family":"Kanamori","given":"Takashi"},{"family":"Ueda","given":"Takuya"}],"issued":{"date-parts":[["2005",7,1]]}}}],"schema":"https://github.com/citation-style-language/schema/raw/master/csl-citation.json"} </w:instrText>
      </w:r>
      <w:r>
        <w:rPr>
          <w:lang w:eastAsia="en-NL"/>
        </w:rPr>
        <w:fldChar w:fldCharType="separate"/>
      </w:r>
      <w:r w:rsidR="00A47F0D" w:rsidRPr="00A47F0D">
        <w:rPr>
          <w:rFonts w:ascii="Aptos" w:hAnsi="Aptos" w:cs="Times New Roman"/>
          <w:kern w:val="0"/>
        </w:rPr>
        <w:t xml:space="preserve">(Shimizu </w:t>
      </w:r>
      <w:r w:rsidR="00A47F0D" w:rsidRPr="00A47F0D">
        <w:rPr>
          <w:rFonts w:ascii="Aptos" w:hAnsi="Aptos" w:cs="Times New Roman"/>
          <w:i/>
          <w:iCs/>
          <w:kern w:val="0"/>
        </w:rPr>
        <w:t>et al.</w:t>
      </w:r>
      <w:r w:rsidR="00A47F0D" w:rsidRPr="00A47F0D">
        <w:rPr>
          <w:rFonts w:ascii="Aptos" w:hAnsi="Aptos" w:cs="Times New Roman"/>
          <w:kern w:val="0"/>
        </w:rPr>
        <w:t xml:space="preserve"> 2005)</w:t>
      </w:r>
      <w:r>
        <w:rPr>
          <w:lang w:eastAsia="en-NL"/>
        </w:rPr>
        <w:fldChar w:fldCharType="end"/>
      </w:r>
      <w:r>
        <w:rPr>
          <w:lang w:eastAsia="en-NL"/>
        </w:rPr>
        <w:t xml:space="preserve"> is provided below.</w:t>
      </w:r>
    </w:p>
    <w:p w14:paraId="7897E036" w14:textId="77777777" w:rsidR="006157A0" w:rsidRDefault="006157A0" w:rsidP="006157A0">
      <w:pPr>
        <w:rPr>
          <w:lang w:eastAsia="en-NL"/>
        </w:rPr>
      </w:pPr>
      <w:r w:rsidRPr="00771FC3">
        <w:rPr>
          <w:b/>
          <w:bCs/>
          <w:lang w:eastAsia="en-NL"/>
        </w:rPr>
        <w:t>Translation factors:</w:t>
      </w:r>
      <w:r w:rsidRPr="00525424">
        <w:rPr>
          <w:lang w:eastAsia="en-NL"/>
        </w:rPr>
        <w:t xml:space="preserve"> 2.7 </w:t>
      </w:r>
      <w:r>
        <w:rPr>
          <w:lang w:eastAsia="en-NL"/>
        </w:rPr>
        <w:t>µ</w:t>
      </w:r>
      <w:r w:rsidRPr="00525424">
        <w:rPr>
          <w:lang w:eastAsia="en-NL"/>
        </w:rPr>
        <w:t>M IF1</w:t>
      </w:r>
      <w:r>
        <w:rPr>
          <w:lang w:eastAsia="en-NL"/>
        </w:rPr>
        <w:t>,</w:t>
      </w:r>
      <w:r w:rsidRPr="00525424">
        <w:rPr>
          <w:lang w:eastAsia="en-NL"/>
        </w:rPr>
        <w:t xml:space="preserve"> 0.40 </w:t>
      </w:r>
      <w:r>
        <w:rPr>
          <w:lang w:eastAsia="en-NL"/>
        </w:rPr>
        <w:t>µ</w:t>
      </w:r>
      <w:r w:rsidRPr="00525424">
        <w:rPr>
          <w:lang w:eastAsia="en-NL"/>
        </w:rPr>
        <w:t>M IF2</w:t>
      </w:r>
      <w:r>
        <w:rPr>
          <w:lang w:eastAsia="en-NL"/>
        </w:rPr>
        <w:t>,</w:t>
      </w:r>
      <w:r w:rsidRPr="00525424">
        <w:rPr>
          <w:lang w:eastAsia="en-NL"/>
        </w:rPr>
        <w:t xml:space="preserve"> 1.5 </w:t>
      </w:r>
      <w:r>
        <w:rPr>
          <w:lang w:eastAsia="en-NL"/>
        </w:rPr>
        <w:t>µ</w:t>
      </w:r>
      <w:r w:rsidRPr="00525424">
        <w:rPr>
          <w:lang w:eastAsia="en-NL"/>
        </w:rPr>
        <w:t>M IF3</w:t>
      </w:r>
      <w:r>
        <w:rPr>
          <w:lang w:eastAsia="en-NL"/>
        </w:rPr>
        <w:t>,</w:t>
      </w:r>
      <w:r w:rsidRPr="00525424">
        <w:rPr>
          <w:lang w:eastAsia="en-NL"/>
        </w:rPr>
        <w:t xml:space="preserve"> 0.26 </w:t>
      </w:r>
      <w:proofErr w:type="spellStart"/>
      <w:r>
        <w:rPr>
          <w:lang w:eastAsia="en-NL"/>
        </w:rPr>
        <w:t>c</w:t>
      </w:r>
      <w:r w:rsidRPr="00525424">
        <w:rPr>
          <w:lang w:eastAsia="en-NL"/>
        </w:rPr>
        <w:t>M</w:t>
      </w:r>
      <w:proofErr w:type="spellEnd"/>
      <w:r w:rsidRPr="00525424">
        <w:rPr>
          <w:lang w:eastAsia="en-NL"/>
        </w:rPr>
        <w:t xml:space="preserve"> EF-G</w:t>
      </w:r>
      <w:r>
        <w:rPr>
          <w:lang w:eastAsia="en-NL"/>
        </w:rPr>
        <w:t>,</w:t>
      </w:r>
      <w:r w:rsidRPr="00525424">
        <w:rPr>
          <w:lang w:eastAsia="en-NL"/>
        </w:rPr>
        <w:t xml:space="preserve"> 0.92 </w:t>
      </w:r>
      <w:r>
        <w:rPr>
          <w:lang w:eastAsia="en-NL"/>
        </w:rPr>
        <w:t>µ</w:t>
      </w:r>
      <w:r w:rsidRPr="00525424">
        <w:rPr>
          <w:lang w:eastAsia="en-NL"/>
        </w:rPr>
        <w:t>M EF-Tu</w:t>
      </w:r>
      <w:r>
        <w:rPr>
          <w:lang w:eastAsia="en-NL"/>
        </w:rPr>
        <w:t>,</w:t>
      </w:r>
      <w:r w:rsidRPr="00525424">
        <w:rPr>
          <w:lang w:eastAsia="en-NL"/>
        </w:rPr>
        <w:t xml:space="preserve"> 0.66 </w:t>
      </w:r>
      <w:r>
        <w:rPr>
          <w:lang w:eastAsia="en-NL"/>
        </w:rPr>
        <w:t>µ</w:t>
      </w:r>
      <w:r w:rsidRPr="00525424">
        <w:rPr>
          <w:lang w:eastAsia="en-NL"/>
        </w:rPr>
        <w:t>M EF-Ts</w:t>
      </w:r>
      <w:r>
        <w:rPr>
          <w:lang w:eastAsia="en-NL"/>
        </w:rPr>
        <w:t>,</w:t>
      </w:r>
      <w:r w:rsidRPr="00525424">
        <w:rPr>
          <w:lang w:eastAsia="en-NL"/>
        </w:rPr>
        <w:t xml:space="preserve"> 0.25 </w:t>
      </w:r>
      <w:r>
        <w:rPr>
          <w:lang w:eastAsia="en-NL"/>
        </w:rPr>
        <w:t>µ</w:t>
      </w:r>
      <w:r w:rsidRPr="00525424">
        <w:rPr>
          <w:lang w:eastAsia="en-NL"/>
        </w:rPr>
        <w:t>M RF1</w:t>
      </w:r>
      <w:r>
        <w:rPr>
          <w:lang w:eastAsia="en-NL"/>
        </w:rPr>
        <w:t>,</w:t>
      </w:r>
      <w:r w:rsidRPr="00525424">
        <w:rPr>
          <w:lang w:eastAsia="en-NL"/>
        </w:rPr>
        <w:t xml:space="preserve"> 0.24 </w:t>
      </w:r>
      <w:r>
        <w:rPr>
          <w:lang w:eastAsia="en-NL"/>
        </w:rPr>
        <w:t>µ</w:t>
      </w:r>
      <w:r w:rsidRPr="00525424">
        <w:rPr>
          <w:lang w:eastAsia="en-NL"/>
        </w:rPr>
        <w:t>M RF2</w:t>
      </w:r>
      <w:r>
        <w:rPr>
          <w:lang w:eastAsia="en-NL"/>
        </w:rPr>
        <w:t>,</w:t>
      </w:r>
      <w:r w:rsidRPr="00525424">
        <w:rPr>
          <w:lang w:eastAsia="en-NL"/>
        </w:rPr>
        <w:t xml:space="preserve"> 0.17 </w:t>
      </w:r>
      <w:r>
        <w:rPr>
          <w:lang w:eastAsia="en-NL"/>
        </w:rPr>
        <w:t>µ</w:t>
      </w:r>
      <w:r w:rsidRPr="00525424">
        <w:rPr>
          <w:lang w:eastAsia="en-NL"/>
        </w:rPr>
        <w:t>M RF3</w:t>
      </w:r>
      <w:r>
        <w:rPr>
          <w:lang w:eastAsia="en-NL"/>
        </w:rPr>
        <w:t>,</w:t>
      </w:r>
      <w:r w:rsidRPr="00525424">
        <w:rPr>
          <w:lang w:eastAsia="en-NL"/>
        </w:rPr>
        <w:t xml:space="preserve"> 0.50 </w:t>
      </w:r>
      <w:r>
        <w:rPr>
          <w:lang w:eastAsia="en-NL"/>
        </w:rPr>
        <w:t>µ</w:t>
      </w:r>
      <w:r w:rsidRPr="00525424">
        <w:rPr>
          <w:lang w:eastAsia="en-NL"/>
        </w:rPr>
        <w:t>M RRF</w:t>
      </w:r>
      <w:r>
        <w:rPr>
          <w:lang w:eastAsia="en-NL"/>
        </w:rPr>
        <w:t>,</w:t>
      </w:r>
      <w:r w:rsidRPr="00525424">
        <w:rPr>
          <w:lang w:eastAsia="en-NL"/>
        </w:rPr>
        <w:t xml:space="preserve"> </w:t>
      </w:r>
      <w:r>
        <w:rPr>
          <w:lang w:eastAsia="en-NL"/>
        </w:rPr>
        <w:t xml:space="preserve">where IF - initiation factors, EF - elongation factors, RF - release (termination) factors, and RRF - </w:t>
      </w:r>
      <w:r w:rsidRPr="00F46FCB">
        <w:rPr>
          <w:lang w:eastAsia="en-NL"/>
        </w:rPr>
        <w:t>ribosome recycling factor</w:t>
      </w:r>
      <w:r>
        <w:rPr>
          <w:lang w:eastAsia="en-NL"/>
        </w:rPr>
        <w:t>.</w:t>
      </w:r>
    </w:p>
    <w:p w14:paraId="75817A97" w14:textId="77777777" w:rsidR="006157A0" w:rsidRDefault="006157A0" w:rsidP="006157A0">
      <w:pPr>
        <w:rPr>
          <w:lang w:eastAsia="en-NL"/>
        </w:rPr>
      </w:pPr>
      <w:r w:rsidRPr="00771FC3">
        <w:rPr>
          <w:b/>
          <w:bCs/>
          <w:lang w:eastAsia="en-NL"/>
        </w:rPr>
        <w:t>Aminoacyl-tRNA synthetases:</w:t>
      </w:r>
      <w:r w:rsidRPr="00525424">
        <w:rPr>
          <w:lang w:eastAsia="en-NL"/>
        </w:rPr>
        <w:t xml:space="preserve"> 1900 U/ml </w:t>
      </w:r>
      <w:proofErr w:type="spellStart"/>
      <w:r w:rsidRPr="00525424">
        <w:rPr>
          <w:lang w:eastAsia="en-NL"/>
        </w:rPr>
        <w:t>AlaRS</w:t>
      </w:r>
      <w:proofErr w:type="spellEnd"/>
      <w:r>
        <w:rPr>
          <w:lang w:eastAsia="en-NL"/>
        </w:rPr>
        <w:t>,</w:t>
      </w:r>
      <w:r w:rsidRPr="00525424">
        <w:rPr>
          <w:lang w:eastAsia="en-NL"/>
        </w:rPr>
        <w:t xml:space="preserve"> 2500 U/ml </w:t>
      </w:r>
      <w:proofErr w:type="spellStart"/>
      <w:r w:rsidRPr="00525424">
        <w:rPr>
          <w:lang w:eastAsia="en-NL"/>
        </w:rPr>
        <w:t>ArgRS</w:t>
      </w:r>
      <w:proofErr w:type="spellEnd"/>
      <w:r>
        <w:rPr>
          <w:lang w:eastAsia="en-NL"/>
        </w:rPr>
        <w:t>,</w:t>
      </w:r>
      <w:r w:rsidRPr="00525424">
        <w:rPr>
          <w:lang w:eastAsia="en-NL"/>
        </w:rPr>
        <w:t xml:space="preserve"> 20 mg/ml </w:t>
      </w:r>
      <w:proofErr w:type="spellStart"/>
      <w:r w:rsidRPr="00525424">
        <w:rPr>
          <w:lang w:eastAsia="en-NL"/>
        </w:rPr>
        <w:t>AsnRS</w:t>
      </w:r>
      <w:proofErr w:type="spellEnd"/>
      <w:r>
        <w:rPr>
          <w:lang w:eastAsia="en-NL"/>
        </w:rPr>
        <w:t>,</w:t>
      </w:r>
      <w:r w:rsidRPr="00525424">
        <w:rPr>
          <w:lang w:eastAsia="en-NL"/>
        </w:rPr>
        <w:t xml:space="preserve"> 2500 U/ml </w:t>
      </w:r>
      <w:proofErr w:type="spellStart"/>
      <w:r w:rsidRPr="00525424">
        <w:rPr>
          <w:lang w:eastAsia="en-NL"/>
        </w:rPr>
        <w:t>AspRS</w:t>
      </w:r>
      <w:proofErr w:type="spellEnd"/>
      <w:r>
        <w:rPr>
          <w:lang w:eastAsia="en-NL"/>
        </w:rPr>
        <w:t>,</w:t>
      </w:r>
      <w:r w:rsidRPr="00525424">
        <w:rPr>
          <w:lang w:eastAsia="en-NL"/>
        </w:rPr>
        <w:t xml:space="preserve"> 630 U/ml </w:t>
      </w:r>
      <w:proofErr w:type="spellStart"/>
      <w:r w:rsidRPr="00525424">
        <w:rPr>
          <w:lang w:eastAsia="en-NL"/>
        </w:rPr>
        <w:t>CysRS</w:t>
      </w:r>
      <w:proofErr w:type="spellEnd"/>
      <w:r>
        <w:rPr>
          <w:lang w:eastAsia="en-NL"/>
        </w:rPr>
        <w:t>,</w:t>
      </w:r>
      <w:r w:rsidRPr="00525424">
        <w:rPr>
          <w:lang w:eastAsia="en-NL"/>
        </w:rPr>
        <w:t xml:space="preserve"> 1300 U/ml </w:t>
      </w:r>
      <w:proofErr w:type="spellStart"/>
      <w:r w:rsidRPr="00525424">
        <w:rPr>
          <w:lang w:eastAsia="en-NL"/>
        </w:rPr>
        <w:t>GlnRS</w:t>
      </w:r>
      <w:proofErr w:type="spellEnd"/>
      <w:r>
        <w:rPr>
          <w:lang w:eastAsia="en-NL"/>
        </w:rPr>
        <w:t>,</w:t>
      </w:r>
      <w:r w:rsidRPr="00525424">
        <w:rPr>
          <w:lang w:eastAsia="en-NL"/>
        </w:rPr>
        <w:t xml:space="preserve"> 1900 U/ml </w:t>
      </w:r>
      <w:proofErr w:type="spellStart"/>
      <w:r w:rsidRPr="00525424">
        <w:rPr>
          <w:lang w:eastAsia="en-NL"/>
        </w:rPr>
        <w:t>GluRS</w:t>
      </w:r>
      <w:proofErr w:type="spellEnd"/>
      <w:r>
        <w:rPr>
          <w:lang w:eastAsia="en-NL"/>
        </w:rPr>
        <w:t>,</w:t>
      </w:r>
      <w:r w:rsidRPr="00525424">
        <w:rPr>
          <w:lang w:eastAsia="en-NL"/>
        </w:rPr>
        <w:t xml:space="preserve"> 5000 U/ml </w:t>
      </w:r>
      <w:proofErr w:type="spellStart"/>
      <w:r w:rsidRPr="00525424">
        <w:rPr>
          <w:lang w:eastAsia="en-NL"/>
        </w:rPr>
        <w:t>GlyRS</w:t>
      </w:r>
      <w:proofErr w:type="spellEnd"/>
      <w:r>
        <w:rPr>
          <w:lang w:eastAsia="en-NL"/>
        </w:rPr>
        <w:t>,</w:t>
      </w:r>
      <w:r w:rsidRPr="00525424">
        <w:rPr>
          <w:lang w:eastAsia="en-NL"/>
        </w:rPr>
        <w:t xml:space="preserve"> 630 U/ml </w:t>
      </w:r>
      <w:proofErr w:type="spellStart"/>
      <w:r w:rsidRPr="00525424">
        <w:rPr>
          <w:lang w:eastAsia="en-NL"/>
        </w:rPr>
        <w:t>HisRS</w:t>
      </w:r>
      <w:proofErr w:type="spellEnd"/>
      <w:r>
        <w:rPr>
          <w:lang w:eastAsia="en-NL"/>
        </w:rPr>
        <w:t>,</w:t>
      </w:r>
      <w:r w:rsidRPr="00525424">
        <w:rPr>
          <w:lang w:eastAsia="en-NL"/>
        </w:rPr>
        <w:t xml:space="preserve"> 2500 U/ml </w:t>
      </w:r>
      <w:proofErr w:type="spellStart"/>
      <w:r w:rsidRPr="00525424">
        <w:rPr>
          <w:lang w:eastAsia="en-NL"/>
        </w:rPr>
        <w:t>IleRS</w:t>
      </w:r>
      <w:proofErr w:type="spellEnd"/>
      <w:r>
        <w:rPr>
          <w:lang w:eastAsia="en-NL"/>
        </w:rPr>
        <w:t>,</w:t>
      </w:r>
      <w:r w:rsidRPr="00525424">
        <w:rPr>
          <w:lang w:eastAsia="en-NL"/>
        </w:rPr>
        <w:t xml:space="preserve"> 3800 U/ml </w:t>
      </w:r>
      <w:proofErr w:type="spellStart"/>
      <w:r w:rsidRPr="00525424">
        <w:rPr>
          <w:lang w:eastAsia="en-NL"/>
        </w:rPr>
        <w:t>LeuRS</w:t>
      </w:r>
      <w:proofErr w:type="spellEnd"/>
      <w:r>
        <w:rPr>
          <w:lang w:eastAsia="en-NL"/>
        </w:rPr>
        <w:t>,</w:t>
      </w:r>
      <w:r w:rsidRPr="00525424">
        <w:rPr>
          <w:lang w:eastAsia="en-NL"/>
        </w:rPr>
        <w:t xml:space="preserve"> 3800 U/ml </w:t>
      </w:r>
      <w:proofErr w:type="spellStart"/>
      <w:r w:rsidRPr="00525424">
        <w:rPr>
          <w:lang w:eastAsia="en-NL"/>
        </w:rPr>
        <w:t>LysRS</w:t>
      </w:r>
      <w:proofErr w:type="spellEnd"/>
      <w:r>
        <w:rPr>
          <w:lang w:eastAsia="en-NL"/>
        </w:rPr>
        <w:t>,</w:t>
      </w:r>
      <w:r w:rsidRPr="00525424">
        <w:rPr>
          <w:lang w:eastAsia="en-NL"/>
        </w:rPr>
        <w:t xml:space="preserve"> 6300 U/ml </w:t>
      </w:r>
      <w:proofErr w:type="spellStart"/>
      <w:r w:rsidRPr="00525424">
        <w:rPr>
          <w:lang w:eastAsia="en-NL"/>
        </w:rPr>
        <w:t>MetRS</w:t>
      </w:r>
      <w:proofErr w:type="spellEnd"/>
      <w:r>
        <w:rPr>
          <w:lang w:eastAsia="en-NL"/>
        </w:rPr>
        <w:t>,</w:t>
      </w:r>
      <w:r w:rsidRPr="00525424">
        <w:rPr>
          <w:lang w:eastAsia="en-NL"/>
        </w:rPr>
        <w:t xml:space="preserve"> 1300 U/ml </w:t>
      </w:r>
      <w:proofErr w:type="spellStart"/>
      <w:r w:rsidRPr="00525424">
        <w:rPr>
          <w:lang w:eastAsia="en-NL"/>
        </w:rPr>
        <w:t>PheRS</w:t>
      </w:r>
      <w:proofErr w:type="spellEnd"/>
      <w:r>
        <w:rPr>
          <w:lang w:eastAsia="en-NL"/>
        </w:rPr>
        <w:t>,</w:t>
      </w:r>
      <w:r w:rsidRPr="00525424">
        <w:rPr>
          <w:lang w:eastAsia="en-NL"/>
        </w:rPr>
        <w:t xml:space="preserve"> 1300 U/ml </w:t>
      </w:r>
      <w:proofErr w:type="spellStart"/>
      <w:r w:rsidRPr="00525424">
        <w:rPr>
          <w:lang w:eastAsia="en-NL"/>
        </w:rPr>
        <w:t>ProRS</w:t>
      </w:r>
      <w:proofErr w:type="spellEnd"/>
      <w:r>
        <w:rPr>
          <w:lang w:eastAsia="en-NL"/>
        </w:rPr>
        <w:t>,</w:t>
      </w:r>
      <w:r w:rsidRPr="00525424">
        <w:rPr>
          <w:lang w:eastAsia="en-NL"/>
        </w:rPr>
        <w:t xml:space="preserve"> 1900 U/ml </w:t>
      </w:r>
      <w:proofErr w:type="spellStart"/>
      <w:r w:rsidRPr="00525424">
        <w:rPr>
          <w:lang w:eastAsia="en-NL"/>
        </w:rPr>
        <w:t>SerRS</w:t>
      </w:r>
      <w:proofErr w:type="spellEnd"/>
      <w:r>
        <w:rPr>
          <w:lang w:eastAsia="en-NL"/>
        </w:rPr>
        <w:t>,</w:t>
      </w:r>
      <w:r w:rsidRPr="00525424">
        <w:rPr>
          <w:lang w:eastAsia="en-NL"/>
        </w:rPr>
        <w:t xml:space="preserve"> 1300 U/ml </w:t>
      </w:r>
      <w:proofErr w:type="spellStart"/>
      <w:r w:rsidRPr="00525424">
        <w:rPr>
          <w:lang w:eastAsia="en-NL"/>
        </w:rPr>
        <w:t>ThrRS</w:t>
      </w:r>
      <w:proofErr w:type="spellEnd"/>
      <w:r>
        <w:rPr>
          <w:lang w:eastAsia="en-NL"/>
        </w:rPr>
        <w:t>,</w:t>
      </w:r>
      <w:r w:rsidRPr="00525424">
        <w:rPr>
          <w:lang w:eastAsia="en-NL"/>
        </w:rPr>
        <w:t xml:space="preserve"> 630 U/ml </w:t>
      </w:r>
      <w:proofErr w:type="spellStart"/>
      <w:r w:rsidRPr="00525424">
        <w:rPr>
          <w:lang w:eastAsia="en-NL"/>
        </w:rPr>
        <w:t>TrpRS</w:t>
      </w:r>
      <w:proofErr w:type="spellEnd"/>
      <w:r>
        <w:rPr>
          <w:lang w:eastAsia="en-NL"/>
        </w:rPr>
        <w:t>,</w:t>
      </w:r>
      <w:r w:rsidRPr="00525424">
        <w:rPr>
          <w:lang w:eastAsia="en-NL"/>
        </w:rPr>
        <w:t xml:space="preserve"> 630 U/ml </w:t>
      </w:r>
      <w:proofErr w:type="spellStart"/>
      <w:r w:rsidRPr="00525424">
        <w:rPr>
          <w:lang w:eastAsia="en-NL"/>
        </w:rPr>
        <w:t>TyrRS</w:t>
      </w:r>
      <w:proofErr w:type="spellEnd"/>
      <w:r>
        <w:rPr>
          <w:lang w:eastAsia="en-NL"/>
        </w:rPr>
        <w:t>,</w:t>
      </w:r>
      <w:r w:rsidRPr="00525424">
        <w:rPr>
          <w:lang w:eastAsia="en-NL"/>
        </w:rPr>
        <w:t xml:space="preserve"> 3100 U/ml </w:t>
      </w:r>
      <w:proofErr w:type="spellStart"/>
      <w:r w:rsidRPr="00525424">
        <w:rPr>
          <w:lang w:eastAsia="en-NL"/>
        </w:rPr>
        <w:t>ValRS</w:t>
      </w:r>
      <w:proofErr w:type="spellEnd"/>
      <w:r>
        <w:rPr>
          <w:lang w:eastAsia="en-NL"/>
        </w:rPr>
        <w:t>.</w:t>
      </w:r>
      <w:r w:rsidRPr="00525424">
        <w:rPr>
          <w:lang w:eastAsia="en-NL"/>
        </w:rPr>
        <w:t xml:space="preserve"> </w:t>
      </w:r>
    </w:p>
    <w:p w14:paraId="0348E02E" w14:textId="77777777" w:rsidR="006157A0" w:rsidRDefault="006157A0" w:rsidP="006157A0">
      <w:pPr>
        <w:rPr>
          <w:lang w:eastAsia="en-NL"/>
        </w:rPr>
      </w:pPr>
      <w:r w:rsidRPr="00771FC3">
        <w:rPr>
          <w:b/>
          <w:bCs/>
          <w:lang w:eastAsia="en-NL"/>
        </w:rPr>
        <w:t>Other enzymes:</w:t>
      </w:r>
      <w:r w:rsidRPr="00525424">
        <w:rPr>
          <w:lang w:eastAsia="en-NL"/>
        </w:rPr>
        <w:t xml:space="preserve"> 4500 U/ml </w:t>
      </w:r>
      <w:r>
        <w:rPr>
          <w:lang w:eastAsia="en-NL"/>
        </w:rPr>
        <w:t>m</w:t>
      </w:r>
      <w:r w:rsidRPr="00890ECD">
        <w:rPr>
          <w:lang w:eastAsia="en-NL"/>
        </w:rPr>
        <w:t xml:space="preserve">ethionyl-tRNA </w:t>
      </w:r>
      <w:proofErr w:type="spellStart"/>
      <w:r w:rsidRPr="00890ECD">
        <w:rPr>
          <w:lang w:eastAsia="en-NL"/>
        </w:rPr>
        <w:t>transformylase</w:t>
      </w:r>
      <w:proofErr w:type="spellEnd"/>
      <w:r>
        <w:rPr>
          <w:lang w:eastAsia="en-NL"/>
        </w:rPr>
        <w:t>,</w:t>
      </w:r>
      <w:r w:rsidRPr="00890ECD">
        <w:rPr>
          <w:lang w:eastAsia="en-NL"/>
        </w:rPr>
        <w:t xml:space="preserve"> </w:t>
      </w:r>
      <w:r w:rsidRPr="00525424">
        <w:rPr>
          <w:lang w:eastAsia="en-NL"/>
        </w:rPr>
        <w:t xml:space="preserve">1.2 </w:t>
      </w:r>
      <w:r>
        <w:rPr>
          <w:lang w:eastAsia="en-NL"/>
        </w:rPr>
        <w:t>µ</w:t>
      </w:r>
      <w:r w:rsidRPr="00525424">
        <w:rPr>
          <w:lang w:eastAsia="en-NL"/>
        </w:rPr>
        <w:t>M ribosomes</w:t>
      </w:r>
      <w:r>
        <w:rPr>
          <w:lang w:eastAsia="en-NL"/>
        </w:rPr>
        <w:t>,</w:t>
      </w:r>
      <w:r w:rsidRPr="00525424">
        <w:rPr>
          <w:lang w:eastAsia="en-NL"/>
        </w:rPr>
        <w:t xml:space="preserve"> 4.0 </w:t>
      </w:r>
      <w:r>
        <w:rPr>
          <w:lang w:eastAsia="en-NL"/>
        </w:rPr>
        <w:t>µ</w:t>
      </w:r>
      <w:r w:rsidRPr="00525424">
        <w:rPr>
          <w:lang w:eastAsia="en-NL"/>
        </w:rPr>
        <w:t>g/ml creatine kinase</w:t>
      </w:r>
      <w:r>
        <w:rPr>
          <w:lang w:eastAsia="en-NL"/>
        </w:rPr>
        <w:t>,</w:t>
      </w:r>
      <w:r w:rsidRPr="00525424">
        <w:rPr>
          <w:lang w:eastAsia="en-NL"/>
        </w:rPr>
        <w:t xml:space="preserve"> 3.0 </w:t>
      </w:r>
      <w:r>
        <w:rPr>
          <w:lang w:eastAsia="en-NL"/>
        </w:rPr>
        <w:t>µ</w:t>
      </w:r>
      <w:r w:rsidRPr="00525424">
        <w:rPr>
          <w:lang w:eastAsia="en-NL"/>
        </w:rPr>
        <w:t xml:space="preserve">g/ml </w:t>
      </w:r>
      <w:proofErr w:type="spellStart"/>
      <w:r w:rsidRPr="00525424">
        <w:rPr>
          <w:lang w:eastAsia="en-NL"/>
        </w:rPr>
        <w:t>myokinase</w:t>
      </w:r>
      <w:proofErr w:type="spellEnd"/>
      <w:r>
        <w:rPr>
          <w:lang w:eastAsia="en-NL"/>
        </w:rPr>
        <w:t>,</w:t>
      </w:r>
      <w:r w:rsidRPr="00525424">
        <w:rPr>
          <w:lang w:eastAsia="en-NL"/>
        </w:rPr>
        <w:t xml:space="preserve"> 1.1 </w:t>
      </w:r>
      <w:r>
        <w:rPr>
          <w:lang w:eastAsia="en-NL"/>
        </w:rPr>
        <w:t>µ</w:t>
      </w:r>
      <w:r w:rsidRPr="00525424">
        <w:rPr>
          <w:lang w:eastAsia="en-NL"/>
        </w:rPr>
        <w:t>g/ml nucleoside-diphosphate kinase</w:t>
      </w:r>
      <w:r>
        <w:rPr>
          <w:lang w:eastAsia="en-NL"/>
        </w:rPr>
        <w:t>,</w:t>
      </w:r>
      <w:r w:rsidRPr="00525424">
        <w:rPr>
          <w:lang w:eastAsia="en-NL"/>
        </w:rPr>
        <w:t xml:space="preserve"> 2.0 units/ml pyrophosphatase</w:t>
      </w:r>
      <w:r>
        <w:rPr>
          <w:lang w:eastAsia="en-NL"/>
        </w:rPr>
        <w:t>,</w:t>
      </w:r>
      <w:r w:rsidRPr="00525424">
        <w:rPr>
          <w:lang w:eastAsia="en-NL"/>
        </w:rPr>
        <w:t xml:space="preserve"> 10 </w:t>
      </w:r>
      <w:r>
        <w:rPr>
          <w:lang w:eastAsia="en-NL"/>
        </w:rPr>
        <w:t>µ</w:t>
      </w:r>
      <w:r w:rsidRPr="00525424">
        <w:rPr>
          <w:lang w:eastAsia="en-NL"/>
        </w:rPr>
        <w:t>g/ml T7 RNA polymerase</w:t>
      </w:r>
      <w:r>
        <w:rPr>
          <w:lang w:eastAsia="en-NL"/>
        </w:rPr>
        <w:t>.</w:t>
      </w:r>
    </w:p>
    <w:p w14:paraId="1DCCF8CA" w14:textId="77777777" w:rsidR="006157A0" w:rsidRDefault="006157A0" w:rsidP="006157A0">
      <w:pPr>
        <w:rPr>
          <w:lang w:eastAsia="en-NL"/>
        </w:rPr>
      </w:pPr>
      <w:r w:rsidRPr="00771FC3">
        <w:rPr>
          <w:b/>
          <w:bCs/>
          <w:lang w:eastAsia="en-NL"/>
        </w:rPr>
        <w:t>Energy sources:</w:t>
      </w:r>
      <w:r w:rsidRPr="00525424">
        <w:rPr>
          <w:lang w:eastAsia="en-NL"/>
        </w:rPr>
        <w:t xml:space="preserve"> 2 mM ATP, 2 mM GTP</w:t>
      </w:r>
      <w:r>
        <w:rPr>
          <w:lang w:eastAsia="en-NL"/>
        </w:rPr>
        <w:t>,</w:t>
      </w:r>
      <w:r w:rsidRPr="00525424">
        <w:rPr>
          <w:lang w:eastAsia="en-NL"/>
        </w:rPr>
        <w:t xml:space="preserve"> 1 mM CTP,</w:t>
      </w:r>
      <w:r>
        <w:rPr>
          <w:lang w:eastAsia="en-NL"/>
        </w:rPr>
        <w:t xml:space="preserve"> 1 mM</w:t>
      </w:r>
      <w:r w:rsidRPr="00525424">
        <w:rPr>
          <w:lang w:eastAsia="en-NL"/>
        </w:rPr>
        <w:t xml:space="preserve"> UTP</w:t>
      </w:r>
      <w:r>
        <w:rPr>
          <w:lang w:eastAsia="en-NL"/>
        </w:rPr>
        <w:t xml:space="preserve">, </w:t>
      </w:r>
      <w:r w:rsidRPr="00525424">
        <w:rPr>
          <w:lang w:eastAsia="en-NL"/>
        </w:rPr>
        <w:t>20 mM creatine phosphate</w:t>
      </w:r>
      <w:r>
        <w:rPr>
          <w:lang w:eastAsia="en-NL"/>
        </w:rPr>
        <w:t>.</w:t>
      </w:r>
    </w:p>
    <w:p w14:paraId="5B711A13" w14:textId="77777777" w:rsidR="006157A0" w:rsidRDefault="006157A0" w:rsidP="006157A0">
      <w:pPr>
        <w:rPr>
          <w:lang w:eastAsia="en-NL"/>
        </w:rPr>
      </w:pPr>
      <w:r w:rsidRPr="00771FC3">
        <w:rPr>
          <w:b/>
          <w:bCs/>
          <w:lang w:eastAsia="en-NL"/>
        </w:rPr>
        <w:t>Buffers</w:t>
      </w:r>
      <w:r>
        <w:rPr>
          <w:b/>
          <w:bCs/>
          <w:lang w:eastAsia="en-NL"/>
        </w:rPr>
        <w:t>:</w:t>
      </w:r>
      <w:r w:rsidRPr="00525424">
        <w:rPr>
          <w:lang w:eastAsia="en-NL"/>
        </w:rPr>
        <w:t xml:space="preserve"> 50 mM </w:t>
      </w:r>
      <w:proofErr w:type="spellStart"/>
      <w:r w:rsidRPr="00525424">
        <w:rPr>
          <w:lang w:eastAsia="en-NL"/>
        </w:rPr>
        <w:t>Hepes</w:t>
      </w:r>
      <w:proofErr w:type="spellEnd"/>
      <w:r w:rsidRPr="00525424">
        <w:rPr>
          <w:lang w:eastAsia="en-NL"/>
        </w:rPr>
        <w:t>–KOH pH 7.6</w:t>
      </w:r>
      <w:r>
        <w:rPr>
          <w:lang w:eastAsia="en-NL"/>
        </w:rPr>
        <w:t>,</w:t>
      </w:r>
      <w:r w:rsidRPr="00525424">
        <w:rPr>
          <w:lang w:eastAsia="en-NL"/>
        </w:rPr>
        <w:t xml:space="preserve"> 100 mM potassium glutamate</w:t>
      </w:r>
      <w:r>
        <w:rPr>
          <w:lang w:eastAsia="en-NL"/>
        </w:rPr>
        <w:t>,</w:t>
      </w:r>
      <w:r w:rsidRPr="00525424">
        <w:rPr>
          <w:lang w:eastAsia="en-NL"/>
        </w:rPr>
        <w:t xml:space="preserve"> 13 mM magnesium acetate</w:t>
      </w:r>
      <w:r>
        <w:rPr>
          <w:lang w:eastAsia="en-NL"/>
        </w:rPr>
        <w:t>,</w:t>
      </w:r>
      <w:r w:rsidRPr="00525424">
        <w:rPr>
          <w:lang w:eastAsia="en-NL"/>
        </w:rPr>
        <w:t xml:space="preserve"> 2 mM spermidine</w:t>
      </w:r>
      <w:r>
        <w:rPr>
          <w:lang w:eastAsia="en-NL"/>
        </w:rPr>
        <w:t>,</w:t>
      </w:r>
      <w:r w:rsidRPr="00525424">
        <w:rPr>
          <w:lang w:eastAsia="en-NL"/>
        </w:rPr>
        <w:t xml:space="preserve"> 1 mM DTT</w:t>
      </w:r>
      <w:r>
        <w:rPr>
          <w:lang w:eastAsia="en-NL"/>
        </w:rPr>
        <w:t>.</w:t>
      </w:r>
      <w:r w:rsidRPr="00525424">
        <w:rPr>
          <w:lang w:eastAsia="en-NL"/>
        </w:rPr>
        <w:t xml:space="preserve"> </w:t>
      </w:r>
    </w:p>
    <w:p w14:paraId="1D0240B1" w14:textId="77777777" w:rsidR="006157A0" w:rsidRDefault="006157A0" w:rsidP="006157A0">
      <w:pPr>
        <w:rPr>
          <w:lang w:eastAsia="en-NL"/>
        </w:rPr>
      </w:pPr>
      <w:r w:rsidRPr="00771FC3">
        <w:rPr>
          <w:b/>
          <w:bCs/>
          <w:lang w:eastAsia="en-NL"/>
        </w:rPr>
        <w:t>Other components</w:t>
      </w:r>
      <w:r>
        <w:rPr>
          <w:b/>
          <w:bCs/>
          <w:lang w:eastAsia="en-NL"/>
        </w:rPr>
        <w:t>:</w:t>
      </w:r>
      <w:r w:rsidRPr="00525424">
        <w:rPr>
          <w:lang w:eastAsia="en-NL"/>
        </w:rPr>
        <w:t xml:space="preserve"> 0.3 mM 20 amino acids</w:t>
      </w:r>
      <w:r>
        <w:rPr>
          <w:lang w:eastAsia="en-NL"/>
        </w:rPr>
        <w:t>,</w:t>
      </w:r>
      <w:r w:rsidRPr="00525424">
        <w:rPr>
          <w:lang w:eastAsia="en-NL"/>
        </w:rPr>
        <w:t xml:space="preserve"> 10 mg/ml 10-formyl-5,6,7,8-tetrahydrofolic acid</w:t>
      </w:r>
      <w:r>
        <w:rPr>
          <w:lang w:eastAsia="en-NL"/>
        </w:rPr>
        <w:t>,</w:t>
      </w:r>
      <w:r w:rsidRPr="00525424">
        <w:rPr>
          <w:lang w:eastAsia="en-NL"/>
        </w:rPr>
        <w:t xml:space="preserve"> 56 A260/ml </w:t>
      </w:r>
      <w:proofErr w:type="spellStart"/>
      <w:r w:rsidRPr="00525424">
        <w:rPr>
          <w:lang w:eastAsia="en-NL"/>
        </w:rPr>
        <w:t>tRNAmix</w:t>
      </w:r>
      <w:proofErr w:type="spellEnd"/>
      <w:r w:rsidRPr="00525424">
        <w:rPr>
          <w:lang w:eastAsia="en-NL"/>
        </w:rPr>
        <w:t xml:space="preserve"> (Roche)</w:t>
      </w:r>
      <w:r>
        <w:rPr>
          <w:lang w:eastAsia="en-NL"/>
        </w:rPr>
        <w:t>.</w:t>
      </w:r>
    </w:p>
    <w:p w14:paraId="7A788E74" w14:textId="77777777" w:rsidR="006157A0" w:rsidRDefault="006157A0" w:rsidP="006157A0">
      <w:pPr>
        <w:rPr>
          <w:lang w:eastAsia="en-NL"/>
        </w:rPr>
      </w:pPr>
      <w:r w:rsidRPr="00CF51CB">
        <w:rPr>
          <w:lang w:eastAsia="en-NL"/>
        </w:rPr>
        <w:t>Speci</w:t>
      </w:r>
      <w:r>
        <w:rPr>
          <w:lang w:eastAsia="en-NL"/>
        </w:rPr>
        <w:t>fi</w:t>
      </w:r>
      <w:r w:rsidRPr="00CF51CB">
        <w:rPr>
          <w:lang w:eastAsia="en-NL"/>
        </w:rPr>
        <w:t xml:space="preserve">c activities of </w:t>
      </w:r>
      <w:r>
        <w:rPr>
          <w:lang w:eastAsia="en-NL"/>
        </w:rPr>
        <w:t>a</w:t>
      </w:r>
      <w:r w:rsidRPr="00525424">
        <w:rPr>
          <w:lang w:eastAsia="en-NL"/>
        </w:rPr>
        <w:t>minoacyl-tRNA synthetases</w:t>
      </w:r>
      <w:r w:rsidRPr="00CF51CB">
        <w:rPr>
          <w:lang w:eastAsia="en-NL"/>
        </w:rPr>
        <w:t xml:space="preserve"> and </w:t>
      </w:r>
      <w:r>
        <w:rPr>
          <w:lang w:eastAsia="en-NL"/>
        </w:rPr>
        <w:t>m</w:t>
      </w:r>
      <w:r w:rsidRPr="00890ECD">
        <w:rPr>
          <w:lang w:eastAsia="en-NL"/>
        </w:rPr>
        <w:t xml:space="preserve">ethionyl-tRNA </w:t>
      </w:r>
      <w:proofErr w:type="spellStart"/>
      <w:r w:rsidRPr="00890ECD">
        <w:rPr>
          <w:lang w:eastAsia="en-NL"/>
        </w:rPr>
        <w:t>transformylase</w:t>
      </w:r>
      <w:proofErr w:type="spellEnd"/>
      <w:r w:rsidRPr="00890ECD">
        <w:rPr>
          <w:lang w:eastAsia="en-NL"/>
        </w:rPr>
        <w:t xml:space="preserve"> </w:t>
      </w:r>
      <w:r w:rsidRPr="00CF51CB">
        <w:rPr>
          <w:lang w:eastAsia="en-NL"/>
        </w:rPr>
        <w:t>were measured using radioactive amino acids. One unit of activity was de</w:t>
      </w:r>
      <w:r>
        <w:rPr>
          <w:lang w:eastAsia="en-NL"/>
        </w:rPr>
        <w:t>fi</w:t>
      </w:r>
      <w:r w:rsidRPr="00CF51CB">
        <w:rPr>
          <w:lang w:eastAsia="en-NL"/>
        </w:rPr>
        <w:t xml:space="preserve">ned as the amount of enzyme that </w:t>
      </w:r>
      <w:proofErr w:type="spellStart"/>
      <w:r>
        <w:rPr>
          <w:lang w:eastAsia="en-NL"/>
        </w:rPr>
        <w:t>catalyzes</w:t>
      </w:r>
      <w:proofErr w:type="spellEnd"/>
      <w:r w:rsidRPr="00CF51CB">
        <w:rPr>
          <w:lang w:eastAsia="en-NL"/>
        </w:rPr>
        <w:t xml:space="preserve"> the formation of 1 </w:t>
      </w:r>
      <w:proofErr w:type="spellStart"/>
      <w:r w:rsidRPr="00CF51CB">
        <w:rPr>
          <w:lang w:eastAsia="en-NL"/>
        </w:rPr>
        <w:t>pmol</w:t>
      </w:r>
      <w:proofErr w:type="spellEnd"/>
      <w:r w:rsidRPr="00CF51CB">
        <w:rPr>
          <w:lang w:eastAsia="en-NL"/>
        </w:rPr>
        <w:t xml:space="preserve"> of aminoacyl-tRNA in 1 min.</w:t>
      </w:r>
    </w:p>
    <w:p w14:paraId="7DFDF544" w14:textId="77777777" w:rsidR="006157A0" w:rsidRDefault="006157A0" w:rsidP="006157A0">
      <w:pPr>
        <w:rPr>
          <w:lang w:eastAsia="en-NL"/>
        </w:rPr>
      </w:pPr>
      <w:r>
        <w:rPr>
          <w:lang w:eastAsia="en-NL"/>
        </w:rPr>
        <w:t>Notably, this composition is an exemplary one, as it was further adjusted and modified.</w:t>
      </w:r>
    </w:p>
    <w:p w14:paraId="3AC30B3C" w14:textId="77777777" w:rsidR="00A47F0D" w:rsidRDefault="00A47F0D" w:rsidP="006157A0">
      <w:pPr>
        <w:rPr>
          <w:lang w:eastAsia="en-NL"/>
        </w:rPr>
      </w:pPr>
    </w:p>
    <w:p w14:paraId="06274991" w14:textId="77777777" w:rsidR="00A47F0D" w:rsidRDefault="00A47F0D" w:rsidP="006157A0">
      <w:pPr>
        <w:rPr>
          <w:lang w:eastAsia="en-NL"/>
        </w:rPr>
      </w:pPr>
    </w:p>
    <w:p w14:paraId="5CDD10E9" w14:textId="77777777" w:rsidR="00A47F0D" w:rsidRDefault="00A47F0D" w:rsidP="006157A0">
      <w:pPr>
        <w:rPr>
          <w:lang w:eastAsia="en-NL"/>
        </w:rPr>
      </w:pPr>
    </w:p>
    <w:p w14:paraId="2490C114" w14:textId="77777777" w:rsidR="00A47F0D" w:rsidRDefault="00A47F0D" w:rsidP="006157A0">
      <w:pPr>
        <w:rPr>
          <w:lang w:eastAsia="en-NL"/>
        </w:rPr>
      </w:pPr>
    </w:p>
    <w:p w14:paraId="59B7E350" w14:textId="77777777" w:rsidR="00A47F0D" w:rsidRDefault="00A47F0D" w:rsidP="006157A0">
      <w:pPr>
        <w:rPr>
          <w:lang w:eastAsia="en-NL"/>
        </w:rPr>
      </w:pPr>
    </w:p>
    <w:p w14:paraId="345EA3AD" w14:textId="77777777" w:rsidR="00A47F0D" w:rsidRDefault="00A47F0D" w:rsidP="006157A0">
      <w:pPr>
        <w:rPr>
          <w:lang w:eastAsia="en-NL"/>
        </w:rPr>
      </w:pPr>
    </w:p>
    <w:p w14:paraId="534C856F" w14:textId="77777777" w:rsidR="00A47F0D" w:rsidRPr="00771FC3" w:rsidRDefault="00A47F0D" w:rsidP="006157A0">
      <w:pPr>
        <w:rPr>
          <w:lang w:eastAsia="en-NL"/>
        </w:rPr>
      </w:pPr>
    </w:p>
    <w:p w14:paraId="6821CA23" w14:textId="77777777" w:rsidR="00A47F0D" w:rsidRPr="00A47F0D" w:rsidRDefault="00A47F0D" w:rsidP="00A47F0D">
      <w:pPr>
        <w:pStyle w:val="Bibliography"/>
        <w:rPr>
          <w:rFonts w:ascii="Aptos" w:hAnsi="Aptos"/>
        </w:rPr>
      </w:pPr>
      <w:r>
        <w:fldChar w:fldCharType="begin"/>
      </w:r>
      <w:r>
        <w:instrText xml:space="preserve"> ADDIN ZOTERO_BIBL {"uncited":[],"omitted":[],"custom":[]} CSL_BIBLIOGRAPHY </w:instrText>
      </w:r>
      <w:r>
        <w:fldChar w:fldCharType="separate"/>
      </w:r>
      <w:r w:rsidRPr="00A47F0D">
        <w:rPr>
          <w:rFonts w:ascii="Aptos" w:hAnsi="Aptos"/>
        </w:rPr>
        <w:t xml:space="preserve">Shimizu, Y., Kanamori, T., &amp; Ueda, T. (2005). Protein synthesis by pure translation systems. </w:t>
      </w:r>
      <w:r w:rsidRPr="00A47F0D">
        <w:rPr>
          <w:rFonts w:ascii="Aptos" w:hAnsi="Aptos"/>
          <w:i/>
          <w:iCs/>
        </w:rPr>
        <w:t>Methods</w:t>
      </w:r>
      <w:r w:rsidRPr="00A47F0D">
        <w:rPr>
          <w:rFonts w:ascii="Aptos" w:hAnsi="Aptos"/>
        </w:rPr>
        <w:t xml:space="preserve">, </w:t>
      </w:r>
      <w:r w:rsidRPr="00A47F0D">
        <w:rPr>
          <w:rFonts w:ascii="Aptos" w:hAnsi="Aptos"/>
          <w:b/>
          <w:bCs/>
        </w:rPr>
        <w:t>36</w:t>
      </w:r>
      <w:r w:rsidRPr="00A47F0D">
        <w:rPr>
          <w:rFonts w:ascii="Aptos" w:hAnsi="Aptos"/>
        </w:rPr>
        <w:t>(3), 299–304.</w:t>
      </w:r>
    </w:p>
    <w:p w14:paraId="22811745" w14:textId="67A3CD36" w:rsidR="00F8120D" w:rsidRDefault="00A47F0D">
      <w:r>
        <w:fldChar w:fldCharType="end"/>
      </w:r>
    </w:p>
    <w:sectPr w:rsidR="00F81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35"/>
    <w:rsid w:val="006157A0"/>
    <w:rsid w:val="007232C2"/>
    <w:rsid w:val="00A47F0D"/>
    <w:rsid w:val="00AB0B79"/>
    <w:rsid w:val="00C60D35"/>
    <w:rsid w:val="00F8120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A4697"/>
  <w15:chartTrackingRefBased/>
  <w15:docId w15:val="{CE60004E-A42E-4CBB-955E-C3CD8E68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A0"/>
    <w:pPr>
      <w:spacing w:line="259" w:lineRule="auto"/>
    </w:pPr>
    <w:rPr>
      <w:sz w:val="22"/>
      <w:szCs w:val="22"/>
    </w:rPr>
  </w:style>
  <w:style w:type="paragraph" w:styleId="Heading1">
    <w:name w:val="heading 1"/>
    <w:basedOn w:val="Normal"/>
    <w:next w:val="Normal"/>
    <w:link w:val="Heading1Char"/>
    <w:uiPriority w:val="9"/>
    <w:qFormat/>
    <w:rsid w:val="00C60D3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0D3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D3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D3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60D3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60D3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60D3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60D3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60D3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0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D35"/>
    <w:rPr>
      <w:rFonts w:eastAsiaTheme="majorEastAsia" w:cstheme="majorBidi"/>
      <w:color w:val="272727" w:themeColor="text1" w:themeTint="D8"/>
    </w:rPr>
  </w:style>
  <w:style w:type="paragraph" w:styleId="Title">
    <w:name w:val="Title"/>
    <w:basedOn w:val="Normal"/>
    <w:next w:val="Normal"/>
    <w:link w:val="TitleChar"/>
    <w:uiPriority w:val="10"/>
    <w:qFormat/>
    <w:rsid w:val="00C60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D3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D3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60D35"/>
    <w:rPr>
      <w:i/>
      <w:iCs/>
      <w:color w:val="404040" w:themeColor="text1" w:themeTint="BF"/>
    </w:rPr>
  </w:style>
  <w:style w:type="paragraph" w:styleId="ListParagraph">
    <w:name w:val="List Paragraph"/>
    <w:basedOn w:val="Normal"/>
    <w:uiPriority w:val="34"/>
    <w:qFormat/>
    <w:rsid w:val="00C60D35"/>
    <w:pPr>
      <w:spacing w:line="278" w:lineRule="auto"/>
      <w:ind w:left="720"/>
      <w:contextualSpacing/>
    </w:pPr>
    <w:rPr>
      <w:sz w:val="24"/>
      <w:szCs w:val="24"/>
    </w:rPr>
  </w:style>
  <w:style w:type="character" w:styleId="IntenseEmphasis">
    <w:name w:val="Intense Emphasis"/>
    <w:basedOn w:val="DefaultParagraphFont"/>
    <w:uiPriority w:val="21"/>
    <w:qFormat/>
    <w:rsid w:val="00C60D35"/>
    <w:rPr>
      <w:i/>
      <w:iCs/>
      <w:color w:val="0F4761" w:themeColor="accent1" w:themeShade="BF"/>
    </w:rPr>
  </w:style>
  <w:style w:type="paragraph" w:styleId="IntenseQuote">
    <w:name w:val="Intense Quote"/>
    <w:basedOn w:val="Normal"/>
    <w:next w:val="Normal"/>
    <w:link w:val="IntenseQuoteChar"/>
    <w:uiPriority w:val="30"/>
    <w:qFormat/>
    <w:rsid w:val="00C60D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60D35"/>
    <w:rPr>
      <w:i/>
      <w:iCs/>
      <w:color w:val="0F4761" w:themeColor="accent1" w:themeShade="BF"/>
    </w:rPr>
  </w:style>
  <w:style w:type="character" w:styleId="IntenseReference">
    <w:name w:val="Intense Reference"/>
    <w:basedOn w:val="DefaultParagraphFont"/>
    <w:uiPriority w:val="32"/>
    <w:qFormat/>
    <w:rsid w:val="00C60D35"/>
    <w:rPr>
      <w:b/>
      <w:bCs/>
      <w:smallCaps/>
      <w:color w:val="0F4761" w:themeColor="accent1" w:themeShade="BF"/>
      <w:spacing w:val="5"/>
    </w:rPr>
  </w:style>
  <w:style w:type="paragraph" w:styleId="Bibliography">
    <w:name w:val="Bibliography"/>
    <w:basedOn w:val="Normal"/>
    <w:next w:val="Normal"/>
    <w:uiPriority w:val="37"/>
    <w:unhideWhenUsed/>
    <w:rsid w:val="00A47F0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3364</Characters>
  <Application>Microsoft Office Word</Application>
  <DocSecurity>0</DocSecurity>
  <Lines>61</Lines>
  <Paragraphs>28</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Bogatyr, V.G. (Vadim)</dc:creator>
  <cp:keywords/>
  <dc:description/>
  <cp:lastModifiedBy>Bogatyr, V.G. (Vadim)</cp:lastModifiedBy>
  <cp:revision>3</cp:revision>
  <dcterms:created xsi:type="dcterms:W3CDTF">2024-11-29T11:22:00Z</dcterms:created>
  <dcterms:modified xsi:type="dcterms:W3CDTF">2024-11-29T11:24:00Z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97604763-f137-4f72-8566-b2572f6f153c</vt:lpwstr>
  </property>
  <property fmtid="{D5CDD505-2E9C-101B-9397-08002B2CF9AE}" pid="3" name="ZOTERO_PREF_1">
    <vt:lpwstr>&lt;data data-version="3" zotero-version="7.0.10"&gt;&lt;session id="kskMlI0L"/&gt;&lt;style id="http://www.zotero.org/styles/cambridge-university-press-author-date" hasBibliography="1" bibliographyStyleHasBeenSet="1"/&gt;&lt;prefs&gt;&lt;pref name="fieldType" value="Field"/&gt;&lt;/pref</vt:lpwstr>
  </property>
  <property fmtid="{D5CDD505-2E9C-101B-9397-08002B2CF9AE}" pid="4" name="ZOTERO_PREF_2">
    <vt:lpwstr>s&gt;&lt;/data&gt;</vt:lpwstr>
  </property>
</Properties>
</file>