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1F31C" w14:textId="6CC3FE32" w:rsidR="00A61A1E" w:rsidRDefault="00A61A1E" w:rsidP="00A61A1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89"/>
        <w:gridCol w:w="1426"/>
        <w:gridCol w:w="2014"/>
        <w:gridCol w:w="1010"/>
        <w:gridCol w:w="1656"/>
        <w:gridCol w:w="1955"/>
      </w:tblGrid>
      <w:tr w:rsidR="00D0173E" w:rsidRPr="00E86C61" w14:paraId="2EE35709" w14:textId="77777777" w:rsidTr="00163F06">
        <w:tc>
          <w:tcPr>
            <w:tcW w:w="0" w:type="auto"/>
            <w:vMerge w:val="restart"/>
          </w:tcPr>
          <w:p w14:paraId="7C3E28F4" w14:textId="20F536F4" w:rsidR="00163F06" w:rsidRPr="00FD08D8" w:rsidRDefault="00163F06" w:rsidP="00A61A1E">
            <w:pPr>
              <w:rPr>
                <w:b/>
                <w:bCs/>
              </w:rPr>
            </w:pPr>
            <w:r w:rsidRPr="00FD08D8">
              <w:rPr>
                <w:b/>
                <w:bCs/>
              </w:rPr>
              <w:t>Species</w:t>
            </w:r>
          </w:p>
        </w:tc>
        <w:tc>
          <w:tcPr>
            <w:tcW w:w="0" w:type="auto"/>
            <w:gridSpan w:val="3"/>
          </w:tcPr>
          <w:p w14:paraId="77C1EFC0" w14:textId="65D7E1D9" w:rsidR="00163F06" w:rsidRPr="00FD08D8" w:rsidRDefault="00163F06" w:rsidP="00A61A1E">
            <w:pPr>
              <w:rPr>
                <w:b/>
                <w:bCs/>
              </w:rPr>
            </w:pPr>
            <w:r w:rsidRPr="00FD08D8">
              <w:rPr>
                <w:b/>
                <w:bCs/>
              </w:rPr>
              <w:t>Life-trait characteristics</w:t>
            </w:r>
          </w:p>
        </w:tc>
        <w:tc>
          <w:tcPr>
            <w:tcW w:w="0" w:type="auto"/>
            <w:vMerge w:val="restart"/>
          </w:tcPr>
          <w:p w14:paraId="661788D7" w14:textId="2D2FD486" w:rsidR="00163F06" w:rsidRPr="00FD08D8" w:rsidRDefault="00163F06" w:rsidP="00A61A1E">
            <w:pPr>
              <w:rPr>
                <w:b/>
                <w:bCs/>
              </w:rPr>
            </w:pPr>
            <w:r w:rsidRPr="00FD08D8">
              <w:rPr>
                <w:b/>
                <w:bCs/>
              </w:rPr>
              <w:t>Picture of bark</w:t>
            </w:r>
          </w:p>
        </w:tc>
        <w:tc>
          <w:tcPr>
            <w:tcW w:w="1955" w:type="dxa"/>
            <w:vMerge w:val="restart"/>
          </w:tcPr>
          <w:p w14:paraId="2FE9961E" w14:textId="1A67AC0A" w:rsidR="00163F06" w:rsidRPr="00FD08D8" w:rsidRDefault="00163F06" w:rsidP="00A61A1E">
            <w:pPr>
              <w:rPr>
                <w:b/>
                <w:bCs/>
              </w:rPr>
            </w:pPr>
            <w:r w:rsidRPr="00FD08D8">
              <w:rPr>
                <w:b/>
                <w:bCs/>
              </w:rPr>
              <w:t>Estimation of bark thickness (cm)</w:t>
            </w:r>
          </w:p>
        </w:tc>
      </w:tr>
      <w:tr w:rsidR="00D0173E" w:rsidRPr="00E86C61" w14:paraId="0F5AC236" w14:textId="77777777" w:rsidTr="00163F06">
        <w:tc>
          <w:tcPr>
            <w:tcW w:w="0" w:type="auto"/>
            <w:vMerge/>
          </w:tcPr>
          <w:p w14:paraId="00267CC6" w14:textId="77777777" w:rsidR="00124D68" w:rsidRPr="00FD08D8" w:rsidRDefault="00124D68" w:rsidP="00A61A1E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14:paraId="5F8D7991" w14:textId="2B7B7BB2" w:rsidR="00124D68" w:rsidRPr="00FD08D8" w:rsidRDefault="00124D68" w:rsidP="00A61A1E">
            <w:pPr>
              <w:rPr>
                <w:b/>
                <w:bCs/>
              </w:rPr>
            </w:pPr>
            <w:r w:rsidRPr="00FD08D8">
              <w:rPr>
                <w:b/>
                <w:bCs/>
              </w:rPr>
              <w:t>Group</w:t>
            </w:r>
          </w:p>
        </w:tc>
        <w:tc>
          <w:tcPr>
            <w:tcW w:w="0" w:type="auto"/>
          </w:tcPr>
          <w:p w14:paraId="517D8E03" w14:textId="6D530930" w:rsidR="00124D68" w:rsidRPr="00FD08D8" w:rsidRDefault="00124D68" w:rsidP="00A61A1E">
            <w:pPr>
              <w:rPr>
                <w:b/>
                <w:bCs/>
              </w:rPr>
            </w:pPr>
            <w:r w:rsidRPr="00FD08D8">
              <w:rPr>
                <w:b/>
                <w:bCs/>
              </w:rPr>
              <w:t>Tree-ring structure</w:t>
            </w:r>
          </w:p>
        </w:tc>
        <w:tc>
          <w:tcPr>
            <w:tcW w:w="0" w:type="auto"/>
          </w:tcPr>
          <w:p w14:paraId="58BDE540" w14:textId="0FD5E613" w:rsidR="00124D68" w:rsidRPr="00FD08D8" w:rsidRDefault="00124D68" w:rsidP="00A61A1E">
            <w:pPr>
              <w:rPr>
                <w:b/>
                <w:bCs/>
              </w:rPr>
            </w:pPr>
            <w:r w:rsidRPr="00FD08D8">
              <w:rPr>
                <w:b/>
                <w:bCs/>
              </w:rPr>
              <w:t>Bark type</w:t>
            </w:r>
          </w:p>
        </w:tc>
        <w:tc>
          <w:tcPr>
            <w:tcW w:w="0" w:type="auto"/>
            <w:vMerge/>
          </w:tcPr>
          <w:p w14:paraId="0810B221" w14:textId="77777777" w:rsidR="00124D68" w:rsidRPr="00FD08D8" w:rsidRDefault="00124D68" w:rsidP="00A61A1E">
            <w:pPr>
              <w:rPr>
                <w:b/>
                <w:bCs/>
              </w:rPr>
            </w:pPr>
          </w:p>
        </w:tc>
        <w:tc>
          <w:tcPr>
            <w:tcW w:w="1955" w:type="dxa"/>
            <w:vMerge/>
          </w:tcPr>
          <w:p w14:paraId="038E425B" w14:textId="77777777" w:rsidR="00124D68" w:rsidRPr="00FD08D8" w:rsidRDefault="00124D68" w:rsidP="00A61A1E">
            <w:pPr>
              <w:rPr>
                <w:b/>
                <w:bCs/>
              </w:rPr>
            </w:pPr>
          </w:p>
        </w:tc>
      </w:tr>
      <w:tr w:rsidR="00D0173E" w14:paraId="244DE8AE" w14:textId="77777777" w:rsidTr="00163F06">
        <w:tc>
          <w:tcPr>
            <w:tcW w:w="0" w:type="auto"/>
          </w:tcPr>
          <w:p w14:paraId="6BE26970" w14:textId="10E26A1E" w:rsidR="00124D68" w:rsidRPr="00FD08D8" w:rsidRDefault="00124D68" w:rsidP="00A61A1E">
            <w:pPr>
              <w:rPr>
                <w:i/>
                <w:iCs/>
              </w:rPr>
            </w:pPr>
            <w:r w:rsidRPr="00FD08D8">
              <w:rPr>
                <w:i/>
                <w:iCs/>
              </w:rPr>
              <w:t>Abies alba</w:t>
            </w:r>
          </w:p>
        </w:tc>
        <w:tc>
          <w:tcPr>
            <w:tcW w:w="0" w:type="auto"/>
          </w:tcPr>
          <w:p w14:paraId="67F3ED70" w14:textId="184153FB" w:rsidR="00124D68" w:rsidRDefault="00124D68" w:rsidP="00A61A1E">
            <w:r>
              <w:t>Gymnosperm</w:t>
            </w:r>
          </w:p>
        </w:tc>
        <w:tc>
          <w:tcPr>
            <w:tcW w:w="0" w:type="auto"/>
          </w:tcPr>
          <w:p w14:paraId="13E8D65B" w14:textId="6CABDDE2" w:rsidR="00124D68" w:rsidRDefault="00124D68" w:rsidP="00A61A1E">
            <w:r>
              <w:t xml:space="preserve">Non-porous </w:t>
            </w:r>
            <w:r w:rsidR="00163F06">
              <w:t>homogeneous</w:t>
            </w:r>
          </w:p>
        </w:tc>
        <w:tc>
          <w:tcPr>
            <w:tcW w:w="0" w:type="auto"/>
          </w:tcPr>
          <w:p w14:paraId="66740D6A" w14:textId="2EAEE5E9" w:rsidR="00124D68" w:rsidRDefault="00163F06" w:rsidP="00A61A1E">
            <w:r>
              <w:t>Scaly</w:t>
            </w:r>
          </w:p>
        </w:tc>
        <w:tc>
          <w:tcPr>
            <w:tcW w:w="0" w:type="auto"/>
          </w:tcPr>
          <w:p w14:paraId="0D3389BB" w14:textId="1308AE51" w:rsidR="00124D68" w:rsidRDefault="00124D68" w:rsidP="00A61A1E">
            <w:r w:rsidRPr="00124D68">
              <w:rPr>
                <w:noProof/>
              </w:rPr>
              <w:drawing>
                <wp:inline distT="0" distB="0" distL="0" distR="0" wp14:anchorId="10215224" wp14:editId="720DAD85">
                  <wp:extent cx="914400" cy="613039"/>
                  <wp:effectExtent l="0" t="0" r="0" b="0"/>
                  <wp:docPr id="63799031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14:paraId="0D3785D5" w14:textId="3CDFEB99" w:rsidR="00124D68" w:rsidRDefault="00163F06" w:rsidP="00A61A1E">
            <w:r>
              <w:t xml:space="preserve">0.70 </w:t>
            </w:r>
            <w:r>
              <w:rPr>
                <w:rFonts w:cstheme="minorHAnsi"/>
              </w:rPr>
              <w:t>±</w:t>
            </w:r>
            <w:r>
              <w:t xml:space="preserve"> 0.06</w:t>
            </w:r>
          </w:p>
        </w:tc>
      </w:tr>
      <w:tr w:rsidR="00D0173E" w14:paraId="7ED83A0E" w14:textId="77777777" w:rsidTr="00163F06">
        <w:tc>
          <w:tcPr>
            <w:tcW w:w="0" w:type="auto"/>
          </w:tcPr>
          <w:p w14:paraId="314C457E" w14:textId="6DF694D2" w:rsidR="00124D68" w:rsidRPr="00FD08D8" w:rsidRDefault="00124D68" w:rsidP="00124D68">
            <w:pPr>
              <w:rPr>
                <w:i/>
                <w:iCs/>
              </w:rPr>
            </w:pPr>
            <w:r w:rsidRPr="00FD08D8">
              <w:rPr>
                <w:i/>
                <w:iCs/>
              </w:rPr>
              <w:t>Picea abies</w:t>
            </w:r>
          </w:p>
        </w:tc>
        <w:tc>
          <w:tcPr>
            <w:tcW w:w="0" w:type="auto"/>
          </w:tcPr>
          <w:p w14:paraId="5612BFB9" w14:textId="4E5E55CE" w:rsidR="00124D68" w:rsidRDefault="00124D68" w:rsidP="00124D68">
            <w:r>
              <w:t>Gymnosperm</w:t>
            </w:r>
          </w:p>
        </w:tc>
        <w:tc>
          <w:tcPr>
            <w:tcW w:w="0" w:type="auto"/>
          </w:tcPr>
          <w:p w14:paraId="28520AF4" w14:textId="08FE77D6" w:rsidR="00124D68" w:rsidRDefault="00163F06" w:rsidP="00124D68">
            <w:r>
              <w:t>Non-porous homogeneous</w:t>
            </w:r>
          </w:p>
        </w:tc>
        <w:tc>
          <w:tcPr>
            <w:tcW w:w="0" w:type="auto"/>
          </w:tcPr>
          <w:p w14:paraId="6E7AF7F2" w14:textId="1386011B" w:rsidR="00124D68" w:rsidRDefault="00163F06" w:rsidP="00124D68">
            <w:r>
              <w:t>Scaly</w:t>
            </w:r>
          </w:p>
        </w:tc>
        <w:tc>
          <w:tcPr>
            <w:tcW w:w="0" w:type="auto"/>
          </w:tcPr>
          <w:p w14:paraId="7E86FFCA" w14:textId="74CE794E" w:rsidR="00124D68" w:rsidRDefault="00124D68" w:rsidP="00124D68">
            <w:r w:rsidRPr="00124D68">
              <w:rPr>
                <w:noProof/>
              </w:rPr>
              <w:drawing>
                <wp:inline distT="0" distB="0" distL="0" distR="0" wp14:anchorId="65A04310" wp14:editId="551089F8">
                  <wp:extent cx="914400" cy="610313"/>
                  <wp:effectExtent l="0" t="0" r="0" b="0"/>
                  <wp:docPr id="208260178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14:paraId="1C0FD269" w14:textId="35B89B5B" w:rsidR="00124D68" w:rsidRDefault="00163F06" w:rsidP="00124D68">
            <w:r>
              <w:t xml:space="preserve">0.61 </w:t>
            </w:r>
            <w:r>
              <w:rPr>
                <w:rFonts w:cstheme="minorHAnsi"/>
              </w:rPr>
              <w:t>± 0.07</w:t>
            </w:r>
          </w:p>
        </w:tc>
      </w:tr>
      <w:tr w:rsidR="00D0173E" w14:paraId="06C22A17" w14:textId="77777777" w:rsidTr="00163F06">
        <w:tc>
          <w:tcPr>
            <w:tcW w:w="0" w:type="auto"/>
          </w:tcPr>
          <w:p w14:paraId="118B58E3" w14:textId="78573E1C" w:rsidR="00124D68" w:rsidRPr="00FD08D8" w:rsidRDefault="00124D68" w:rsidP="00124D68">
            <w:pPr>
              <w:rPr>
                <w:i/>
                <w:iCs/>
              </w:rPr>
            </w:pPr>
            <w:r w:rsidRPr="00FD08D8">
              <w:rPr>
                <w:i/>
                <w:iCs/>
              </w:rPr>
              <w:t>Pinus sylvestris</w:t>
            </w:r>
          </w:p>
        </w:tc>
        <w:tc>
          <w:tcPr>
            <w:tcW w:w="0" w:type="auto"/>
          </w:tcPr>
          <w:p w14:paraId="29DDA467" w14:textId="347EDB77" w:rsidR="00124D68" w:rsidRDefault="00124D68" w:rsidP="00124D68">
            <w:r>
              <w:t>Gymnosperm</w:t>
            </w:r>
          </w:p>
        </w:tc>
        <w:tc>
          <w:tcPr>
            <w:tcW w:w="0" w:type="auto"/>
          </w:tcPr>
          <w:p w14:paraId="36F8D624" w14:textId="1B1B0E2A" w:rsidR="00124D68" w:rsidRDefault="00163F06" w:rsidP="00124D68">
            <w:r>
              <w:t>Non-porous heterogeneous</w:t>
            </w:r>
          </w:p>
        </w:tc>
        <w:tc>
          <w:tcPr>
            <w:tcW w:w="0" w:type="auto"/>
          </w:tcPr>
          <w:p w14:paraId="033BEAF0" w14:textId="40630B62" w:rsidR="00124D68" w:rsidRDefault="00163F06" w:rsidP="00124D68">
            <w:r>
              <w:t>Fissured</w:t>
            </w:r>
          </w:p>
        </w:tc>
        <w:tc>
          <w:tcPr>
            <w:tcW w:w="0" w:type="auto"/>
          </w:tcPr>
          <w:p w14:paraId="2CB0B415" w14:textId="075F7E21" w:rsidR="00124D68" w:rsidRDefault="00124D68" w:rsidP="00124D68">
            <w:r w:rsidRPr="00124D68">
              <w:rPr>
                <w:noProof/>
              </w:rPr>
              <w:drawing>
                <wp:inline distT="0" distB="0" distL="0" distR="0" wp14:anchorId="41735C10" wp14:editId="4526BF23">
                  <wp:extent cx="914400" cy="610313"/>
                  <wp:effectExtent l="0" t="0" r="0" b="0"/>
                  <wp:docPr id="174711039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14:paraId="11F95AA2" w14:textId="5A9B3E87" w:rsidR="00124D68" w:rsidRDefault="00163F06" w:rsidP="00124D68">
            <w:r>
              <w:t xml:space="preserve">0.81 </w:t>
            </w:r>
            <w:r>
              <w:rPr>
                <w:rFonts w:cstheme="minorHAnsi"/>
              </w:rPr>
              <w:t>± 0.08</w:t>
            </w:r>
          </w:p>
        </w:tc>
      </w:tr>
      <w:tr w:rsidR="00D0173E" w14:paraId="2010159C" w14:textId="77777777" w:rsidTr="00163F06">
        <w:tc>
          <w:tcPr>
            <w:tcW w:w="0" w:type="auto"/>
          </w:tcPr>
          <w:p w14:paraId="4E98E74A" w14:textId="40632832" w:rsidR="00124D68" w:rsidRPr="00FD08D8" w:rsidRDefault="00124D68" w:rsidP="00124D68">
            <w:pPr>
              <w:rPr>
                <w:i/>
                <w:iCs/>
              </w:rPr>
            </w:pPr>
            <w:r w:rsidRPr="00FD08D8">
              <w:rPr>
                <w:i/>
                <w:iCs/>
              </w:rPr>
              <w:t>Larix decidua</w:t>
            </w:r>
          </w:p>
        </w:tc>
        <w:tc>
          <w:tcPr>
            <w:tcW w:w="0" w:type="auto"/>
          </w:tcPr>
          <w:p w14:paraId="5AEDF173" w14:textId="15FFA516" w:rsidR="00124D68" w:rsidRDefault="00124D68" w:rsidP="00124D68">
            <w:r>
              <w:t>Gymnosperm</w:t>
            </w:r>
          </w:p>
        </w:tc>
        <w:tc>
          <w:tcPr>
            <w:tcW w:w="0" w:type="auto"/>
          </w:tcPr>
          <w:p w14:paraId="7554B45F" w14:textId="3BEB37A1" w:rsidR="00124D68" w:rsidRDefault="00163F06" w:rsidP="00124D68">
            <w:r>
              <w:t>Non-porous heterogeneous</w:t>
            </w:r>
          </w:p>
        </w:tc>
        <w:tc>
          <w:tcPr>
            <w:tcW w:w="0" w:type="auto"/>
          </w:tcPr>
          <w:p w14:paraId="4D989A6B" w14:textId="7BC33989" w:rsidR="00124D68" w:rsidRDefault="00163F06" w:rsidP="00124D68">
            <w:r>
              <w:t>Fissured</w:t>
            </w:r>
          </w:p>
        </w:tc>
        <w:tc>
          <w:tcPr>
            <w:tcW w:w="0" w:type="auto"/>
          </w:tcPr>
          <w:p w14:paraId="7268E916" w14:textId="3E3F3FD2" w:rsidR="00124D68" w:rsidRDefault="00124D68" w:rsidP="00124D68">
            <w:r w:rsidRPr="00124D68">
              <w:rPr>
                <w:noProof/>
              </w:rPr>
              <w:drawing>
                <wp:inline distT="0" distB="0" distL="0" distR="0" wp14:anchorId="3D029F3F" wp14:editId="664B5506">
                  <wp:extent cx="914400" cy="518360"/>
                  <wp:effectExtent l="0" t="0" r="0" b="0"/>
                  <wp:docPr id="53909737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14:paraId="3DC2F89D" w14:textId="50667C2D" w:rsidR="00124D68" w:rsidRDefault="00163F06" w:rsidP="00124D68">
            <w:r>
              <w:t xml:space="preserve">0.72 </w:t>
            </w:r>
            <w:r>
              <w:rPr>
                <w:rFonts w:cstheme="minorHAnsi"/>
              </w:rPr>
              <w:t>± 0.08</w:t>
            </w:r>
          </w:p>
        </w:tc>
      </w:tr>
      <w:tr w:rsidR="00D0173E" w14:paraId="388EEE33" w14:textId="77777777" w:rsidTr="00163F06">
        <w:tc>
          <w:tcPr>
            <w:tcW w:w="0" w:type="auto"/>
          </w:tcPr>
          <w:p w14:paraId="5A196566" w14:textId="574A828E" w:rsidR="00124D68" w:rsidRPr="00FD08D8" w:rsidRDefault="00124D68" w:rsidP="00124D68">
            <w:pPr>
              <w:rPr>
                <w:i/>
                <w:iCs/>
              </w:rPr>
            </w:pPr>
            <w:r w:rsidRPr="00FD08D8">
              <w:rPr>
                <w:i/>
                <w:iCs/>
              </w:rPr>
              <w:t>Fagus sylvatica</w:t>
            </w:r>
          </w:p>
        </w:tc>
        <w:tc>
          <w:tcPr>
            <w:tcW w:w="0" w:type="auto"/>
          </w:tcPr>
          <w:p w14:paraId="1B53E0EF" w14:textId="199D269C" w:rsidR="00124D68" w:rsidRDefault="00124D68" w:rsidP="00124D68">
            <w:r>
              <w:t>Angiosperm</w:t>
            </w:r>
          </w:p>
        </w:tc>
        <w:tc>
          <w:tcPr>
            <w:tcW w:w="0" w:type="auto"/>
          </w:tcPr>
          <w:p w14:paraId="7BE8F35B" w14:textId="2158782A" w:rsidR="00124D68" w:rsidRDefault="00163F06" w:rsidP="00124D68">
            <w:r>
              <w:t>Diffuse-porous</w:t>
            </w:r>
          </w:p>
        </w:tc>
        <w:tc>
          <w:tcPr>
            <w:tcW w:w="0" w:type="auto"/>
          </w:tcPr>
          <w:p w14:paraId="32CCF5A7" w14:textId="73F6D047" w:rsidR="00124D68" w:rsidRDefault="00163F06" w:rsidP="00124D68">
            <w:r>
              <w:t>Smooth</w:t>
            </w:r>
          </w:p>
        </w:tc>
        <w:tc>
          <w:tcPr>
            <w:tcW w:w="0" w:type="auto"/>
          </w:tcPr>
          <w:p w14:paraId="7BF8CA6D" w14:textId="750B2F76" w:rsidR="00124D68" w:rsidRPr="00124D68" w:rsidRDefault="00124D68" w:rsidP="00124D68">
            <w:pPr>
              <w:rPr>
                <w:noProof/>
              </w:rPr>
            </w:pPr>
            <w:r w:rsidRPr="00124D68">
              <w:rPr>
                <w:noProof/>
              </w:rPr>
              <w:drawing>
                <wp:inline distT="0" distB="0" distL="0" distR="0" wp14:anchorId="2ABE8E87" wp14:editId="7E0E7FBF">
                  <wp:extent cx="914400" cy="610313"/>
                  <wp:effectExtent l="0" t="0" r="0" b="0"/>
                  <wp:docPr id="26309784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14:paraId="127AB1BC" w14:textId="135831D7" w:rsidR="00124D68" w:rsidRDefault="00163F06" w:rsidP="00124D68">
            <w:r>
              <w:t xml:space="preserve">0.26 </w:t>
            </w:r>
            <w:r>
              <w:rPr>
                <w:rFonts w:cstheme="minorHAnsi"/>
              </w:rPr>
              <w:t>± 0.01</w:t>
            </w:r>
          </w:p>
        </w:tc>
      </w:tr>
      <w:tr w:rsidR="00D0173E" w14:paraId="751BB857" w14:textId="77777777" w:rsidTr="00163F06">
        <w:tc>
          <w:tcPr>
            <w:tcW w:w="0" w:type="auto"/>
          </w:tcPr>
          <w:p w14:paraId="2FDF507E" w14:textId="46354D9C" w:rsidR="00124D68" w:rsidRPr="00FD08D8" w:rsidRDefault="00124D68" w:rsidP="00124D68">
            <w:pPr>
              <w:rPr>
                <w:i/>
                <w:iCs/>
              </w:rPr>
            </w:pPr>
            <w:r w:rsidRPr="00FD08D8">
              <w:rPr>
                <w:i/>
                <w:iCs/>
              </w:rPr>
              <w:t>Quercus petraea</w:t>
            </w:r>
          </w:p>
        </w:tc>
        <w:tc>
          <w:tcPr>
            <w:tcW w:w="0" w:type="auto"/>
          </w:tcPr>
          <w:p w14:paraId="251FB91B" w14:textId="170CAA85" w:rsidR="00124D68" w:rsidRDefault="00124D68" w:rsidP="00124D68">
            <w:r>
              <w:t>Angiosperm</w:t>
            </w:r>
          </w:p>
        </w:tc>
        <w:tc>
          <w:tcPr>
            <w:tcW w:w="0" w:type="auto"/>
          </w:tcPr>
          <w:p w14:paraId="4D0D17A6" w14:textId="6FD1DB6D" w:rsidR="00124D68" w:rsidRDefault="00163F06" w:rsidP="00124D68">
            <w:r>
              <w:t>Ring-porous</w:t>
            </w:r>
          </w:p>
        </w:tc>
        <w:tc>
          <w:tcPr>
            <w:tcW w:w="0" w:type="auto"/>
          </w:tcPr>
          <w:p w14:paraId="0A512927" w14:textId="7AD6F184" w:rsidR="00124D68" w:rsidRDefault="00163F06" w:rsidP="00124D68">
            <w:r>
              <w:t>Fissured</w:t>
            </w:r>
          </w:p>
        </w:tc>
        <w:tc>
          <w:tcPr>
            <w:tcW w:w="0" w:type="auto"/>
          </w:tcPr>
          <w:p w14:paraId="66A47B95" w14:textId="5F77B03A" w:rsidR="00124D68" w:rsidRPr="00124D68" w:rsidRDefault="00124D68" w:rsidP="00124D68">
            <w:pPr>
              <w:rPr>
                <w:noProof/>
              </w:rPr>
            </w:pPr>
            <w:r w:rsidRPr="00124D68">
              <w:rPr>
                <w:noProof/>
              </w:rPr>
              <w:drawing>
                <wp:inline distT="0" distB="0" distL="0" distR="0" wp14:anchorId="19FDE703" wp14:editId="2AC6010C">
                  <wp:extent cx="914400" cy="595812"/>
                  <wp:effectExtent l="0" t="0" r="0" b="0"/>
                  <wp:docPr id="200610568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14:paraId="4F25E8BB" w14:textId="4FC11156" w:rsidR="00124D68" w:rsidRDefault="00163F06" w:rsidP="00124D68">
            <w:r>
              <w:t xml:space="preserve">0.96 </w:t>
            </w:r>
            <w:r>
              <w:rPr>
                <w:rFonts w:cstheme="minorHAnsi"/>
              </w:rPr>
              <w:t>± 0.09</w:t>
            </w:r>
          </w:p>
        </w:tc>
      </w:tr>
    </w:tbl>
    <w:p w14:paraId="20E1B04D" w14:textId="77777777" w:rsidR="00124D68" w:rsidRDefault="00124D68" w:rsidP="00A61A1E"/>
    <w:p w14:paraId="74EF0187" w14:textId="1AB51095" w:rsidR="00403858" w:rsidRDefault="00403858" w:rsidP="00403858">
      <w:pPr>
        <w:pStyle w:val="Lgende"/>
        <w:keepNext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bookmarkStart w:id="0" w:name="_Hlk193973804"/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Table S</w:t>
      </w:r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instrText xml:space="preserve"> SEQ Supplementary_Table_S \* ARABIC </w:instrText>
      </w:r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Pr="00403858">
        <w:rPr>
          <w:rFonts w:asciiTheme="majorHAnsi" w:hAnsiTheme="majorHAnsi" w:cstheme="majorHAnsi"/>
          <w:b/>
          <w:bCs/>
          <w:i w:val="0"/>
          <w:iCs w:val="0"/>
          <w:noProof/>
          <w:color w:val="000000" w:themeColor="text1"/>
          <w:sz w:val="20"/>
          <w:szCs w:val="20"/>
        </w:rPr>
        <w:t>1</w:t>
      </w:r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bookmarkEnd w:id="0"/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Life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-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trait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characteristics 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of the studied species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along with illustration of the bark and estimation of bark thickness</w:t>
      </w:r>
      <w:r w:rsidR="007D418C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(mean ± standard deviation)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.</w:t>
      </w:r>
    </w:p>
    <w:p w14:paraId="5A4684D1" w14:textId="77777777" w:rsidR="000B6893" w:rsidRPr="000B6893" w:rsidRDefault="000B6893" w:rsidP="000B6893"/>
    <w:p w14:paraId="5665F8DF" w14:textId="602E01B7" w:rsidR="00A61A1E" w:rsidRDefault="00233085">
      <w:r>
        <w:rPr>
          <w:noProof/>
        </w:rPr>
        <w:drawing>
          <wp:inline distT="0" distB="0" distL="0" distR="0" wp14:anchorId="4E0A81D5" wp14:editId="3C42422D">
            <wp:extent cx="3733800" cy="1247775"/>
            <wp:effectExtent l="0" t="0" r="0" b="9525"/>
            <wp:docPr id="1767628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65DA7" w14:textId="7D70870B" w:rsidR="00403858" w:rsidRDefault="00403858" w:rsidP="00403858">
      <w:pPr>
        <w:pStyle w:val="Lgende"/>
        <w:keepNext/>
        <w:ind w:right="810"/>
        <w:jc w:val="both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bookmarkStart w:id="1" w:name="_Hlk193973852"/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Table S</w:t>
      </w:r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instrText xml:space="preserve"> SEQ Supplementary_Table_S \* ARABIC </w:instrText>
      </w:r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Pr="00403858">
        <w:rPr>
          <w:rFonts w:asciiTheme="majorHAnsi" w:hAnsiTheme="majorHAnsi" w:cstheme="majorHAnsi"/>
          <w:b/>
          <w:bCs/>
          <w:i w:val="0"/>
          <w:iCs w:val="0"/>
          <w:noProof/>
          <w:color w:val="000000" w:themeColor="text1"/>
          <w:sz w:val="20"/>
          <w:szCs w:val="20"/>
        </w:rPr>
        <w:t>2</w:t>
      </w:r>
      <w:r w:rsidRPr="0040385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. </w:t>
      </w:r>
      <w:bookmarkEnd w:id="1"/>
      <w:r w:rsidR="00EB705C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Mean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(</w:t>
      </w:r>
      <w:r w:rsidR="00233085" w:rsidRPr="00233085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±</w:t>
      </w:r>
      <w:r w:rsidR="0008346A"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standard deviation) by species of the height</w:t>
      </w:r>
      <w:r w:rsidR="007D418C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(H)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, diameter</w:t>
      </w:r>
      <w:r w:rsidR="0008346A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at breast height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7D418C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(DBH) 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and age of the studied trees, as well as their </w:t>
      </w:r>
      <w:r w:rsidR="0008346A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total 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number</w:t>
      </w:r>
      <w:r w:rsidR="007D418C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(n)</w:t>
      </w:r>
      <w:r w:rsidRPr="00403858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.</w:t>
      </w:r>
    </w:p>
    <w:p w14:paraId="3C5CEBD4" w14:textId="77777777" w:rsidR="007805A9" w:rsidRDefault="007805A9" w:rsidP="007805A9"/>
    <w:p w14:paraId="0C8F15B6" w14:textId="2B22809A" w:rsidR="00311F4C" w:rsidRDefault="00311F4C" w:rsidP="00311F4C">
      <w:pPr>
        <w:keepNext/>
      </w:pPr>
    </w:p>
    <w:p w14:paraId="65595BA0" w14:textId="191D390F" w:rsidR="005A32A1" w:rsidRDefault="005A32A1" w:rsidP="00311F4C">
      <w:pPr>
        <w:keepNext/>
      </w:pPr>
      <w:r>
        <w:rPr>
          <w:noProof/>
        </w:rPr>
        <w:drawing>
          <wp:inline distT="0" distB="0" distL="0" distR="0" wp14:anchorId="47DCCFA0" wp14:editId="5BA7B205">
            <wp:extent cx="5942949" cy="5034614"/>
            <wp:effectExtent l="0" t="0" r="1270" b="0"/>
            <wp:docPr id="12522777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5" b="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09EA3" w14:textId="37181153" w:rsidR="00311F4C" w:rsidRPr="00513F79" w:rsidRDefault="00311F4C" w:rsidP="00311F4C">
      <w:pPr>
        <w:pStyle w:val="Lgende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513F79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r w:rsidR="000B6893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3</w:t>
      </w:r>
      <w:r w:rsidRPr="00513F79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Five-parameter logistic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growth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curve fittings of the weekly band dendrometer </w:t>
      </w:r>
      <w:r w:rsidR="00435DC5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measurements</w:t>
      </w:r>
      <w:r w:rsidR="00435DC5"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for silver fir (</w:t>
      </w:r>
      <w:r w:rsidRPr="00513F79">
        <w:rPr>
          <w:rFonts w:asciiTheme="majorHAnsi" w:hAnsiTheme="majorHAnsi" w:cstheme="majorHAnsi"/>
          <w:color w:val="000000" w:themeColor="text1"/>
          <w:sz w:val="20"/>
          <w:szCs w:val="20"/>
        </w:rPr>
        <w:t>Abies alba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 trees. Stem diameter variation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are presented in y-axis and month of year in x-axis. Sample identity (SITE code – YEAR code – TREE ID code) and goodness-of-fit (RMSE) are written on the left top corner of each plot. Green and red solid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the </w:t>
      </w:r>
      <w:r w:rsidR="00435DC5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dates of the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beginning and end of wood growth based on microcore approach, while green and red dotted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the beginning and end of stem growth based on dendrometer approach.</w:t>
      </w:r>
    </w:p>
    <w:p w14:paraId="1212C3E9" w14:textId="05D1B5B1" w:rsidR="00311F4C" w:rsidRDefault="00311F4C" w:rsidP="00311F4C"/>
    <w:p w14:paraId="33A94FC2" w14:textId="7534B937" w:rsidR="005A32A1" w:rsidRDefault="005A32A1" w:rsidP="00311F4C">
      <w:r>
        <w:rPr>
          <w:noProof/>
        </w:rPr>
        <w:lastRenderedPageBreak/>
        <w:drawing>
          <wp:inline distT="0" distB="0" distL="0" distR="0" wp14:anchorId="5BF871D5" wp14:editId="49E70625">
            <wp:extent cx="5943600" cy="5943600"/>
            <wp:effectExtent l="0" t="0" r="0" b="0"/>
            <wp:docPr id="11811159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27C4F" w14:textId="2A8FA37E" w:rsidR="00311F4C" w:rsidRPr="00513F79" w:rsidRDefault="00311F4C" w:rsidP="00311F4C">
      <w:pPr>
        <w:pStyle w:val="Lgende"/>
        <w:jc w:val="both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513F79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r w:rsidR="000B6893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4</w:t>
      </w:r>
      <w:r w:rsidRPr="00513F79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Five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-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parameter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logistic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growth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curve fitting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weekly band dendrometer </w:t>
      </w:r>
      <w:r w:rsidR="00435DC5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measurements</w:t>
      </w:r>
      <w:r w:rsidR="00435DC5"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of sampled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larch (</w:t>
      </w:r>
      <w:r w:rsidRPr="00513F79">
        <w:rPr>
          <w:rFonts w:asciiTheme="majorHAnsi" w:hAnsiTheme="majorHAnsi" w:cstheme="majorHAnsi"/>
          <w:color w:val="000000" w:themeColor="text1"/>
          <w:sz w:val="20"/>
          <w:szCs w:val="20"/>
        </w:rPr>
        <w:t>Larix decidua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trees. Stem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diameter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variation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are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presented in y-axis and month of year in x-axis. Sample identity (SITE code – ELEVATION code – TREE ID code) and goodness-of-fit (RMSE) is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written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on the left top corner of each plot. Green and red solid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the </w:t>
      </w:r>
      <w:r w:rsidR="00435DC5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dates of the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wood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microcore approach, while green and red dotted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the 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stem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dendrometer approach.</w:t>
      </w:r>
    </w:p>
    <w:p w14:paraId="1597EB85" w14:textId="3211638E" w:rsidR="00311F4C" w:rsidRDefault="005A32A1" w:rsidP="00311F4C">
      <w:r>
        <w:rPr>
          <w:noProof/>
        </w:rPr>
        <w:lastRenderedPageBreak/>
        <w:drawing>
          <wp:inline distT="0" distB="0" distL="0" distR="0" wp14:anchorId="6916A6CD" wp14:editId="7E4A5365">
            <wp:extent cx="5943312" cy="5052996"/>
            <wp:effectExtent l="0" t="0" r="635" b="0"/>
            <wp:docPr id="4862532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1" b="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31AB9" w14:textId="24781B79" w:rsidR="00311F4C" w:rsidRPr="00782BEF" w:rsidRDefault="00311F4C" w:rsidP="00311F4C">
      <w:pPr>
        <w:pStyle w:val="Lgende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782BEF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r w:rsidR="000B6893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5</w:t>
      </w:r>
      <w:r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Five-parameter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logistic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growth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curve fitting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of weekly band dendrometer </w:t>
      </w:r>
      <w:r w:rsidR="008B6A6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measurements</w:t>
      </w:r>
      <w:r w:rsidR="008B6A66"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of sampled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Norway spruce (</w:t>
      </w:r>
      <w:r w:rsidRPr="00782BEF">
        <w:rPr>
          <w:rFonts w:asciiTheme="majorHAnsi" w:hAnsiTheme="majorHAnsi" w:cstheme="majorHAnsi"/>
          <w:color w:val="000000" w:themeColor="text1"/>
          <w:sz w:val="20"/>
          <w:szCs w:val="20"/>
        </w:rPr>
        <w:t>Picea abies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trees.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Stem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diameter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variation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are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presented in y-axis and month of year in x-axis. Sample identity (SITE code – ELEVATION code – TREE ID code) and goodness-of-fit (RMSE) is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written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on the left top corner of each plot. Green and red solid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</w:t>
      </w:r>
      <w:r w:rsidR="008B6A6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dates of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wood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microcore approach, while green and red dotted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the 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stem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dendrometer approach.</w:t>
      </w:r>
    </w:p>
    <w:p w14:paraId="4394D0AC" w14:textId="77777777" w:rsidR="00311F4C" w:rsidRDefault="00311F4C" w:rsidP="00311F4C"/>
    <w:p w14:paraId="3F16296F" w14:textId="15F6CC91" w:rsidR="00311F4C" w:rsidRDefault="00311F4C" w:rsidP="00311F4C"/>
    <w:p w14:paraId="7DEFDB21" w14:textId="782EE477" w:rsidR="005A32A1" w:rsidRDefault="005A32A1" w:rsidP="00311F4C">
      <w:r>
        <w:rPr>
          <w:noProof/>
        </w:rPr>
        <w:lastRenderedPageBreak/>
        <w:drawing>
          <wp:inline distT="0" distB="0" distL="0" distR="0" wp14:anchorId="634D2047" wp14:editId="1E5A0962">
            <wp:extent cx="5943564" cy="4993072"/>
            <wp:effectExtent l="0" t="0" r="635" b="0"/>
            <wp:docPr id="17890238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7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04C1C" w14:textId="3DDD4DCC" w:rsidR="00311F4C" w:rsidRPr="00782BEF" w:rsidRDefault="00311F4C" w:rsidP="00311F4C">
      <w:pPr>
        <w:pStyle w:val="Lgende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782BEF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r w:rsidR="000B6893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6</w:t>
      </w:r>
      <w:r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Five-parameter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logistic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growth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curve fitting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of weekly band dendrometer </w:t>
      </w:r>
      <w:r w:rsidR="008B6A6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measurements</w:t>
      </w:r>
      <w:r w:rsidR="008B6A66"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of sampled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Scots pine (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>Pinus sylvestris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trees.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Stem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diameter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variation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are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presented in y-axis and month of year in x-axis. Sample identity (SITE code – ELEVATION code – TREE ID code) and goodness-of-fit (RMSE) is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written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on the left top corner of each plot. Green and red solid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</w:t>
      </w:r>
      <w:r w:rsidR="008B6A6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dates of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wood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microcore approach, while green and red dotted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the 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stem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dendrometer approach.</w:t>
      </w:r>
    </w:p>
    <w:p w14:paraId="4DB49E45" w14:textId="006DBB61" w:rsidR="00311F4C" w:rsidRDefault="005A32A1" w:rsidP="00311F4C">
      <w:r>
        <w:rPr>
          <w:noProof/>
        </w:rPr>
        <w:lastRenderedPageBreak/>
        <w:drawing>
          <wp:inline distT="0" distB="0" distL="0" distR="0" wp14:anchorId="64A2BA14" wp14:editId="35817640">
            <wp:extent cx="5943519" cy="3813944"/>
            <wp:effectExtent l="0" t="0" r="635" b="0"/>
            <wp:docPr id="5087352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8" b="1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89D93" w14:textId="5E5ABB2C" w:rsidR="00311F4C" w:rsidRPr="00782BEF" w:rsidRDefault="00311F4C" w:rsidP="00311F4C">
      <w:pPr>
        <w:pStyle w:val="Lgende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782BEF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r w:rsidR="000B6893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7</w:t>
      </w:r>
      <w:r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Five-parameter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logistic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growth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curve fitting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of weekly band dendrometer </w:t>
      </w:r>
      <w:r w:rsidR="008B6A6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measurements</w:t>
      </w:r>
      <w:r w:rsidR="008B6A66"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of sampled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European beech (</w:t>
      </w:r>
      <w:r w:rsidRPr="003857F1">
        <w:rPr>
          <w:rFonts w:asciiTheme="majorHAnsi" w:hAnsiTheme="majorHAnsi" w:cstheme="majorHAnsi"/>
          <w:color w:val="000000" w:themeColor="text1"/>
          <w:sz w:val="20"/>
          <w:szCs w:val="20"/>
        </w:rPr>
        <w:t>Fagus sylvatica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trees.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Stem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diameter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variation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are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presented in y-axis and month of year in x-axis. Sample identity (SITE code – ELEVATION code – TREE ID code) and goodness-of-fit (RMSE) is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written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on the left top corner of each plot. Green and red solid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</w:t>
      </w:r>
      <w:r w:rsidR="008B6A6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dates of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wood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microcore approach, while green and red dotted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the 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stem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dendrometer approach.</w:t>
      </w:r>
    </w:p>
    <w:p w14:paraId="2231E872" w14:textId="33178EFF" w:rsidR="00311F4C" w:rsidRDefault="005A32A1" w:rsidP="00311F4C">
      <w:r>
        <w:rPr>
          <w:noProof/>
        </w:rPr>
        <w:lastRenderedPageBreak/>
        <w:drawing>
          <wp:inline distT="0" distB="0" distL="0" distR="0" wp14:anchorId="1D7F987C" wp14:editId="5A74B117">
            <wp:extent cx="5942965" cy="3729423"/>
            <wp:effectExtent l="0" t="0" r="635" b="4445"/>
            <wp:docPr id="4423997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2" b="1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F214C" w14:textId="69C079CE" w:rsidR="00311F4C" w:rsidRDefault="00311F4C" w:rsidP="00311F4C">
      <w:pPr>
        <w:pStyle w:val="Lgende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782BEF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r w:rsidR="000B6893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8</w:t>
      </w:r>
      <w:r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Five-parameter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logistic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growth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curve fitting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of weekly band dendrometer </w:t>
      </w:r>
      <w:r w:rsidR="008B6A6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measurements</w:t>
      </w:r>
      <w:r w:rsidR="008B6A66"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of sampled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sessile oak (</w:t>
      </w:r>
      <w:r w:rsidRPr="008A04E9">
        <w:rPr>
          <w:rFonts w:asciiTheme="majorHAnsi" w:hAnsiTheme="majorHAnsi" w:cstheme="majorHAnsi"/>
          <w:color w:val="000000" w:themeColor="text1"/>
          <w:sz w:val="20"/>
          <w:szCs w:val="20"/>
        </w:rPr>
        <w:t>Quercus petraea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</w:t>
      </w:r>
      <w:r w:rsidRPr="00782BEF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trees.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Stem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diameter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variation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are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presented in y-axis and month of year in x-axis. Sample identity (SITE code – ELEVATION code – TREE ID code) and goodness-of-fit (RMSE) is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written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on the left top corner of each plot. Green and red solid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</w:t>
      </w:r>
      <w:r w:rsidR="008B6A6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dates of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wood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microcore approach, while green and red dotted vertical line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represent the beginning and end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stem </w:t>
      </w:r>
      <w:r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growth based on dendrometer approach.</w:t>
      </w:r>
    </w:p>
    <w:p w14:paraId="00229E6B" w14:textId="77777777" w:rsidR="007D4738" w:rsidRDefault="007D4738" w:rsidP="007D4738"/>
    <w:p w14:paraId="4EB92675" w14:textId="77777777" w:rsidR="007D4738" w:rsidRDefault="007D4738" w:rsidP="007D4738">
      <w:pPr>
        <w:keepNext/>
      </w:pPr>
      <w:r>
        <w:rPr>
          <w:noProof/>
        </w:rPr>
        <w:lastRenderedPageBreak/>
        <w:drawing>
          <wp:inline distT="0" distB="0" distL="0" distR="0" wp14:anchorId="525BAECB" wp14:editId="224D9390">
            <wp:extent cx="5943600" cy="2971800"/>
            <wp:effectExtent l="19050" t="19050" r="19050" b="19050"/>
            <wp:docPr id="1331763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531FE" w14:textId="180DBCAA" w:rsidR="007D4738" w:rsidRPr="00DD6EDB" w:rsidRDefault="007D4738" w:rsidP="007D4738">
      <w:pPr>
        <w:pStyle w:val="Lgende"/>
        <w:jc w:val="both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bookmarkStart w:id="2" w:name="_Hlk193974894"/>
      <w:r w:rsidRPr="00DD6EDB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bookmarkEnd w:id="2"/>
      <w:r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9</w:t>
      </w:r>
      <w:r w:rsidRPr="00DD6EDB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DD6ED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Examples of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</w:t>
      </w:r>
      <w:r w:rsidRPr="00DD6ED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5-parameter logistic curve fittings of weekly band-dendrometer </w:t>
      </w:r>
      <w:r w:rsidR="007D418C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measurements</w:t>
      </w:r>
      <w:r w:rsidR="007D418C" w:rsidRPr="00513F79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DD6ED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of a monitored tree for each studied species. The solid lines correspond to the fitted curves. The hollow points represent dendrometer measurements. The vertical arrowed lines mark the computed 5% (</w:t>
      </w:r>
      <w:r w:rsidRPr="00DD6EDB">
        <w:rPr>
          <w:rFonts w:ascii="Arial" w:hAnsi="Arial" w:cs="Arial"/>
          <w:i w:val="0"/>
          <w:iCs w:val="0"/>
          <w:color w:val="000000" w:themeColor="text1"/>
          <w:sz w:val="20"/>
          <w:szCs w:val="20"/>
        </w:rPr>
        <w:t>▲</w:t>
      </w:r>
      <w:r w:rsidRPr="00DD6ED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 and 95% (</w:t>
      </w:r>
      <w:r w:rsidRPr="00DD6EDB">
        <w:rPr>
          <w:rFonts w:ascii="Arial" w:hAnsi="Arial" w:cs="Arial"/>
          <w:i w:val="0"/>
          <w:iCs w:val="0"/>
          <w:color w:val="000000" w:themeColor="text1"/>
          <w:sz w:val="20"/>
          <w:szCs w:val="20"/>
        </w:rPr>
        <w:t>▼</w:t>
      </w:r>
      <w:r w:rsidRPr="00DD6ED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 growth thresholds.</w:t>
      </w:r>
    </w:p>
    <w:p w14:paraId="415E0380" w14:textId="77777777" w:rsidR="007D4738" w:rsidRPr="007D4738" w:rsidRDefault="007D4738" w:rsidP="007D4738"/>
    <w:p w14:paraId="4A51EB15" w14:textId="1C47DFB7" w:rsidR="008619C2" w:rsidRDefault="00446DD2">
      <w:r>
        <w:rPr>
          <w:noProof/>
        </w:rPr>
        <w:drawing>
          <wp:inline distT="0" distB="0" distL="0" distR="0" wp14:anchorId="7FBA8868" wp14:editId="76397E3D">
            <wp:extent cx="5048250" cy="1247775"/>
            <wp:effectExtent l="0" t="0" r="0" b="9525"/>
            <wp:docPr id="5500183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17885" w14:textId="4C9F7012" w:rsidR="007805A9" w:rsidRPr="006410E6" w:rsidRDefault="007805A9" w:rsidP="00EB705C">
      <w:pPr>
        <w:pStyle w:val="Lgende"/>
        <w:keepNext/>
        <w:ind w:right="-90"/>
        <w:jc w:val="both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</w:pPr>
      <w:r w:rsidRPr="006410E6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Table S</w:t>
      </w:r>
      <w:r w:rsidR="007D4738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10</w:t>
      </w:r>
      <w:r w:rsidRPr="006410E6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Mean </w:t>
      </w:r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 xml:space="preserve">critical dates </w:t>
      </w:r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(</w:t>
      </w:r>
      <w:r w:rsidR="007D418C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±</w:t>
      </w:r>
      <w:r w:rsidR="007D418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standard deviation) </w:t>
      </w:r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>by species: beginning (</w:t>
      </w:r>
      <w:proofErr w:type="spellStart"/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>bE</w:t>
      </w:r>
      <w:proofErr w:type="spellEnd"/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>) and end (</w:t>
      </w:r>
      <w:proofErr w:type="spellStart"/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>cE</w:t>
      </w:r>
      <w:proofErr w:type="spellEnd"/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 xml:space="preserve">) of wood growth </w:t>
      </w:r>
      <w:r w:rsidR="007D418C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>based on</w:t>
      </w:r>
      <w:r w:rsidR="007D418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 xml:space="preserve"> </w:t>
      </w:r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 xml:space="preserve">microcore approach, and beginning (DOY.05) and end (DOY.95) of stem radial growth </w:t>
      </w:r>
      <w:r w:rsidR="007D418C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>based on</w:t>
      </w:r>
      <w:r w:rsidR="007D418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 xml:space="preserve"> </w:t>
      </w:r>
      <w:r w:rsidR="00EB705C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  <w:lang w:val="en-GB"/>
        </w:rPr>
        <w:t>manual band dendrometer approach.</w:t>
      </w:r>
    </w:p>
    <w:p w14:paraId="303CDE94" w14:textId="77777777" w:rsidR="00C9269D" w:rsidRDefault="00C9269D" w:rsidP="00C9269D">
      <w:pPr>
        <w:rPr>
          <w:lang w:val="en-GB"/>
        </w:rPr>
      </w:pPr>
    </w:p>
    <w:p w14:paraId="587D3725" w14:textId="77777777" w:rsidR="007D4738" w:rsidRDefault="007D4738" w:rsidP="00C9269D">
      <w:pPr>
        <w:rPr>
          <w:lang w:val="en-GB"/>
        </w:rPr>
      </w:pPr>
    </w:p>
    <w:p w14:paraId="5757200D" w14:textId="7F6E09B1" w:rsidR="00C9269D" w:rsidRDefault="00446DD2" w:rsidP="00C9269D">
      <w:pPr>
        <w:pStyle w:val="Lgende"/>
        <w:jc w:val="both"/>
      </w:pPr>
      <w:r>
        <w:rPr>
          <w:noProof/>
        </w:rPr>
        <w:lastRenderedPageBreak/>
        <w:drawing>
          <wp:inline distT="0" distB="0" distL="0" distR="0" wp14:anchorId="05F0A821" wp14:editId="1B9130AD">
            <wp:extent cx="5943600" cy="1802769"/>
            <wp:effectExtent l="0" t="0" r="0" b="6985"/>
            <wp:docPr id="14458678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38380" w14:textId="44F16D4D" w:rsidR="00C9269D" w:rsidRDefault="00C9269D" w:rsidP="00C9269D">
      <w:pPr>
        <w:pStyle w:val="Lgende"/>
        <w:jc w:val="both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C9269D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Table S</w:t>
      </w:r>
      <w:r w:rsidR="00885200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11</w:t>
      </w:r>
      <w:r w:rsidRPr="00C9269D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C9269D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C</w:t>
      </w:r>
      <w:r w:rsidRPr="00C9269D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oefficients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along with their 95% confidence intervals (CI) of the reduce major axis regressions</w:t>
      </w:r>
      <w:r w:rsidRPr="00C9269D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between 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dendrometer</w:t>
      </w:r>
      <w:r w:rsidR="00885200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-</w:t>
      </w:r>
      <w:r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and microcore-based estimates</w:t>
      </w:r>
      <w:r w:rsidRPr="00C9269D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.</w:t>
      </w:r>
    </w:p>
    <w:p w14:paraId="37994521" w14:textId="77777777" w:rsidR="007D4738" w:rsidRPr="007D4738" w:rsidRDefault="007D4738" w:rsidP="007D4738"/>
    <w:p w14:paraId="2FB71211" w14:textId="5BA8C1F4" w:rsidR="00B90629" w:rsidRPr="00B90629" w:rsidRDefault="00B90629" w:rsidP="00FD08D8">
      <w:r>
        <w:rPr>
          <w:noProof/>
          <w:color w:val="44546A" w:themeColor="text2"/>
          <w:sz w:val="18"/>
          <w:szCs w:val="18"/>
        </w:rPr>
        <w:drawing>
          <wp:inline distT="0" distB="0" distL="0" distR="0" wp14:anchorId="22DFFE82" wp14:editId="24489E30">
            <wp:extent cx="5943600" cy="2971800"/>
            <wp:effectExtent l="0" t="0" r="0" b="0"/>
            <wp:docPr id="308898076" name="Picture 17" descr="A graph of different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98076" name="Picture 17" descr="A graph of different colored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D8B9" w14:textId="0A2043B6" w:rsidR="007D275A" w:rsidRPr="006410E6" w:rsidRDefault="00D0237F" w:rsidP="00D0237F">
      <w:pPr>
        <w:pStyle w:val="Lgende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6410E6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r w:rsidR="00885200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12</w:t>
      </w:r>
      <w:r w:rsidR="006410E6" w:rsidRPr="006410E6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Relationships between the growth rate and the mean absolute </w:t>
      </w:r>
      <w:r w:rsidR="004D69E5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difference</w:t>
      </w:r>
      <w:r w:rsidR="004D69E5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(MA</w:t>
      </w:r>
      <w:r w:rsidR="004D69E5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D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 between dendrometer</w:t>
      </w:r>
      <w:r w:rsidR="009A47B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-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and microcore</w:t>
      </w:r>
      <w:r w:rsidR="009A47B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-based estimates of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(A) the beginning and (B) the end of </w:t>
      </w:r>
      <w:r w:rsidR="009A47B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</w:t>
      </w:r>
      <w:r w:rsid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growing season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. The dashed lines and grey ribbons represent the </w:t>
      </w:r>
      <w:r w:rsid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linear 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regression lines and </w:t>
      </w:r>
      <w:r w:rsidR="009A47B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confidence interval</w:t>
      </w:r>
      <w:r w:rsidR="009A47B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.</w:t>
      </w:r>
    </w:p>
    <w:p w14:paraId="6D450E5D" w14:textId="58DDDC1D" w:rsidR="001F7279" w:rsidRDefault="00A208EE" w:rsidP="001F7279">
      <w:pPr>
        <w:keepNext/>
      </w:pPr>
      <w:r>
        <w:rPr>
          <w:noProof/>
        </w:rPr>
        <w:lastRenderedPageBreak/>
        <w:drawing>
          <wp:inline distT="0" distB="0" distL="0" distR="0" wp14:anchorId="3570BE20" wp14:editId="646C2808">
            <wp:extent cx="5943600" cy="2966992"/>
            <wp:effectExtent l="0" t="0" r="0" b="5080"/>
            <wp:docPr id="663473698" name="Picture 18" descr="A group of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73698" name="Picture 18" descr="A group of colored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F821" w14:textId="5240E0F5" w:rsidR="001F7279" w:rsidRPr="006410E6" w:rsidRDefault="001F7279" w:rsidP="001F7279">
      <w:pPr>
        <w:pStyle w:val="Lgende"/>
        <w:jc w:val="both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6410E6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r w:rsidR="00885200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13</w:t>
      </w:r>
      <w:r w:rsidR="006410E6" w:rsidRPr="006410E6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Regression analysis between the goodness-of-fit of the 5-param</w:t>
      </w:r>
      <w:r w:rsid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e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ter</w:t>
      </w:r>
      <w:r w:rsid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logistic </w:t>
      </w:r>
      <w:r w:rsidR="004D69E5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model</w:t>
      </w:r>
      <w:r w:rsidR="004D69E5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(RMSE) and the accuracy of dendrometer-based </w:t>
      </w:r>
      <w:r w:rsid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estimates</w:t>
      </w:r>
      <w:r w:rsidR="009A47B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(RMSD)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for: </w:t>
      </w:r>
      <w:r w:rsidR="003944D2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(</w:t>
      </w:r>
      <w:r w:rsidR="006410E6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A</w:t>
      </w:r>
      <w:r w:rsidR="003944D2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</w:t>
      </w:r>
      <w:r w:rsidR="006410E6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beginning of </w:t>
      </w:r>
      <w:r w:rsidR="009A47BB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grow</w:t>
      </w:r>
      <w:r w:rsid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ing season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and </w:t>
      </w:r>
      <w:r w:rsidR="003944D2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(</w:t>
      </w:r>
      <w:r w:rsidR="006410E6"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B</w:t>
      </w:r>
      <w:r w:rsidR="003944D2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</w:t>
      </w:r>
      <w:r w:rsid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the </w:t>
      </w:r>
      <w:r w:rsidRP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end</w:t>
      </w:r>
      <w:r w:rsidR="006410E6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.</w:t>
      </w:r>
    </w:p>
    <w:p w14:paraId="3F249FBF" w14:textId="39773AE9" w:rsidR="00D0237F" w:rsidRDefault="007006CA" w:rsidP="00D0237F">
      <w:pPr>
        <w:keepNext/>
      </w:pPr>
      <w:r>
        <w:rPr>
          <w:noProof/>
        </w:rPr>
        <w:lastRenderedPageBreak/>
        <w:drawing>
          <wp:inline distT="0" distB="0" distL="0" distR="0" wp14:anchorId="0732301D" wp14:editId="29BDCA31">
            <wp:extent cx="4572000" cy="4555050"/>
            <wp:effectExtent l="0" t="0" r="0" b="0"/>
            <wp:docPr id="1792368315" name="Picture 19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68315" name="Picture 19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8F52" w14:textId="4FD66C1C" w:rsidR="006C2995" w:rsidRPr="005D7891" w:rsidRDefault="00D0237F" w:rsidP="00D0237F">
      <w:pPr>
        <w:pStyle w:val="Lgende"/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</w:pPr>
      <w:r w:rsidRPr="005D7891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Supplementary Figure S</w:t>
      </w:r>
      <w:r w:rsidR="00406021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14</w:t>
      </w:r>
      <w:r w:rsidR="005D7891" w:rsidRPr="005D7891">
        <w:rPr>
          <w:rFonts w:asciiTheme="majorHAnsi" w:hAnsiTheme="majorHAnsi" w:cstheme="majorHAnsi"/>
          <w:b/>
          <w:bCs/>
          <w:i w:val="0"/>
          <w:iCs w:val="0"/>
          <w:color w:val="000000" w:themeColor="text1"/>
          <w:sz w:val="20"/>
          <w:szCs w:val="20"/>
        </w:rPr>
        <w:t>.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40602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Pearson c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orrelation between dendrometer </w:t>
      </w:r>
      <w:r w:rsidR="0040602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estimates</w:t>
      </w:r>
      <w:r w:rsidR="00406021"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accuracy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(RMSD) </w:t>
      </w:r>
      <w:r w:rsid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for: </w:t>
      </w:r>
      <w:r w:rsidR="0040602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(</w:t>
      </w:r>
      <w:r w:rsidR="005D7891"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A</w:t>
      </w:r>
      <w:r w:rsidR="0040602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the beginning and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(</w:t>
      </w:r>
      <w:r w:rsid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B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</w:t>
      </w:r>
      <w:r w:rsid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the end of growt</w:t>
      </w:r>
      <w:r w:rsid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h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and the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12 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monthly sum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of 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precipitation</w:t>
      </w:r>
      <w:r w:rsid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. Pearson correlation coefficient (R) is given in each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cell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.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The m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ean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of critical dates based on microcore approach for each species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are</w:t>
      </w:r>
      <w:r w:rsidR="004B3E37"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represented</w:t>
      </w:r>
      <w:r w:rsidR="004B3E37"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as hollow black box (</w:t>
      </w:r>
      <w:r w:rsidRPr="005D7891">
        <w:rPr>
          <w:rFonts w:asciiTheme="majorHAnsi" w:hAnsiTheme="majorHAnsi" w:cstheme="majorHAnsi"/>
          <w:b/>
          <w:i w:val="0"/>
          <w:iCs w:val="0"/>
          <w:color w:val="000000" w:themeColor="text1"/>
          <w:sz w:val="20"/>
          <w:szCs w:val="20"/>
        </w:rPr>
        <w:t>□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), while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mean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of critical dates based on dendrometer approach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are</w:t>
      </w:r>
      <w:r w:rsidR="004B3E37"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represented</w:t>
      </w:r>
      <w:r w:rsidR="004B3E37"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as hollow black circle (</w:t>
      </w:r>
      <w:r w:rsidRPr="005D7891">
        <w:rPr>
          <w:rFonts w:asciiTheme="majorHAnsi" w:hAnsiTheme="majorHAnsi" w:cstheme="majorHAnsi"/>
          <w:b/>
          <w:i w:val="0"/>
          <w:iCs w:val="0"/>
          <w:color w:val="000000" w:themeColor="text1"/>
          <w:sz w:val="20"/>
          <w:szCs w:val="20"/>
        </w:rPr>
        <w:t>○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),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their </w:t>
      </w:r>
      <w:r w:rsidR="004B3E37"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standard deviation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="004B3E37"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are represented as</w:t>
      </w:r>
      <w:r w:rsidR="004B3E37"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 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horizontal line</w:t>
      </w:r>
      <w:r w:rsidR="004B3E37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s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. Grey dashed box marked the month selected as “spring precipitation” used in the analysis of </w:t>
      </w:r>
      <w:r w:rsid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the influence of environmental factors on 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 xml:space="preserve">dendrometer accuracy (Figure </w:t>
      </w:r>
      <w:r w:rsid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5</w:t>
      </w:r>
      <w:r w:rsidRPr="005D7891">
        <w:rPr>
          <w:rFonts w:asciiTheme="majorHAnsi" w:hAnsiTheme="majorHAnsi" w:cstheme="majorHAnsi"/>
          <w:i w:val="0"/>
          <w:iCs w:val="0"/>
          <w:color w:val="000000" w:themeColor="text1"/>
          <w:sz w:val="20"/>
          <w:szCs w:val="20"/>
        </w:rPr>
        <w:t>).</w:t>
      </w:r>
    </w:p>
    <w:sectPr w:rsidR="006C2995" w:rsidRPr="005D7891" w:rsidSect="00BA0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50D01"/>
    <w:multiLevelType w:val="hybridMultilevel"/>
    <w:tmpl w:val="8EB2DEDC"/>
    <w:lvl w:ilvl="0" w:tplc="7D941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5C7DBB"/>
    <w:multiLevelType w:val="hybridMultilevel"/>
    <w:tmpl w:val="F7589796"/>
    <w:lvl w:ilvl="0" w:tplc="EB1E8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676621">
    <w:abstractNumId w:val="1"/>
  </w:num>
  <w:num w:numId="2" w16cid:durableId="1877497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AA1"/>
    <w:rsid w:val="0004693C"/>
    <w:rsid w:val="000572A3"/>
    <w:rsid w:val="0008346A"/>
    <w:rsid w:val="00094B41"/>
    <w:rsid w:val="000B6893"/>
    <w:rsid w:val="000F205D"/>
    <w:rsid w:val="00101C2B"/>
    <w:rsid w:val="00107043"/>
    <w:rsid w:val="00114900"/>
    <w:rsid w:val="00124D68"/>
    <w:rsid w:val="0014290F"/>
    <w:rsid w:val="001507C4"/>
    <w:rsid w:val="00163F06"/>
    <w:rsid w:val="00190587"/>
    <w:rsid w:val="001F3F7D"/>
    <w:rsid w:val="001F7279"/>
    <w:rsid w:val="00233085"/>
    <w:rsid w:val="00245988"/>
    <w:rsid w:val="00285758"/>
    <w:rsid w:val="002920EB"/>
    <w:rsid w:val="002C7AB4"/>
    <w:rsid w:val="00311F4C"/>
    <w:rsid w:val="00330CEE"/>
    <w:rsid w:val="003711B6"/>
    <w:rsid w:val="00383E45"/>
    <w:rsid w:val="003857F1"/>
    <w:rsid w:val="003944D2"/>
    <w:rsid w:val="003F2519"/>
    <w:rsid w:val="00403858"/>
    <w:rsid w:val="00406021"/>
    <w:rsid w:val="00422D2F"/>
    <w:rsid w:val="00432A07"/>
    <w:rsid w:val="00435DC5"/>
    <w:rsid w:val="00446DD2"/>
    <w:rsid w:val="00465812"/>
    <w:rsid w:val="00494AA1"/>
    <w:rsid w:val="004B3E37"/>
    <w:rsid w:val="004B6A63"/>
    <w:rsid w:val="004C2650"/>
    <w:rsid w:val="004D4765"/>
    <w:rsid w:val="004D69E5"/>
    <w:rsid w:val="00511F49"/>
    <w:rsid w:val="00513F79"/>
    <w:rsid w:val="00521B89"/>
    <w:rsid w:val="005A32A1"/>
    <w:rsid w:val="005A3F45"/>
    <w:rsid w:val="005C6A2B"/>
    <w:rsid w:val="005D0762"/>
    <w:rsid w:val="005D7891"/>
    <w:rsid w:val="006119D0"/>
    <w:rsid w:val="00621E13"/>
    <w:rsid w:val="006410E6"/>
    <w:rsid w:val="0065177B"/>
    <w:rsid w:val="00697621"/>
    <w:rsid w:val="006B17CC"/>
    <w:rsid w:val="006C2995"/>
    <w:rsid w:val="006E11AF"/>
    <w:rsid w:val="006F7108"/>
    <w:rsid w:val="007006CA"/>
    <w:rsid w:val="00714077"/>
    <w:rsid w:val="00716477"/>
    <w:rsid w:val="00726E9A"/>
    <w:rsid w:val="007318F0"/>
    <w:rsid w:val="00747924"/>
    <w:rsid w:val="00760149"/>
    <w:rsid w:val="00774D82"/>
    <w:rsid w:val="00777137"/>
    <w:rsid w:val="007805A9"/>
    <w:rsid w:val="00782BEF"/>
    <w:rsid w:val="007926F3"/>
    <w:rsid w:val="007D102B"/>
    <w:rsid w:val="007D275A"/>
    <w:rsid w:val="007D418C"/>
    <w:rsid w:val="007D4738"/>
    <w:rsid w:val="007F32DA"/>
    <w:rsid w:val="00814964"/>
    <w:rsid w:val="008161D6"/>
    <w:rsid w:val="008619C2"/>
    <w:rsid w:val="00870654"/>
    <w:rsid w:val="00885200"/>
    <w:rsid w:val="00887ECB"/>
    <w:rsid w:val="008A04E9"/>
    <w:rsid w:val="008B6A66"/>
    <w:rsid w:val="009223BA"/>
    <w:rsid w:val="009336B3"/>
    <w:rsid w:val="0093725E"/>
    <w:rsid w:val="00957168"/>
    <w:rsid w:val="00985435"/>
    <w:rsid w:val="009A33E0"/>
    <w:rsid w:val="009A47BB"/>
    <w:rsid w:val="009B2430"/>
    <w:rsid w:val="00A04AA6"/>
    <w:rsid w:val="00A208EE"/>
    <w:rsid w:val="00A61A1E"/>
    <w:rsid w:val="00A8223A"/>
    <w:rsid w:val="00B16E75"/>
    <w:rsid w:val="00B45691"/>
    <w:rsid w:val="00B45F6F"/>
    <w:rsid w:val="00B71FD1"/>
    <w:rsid w:val="00B739C4"/>
    <w:rsid w:val="00B90629"/>
    <w:rsid w:val="00BA009B"/>
    <w:rsid w:val="00BA5C72"/>
    <w:rsid w:val="00BE7B84"/>
    <w:rsid w:val="00BF7E38"/>
    <w:rsid w:val="00C9269D"/>
    <w:rsid w:val="00CF4B07"/>
    <w:rsid w:val="00D0173E"/>
    <w:rsid w:val="00D0237F"/>
    <w:rsid w:val="00D24C4C"/>
    <w:rsid w:val="00D32C90"/>
    <w:rsid w:val="00D36FB5"/>
    <w:rsid w:val="00D50F1D"/>
    <w:rsid w:val="00D56C1B"/>
    <w:rsid w:val="00D607D9"/>
    <w:rsid w:val="00D856C9"/>
    <w:rsid w:val="00DD6EDB"/>
    <w:rsid w:val="00DE3B82"/>
    <w:rsid w:val="00E070D0"/>
    <w:rsid w:val="00E82230"/>
    <w:rsid w:val="00E86C61"/>
    <w:rsid w:val="00EB2367"/>
    <w:rsid w:val="00EB705C"/>
    <w:rsid w:val="00F06E2C"/>
    <w:rsid w:val="00F779A1"/>
    <w:rsid w:val="00F952FD"/>
    <w:rsid w:val="00FD08D8"/>
    <w:rsid w:val="00FE294B"/>
    <w:rsid w:val="00FE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B8431"/>
  <w15:chartTrackingRefBased/>
  <w15:docId w15:val="{85363CB9-EB2D-4471-8F21-1427C8949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71407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vision">
    <w:name w:val="Revision"/>
    <w:hidden/>
    <w:uiPriority w:val="99"/>
    <w:semiHidden/>
    <w:rsid w:val="00716477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7164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1647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647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64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647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6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6C1B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124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3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34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20108-13B5-4EFB-9DC5-7316002AF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1032</Words>
  <Characters>5678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Ignatius Kristia Adikurnia</dc:creator>
  <cp:keywords/>
  <dc:description/>
  <cp:lastModifiedBy>Cyrille Rathgeber</cp:lastModifiedBy>
  <cp:revision>3</cp:revision>
  <dcterms:created xsi:type="dcterms:W3CDTF">2025-09-12T08:18:00Z</dcterms:created>
  <dcterms:modified xsi:type="dcterms:W3CDTF">2025-09-12T08:19:00Z</dcterms:modified>
</cp:coreProperties>
</file>