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6381" w14:textId="77777777" w:rsidR="00562C53" w:rsidRDefault="00562C53" w:rsidP="00562C53">
      <w:pPr>
        <w:pStyle w:val="Titolo1"/>
      </w:pPr>
      <w:r>
        <w:t>Appendix A</w:t>
      </w:r>
    </w:p>
    <w:p w14:paraId="4FD30808" w14:textId="77777777" w:rsidR="00562C53" w:rsidRDefault="00562C53" w:rsidP="00562C53">
      <w:pPr>
        <w:pBdr>
          <w:top w:val="nil"/>
          <w:left w:val="nil"/>
          <w:bottom w:val="nil"/>
          <w:right w:val="nil"/>
          <w:between w:val="nil"/>
        </w:pBdr>
        <w:spacing w:before="80" w:after="80" w:line="240" w:lineRule="auto"/>
        <w:jc w:val="center"/>
        <w:rPr>
          <w:rFonts w:ascii="Times New Roman" w:hAnsi="Times New Roman" w:cs="Times New Roman"/>
          <w:i/>
          <w:color w:val="44546A"/>
          <w:sz w:val="18"/>
          <w:szCs w:val="18"/>
        </w:rPr>
      </w:pPr>
      <w:r w:rsidRPr="00B65B9D">
        <w:rPr>
          <w:rFonts w:ascii="Times New Roman" w:hAnsi="Times New Roman" w:cs="Times New Roman"/>
          <w:i/>
          <w:color w:val="44546A"/>
          <w:sz w:val="18"/>
          <w:szCs w:val="18"/>
        </w:rPr>
        <w:t xml:space="preserve">Table </w:t>
      </w:r>
      <w:r>
        <w:rPr>
          <w:rFonts w:ascii="Times New Roman" w:hAnsi="Times New Roman" w:cs="Times New Roman"/>
          <w:i/>
          <w:color w:val="44546A"/>
          <w:sz w:val="18"/>
          <w:szCs w:val="18"/>
        </w:rPr>
        <w:t>5</w:t>
      </w:r>
      <w:r w:rsidRPr="00B65B9D">
        <w:rPr>
          <w:rFonts w:ascii="Times New Roman" w:hAnsi="Times New Roman" w:cs="Times New Roman"/>
          <w:i/>
          <w:color w:val="44546A"/>
          <w:sz w:val="18"/>
          <w:szCs w:val="18"/>
        </w:rPr>
        <w:t xml:space="preserve"> – Scales for measuring the constructs Trust, Perceived benefit and Perceived risk</w:t>
      </w:r>
    </w:p>
    <w:p w14:paraId="6DE7EF46" w14:textId="77777777" w:rsidR="00562C53" w:rsidRDefault="00562C53" w:rsidP="00562C53">
      <w:pPr>
        <w:pBdr>
          <w:top w:val="nil"/>
          <w:left w:val="nil"/>
          <w:bottom w:val="nil"/>
          <w:right w:val="nil"/>
          <w:between w:val="nil"/>
        </w:pBdr>
        <w:spacing w:before="80" w:after="80" w:line="240" w:lineRule="auto"/>
        <w:jc w:val="center"/>
        <w:rPr>
          <w:rFonts w:ascii="Times New Roman" w:hAnsi="Times New Roman" w:cs="Times New Roman"/>
          <w:i/>
          <w:color w:val="44546A"/>
          <w:sz w:val="18"/>
          <w:szCs w:val="18"/>
        </w:rPr>
      </w:pPr>
    </w:p>
    <w:tbl>
      <w:tblPr>
        <w:tblStyle w:val="Tabellagriglia1chiara-colore3"/>
        <w:tblW w:w="9776" w:type="dxa"/>
        <w:tblLayout w:type="fixed"/>
        <w:tblLook w:val="0420" w:firstRow="1" w:lastRow="0" w:firstColumn="0" w:lastColumn="0" w:noHBand="0" w:noVBand="1"/>
      </w:tblPr>
      <w:tblGrid>
        <w:gridCol w:w="2122"/>
        <w:gridCol w:w="1113"/>
        <w:gridCol w:w="6541"/>
      </w:tblGrid>
      <w:tr w:rsidR="00562C53" w:rsidRPr="00B65B9D" w14:paraId="17F7D775" w14:textId="77777777" w:rsidTr="00507181">
        <w:trPr>
          <w:cnfStyle w:val="100000000000" w:firstRow="1" w:lastRow="0" w:firstColumn="0" w:lastColumn="0" w:oddVBand="0" w:evenVBand="0" w:oddHBand="0" w:evenHBand="0" w:firstRowFirstColumn="0" w:firstRowLastColumn="0" w:lastRowFirstColumn="0" w:lastRowLastColumn="0"/>
          <w:trHeight w:val="169"/>
        </w:trPr>
        <w:tc>
          <w:tcPr>
            <w:tcW w:w="2122" w:type="dxa"/>
            <w:tcBorders>
              <w:top w:val="single" w:sz="4" w:space="0" w:color="auto"/>
              <w:left w:val="single" w:sz="4" w:space="0" w:color="auto"/>
              <w:bottom w:val="single" w:sz="4" w:space="0" w:color="auto"/>
              <w:right w:val="single" w:sz="4" w:space="0" w:color="auto"/>
            </w:tcBorders>
          </w:tcPr>
          <w:p w14:paraId="75D33E7F" w14:textId="77777777" w:rsidR="00562C53" w:rsidRPr="00B65B9D" w:rsidRDefault="00562C53" w:rsidP="00507181">
            <w:pPr>
              <w:spacing w:before="120" w:after="120"/>
              <w:jc w:val="both"/>
              <w:rPr>
                <w:rFonts w:ascii="Times New Roman" w:hAnsi="Times New Roman" w:cs="Times New Roman"/>
                <w:sz w:val="20"/>
                <w:szCs w:val="20"/>
              </w:rPr>
            </w:pPr>
            <w:r w:rsidRPr="00B65B9D">
              <w:rPr>
                <w:rFonts w:ascii="Times New Roman" w:hAnsi="Times New Roman" w:cs="Times New Roman"/>
                <w:sz w:val="20"/>
                <w:szCs w:val="20"/>
              </w:rPr>
              <w:t>Construct name</w:t>
            </w:r>
          </w:p>
        </w:tc>
        <w:tc>
          <w:tcPr>
            <w:tcW w:w="1113" w:type="dxa"/>
            <w:tcBorders>
              <w:top w:val="single" w:sz="4" w:space="0" w:color="auto"/>
              <w:left w:val="single" w:sz="4" w:space="0" w:color="auto"/>
              <w:bottom w:val="single" w:sz="4" w:space="0" w:color="auto"/>
              <w:right w:val="single" w:sz="4" w:space="0" w:color="auto"/>
            </w:tcBorders>
          </w:tcPr>
          <w:p w14:paraId="441187E5" w14:textId="77777777" w:rsidR="00562C53" w:rsidRPr="00B65B9D" w:rsidRDefault="00562C53" w:rsidP="00507181">
            <w:pPr>
              <w:rPr>
                <w:rFonts w:ascii="Times New Roman" w:hAnsi="Times New Roman" w:cs="Times New Roman"/>
                <w:iCs/>
              </w:rPr>
            </w:pPr>
            <w:r w:rsidRPr="00B65B9D">
              <w:rPr>
                <w:rFonts w:ascii="Times New Roman" w:hAnsi="Times New Roman" w:cs="Times New Roman"/>
                <w:iCs/>
              </w:rPr>
              <w:t>Item Code</w:t>
            </w:r>
          </w:p>
        </w:tc>
        <w:tc>
          <w:tcPr>
            <w:tcW w:w="6541" w:type="dxa"/>
            <w:tcBorders>
              <w:top w:val="single" w:sz="4" w:space="0" w:color="auto"/>
              <w:left w:val="single" w:sz="4" w:space="0" w:color="auto"/>
              <w:bottom w:val="single" w:sz="4" w:space="0" w:color="auto"/>
              <w:right w:val="single" w:sz="4" w:space="0" w:color="auto"/>
            </w:tcBorders>
          </w:tcPr>
          <w:p w14:paraId="6F973C79" w14:textId="77777777" w:rsidR="00562C53" w:rsidRPr="00B65B9D" w:rsidRDefault="00562C53" w:rsidP="00507181">
            <w:pPr>
              <w:rPr>
                <w:rFonts w:ascii="Times New Roman" w:hAnsi="Times New Roman" w:cs="Times New Roman"/>
                <w:iCs/>
              </w:rPr>
            </w:pPr>
            <w:r w:rsidRPr="00B65B9D">
              <w:rPr>
                <w:rFonts w:ascii="Times New Roman" w:hAnsi="Times New Roman" w:cs="Times New Roman"/>
                <w:iCs/>
              </w:rPr>
              <w:t>Statement</w:t>
            </w:r>
          </w:p>
        </w:tc>
      </w:tr>
      <w:tr w:rsidR="00562C53" w:rsidRPr="00B65B9D" w14:paraId="4BD1545D" w14:textId="77777777" w:rsidTr="00507181">
        <w:tc>
          <w:tcPr>
            <w:tcW w:w="2122" w:type="dxa"/>
            <w:tcBorders>
              <w:top w:val="single" w:sz="4" w:space="0" w:color="auto"/>
              <w:left w:val="single" w:sz="4" w:space="0" w:color="auto"/>
              <w:bottom w:val="single" w:sz="4" w:space="0" w:color="auto"/>
              <w:right w:val="single" w:sz="4" w:space="0" w:color="auto"/>
            </w:tcBorders>
          </w:tcPr>
          <w:p w14:paraId="1A1173C1" w14:textId="77777777" w:rsidR="00562C53" w:rsidRPr="00562C53" w:rsidRDefault="00562C53" w:rsidP="00507181">
            <w:pPr>
              <w:spacing w:before="120" w:after="120"/>
              <w:jc w:val="both"/>
              <w:rPr>
                <w:rFonts w:ascii="Times New Roman" w:hAnsi="Times New Roman" w:cs="Times New Roman"/>
                <w:sz w:val="20"/>
                <w:szCs w:val="20"/>
                <w:lang w:val="en-US"/>
              </w:rPr>
            </w:pPr>
            <w:r w:rsidRPr="00562C53">
              <w:rPr>
                <w:rFonts w:ascii="Times New Roman" w:hAnsi="Times New Roman" w:cs="Times New Roman"/>
                <w:sz w:val="20"/>
                <w:szCs w:val="20"/>
                <w:lang w:val="en-US"/>
              </w:rPr>
              <w:t xml:space="preserve">Trust - Ability </w:t>
            </w:r>
            <w:r w:rsidRPr="00B65B9D">
              <w:rPr>
                <w:rFonts w:ascii="Times New Roman" w:hAnsi="Times New Roman" w:cs="Times New Roman"/>
                <w:sz w:val="20"/>
                <w:szCs w:val="20"/>
              </w:rPr>
              <w:fldChar w:fldCharType="begin" w:fldLock="1"/>
            </w:r>
            <w:r w:rsidRPr="00562C53">
              <w:rPr>
                <w:rFonts w:ascii="Times New Roman" w:hAnsi="Times New Roman" w:cs="Times New Roman"/>
                <w:sz w:val="20"/>
                <w:szCs w:val="20"/>
                <w:lang w:val="en-US"/>
              </w:rPr>
              <w:instrText>ADDIN CSL_CITATION {"citationItems":[{"id":"ITEM-1","itemData":{"abstract":"The study reported here raises some questions about the conventional wisdom that the Internet creates a \"level playing field\" for large and small retailers and for retailers with and without an established reputation. In our study, consumers recognized differences in size and reputation among Internet stores, and those differences influenced their assessments of store trustworthiness and their perception of risk, as well as their willingness to patronize the store. After describing our research methods and results, we draw some implications for Internet merchants.","author":[{"dropping-particle":"","family":"Jarvenpaa","given":"Sirkka L","non-dropping-particle":"","parse-names":false,"suffix":""},{"dropping-particle":"","family":"Tractinsky","given":"Noam","non-dropping-particle":"","parse-names":false,"suffix":""},{"dropping-particle":"","family":"Vitale","given":"Michael","non-dropping-particle":"","parse-names":false,"suffix":""}],"container-title":"Information Technology and Management","id":"ITEM-1","issued":{"date-parts":[["2000"]]},"page":"45-71","title":"Consumer trust in an Internet store ","type":"article-journal","volume":"1"},"uris":["http://www.mendeley.com/documents/?uuid=be48af6a-3329-31fd-bb8b-048fa0816266","http://www.mendeley.com/documents/?uuid=f54fbef4-3e82-49fc-9b57-1e489838c297"]},{"id":"ITEM-2","itemData":{"DOI":"10.1287/isre.13.3.334.81","ISSN":"10477047","abstract":"Evidence suggests that consumers often hesitate to transact with Web-based vendors because of uncertainty about vendor behavior or the perceived risk of having personal information stolen by hackers. Trust plays a central role in helping consumers overcome perceptions of risk and insecurity. Trust makes consumers comfortable sharing personal information, making purchases, and acting on Web vendor advice - behaviors essential to widespread adoption of e-commerce. Therefore, trust is critical to both researchers and practitioners. Prior research on e-commerce trust has used diverse, incomplete, and inconsistent definitions of trust, making it difficult to compare results across studies. This paper contributes by proposing and validating measures for a multidisciplinary, multidimensional model of trust in e-commerce. The model includes four high-level constructs - disposition to trust, institution-based trust, trusting beliefs, and trusting intentions - which are further delineated into 16 measurable, literature-grounded subconstructs. The psychometric properties of the measures are demonstrated through use of a hypothetical, legal advice Web site. The results show that trust is indeed a multidimensional concept. Proposed relationships among the trust constructs are tested (for internal nomological validity), as are relationships between the trust constructs and three other e-commerce constructs (for external nomological validity) - Web experience, personal innovativeness, and Web site quality. Suggestions for future research as well as implications for practice are discussed.","author":[{"dropping-particle":"","family":"McKnight","given":"D. Harrison","non-dropping-particle":"","parse-names":false,"suffix":""},{"dropping-particle":"","family":"Choudhury","given":"Vivek","non-dropping-particle":"","parse-names":false,"suffix":""},{"dropping-particle":"","family":"Kacmar","given":"Charles","non-dropping-particle":"","parse-names":false,"suffix":""}],"container-title":"Information Systems Research","id":"ITEM-2","issue":"3","issued":{"date-parts":[["2002"]]},"page":"334-359","publisher":"INFORMS Inst.for Operations Res.and the Management Sciences","title":"Developing and validating trust measures for e-commerce: An integrative typology","type":"article-journal","volume":"13"},"uris":["http://www.mendeley.com/documents/?uuid=573a0b10-dbb1-3ac2-b953-2b4c9bea9f20","http://www.mendeley.com/documents/?uuid=e9a848c9-abd0-4be7-afba-9da28c4ebd30"]}],"mendeley":{"formattedCitation":"(Jarvenpaa, Tractinsky, and Vitale 2000; McKnight, Choudhury, and Kacmar 2002)","plainTextFormattedCitation":"(Jarvenpaa, Tractinsky, and Vitale 2000; McKnight, Choudhury, and Kacmar 2002)","previouslyFormattedCitation":"(Jarvenpaa, Tractinsky, and Vitale 2000; McKnight, Choudhury, and Kacmar 2002)"},"properties":{"noteIndex":0},"schema":"https://github.com/citation-style-language/schema/raw/master/csl-citation.json"}</w:instrText>
            </w:r>
            <w:r w:rsidRPr="00B65B9D">
              <w:rPr>
                <w:rFonts w:ascii="Times New Roman" w:hAnsi="Times New Roman" w:cs="Times New Roman"/>
                <w:sz w:val="20"/>
                <w:szCs w:val="20"/>
              </w:rPr>
              <w:fldChar w:fldCharType="separate"/>
            </w:r>
            <w:r w:rsidRPr="00562C53">
              <w:rPr>
                <w:rFonts w:ascii="Times New Roman" w:hAnsi="Times New Roman" w:cs="Times New Roman"/>
                <w:noProof/>
                <w:sz w:val="20"/>
                <w:szCs w:val="20"/>
                <w:lang w:val="en-US"/>
              </w:rPr>
              <w:t>(Jarvenpaa, Tractinsky, and Vitale 2000; McKnight, Choudhury, and Kacmar 2002)</w:t>
            </w:r>
            <w:r w:rsidRPr="00B65B9D">
              <w:rPr>
                <w:rFonts w:ascii="Times New Roman" w:hAnsi="Times New Roman" w:cs="Times New Roman"/>
                <w:sz w:val="20"/>
                <w:szCs w:val="20"/>
              </w:rPr>
              <w:fldChar w:fldCharType="end"/>
            </w:r>
            <w:r w:rsidRPr="00562C53">
              <w:rPr>
                <w:rFonts w:ascii="Times New Roman" w:hAnsi="Times New Roman" w:cs="Times New Roman"/>
                <w:sz w:val="20"/>
                <w:szCs w:val="20"/>
                <w:lang w:val="en-US"/>
              </w:rPr>
              <w:t xml:space="preserve"> </w:t>
            </w:r>
          </w:p>
        </w:tc>
        <w:tc>
          <w:tcPr>
            <w:tcW w:w="1113" w:type="dxa"/>
            <w:tcBorders>
              <w:top w:val="single" w:sz="4" w:space="0" w:color="auto"/>
              <w:left w:val="single" w:sz="4" w:space="0" w:color="auto"/>
              <w:bottom w:val="single" w:sz="4" w:space="0" w:color="auto"/>
              <w:right w:val="single" w:sz="4" w:space="0" w:color="auto"/>
            </w:tcBorders>
          </w:tcPr>
          <w:p w14:paraId="2A927B32" w14:textId="77777777" w:rsidR="00562C53" w:rsidRPr="00B65B9D" w:rsidRDefault="00562C53" w:rsidP="00507181">
            <w:pPr>
              <w:rPr>
                <w:rFonts w:ascii="Times New Roman" w:hAnsi="Times New Roman" w:cs="Times New Roman"/>
                <w:iCs/>
              </w:rPr>
            </w:pPr>
            <w:r w:rsidRPr="00B65B9D">
              <w:rPr>
                <w:rFonts w:ascii="Times New Roman" w:hAnsi="Times New Roman" w:cs="Times New Roman"/>
                <w:iCs/>
              </w:rPr>
              <w:t>TRU1</w:t>
            </w:r>
          </w:p>
        </w:tc>
        <w:tc>
          <w:tcPr>
            <w:tcW w:w="6541" w:type="dxa"/>
            <w:tcBorders>
              <w:top w:val="single" w:sz="4" w:space="0" w:color="auto"/>
              <w:left w:val="single" w:sz="4" w:space="0" w:color="auto"/>
              <w:bottom w:val="single" w:sz="4" w:space="0" w:color="auto"/>
              <w:right w:val="single" w:sz="4" w:space="0" w:color="auto"/>
            </w:tcBorders>
          </w:tcPr>
          <w:p w14:paraId="508CFCF6" w14:textId="77777777" w:rsidR="00562C53" w:rsidRPr="00B65B9D" w:rsidRDefault="00562C53" w:rsidP="00507181">
            <w:pPr>
              <w:rPr>
                <w:rFonts w:ascii="Times New Roman" w:hAnsi="Times New Roman" w:cs="Times New Roman"/>
                <w:iCs/>
              </w:rPr>
            </w:pPr>
            <w:r w:rsidRPr="00B65B9D">
              <w:rPr>
                <w:rFonts w:ascii="Times New Roman" w:hAnsi="Times New Roman" w:cs="Times New Roman"/>
                <w:iCs/>
              </w:rPr>
              <w:t xml:space="preserve">Public institutions are competent and effective in handling my data I provide </w:t>
            </w:r>
          </w:p>
        </w:tc>
      </w:tr>
      <w:tr w:rsidR="00562C53" w:rsidRPr="00B65B9D" w14:paraId="1F372778" w14:textId="77777777" w:rsidTr="00507181">
        <w:tc>
          <w:tcPr>
            <w:tcW w:w="2122" w:type="dxa"/>
            <w:tcBorders>
              <w:top w:val="single" w:sz="4" w:space="0" w:color="auto"/>
              <w:left w:val="single" w:sz="4" w:space="0" w:color="auto"/>
              <w:bottom w:val="single" w:sz="4" w:space="0" w:color="auto"/>
              <w:right w:val="single" w:sz="4" w:space="0" w:color="auto"/>
            </w:tcBorders>
          </w:tcPr>
          <w:p w14:paraId="389E5C50" w14:textId="77777777" w:rsidR="00562C53" w:rsidRPr="00562C53" w:rsidRDefault="00562C53" w:rsidP="00507181">
            <w:pPr>
              <w:spacing w:before="120" w:after="120"/>
              <w:jc w:val="both"/>
              <w:rPr>
                <w:rFonts w:ascii="Times New Roman" w:hAnsi="Times New Roman" w:cs="Times New Roman"/>
                <w:sz w:val="20"/>
                <w:szCs w:val="20"/>
                <w:lang w:val="en-US"/>
              </w:rPr>
            </w:pPr>
            <w:r w:rsidRPr="00B65B9D">
              <w:rPr>
                <w:rFonts w:ascii="Times New Roman" w:hAnsi="Times New Roman" w:cs="Times New Roman"/>
                <w:sz w:val="20"/>
                <w:szCs w:val="20"/>
              </w:rPr>
              <w:t xml:space="preserve">Trust – Benevolence </w:t>
            </w:r>
            <w:r w:rsidRPr="00B65B9D">
              <w:rPr>
                <w:rFonts w:ascii="Times New Roman" w:hAnsi="Times New Roman" w:cs="Times New Roman"/>
                <w:sz w:val="20"/>
                <w:szCs w:val="20"/>
              </w:rPr>
              <w:fldChar w:fldCharType="begin" w:fldLock="1"/>
            </w:r>
            <w:r w:rsidRPr="00B65B9D">
              <w:rPr>
                <w:rFonts w:ascii="Times New Roman" w:hAnsi="Times New Roman" w:cs="Times New Roman"/>
                <w:sz w:val="20"/>
                <w:szCs w:val="20"/>
              </w:rPr>
              <w:instrText>ADDIN CSL_CITATION {"citationItems":[{"id":"ITEM-1","itemData":{"abstract":"The study reported here raises some questions about the conventional wisdom that the Internet creates a \"level playing field\" for large and small retailers and for retailers with and without an established reputation. In our study, consumers recognized differences in size and reputation among Internet stores, and those differences influenced their assessments of store trustworthiness and their perception of risk, as well as their willingness to patronize the store. After describing our research methods and results, we draw some implications for Internet merchants.","author":[{"dropping-particle":"","family":"Jarvenpaa","given":"Sirkka L","non-dropping-particle":"","parse-names":false,"suffix":""},{"dropping-particle":"","family":"Tractinsky","given":"Noam","non-dropping-particle":"","parse-names":false,"suffix":""},{"dropping-particle":"","family":"Vitale","given":"Michael","non-dropping-particle":"","parse-names":false,"suffix":""}],"container-title":"Information Technology and Management","id":"ITEM-1","issued":{"date-parts":[["2000"]]},"page":"45-71","title":"Consumer trust in an Internet store ","type":"article-journal","volume":"1"},"uris":["http://www.mendeley.com/documents/?uuid=f54fbef4-3e82-49fc-9b57-1e489838c297","http://www.mendeley.com/documents/?uuid=be48af6a-3329-31fd-bb8b-048fa0816266"]},{"id":"ITEM-2","itemData":{"DOI":"10.1287/isre.13.3.334.81","ISSN":"10477047","abstract":"Evidence suggests that consumers often hesitate to transact with Web-based vendors because of uncertainty about vendor behavior or the perceived risk of having personal information stolen by hackers. Trust plays a central role in helping consumers overcome perceptions of risk and insecurity. Trust makes consumers comfortable sharing personal information, making purchases, and acting on Web vendor advice - behaviors essential to widespread adoption of e-commerce. Therefore, trust is critical to both researchers and practitioners. Prior research on e-commerce trust has used diverse, incomplete, and inconsistent definitions of trust, making it difficult to compare results across studies. This paper contributes by proposing and validating measures for a multidisciplinary, multidimensional model of trust in e-commerce. The model includes four high-level constructs - disposition to trust, institution-based trust, trusting beliefs, and trusting intentions - which are further delineated into 16 measurable, literature-grounded subconstructs. The psychometric properties of the measures are demonstrated through use of a hypothetical, legal advice Web site. The results show that trust is indeed a multidimensional concept. Proposed relationships among the trust constructs are tested (for internal nomological validity), as are relationships between the trust constructs and three other e-commerce constructs (for external nomological validity) - Web experience, personal innovativeness, and Web site quality</w:instrText>
            </w:r>
            <w:r w:rsidRPr="00562C53">
              <w:rPr>
                <w:rFonts w:ascii="Times New Roman" w:hAnsi="Times New Roman" w:cs="Times New Roman"/>
                <w:sz w:val="20"/>
                <w:szCs w:val="20"/>
                <w:lang w:val="en-US"/>
              </w:rPr>
              <w:instrText>. Suggestions for future research as well as implications for practice are discussed.","author":[{"dropping-particle":"","family":"McKnight","given":"D. Harrison","non-dropping-particle":"","parse-names":false,"suffix":""},{"dropping-particle":"","family":"Choudhury","given":"Vivek","non-dropping-particle":"","parse-names":false,"suffix":""},{"dropping-particle":"","family":"Kacmar","given":"Charles","non-dropping-particle":"","parse-names":false,"suffix":""}],"container-title":"Information Systems Research","id":"ITEM-2","issue":"3","issued":{"date-parts":[["2002"]]},"page":"334-359","publisher":"INFORMS Inst.for Operations Res.and the Management Sciences","title":"Developing and validating trust measures for e-commerce: An integrative typology","type":"article-journal","volume":"13"},"uris":["http://www.mendeley.com/documents/?uuid=e9a848c9-abd0-4be7-afba-9da28c4ebd30","http://www.mendeley.com/documents/?uuid=573a0b10-dbb1-3ac2-b953-2b4c9bea9f20","http://www.mendeley.com/documents/?uuid=10417d02-4274-4001-8393-62b3fddfecd9"]}],"mendeley":{"formattedCitation":"(Jarvenpaa, Tractinsky, and Vitale 2000; McKnight, Choudhury, and Kacmar 2002)","plainTextFormattedCitation":"(Jarvenpaa, Tractinsky, and Vitale 2000; McKnight, Choudhury, and Kacmar 2002)","previouslyFormattedCitation":"(Jarvenpaa, Tractinsky, and Vitale 2000; McKnight, Choudhury, and Kacmar 2002)"},"properties":{"noteIndex":0},"schema":"https://github.com/citation-style-language/schema/raw/master/csl-citation.json"}</w:instrText>
            </w:r>
            <w:r w:rsidRPr="00B65B9D">
              <w:rPr>
                <w:rFonts w:ascii="Times New Roman" w:hAnsi="Times New Roman" w:cs="Times New Roman"/>
                <w:sz w:val="20"/>
                <w:szCs w:val="20"/>
              </w:rPr>
              <w:fldChar w:fldCharType="separate"/>
            </w:r>
            <w:r w:rsidRPr="00562C53">
              <w:rPr>
                <w:rFonts w:ascii="Times New Roman" w:hAnsi="Times New Roman" w:cs="Times New Roman"/>
                <w:noProof/>
                <w:sz w:val="20"/>
                <w:szCs w:val="20"/>
                <w:lang w:val="en-US"/>
              </w:rPr>
              <w:t>(Jarvenpaa, Tractinsky, and Vitale 2000; McKnight, Choudhury, and Kacmar 2002)</w:t>
            </w:r>
            <w:r w:rsidRPr="00B65B9D">
              <w:rPr>
                <w:rFonts w:ascii="Times New Roman" w:hAnsi="Times New Roman" w:cs="Times New Roman"/>
                <w:sz w:val="20"/>
                <w:szCs w:val="20"/>
              </w:rPr>
              <w:fldChar w:fldCharType="end"/>
            </w:r>
          </w:p>
        </w:tc>
        <w:tc>
          <w:tcPr>
            <w:tcW w:w="1113" w:type="dxa"/>
            <w:tcBorders>
              <w:top w:val="single" w:sz="4" w:space="0" w:color="auto"/>
              <w:left w:val="single" w:sz="4" w:space="0" w:color="auto"/>
              <w:bottom w:val="single" w:sz="4" w:space="0" w:color="auto"/>
              <w:right w:val="single" w:sz="4" w:space="0" w:color="auto"/>
            </w:tcBorders>
          </w:tcPr>
          <w:p w14:paraId="2E482B73" w14:textId="77777777" w:rsidR="00562C53" w:rsidRPr="00562C53" w:rsidRDefault="00562C53" w:rsidP="00507181">
            <w:pPr>
              <w:rPr>
                <w:rFonts w:ascii="Times New Roman" w:hAnsi="Times New Roman" w:cs="Times New Roman"/>
                <w:iCs/>
                <w:lang w:val="en-US"/>
              </w:rPr>
            </w:pPr>
            <w:r w:rsidRPr="00562C53">
              <w:rPr>
                <w:rFonts w:ascii="Times New Roman" w:hAnsi="Times New Roman" w:cs="Times New Roman"/>
                <w:iCs/>
                <w:lang w:val="en-US"/>
              </w:rPr>
              <w:t>TRU2</w:t>
            </w:r>
          </w:p>
        </w:tc>
        <w:tc>
          <w:tcPr>
            <w:tcW w:w="6541" w:type="dxa"/>
            <w:tcBorders>
              <w:top w:val="single" w:sz="4" w:space="0" w:color="auto"/>
              <w:left w:val="single" w:sz="4" w:space="0" w:color="auto"/>
              <w:bottom w:val="single" w:sz="4" w:space="0" w:color="auto"/>
              <w:right w:val="single" w:sz="4" w:space="0" w:color="auto"/>
            </w:tcBorders>
          </w:tcPr>
          <w:p w14:paraId="21B7B212" w14:textId="77777777" w:rsidR="00562C53" w:rsidRPr="00562C53" w:rsidRDefault="00562C53" w:rsidP="00507181">
            <w:pPr>
              <w:rPr>
                <w:rFonts w:ascii="Times New Roman" w:hAnsi="Times New Roman" w:cs="Times New Roman"/>
                <w:iCs/>
                <w:lang w:val="en-US"/>
              </w:rPr>
            </w:pPr>
            <w:r w:rsidRPr="00562C53">
              <w:rPr>
                <w:rFonts w:ascii="Times New Roman" w:hAnsi="Times New Roman" w:cs="Times New Roman"/>
                <w:iCs/>
                <w:lang w:val="en-US"/>
              </w:rPr>
              <w:t xml:space="preserve">Public institutions would keep my best interests in mind when dealing with my personal information </w:t>
            </w:r>
          </w:p>
        </w:tc>
      </w:tr>
      <w:tr w:rsidR="00562C53" w:rsidRPr="00B65B9D" w14:paraId="40E15076" w14:textId="77777777" w:rsidTr="00507181">
        <w:tc>
          <w:tcPr>
            <w:tcW w:w="2122" w:type="dxa"/>
            <w:tcBorders>
              <w:top w:val="single" w:sz="4" w:space="0" w:color="auto"/>
              <w:left w:val="single" w:sz="4" w:space="0" w:color="auto"/>
              <w:bottom w:val="single" w:sz="4" w:space="0" w:color="auto"/>
              <w:right w:val="single" w:sz="4" w:space="0" w:color="auto"/>
            </w:tcBorders>
          </w:tcPr>
          <w:p w14:paraId="21F1F2A6" w14:textId="77777777" w:rsidR="00562C53" w:rsidRPr="00562C53" w:rsidRDefault="00562C53" w:rsidP="00507181">
            <w:pPr>
              <w:spacing w:before="120" w:after="120"/>
              <w:jc w:val="both"/>
              <w:rPr>
                <w:rFonts w:ascii="Times New Roman" w:hAnsi="Times New Roman" w:cs="Times New Roman"/>
                <w:sz w:val="20"/>
                <w:szCs w:val="20"/>
                <w:lang w:val="en-US"/>
              </w:rPr>
            </w:pPr>
            <w:r w:rsidRPr="00562C53">
              <w:rPr>
                <w:rFonts w:ascii="Times New Roman" w:hAnsi="Times New Roman" w:cs="Times New Roman"/>
                <w:sz w:val="20"/>
                <w:szCs w:val="20"/>
                <w:lang w:val="en-US"/>
              </w:rPr>
              <w:t xml:space="preserve">Trust – Integrity </w:t>
            </w:r>
            <w:r w:rsidRPr="00B65B9D">
              <w:rPr>
                <w:rFonts w:ascii="Times New Roman" w:hAnsi="Times New Roman" w:cs="Times New Roman"/>
                <w:sz w:val="20"/>
                <w:szCs w:val="20"/>
              </w:rPr>
              <w:fldChar w:fldCharType="begin" w:fldLock="1"/>
            </w:r>
            <w:r w:rsidRPr="00562C53">
              <w:rPr>
                <w:rFonts w:ascii="Times New Roman" w:hAnsi="Times New Roman" w:cs="Times New Roman"/>
                <w:sz w:val="20"/>
                <w:szCs w:val="20"/>
                <w:lang w:val="en-US"/>
              </w:rPr>
              <w:instrText>ADDIN CSL_CITATION {"citationItems":[{"id":"ITEM-1","itemData":{"abstract":"The study reported here raises some questions about the conventional wisdom that the Internet creates a \"level playing field\" for large and small retailers and for retailers with and without an established reputation. In our study, consumers recognized differences in size and reputation among Internet stores, and those differences influenced their assessments of store trustworthiness and their perception of risk, as well as their willingness to patronize the store. After describing our research methods and results, we draw some implications for Internet merchants.","author":[{"dropping-particle":"","family":"Jarvenpaa","given":"Sirkka L","non-dropping-particle":"","parse-names":false,"suffix":""},{"dropping-particle":"","family":"Tractinsky","given":"Noam","non-dropping-particle":"","parse-names":false,"suffix":""},{"dropping-particle":"","family":"Vitale","given":"Michael","non-dropping-particle":"","parse-names":false,"suffix":""}],"container-title":"Information Technology and Management","id":"ITEM-1","issued":{"date-parts":[["2000"]]},"page":"45-71","title":"Consumer trust in an Internet store ","type":"article-journal","volume":"1"},"uris":["http://www.mendeley.com/documents/?uuid=f54fbef4-3e8</w:instrText>
            </w:r>
            <w:r w:rsidRPr="00B65B9D">
              <w:rPr>
                <w:rFonts w:ascii="Times New Roman" w:hAnsi="Times New Roman" w:cs="Times New Roman"/>
                <w:sz w:val="20"/>
                <w:szCs w:val="20"/>
              </w:rPr>
              <w:instrText>2-49fc-9b57-1e489838c297","http://www.mendeley.com/documents/?uuid=be48af6a-3329-31fd-bb8b-048fa0816266"]},{"id":"ITEM-2","itemData":{"DOI":"10.1287/isre.13.3.334.81","ISSN":"10477047","abstract":"Evidence suggests that consumers often hesitate to transact with Web-based vendors because of uncertainty about vendor behavior or the perceived risk of having personal information stolen by hackers. Trust plays a central role in helping consumers overcome perceptions of risk and insecurity. Trust makes consumers comfortable sharing personal information, making purchases, and acting on Web vendor advice - behaviors essential to widespread adoption of e-commerce. Therefore, trust is critical to both researchers and practitioners. Prior research on e-commerce trust has used diverse, incomplete, and inconsistent definitions of trust, making it difficult to compare results across studies. This paper contributes by proposing and validating measures for a multidisciplinary, multidimensional model of trust in e-commerce. The model includes four high-level constructs - disposition to trust, institution-based trust, trusting beliefs, and trusting intentions - which are further delineated into 16 measurable, literature-grounded subconstructs. The psychometric properties of the measures are demonstrated through use of a hypothetical, legal advice Web site. The results show that trust is indeed a multidimensional concept. Proposed relationships among the trust constructs are tested (for internal nomological validity), as are relationships between the trust constructs and three other e-commerce constructs (for external nomological validity) - Web experience, personal innovativeness, and Web site quality</w:instrText>
            </w:r>
            <w:r w:rsidRPr="00562C53">
              <w:rPr>
                <w:rFonts w:ascii="Times New Roman" w:hAnsi="Times New Roman" w:cs="Times New Roman"/>
                <w:sz w:val="20"/>
                <w:szCs w:val="20"/>
                <w:lang w:val="en-US"/>
              </w:rPr>
              <w:instrText>. Suggestions for future research as well as implications for practice are discussed.","author":[{"dropping-particle":"","family":"McKnight","given":"D. Harrison","non-dropping-particle":"","parse-names":false,"suffix":""},{"dropping-particle":"","family":"Choudhury","given":"Vivek","non-dropping-particle":"","parse-names":false,"suffix":""},{"dropping-particle":"","family":"Kacmar","given":"Charles","non-dropping-particle":"","parse-names":false,"suffix":""}],"container-title":"Information Systems Research","id":"ITEM-2","issue":"3","issued":{"date-parts":[["2002"]]},"page":"334-359","publisher":"INFORMS Inst.for Operations Res.and the Management Sciences","title":"Developing and validating trust measures for e-commerce: An integrative typology","type":"article-journal","volume":"13"},"uris":["http://www.mendeley.com/documents/?uuid=e9a848c9-abd0-4be7-afba-9da28c4ebd30","http://www.mendeley.com/documents/?uuid=573a0b10-dbb1-3ac2-b953-2b4c9bea9f20","http://www.mendeley.com/documents/?uuid=e9089f25-df6d-4374-a34a-01e5767a4802"]}],"mendeley":{"formattedCitation":"(Jarvenpaa, Tractinsky, and Vitale 2000; McKnight, Choudhury, and Kacmar 2002)","plainTextFormattedCitation":"(Jarvenpaa, Tractinsky, and Vitale 2000; McKnight, Choudhury, and Kacmar 2002)","previouslyFormattedCitation":"(Jarvenpaa, Tractinsky, and Vitale 2000; McKnight, Choudhury, and Kacmar 2002)"},"properties":{"noteIndex":0},"schema":"https://github.com/citation-style-language/schema/raw/master/csl-citation.json"}</w:instrText>
            </w:r>
            <w:r w:rsidRPr="00B65B9D">
              <w:rPr>
                <w:rFonts w:ascii="Times New Roman" w:hAnsi="Times New Roman" w:cs="Times New Roman"/>
                <w:sz w:val="20"/>
                <w:szCs w:val="20"/>
              </w:rPr>
              <w:fldChar w:fldCharType="separate"/>
            </w:r>
            <w:r w:rsidRPr="00562C53">
              <w:rPr>
                <w:rFonts w:ascii="Times New Roman" w:hAnsi="Times New Roman" w:cs="Times New Roman"/>
                <w:noProof/>
                <w:sz w:val="20"/>
                <w:szCs w:val="20"/>
                <w:lang w:val="en-US"/>
              </w:rPr>
              <w:t>(Jarvenpaa, Tractinsky, and Vitale 2000; McKnight, Choudhury, and Kacmar 2002)</w:t>
            </w:r>
            <w:r w:rsidRPr="00B65B9D">
              <w:rPr>
                <w:rFonts w:ascii="Times New Roman" w:hAnsi="Times New Roman" w:cs="Times New Roman"/>
                <w:sz w:val="20"/>
                <w:szCs w:val="20"/>
              </w:rPr>
              <w:fldChar w:fldCharType="end"/>
            </w:r>
          </w:p>
        </w:tc>
        <w:tc>
          <w:tcPr>
            <w:tcW w:w="1113" w:type="dxa"/>
            <w:tcBorders>
              <w:top w:val="single" w:sz="4" w:space="0" w:color="auto"/>
              <w:left w:val="single" w:sz="4" w:space="0" w:color="auto"/>
              <w:bottom w:val="single" w:sz="4" w:space="0" w:color="auto"/>
              <w:right w:val="single" w:sz="4" w:space="0" w:color="auto"/>
            </w:tcBorders>
          </w:tcPr>
          <w:p w14:paraId="59F68BCA" w14:textId="77777777" w:rsidR="00562C53" w:rsidRPr="00562C53" w:rsidRDefault="00562C53" w:rsidP="00507181">
            <w:pPr>
              <w:rPr>
                <w:rFonts w:ascii="Times New Roman" w:hAnsi="Times New Roman" w:cs="Times New Roman"/>
                <w:iCs/>
                <w:lang w:val="en-US"/>
              </w:rPr>
            </w:pPr>
            <w:r w:rsidRPr="00562C53">
              <w:rPr>
                <w:rFonts w:ascii="Times New Roman" w:hAnsi="Times New Roman" w:cs="Times New Roman"/>
                <w:iCs/>
                <w:lang w:val="en-US"/>
              </w:rPr>
              <w:t>TRU3</w:t>
            </w:r>
          </w:p>
        </w:tc>
        <w:tc>
          <w:tcPr>
            <w:tcW w:w="6541" w:type="dxa"/>
            <w:tcBorders>
              <w:top w:val="single" w:sz="4" w:space="0" w:color="auto"/>
              <w:left w:val="single" w:sz="4" w:space="0" w:color="auto"/>
              <w:bottom w:val="single" w:sz="4" w:space="0" w:color="auto"/>
              <w:right w:val="single" w:sz="4" w:space="0" w:color="auto"/>
            </w:tcBorders>
          </w:tcPr>
          <w:p w14:paraId="625DBB24" w14:textId="77777777" w:rsidR="00562C53" w:rsidRPr="00562C53" w:rsidRDefault="00562C53" w:rsidP="00507181">
            <w:pPr>
              <w:keepNext/>
              <w:rPr>
                <w:rFonts w:ascii="Times New Roman" w:hAnsi="Times New Roman" w:cs="Times New Roman"/>
                <w:iCs/>
                <w:lang w:val="en-US"/>
              </w:rPr>
            </w:pPr>
            <w:r w:rsidRPr="00562C53">
              <w:rPr>
                <w:rFonts w:ascii="Times New Roman" w:hAnsi="Times New Roman" w:cs="Times New Roman"/>
                <w:iCs/>
                <w:lang w:val="en-US"/>
              </w:rPr>
              <w:t xml:space="preserve">Public institutions would fulfill its promises related to customers’ personal information </w:t>
            </w:r>
          </w:p>
        </w:tc>
      </w:tr>
    </w:tbl>
    <w:p w14:paraId="1ED8866D" w14:textId="77777777" w:rsidR="00562C53" w:rsidRDefault="00562C53" w:rsidP="00562C53">
      <w:pPr>
        <w:pBdr>
          <w:top w:val="nil"/>
          <w:left w:val="nil"/>
          <w:bottom w:val="nil"/>
          <w:right w:val="nil"/>
          <w:between w:val="nil"/>
        </w:pBdr>
        <w:spacing w:before="80" w:after="80" w:line="240" w:lineRule="auto"/>
        <w:jc w:val="center"/>
        <w:rPr>
          <w:rFonts w:ascii="Times New Roman" w:hAnsi="Times New Roman" w:cs="Times New Roman"/>
          <w:i/>
          <w:color w:val="44546A"/>
          <w:sz w:val="18"/>
          <w:szCs w:val="18"/>
        </w:rPr>
      </w:pPr>
    </w:p>
    <w:p w14:paraId="73A9C8FA" w14:textId="77777777" w:rsidR="00562C53" w:rsidRDefault="00562C53" w:rsidP="00562C53">
      <w:pPr>
        <w:pBdr>
          <w:top w:val="nil"/>
          <w:left w:val="nil"/>
          <w:bottom w:val="nil"/>
          <w:right w:val="nil"/>
          <w:between w:val="nil"/>
        </w:pBdr>
        <w:spacing w:before="80" w:after="80" w:line="240" w:lineRule="auto"/>
        <w:jc w:val="center"/>
        <w:rPr>
          <w:rFonts w:ascii="Times New Roman" w:hAnsi="Times New Roman" w:cs="Times New Roman"/>
          <w:i/>
          <w:color w:val="44546A"/>
          <w:sz w:val="18"/>
          <w:szCs w:val="18"/>
        </w:rPr>
      </w:pPr>
    </w:p>
    <w:p w14:paraId="539026AA" w14:textId="77777777" w:rsidR="00562C53" w:rsidRPr="00B65B9D" w:rsidRDefault="00562C53" w:rsidP="00562C53">
      <w:pPr>
        <w:pBdr>
          <w:top w:val="nil"/>
          <w:left w:val="nil"/>
          <w:bottom w:val="nil"/>
          <w:right w:val="nil"/>
          <w:between w:val="nil"/>
        </w:pBdr>
        <w:spacing w:before="80" w:after="80" w:line="240" w:lineRule="auto"/>
        <w:jc w:val="center"/>
        <w:rPr>
          <w:rFonts w:ascii="Times New Roman" w:hAnsi="Times New Roman" w:cs="Times New Roman"/>
          <w:i/>
          <w:color w:val="44546A"/>
          <w:sz w:val="18"/>
          <w:szCs w:val="1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134"/>
        <w:gridCol w:w="6520"/>
      </w:tblGrid>
      <w:tr w:rsidR="00562C53" w:rsidRPr="00B65B9D" w14:paraId="709B2C6F" w14:textId="77777777" w:rsidTr="00507181">
        <w:tc>
          <w:tcPr>
            <w:tcW w:w="2122" w:type="dxa"/>
            <w:vMerge w:val="restart"/>
            <w:tcBorders>
              <w:top w:val="single" w:sz="4" w:space="0" w:color="auto"/>
            </w:tcBorders>
          </w:tcPr>
          <w:p w14:paraId="5C282DBC" w14:textId="77777777" w:rsidR="00562C53" w:rsidRPr="00B65B9D" w:rsidRDefault="00562C53" w:rsidP="00507181">
            <w:pPr>
              <w:spacing w:before="120" w:after="120" w:line="240" w:lineRule="auto"/>
              <w:jc w:val="both"/>
              <w:rPr>
                <w:rFonts w:ascii="Times New Roman" w:hAnsi="Times New Roman" w:cs="Times New Roman"/>
                <w:iCs/>
              </w:rPr>
            </w:pPr>
            <w:r w:rsidRPr="00B65B9D">
              <w:rPr>
                <w:rFonts w:ascii="Times New Roman" w:hAnsi="Times New Roman" w:cs="Times New Roman"/>
                <w:sz w:val="20"/>
                <w:szCs w:val="20"/>
              </w:rPr>
              <w:t xml:space="preserve">Perceived benefit: Emergency situation </w:t>
            </w:r>
            <w:r w:rsidRPr="00B65B9D">
              <w:rPr>
                <w:rFonts w:ascii="Times New Roman" w:hAnsi="Times New Roman" w:cs="Times New Roman"/>
                <w:sz w:val="20"/>
                <w:szCs w:val="20"/>
              </w:rPr>
              <w:fldChar w:fldCharType="begin" w:fldLock="1"/>
            </w:r>
            <w:r w:rsidRPr="00B65B9D">
              <w:rPr>
                <w:rFonts w:ascii="Times New Roman" w:hAnsi="Times New Roman" w:cs="Times New Roman"/>
                <w:sz w:val="20"/>
                <w:szCs w:val="20"/>
              </w:rPr>
              <w:instrText>ADDIN CSL_CITATION {"citationItems":[{"id":"ITEM-1","itemData":{"DOI":"10.2307/249008","ISSN":"02767783","abstract":"Valid measurement scales for predicting user acceptance of computers are in short supply. Most subjective measures used in practice are unvalidated, and their relationship to system usage is unknown. The present research develops and vandales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(r=.85, Study 2). Perceived ease of use was also significantly correlated with current usage (r=.45, Study 1) and future usage (r=.59, Study 2). In both studies, usefulness had a significantly greater correlation with usage behavior than did ease of use. Regression analyses suggest that perceived ease of use may actually be a causal antecedent to perceived usefulness, as opposed toy a parallel, direct determinant of system usage. Implications are drawn for future research on user acceptance.","author":[{"dropping-particle":"","family":"Davis","given":"Fred D.","non-dropping-particle":"","parse-names":false,"suffix":""}],"container-title":"MIS Quarterly","id":"ITEM-1","issue":"3","issued":{"date-parts":[["1989"]]},"page":"319-339","title":"Perceived usefulness, perceived ease of use, and user acceptance of information technology","type":"article-journal","volume":"13"},"uris":["http://www.mendeley.com/documents/?uuid=31e49e98-d7b3-434e-b466-f9043fb0bf1a","http://www.mendeley.com/documents/?uuid=d20c0c15-c801-4a10-8fde-400810c0e542"]}],"mendeley":{"formattedCitation":"(Davis 1989)","plainTextFormattedCitation":"(Davis 1989)","previouslyFormattedCitation":"(Davis 1989)"},"properties":{"noteIndex":0},"schema":"https://github.com/citation-style-language/schema/raw/master/csl-citation.json"}</w:instrText>
            </w:r>
            <w:r w:rsidRPr="00B65B9D">
              <w:rPr>
                <w:rFonts w:ascii="Times New Roman" w:hAnsi="Times New Roman" w:cs="Times New Roman"/>
                <w:sz w:val="20"/>
                <w:szCs w:val="20"/>
              </w:rPr>
              <w:fldChar w:fldCharType="separate"/>
            </w:r>
            <w:r w:rsidRPr="00B65B9D">
              <w:rPr>
                <w:rFonts w:ascii="Times New Roman" w:hAnsi="Times New Roman" w:cs="Times New Roman"/>
                <w:noProof/>
                <w:sz w:val="20"/>
                <w:szCs w:val="20"/>
              </w:rPr>
              <w:t>(Davis 1989)</w:t>
            </w:r>
            <w:r w:rsidRPr="00B65B9D">
              <w:rPr>
                <w:rFonts w:ascii="Times New Roman" w:hAnsi="Times New Roman" w:cs="Times New Roman"/>
                <w:sz w:val="20"/>
                <w:szCs w:val="20"/>
              </w:rPr>
              <w:fldChar w:fldCharType="end"/>
            </w:r>
          </w:p>
        </w:tc>
        <w:tc>
          <w:tcPr>
            <w:tcW w:w="1134" w:type="dxa"/>
            <w:tcBorders>
              <w:top w:val="single" w:sz="4" w:space="0" w:color="auto"/>
            </w:tcBorders>
          </w:tcPr>
          <w:p w14:paraId="0C6F674E" w14:textId="77777777" w:rsidR="00562C53" w:rsidRPr="00B65B9D" w:rsidRDefault="00562C53" w:rsidP="00507181">
            <w:pPr>
              <w:spacing w:before="120" w:after="120" w:line="240" w:lineRule="auto"/>
              <w:jc w:val="both"/>
              <w:rPr>
                <w:rFonts w:ascii="Times New Roman" w:hAnsi="Times New Roman" w:cs="Times New Roman"/>
                <w:iCs/>
              </w:rPr>
            </w:pPr>
            <w:r>
              <w:rPr>
                <w:rFonts w:ascii="Times New Roman" w:hAnsi="Times New Roman" w:cs="Times New Roman"/>
                <w:sz w:val="20"/>
                <w:szCs w:val="20"/>
              </w:rPr>
              <w:t>BENEFITS1</w:t>
            </w:r>
          </w:p>
        </w:tc>
        <w:tc>
          <w:tcPr>
            <w:tcW w:w="6520" w:type="dxa"/>
            <w:tcBorders>
              <w:top w:val="single" w:sz="4" w:space="0" w:color="auto"/>
            </w:tcBorders>
          </w:tcPr>
          <w:p w14:paraId="28DAE54B" w14:textId="77777777" w:rsidR="00562C53" w:rsidRPr="00B65B9D" w:rsidRDefault="00562C53" w:rsidP="00507181">
            <w:pPr>
              <w:spacing w:before="120" w:after="120" w:line="240" w:lineRule="auto"/>
              <w:jc w:val="both"/>
              <w:rPr>
                <w:rFonts w:ascii="Times New Roman" w:hAnsi="Times New Roman" w:cs="Times New Roman"/>
                <w:iCs/>
              </w:rPr>
            </w:pPr>
            <w:r w:rsidRPr="00B65B9D">
              <w:rPr>
                <w:rFonts w:ascii="Times New Roman" w:hAnsi="Times New Roman" w:cs="Times New Roman"/>
                <w:sz w:val="20"/>
                <w:szCs w:val="20"/>
              </w:rPr>
              <w:t xml:space="preserve">The use of tracking data for emergency management can save lives </w:t>
            </w:r>
          </w:p>
        </w:tc>
      </w:tr>
      <w:tr w:rsidR="00562C53" w:rsidRPr="00B65B9D" w14:paraId="074AFD65" w14:textId="77777777" w:rsidTr="00507181">
        <w:tc>
          <w:tcPr>
            <w:tcW w:w="2122" w:type="dxa"/>
            <w:vMerge/>
          </w:tcPr>
          <w:p w14:paraId="0C049564" w14:textId="77777777" w:rsidR="00562C53" w:rsidRPr="00B65B9D" w:rsidRDefault="00562C53" w:rsidP="00507181">
            <w:pPr>
              <w:spacing w:before="120" w:after="120" w:line="240" w:lineRule="auto"/>
              <w:jc w:val="both"/>
              <w:rPr>
                <w:rFonts w:ascii="Times New Roman" w:hAnsi="Times New Roman" w:cs="Times New Roman"/>
                <w:iCs/>
              </w:rPr>
            </w:pPr>
          </w:p>
        </w:tc>
        <w:tc>
          <w:tcPr>
            <w:tcW w:w="1134" w:type="dxa"/>
          </w:tcPr>
          <w:p w14:paraId="26E3C292" w14:textId="77777777" w:rsidR="00562C53" w:rsidRPr="00B65B9D" w:rsidRDefault="00562C53" w:rsidP="00507181">
            <w:pPr>
              <w:spacing w:before="120" w:after="120" w:line="240" w:lineRule="auto"/>
              <w:jc w:val="both"/>
              <w:rPr>
                <w:rFonts w:ascii="Times New Roman" w:hAnsi="Times New Roman" w:cs="Times New Roman"/>
                <w:iCs/>
              </w:rPr>
            </w:pPr>
            <w:r>
              <w:rPr>
                <w:rFonts w:ascii="Times New Roman" w:hAnsi="Times New Roman" w:cs="Times New Roman"/>
                <w:sz w:val="20"/>
                <w:szCs w:val="20"/>
              </w:rPr>
              <w:t>BENEFITS2</w:t>
            </w:r>
          </w:p>
        </w:tc>
        <w:tc>
          <w:tcPr>
            <w:tcW w:w="6520" w:type="dxa"/>
          </w:tcPr>
          <w:p w14:paraId="0AAC1915" w14:textId="77777777" w:rsidR="00562C53" w:rsidRPr="00B65B9D" w:rsidRDefault="00562C53" w:rsidP="00507181">
            <w:pPr>
              <w:spacing w:before="120" w:after="120" w:line="240" w:lineRule="auto"/>
              <w:jc w:val="both"/>
              <w:rPr>
                <w:rFonts w:ascii="Times New Roman" w:hAnsi="Times New Roman" w:cs="Times New Roman"/>
                <w:iCs/>
              </w:rPr>
            </w:pPr>
            <w:r w:rsidRPr="00B65B9D">
              <w:rPr>
                <w:rFonts w:ascii="Times New Roman" w:hAnsi="Times New Roman" w:cs="Times New Roman"/>
                <w:sz w:val="20"/>
                <w:szCs w:val="20"/>
              </w:rPr>
              <w:t xml:space="preserve">Using location-based services in emergencies would be invaluable </w:t>
            </w:r>
          </w:p>
        </w:tc>
      </w:tr>
      <w:tr w:rsidR="00562C53" w:rsidRPr="00B65B9D" w14:paraId="5B592F04" w14:textId="77777777" w:rsidTr="00507181">
        <w:tc>
          <w:tcPr>
            <w:tcW w:w="2122" w:type="dxa"/>
            <w:vMerge/>
          </w:tcPr>
          <w:p w14:paraId="62E7B919" w14:textId="77777777" w:rsidR="00562C53" w:rsidRPr="00B65B9D" w:rsidRDefault="00562C53" w:rsidP="00507181">
            <w:pPr>
              <w:spacing w:before="120" w:after="120" w:line="240" w:lineRule="auto"/>
              <w:jc w:val="both"/>
              <w:rPr>
                <w:rFonts w:ascii="Times New Roman" w:hAnsi="Times New Roman" w:cs="Times New Roman"/>
                <w:iCs/>
              </w:rPr>
            </w:pPr>
          </w:p>
        </w:tc>
        <w:tc>
          <w:tcPr>
            <w:tcW w:w="1134" w:type="dxa"/>
          </w:tcPr>
          <w:p w14:paraId="6EB4D0C4" w14:textId="77777777" w:rsidR="00562C53" w:rsidRPr="00B65B9D" w:rsidRDefault="00562C53" w:rsidP="00507181">
            <w:pPr>
              <w:spacing w:before="120" w:after="120" w:line="240" w:lineRule="auto"/>
              <w:jc w:val="both"/>
              <w:rPr>
                <w:rFonts w:ascii="Times New Roman" w:hAnsi="Times New Roman" w:cs="Times New Roman"/>
                <w:iCs/>
              </w:rPr>
            </w:pPr>
            <w:r>
              <w:rPr>
                <w:rFonts w:ascii="Times New Roman" w:hAnsi="Times New Roman" w:cs="Times New Roman"/>
                <w:sz w:val="20"/>
                <w:szCs w:val="20"/>
              </w:rPr>
              <w:t>BENEFITS3</w:t>
            </w:r>
          </w:p>
        </w:tc>
        <w:tc>
          <w:tcPr>
            <w:tcW w:w="6520" w:type="dxa"/>
          </w:tcPr>
          <w:p w14:paraId="29B9E37E" w14:textId="77777777" w:rsidR="00562C53" w:rsidRPr="00B65B9D" w:rsidRDefault="00562C53" w:rsidP="00507181">
            <w:pPr>
              <w:spacing w:before="120" w:after="120" w:line="240" w:lineRule="auto"/>
              <w:jc w:val="both"/>
              <w:rPr>
                <w:rFonts w:ascii="Times New Roman" w:hAnsi="Times New Roman" w:cs="Times New Roman"/>
                <w:iCs/>
              </w:rPr>
            </w:pPr>
            <w:r w:rsidRPr="00B65B9D">
              <w:rPr>
                <w:rFonts w:ascii="Times New Roman" w:hAnsi="Times New Roman" w:cs="Times New Roman"/>
                <w:sz w:val="20"/>
                <w:szCs w:val="20"/>
              </w:rPr>
              <w:t xml:space="preserve">Using location-based services for managing emergencies can guarantee my safety and well-being </w:t>
            </w:r>
          </w:p>
        </w:tc>
      </w:tr>
    </w:tbl>
    <w:tbl>
      <w:tblPr>
        <w:tblStyle w:val="2"/>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134"/>
        <w:gridCol w:w="6520"/>
      </w:tblGrid>
      <w:tr w:rsidR="00562C53" w:rsidRPr="00B65B9D" w14:paraId="337B6A2A" w14:textId="77777777" w:rsidTr="00507181">
        <w:tc>
          <w:tcPr>
            <w:tcW w:w="2122" w:type="dxa"/>
            <w:vMerge w:val="restart"/>
          </w:tcPr>
          <w:p w14:paraId="076D88EB" w14:textId="43EB7CA5" w:rsidR="00562C53" w:rsidRPr="00B65B9D" w:rsidRDefault="00562C53" w:rsidP="00507181">
            <w:pPr>
              <w:rPr>
                <w:rFonts w:ascii="Times New Roman" w:hAnsi="Times New Roman" w:cs="Times New Roman"/>
                <w:sz w:val="20"/>
                <w:szCs w:val="20"/>
              </w:rPr>
            </w:pPr>
            <w:r w:rsidRPr="00B65B9D">
              <w:rPr>
                <w:rFonts w:ascii="Times New Roman" w:hAnsi="Times New Roman" w:cs="Times New Roman"/>
                <w:sz w:val="20"/>
                <w:szCs w:val="20"/>
              </w:rPr>
              <w:t xml:space="preserve">Perceived Risk </w:t>
            </w:r>
            <w:r w:rsidRPr="00B65B9D">
              <w:rPr>
                <w:rFonts w:ascii="Times New Roman" w:hAnsi="Times New Roman" w:cs="Times New Roman"/>
                <w:sz w:val="20"/>
                <w:szCs w:val="20"/>
              </w:rPr>
              <w:fldChar w:fldCharType="begin" w:fldLock="1"/>
            </w:r>
            <w:r w:rsidRPr="00B65B9D">
              <w:rPr>
                <w:rFonts w:ascii="Times New Roman" w:hAnsi="Times New Roman" w:cs="Times New Roman"/>
                <w:sz w:val="20"/>
                <w:szCs w:val="20"/>
              </w:rPr>
              <w:instrText>ADDIN CSL_CITATION {"citationItems":[{"id":"ITEM-1","itemData":{"DOI":"10.2753/MIS0742-1222260305","ISSN":"07421222","abstract":"Location-based services (LBS) use positioning technologies to provide individual users with reachability and accessibility that would otherwise not be available in the conventional commercial realm. While LBS confer greater connectivity and personalization on consumers, they also threaten users' information privacy through granular tracking of their preferences, behaviors, and identity. To address privacy concerns in the LBS context, this study extends the privacy calculus model to explore the role of information delivery mechanisms (pull and push) in the efficacy of three privacy intervention approaches (compensation, industry self-regulation, and government regulation) in influencing individual privacy decision making. The research model was tested using data gathered from 528 respondents through a quasi-experimental survey method. Structural equations modeling using partial least squares validated the instrument and the proposed model. Results suggest that the effects of the three privacy intervention approaches on an individual's privacy calculus vary based on the type of information delivery mechanism (pull and push). Results suggest that providing financial compensation for push-based LBS is more important than it is for pull-based LBS. Moreover, this study shows that privacy advocates and government legislators should not treat all types of LBS as undifferentiated but could instead specifically target certain types of services. © 2010 M.E. Sharpe, Inc.","author":[{"dropping-particle":"","family":"Xu","given":"Heng","non-dropping-particle":"","parse-names":false,"suffix":""},{"dropping-particle":"","family":"Teo","given":"Hock Hai","non-dropping-particle":"","parse-names":false,"suffix":""},{"dropping-particle":"","family":"Tan","given":"Bernard C.Y.","non-dropping-particle":"","parse-names":false,"suffix":""},{"dropping-particle":"","family":"Agarwal","given":"Ritu","non-dropping-particle":"","parse-names":false,"suffix":""}],"container-title":"Journal of Management Information Systems","id":"ITEM-1","issue":"3","issued":{"date-parts":[["2014"]]},"page":"135-174","title":"The role of push-pull technology in privacy calculus: The case of location-based services","type":"article-journal","volume":"26"},"uris":["http://www.mendeley.com/documents/?uuid=3b00229d-3f2e-45a8-8e1c-1a6db9f0fa39"]}],"mendeley":{"formattedCitation":"(Xu et al. 2014)","plainTextFormattedCitation":"(Xu et al. 2014)","previouslyFormattedCitation":"(Xu et al. 2014)"},"properties":{"noteIndex":0},"schema":"https://github.com/citation-style-language/schema/raw/master/csl-citation.json"}</w:instrText>
            </w:r>
            <w:r w:rsidRPr="00B65B9D">
              <w:rPr>
                <w:rFonts w:ascii="Times New Roman" w:hAnsi="Times New Roman" w:cs="Times New Roman"/>
                <w:sz w:val="20"/>
                <w:szCs w:val="20"/>
              </w:rPr>
              <w:fldChar w:fldCharType="separate"/>
            </w:r>
            <w:r w:rsidRPr="00B65B9D">
              <w:rPr>
                <w:rFonts w:ascii="Times New Roman" w:hAnsi="Times New Roman" w:cs="Times New Roman"/>
                <w:noProof/>
                <w:sz w:val="20"/>
                <w:szCs w:val="20"/>
              </w:rPr>
              <w:t>(Xu et al. 20</w:t>
            </w:r>
            <w:r w:rsidR="00996C72">
              <w:rPr>
                <w:rFonts w:ascii="Times New Roman" w:hAnsi="Times New Roman" w:cs="Times New Roman"/>
                <w:noProof/>
                <w:sz w:val="20"/>
                <w:szCs w:val="20"/>
              </w:rPr>
              <w:t>09</w:t>
            </w:r>
            <w:r w:rsidRPr="00B65B9D">
              <w:rPr>
                <w:rFonts w:ascii="Times New Roman" w:hAnsi="Times New Roman" w:cs="Times New Roman"/>
                <w:noProof/>
                <w:sz w:val="20"/>
                <w:szCs w:val="20"/>
              </w:rPr>
              <w:t>)</w:t>
            </w:r>
            <w:r w:rsidRPr="00B65B9D">
              <w:rPr>
                <w:rFonts w:ascii="Times New Roman" w:hAnsi="Times New Roman" w:cs="Times New Roman"/>
                <w:sz w:val="20"/>
                <w:szCs w:val="20"/>
              </w:rPr>
              <w:fldChar w:fldCharType="end"/>
            </w:r>
          </w:p>
        </w:tc>
        <w:tc>
          <w:tcPr>
            <w:tcW w:w="1134" w:type="dxa"/>
          </w:tcPr>
          <w:p w14:paraId="102A5865" w14:textId="77777777" w:rsidR="00562C53" w:rsidRPr="00B65B9D" w:rsidRDefault="00562C53" w:rsidP="00507181">
            <w:pPr>
              <w:rPr>
                <w:rFonts w:ascii="Times New Roman" w:hAnsi="Times New Roman" w:cs="Times New Roman"/>
                <w:sz w:val="20"/>
                <w:szCs w:val="20"/>
              </w:rPr>
            </w:pPr>
            <w:r w:rsidRPr="00B65B9D">
              <w:rPr>
                <w:rFonts w:ascii="Times New Roman" w:hAnsi="Times New Roman" w:cs="Times New Roman"/>
                <w:sz w:val="20"/>
                <w:szCs w:val="20"/>
              </w:rPr>
              <w:t>RISK1</w:t>
            </w:r>
          </w:p>
        </w:tc>
        <w:tc>
          <w:tcPr>
            <w:tcW w:w="6520" w:type="dxa"/>
          </w:tcPr>
          <w:p w14:paraId="438DD6EF" w14:textId="77777777" w:rsidR="00562C53" w:rsidRPr="00B65B9D" w:rsidRDefault="00562C53" w:rsidP="00507181">
            <w:pPr>
              <w:rPr>
                <w:rFonts w:ascii="Times New Roman" w:hAnsi="Times New Roman" w:cs="Times New Roman"/>
                <w:sz w:val="20"/>
                <w:szCs w:val="20"/>
              </w:rPr>
            </w:pPr>
            <w:r w:rsidRPr="00B65B9D">
              <w:rPr>
                <w:rFonts w:ascii="Times New Roman" w:hAnsi="Times New Roman" w:cs="Times New Roman"/>
                <w:sz w:val="20"/>
                <w:szCs w:val="20"/>
              </w:rPr>
              <w:t xml:space="preserve">Providing public institutions with my tracking data would involve many unexpected problems </w:t>
            </w:r>
          </w:p>
        </w:tc>
      </w:tr>
      <w:tr w:rsidR="00562C53" w:rsidRPr="00B65B9D" w14:paraId="2E01FADE" w14:textId="77777777" w:rsidTr="00507181">
        <w:tc>
          <w:tcPr>
            <w:tcW w:w="2122" w:type="dxa"/>
            <w:vMerge/>
          </w:tcPr>
          <w:p w14:paraId="20A490D8" w14:textId="77777777" w:rsidR="00562C53" w:rsidRPr="00B65B9D" w:rsidRDefault="00562C53" w:rsidP="00507181">
            <w:pPr>
              <w:rPr>
                <w:rFonts w:ascii="Times New Roman" w:hAnsi="Times New Roman" w:cs="Times New Roman"/>
                <w:sz w:val="20"/>
                <w:szCs w:val="20"/>
              </w:rPr>
            </w:pPr>
          </w:p>
        </w:tc>
        <w:tc>
          <w:tcPr>
            <w:tcW w:w="1134" w:type="dxa"/>
          </w:tcPr>
          <w:p w14:paraId="64558229" w14:textId="77777777" w:rsidR="00562C53" w:rsidRPr="00B65B9D" w:rsidRDefault="00562C53" w:rsidP="00507181">
            <w:pPr>
              <w:rPr>
                <w:rFonts w:ascii="Times New Roman" w:hAnsi="Times New Roman" w:cs="Times New Roman"/>
                <w:sz w:val="20"/>
                <w:szCs w:val="20"/>
              </w:rPr>
            </w:pPr>
            <w:r w:rsidRPr="00B65B9D">
              <w:rPr>
                <w:rFonts w:ascii="Times New Roman" w:hAnsi="Times New Roman" w:cs="Times New Roman"/>
                <w:sz w:val="20"/>
                <w:szCs w:val="20"/>
              </w:rPr>
              <w:t>RISK2</w:t>
            </w:r>
          </w:p>
        </w:tc>
        <w:tc>
          <w:tcPr>
            <w:tcW w:w="6520" w:type="dxa"/>
          </w:tcPr>
          <w:p w14:paraId="3F6F5AFA" w14:textId="77777777" w:rsidR="00562C53" w:rsidRPr="00B65B9D" w:rsidRDefault="00562C53" w:rsidP="00507181">
            <w:pPr>
              <w:rPr>
                <w:rFonts w:ascii="Times New Roman" w:hAnsi="Times New Roman" w:cs="Times New Roman"/>
                <w:sz w:val="20"/>
                <w:szCs w:val="20"/>
              </w:rPr>
            </w:pPr>
            <w:r w:rsidRPr="00B65B9D">
              <w:rPr>
                <w:rFonts w:ascii="Times New Roman" w:hAnsi="Times New Roman" w:cs="Times New Roman"/>
                <w:sz w:val="20"/>
                <w:szCs w:val="20"/>
              </w:rPr>
              <w:t xml:space="preserve">It would be risky to provide my tracking data to public institutions </w:t>
            </w:r>
          </w:p>
        </w:tc>
      </w:tr>
      <w:tr w:rsidR="00562C53" w:rsidRPr="00B65B9D" w14:paraId="4F52FB4B" w14:textId="77777777" w:rsidTr="00507181">
        <w:tc>
          <w:tcPr>
            <w:tcW w:w="2122" w:type="dxa"/>
            <w:vMerge/>
          </w:tcPr>
          <w:p w14:paraId="1D01EC85" w14:textId="77777777" w:rsidR="00562C53" w:rsidRPr="00B65B9D" w:rsidRDefault="00562C53" w:rsidP="00507181">
            <w:pPr>
              <w:rPr>
                <w:rFonts w:ascii="Times New Roman" w:hAnsi="Times New Roman" w:cs="Times New Roman"/>
                <w:sz w:val="20"/>
                <w:szCs w:val="20"/>
              </w:rPr>
            </w:pPr>
          </w:p>
        </w:tc>
        <w:tc>
          <w:tcPr>
            <w:tcW w:w="1134" w:type="dxa"/>
          </w:tcPr>
          <w:p w14:paraId="6DDB63EF" w14:textId="77777777" w:rsidR="00562C53" w:rsidRPr="00B65B9D" w:rsidRDefault="00562C53" w:rsidP="00507181">
            <w:pPr>
              <w:rPr>
                <w:rFonts w:ascii="Times New Roman" w:hAnsi="Times New Roman" w:cs="Times New Roman"/>
                <w:sz w:val="20"/>
                <w:szCs w:val="20"/>
              </w:rPr>
            </w:pPr>
            <w:r w:rsidRPr="00B65B9D">
              <w:rPr>
                <w:rFonts w:ascii="Times New Roman" w:hAnsi="Times New Roman" w:cs="Times New Roman"/>
                <w:sz w:val="20"/>
                <w:szCs w:val="20"/>
              </w:rPr>
              <w:t>RISK3</w:t>
            </w:r>
          </w:p>
        </w:tc>
        <w:tc>
          <w:tcPr>
            <w:tcW w:w="6520" w:type="dxa"/>
          </w:tcPr>
          <w:p w14:paraId="1495BBD1" w14:textId="77777777" w:rsidR="00562C53" w:rsidRPr="00B65B9D" w:rsidRDefault="00562C53" w:rsidP="00507181">
            <w:pPr>
              <w:rPr>
                <w:rFonts w:ascii="Times New Roman" w:hAnsi="Times New Roman" w:cs="Times New Roman"/>
                <w:sz w:val="20"/>
                <w:szCs w:val="20"/>
              </w:rPr>
            </w:pPr>
            <w:r w:rsidRPr="00B65B9D">
              <w:rPr>
                <w:rFonts w:ascii="Times New Roman" w:hAnsi="Times New Roman" w:cs="Times New Roman"/>
                <w:sz w:val="20"/>
                <w:szCs w:val="20"/>
              </w:rPr>
              <w:t xml:space="preserve">There could be high potential for loss in disclosing my data to public institutions </w:t>
            </w:r>
          </w:p>
        </w:tc>
      </w:tr>
    </w:tbl>
    <w:p w14:paraId="3D7F5931" w14:textId="77777777" w:rsidR="00562C53" w:rsidRPr="00B65B9D" w:rsidRDefault="00562C53" w:rsidP="00562C53">
      <w:pPr>
        <w:spacing w:before="120" w:after="120" w:line="240" w:lineRule="auto"/>
        <w:jc w:val="both"/>
        <w:rPr>
          <w:rFonts w:ascii="Times New Roman" w:hAnsi="Times New Roman" w:cs="Times New Roman"/>
          <w:iCs/>
        </w:rPr>
      </w:pPr>
    </w:p>
    <w:p w14:paraId="598D8AAF" w14:textId="77777777" w:rsidR="00562C53" w:rsidRPr="00B65B9D" w:rsidRDefault="00562C53" w:rsidP="00562C53">
      <w:pPr>
        <w:pBdr>
          <w:top w:val="nil"/>
          <w:left w:val="nil"/>
          <w:bottom w:val="nil"/>
          <w:right w:val="nil"/>
          <w:between w:val="nil"/>
        </w:pBdr>
        <w:spacing w:before="80" w:after="80" w:line="240" w:lineRule="auto"/>
        <w:jc w:val="center"/>
        <w:rPr>
          <w:rFonts w:ascii="Times New Roman" w:hAnsi="Times New Roman" w:cs="Times New Roman"/>
          <w:i/>
          <w:color w:val="44546A"/>
          <w:sz w:val="20"/>
          <w:szCs w:val="20"/>
        </w:rPr>
      </w:pPr>
      <w:r w:rsidRPr="00B65B9D">
        <w:rPr>
          <w:rFonts w:ascii="Times New Roman" w:hAnsi="Times New Roman" w:cs="Times New Roman"/>
          <w:i/>
          <w:color w:val="44546A"/>
          <w:sz w:val="18"/>
          <w:szCs w:val="18"/>
        </w:rPr>
        <w:t xml:space="preserve">Table </w:t>
      </w:r>
      <w:r>
        <w:rPr>
          <w:rFonts w:ascii="Times New Roman" w:hAnsi="Times New Roman" w:cs="Times New Roman"/>
          <w:i/>
          <w:color w:val="44546A"/>
          <w:sz w:val="18"/>
          <w:szCs w:val="18"/>
        </w:rPr>
        <w:t>6</w:t>
      </w:r>
      <w:r w:rsidRPr="00B65B9D">
        <w:rPr>
          <w:rFonts w:ascii="Times New Roman" w:hAnsi="Times New Roman" w:cs="Times New Roman"/>
          <w:i/>
          <w:color w:val="44546A"/>
          <w:sz w:val="18"/>
          <w:szCs w:val="18"/>
        </w:rPr>
        <w:t xml:space="preserve"> – Scales for measuring Intentional reaction</w:t>
      </w:r>
    </w:p>
    <w:tbl>
      <w:tblPr>
        <w:tblStyle w:val="Tabellagriglia1chiara-colore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155"/>
        <w:gridCol w:w="1080"/>
        <w:gridCol w:w="6399"/>
      </w:tblGrid>
      <w:tr w:rsidR="00562C53" w:rsidRPr="00B65B9D" w14:paraId="1A78A484" w14:textId="77777777" w:rsidTr="00507181">
        <w:trPr>
          <w:cnfStyle w:val="100000000000" w:firstRow="1" w:lastRow="0" w:firstColumn="0" w:lastColumn="0" w:oddVBand="0" w:evenVBand="0" w:oddHBand="0" w:evenHBand="0" w:firstRowFirstColumn="0" w:firstRowLastColumn="0" w:lastRowFirstColumn="0" w:lastRowLastColumn="0"/>
        </w:trPr>
        <w:tc>
          <w:tcPr>
            <w:tcW w:w="2155" w:type="dxa"/>
          </w:tcPr>
          <w:p w14:paraId="260E4C45" w14:textId="77777777" w:rsidR="00562C53" w:rsidRPr="00B65B9D" w:rsidRDefault="00562C53" w:rsidP="00507181">
            <w:pPr>
              <w:rPr>
                <w:rFonts w:ascii="Times New Roman" w:hAnsi="Times New Roman" w:cs="Times New Roman"/>
                <w:sz w:val="20"/>
                <w:szCs w:val="20"/>
              </w:rPr>
            </w:pPr>
            <w:r w:rsidRPr="00B65B9D">
              <w:rPr>
                <w:rFonts w:ascii="Times New Roman" w:hAnsi="Times New Roman" w:cs="Times New Roman"/>
                <w:sz w:val="20"/>
                <w:szCs w:val="20"/>
              </w:rPr>
              <w:t>Construct name</w:t>
            </w:r>
          </w:p>
        </w:tc>
        <w:tc>
          <w:tcPr>
            <w:tcW w:w="1080" w:type="dxa"/>
          </w:tcPr>
          <w:p w14:paraId="0D90ADBD" w14:textId="77777777" w:rsidR="00562C53" w:rsidRPr="00B65B9D" w:rsidRDefault="00562C53" w:rsidP="00507181">
            <w:pPr>
              <w:rPr>
                <w:rFonts w:ascii="Times New Roman" w:hAnsi="Times New Roman" w:cs="Times New Roman"/>
                <w:sz w:val="20"/>
                <w:szCs w:val="20"/>
              </w:rPr>
            </w:pPr>
            <w:r w:rsidRPr="00B65B9D">
              <w:rPr>
                <w:rFonts w:ascii="Times New Roman" w:hAnsi="Times New Roman" w:cs="Times New Roman"/>
                <w:sz w:val="20"/>
                <w:szCs w:val="20"/>
              </w:rPr>
              <w:t>Item Code</w:t>
            </w:r>
          </w:p>
        </w:tc>
        <w:tc>
          <w:tcPr>
            <w:tcW w:w="6399" w:type="dxa"/>
          </w:tcPr>
          <w:p w14:paraId="0265E7C2" w14:textId="77777777" w:rsidR="00562C53" w:rsidRPr="00B65B9D" w:rsidRDefault="00562C53" w:rsidP="00507181">
            <w:pPr>
              <w:rPr>
                <w:rFonts w:ascii="Times New Roman" w:hAnsi="Times New Roman" w:cs="Times New Roman"/>
                <w:sz w:val="20"/>
                <w:szCs w:val="20"/>
              </w:rPr>
            </w:pPr>
            <w:r w:rsidRPr="00B65B9D">
              <w:rPr>
                <w:rFonts w:ascii="Times New Roman" w:hAnsi="Times New Roman" w:cs="Times New Roman"/>
                <w:sz w:val="20"/>
                <w:szCs w:val="20"/>
              </w:rPr>
              <w:t>Statement</w:t>
            </w:r>
          </w:p>
        </w:tc>
      </w:tr>
      <w:tr w:rsidR="00562C53" w:rsidRPr="00B65B9D" w14:paraId="36B44715" w14:textId="77777777" w:rsidTr="00507181">
        <w:tc>
          <w:tcPr>
            <w:tcW w:w="2155" w:type="dxa"/>
            <w:vMerge w:val="restart"/>
          </w:tcPr>
          <w:p w14:paraId="214C27C9" w14:textId="77777777" w:rsidR="00562C53" w:rsidRPr="00B65B9D" w:rsidRDefault="00562C53" w:rsidP="00507181">
            <w:pPr>
              <w:rPr>
                <w:rFonts w:ascii="Times New Roman" w:hAnsi="Times New Roman" w:cs="Times New Roman"/>
                <w:sz w:val="20"/>
                <w:szCs w:val="20"/>
              </w:rPr>
            </w:pPr>
            <w:r w:rsidRPr="00B65B9D">
              <w:rPr>
                <w:rFonts w:ascii="Times New Roman" w:hAnsi="Times New Roman" w:cs="Times New Roman"/>
                <w:sz w:val="20"/>
                <w:szCs w:val="20"/>
              </w:rPr>
              <w:t xml:space="preserve">Intention </w:t>
            </w:r>
            <w:r w:rsidRPr="00B65B9D">
              <w:rPr>
                <w:rFonts w:ascii="Times New Roman" w:hAnsi="Times New Roman" w:cs="Times New Roman"/>
                <w:sz w:val="20"/>
                <w:szCs w:val="20"/>
              </w:rPr>
              <w:fldChar w:fldCharType="begin" w:fldLock="1"/>
            </w:r>
            <w:r w:rsidRPr="00B65B9D">
              <w:rPr>
                <w:rFonts w:ascii="Times New Roman" w:hAnsi="Times New Roman" w:cs="Times New Roman"/>
                <w:sz w:val="20"/>
                <w:szCs w:val="20"/>
              </w:rPr>
              <w:instrText>ADDIN CSL_CITATION {"citationItems":[{"id":"ITEM-1","itemData":{"author":[{"dropping-particle":"","family":"Venkatesh","given":"Viswanath","non-dropping-particle":"","parse-names":false,"suffix":""},{"dropping-particle":"","family":"Morris","given":"Michael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Quarterly","id":"ITEM-1","issue":"3","issued":{"date-parts":[["2003"]]},"page":"425-478","title":"User Acceptance of Information Technology: Toward a Unified View","type":"article-journal","volume":"27"},"uris":["http://www.mendeley.com/documents/?uuid=bdc12ac5-2cd9-48f2-938b-2e9e84135f2e"]}],"mendeley":{"formattedCitation":"(Venkatesh et al. 2003)","plainTextFormattedCitation":"(Venkatesh et al. 2003)","previouslyFormattedCitation":"(Venkatesh et al. 2003)"},"properties":{"noteIndex":0},"schema":"https://github.com/citation-style-language/schema/raw/master/csl-citation.json"}</w:instrText>
            </w:r>
            <w:r w:rsidRPr="00B65B9D">
              <w:rPr>
                <w:rFonts w:ascii="Times New Roman" w:hAnsi="Times New Roman" w:cs="Times New Roman"/>
                <w:sz w:val="20"/>
                <w:szCs w:val="20"/>
              </w:rPr>
              <w:fldChar w:fldCharType="separate"/>
            </w:r>
            <w:r w:rsidRPr="00B65B9D">
              <w:rPr>
                <w:rFonts w:ascii="Times New Roman" w:hAnsi="Times New Roman" w:cs="Times New Roman"/>
                <w:noProof/>
                <w:sz w:val="20"/>
                <w:szCs w:val="20"/>
              </w:rPr>
              <w:t>(Venkatesh et al. 2003)</w:t>
            </w:r>
            <w:r w:rsidRPr="00B65B9D">
              <w:rPr>
                <w:rFonts w:ascii="Times New Roman" w:hAnsi="Times New Roman" w:cs="Times New Roman"/>
                <w:sz w:val="20"/>
                <w:szCs w:val="20"/>
              </w:rPr>
              <w:fldChar w:fldCharType="end"/>
            </w:r>
          </w:p>
        </w:tc>
        <w:tc>
          <w:tcPr>
            <w:tcW w:w="1080" w:type="dxa"/>
          </w:tcPr>
          <w:p w14:paraId="019F0D9C" w14:textId="77777777" w:rsidR="00562C53" w:rsidRPr="00B65B9D" w:rsidRDefault="00562C53" w:rsidP="00507181">
            <w:pPr>
              <w:rPr>
                <w:rFonts w:ascii="Times New Roman" w:hAnsi="Times New Roman" w:cs="Times New Roman"/>
                <w:sz w:val="20"/>
                <w:szCs w:val="20"/>
              </w:rPr>
            </w:pPr>
            <w:r w:rsidRPr="00B65B9D">
              <w:rPr>
                <w:rFonts w:ascii="Times New Roman" w:hAnsi="Times New Roman" w:cs="Times New Roman"/>
                <w:sz w:val="20"/>
                <w:szCs w:val="20"/>
              </w:rPr>
              <w:t>INT1</w:t>
            </w:r>
          </w:p>
        </w:tc>
        <w:tc>
          <w:tcPr>
            <w:tcW w:w="6399" w:type="dxa"/>
          </w:tcPr>
          <w:p w14:paraId="4DD9C701" w14:textId="77777777" w:rsidR="00562C53" w:rsidRPr="00562C53" w:rsidRDefault="00562C53" w:rsidP="00507181">
            <w:pPr>
              <w:rPr>
                <w:rFonts w:ascii="Times New Roman" w:hAnsi="Times New Roman" w:cs="Times New Roman"/>
                <w:sz w:val="20"/>
                <w:szCs w:val="20"/>
                <w:lang w:val="en-US"/>
              </w:rPr>
            </w:pPr>
            <w:r w:rsidRPr="00562C53">
              <w:rPr>
                <w:rFonts w:ascii="Times New Roman" w:hAnsi="Times New Roman" w:cs="Times New Roman"/>
                <w:sz w:val="20"/>
                <w:szCs w:val="20"/>
                <w:lang w:val="en-US"/>
              </w:rPr>
              <w:t xml:space="preserve">I am very likely to disclose my tracking data to public institutions </w:t>
            </w:r>
          </w:p>
        </w:tc>
      </w:tr>
      <w:tr w:rsidR="00562C53" w:rsidRPr="00B65B9D" w14:paraId="405549E1" w14:textId="77777777" w:rsidTr="00507181">
        <w:tc>
          <w:tcPr>
            <w:tcW w:w="2155" w:type="dxa"/>
            <w:vMerge/>
          </w:tcPr>
          <w:p w14:paraId="3D17CE24" w14:textId="77777777" w:rsidR="00562C53" w:rsidRPr="00562C53" w:rsidRDefault="00562C53" w:rsidP="00507181">
            <w:pPr>
              <w:rPr>
                <w:rFonts w:ascii="Times New Roman" w:hAnsi="Times New Roman" w:cs="Times New Roman"/>
                <w:sz w:val="20"/>
                <w:szCs w:val="20"/>
                <w:lang w:val="en-US"/>
              </w:rPr>
            </w:pPr>
          </w:p>
        </w:tc>
        <w:tc>
          <w:tcPr>
            <w:tcW w:w="1080" w:type="dxa"/>
          </w:tcPr>
          <w:p w14:paraId="554C08ED" w14:textId="77777777" w:rsidR="00562C53" w:rsidRPr="00B65B9D" w:rsidRDefault="00562C53" w:rsidP="00507181">
            <w:pPr>
              <w:rPr>
                <w:rFonts w:ascii="Times New Roman" w:hAnsi="Times New Roman" w:cs="Times New Roman"/>
                <w:sz w:val="20"/>
                <w:szCs w:val="20"/>
              </w:rPr>
            </w:pPr>
            <w:r w:rsidRPr="00B65B9D">
              <w:rPr>
                <w:rFonts w:ascii="Times New Roman" w:hAnsi="Times New Roman" w:cs="Times New Roman"/>
                <w:sz w:val="20"/>
                <w:szCs w:val="20"/>
              </w:rPr>
              <w:t>INT2</w:t>
            </w:r>
          </w:p>
        </w:tc>
        <w:tc>
          <w:tcPr>
            <w:tcW w:w="6399" w:type="dxa"/>
          </w:tcPr>
          <w:p w14:paraId="60FF61BC" w14:textId="77777777" w:rsidR="00562C53" w:rsidRPr="00562C53" w:rsidRDefault="00562C53" w:rsidP="00507181">
            <w:pPr>
              <w:rPr>
                <w:rFonts w:ascii="Times New Roman" w:hAnsi="Times New Roman" w:cs="Times New Roman"/>
                <w:sz w:val="20"/>
                <w:szCs w:val="20"/>
                <w:lang w:val="en-US"/>
              </w:rPr>
            </w:pPr>
            <w:r w:rsidRPr="00562C53">
              <w:rPr>
                <w:rFonts w:ascii="Times New Roman" w:hAnsi="Times New Roman" w:cs="Times New Roman"/>
                <w:sz w:val="20"/>
                <w:szCs w:val="20"/>
                <w:lang w:val="en-US"/>
              </w:rPr>
              <w:t>I predict I would provide my tracking data to public institutions</w:t>
            </w:r>
          </w:p>
        </w:tc>
      </w:tr>
      <w:tr w:rsidR="00562C53" w:rsidRPr="00B65B9D" w14:paraId="065EEA7C" w14:textId="77777777" w:rsidTr="00507181">
        <w:tc>
          <w:tcPr>
            <w:tcW w:w="2155" w:type="dxa"/>
            <w:vMerge/>
          </w:tcPr>
          <w:p w14:paraId="23001BC0" w14:textId="77777777" w:rsidR="00562C53" w:rsidRPr="00562C53" w:rsidRDefault="00562C53" w:rsidP="00507181">
            <w:pPr>
              <w:rPr>
                <w:rFonts w:ascii="Times New Roman" w:hAnsi="Times New Roman" w:cs="Times New Roman"/>
                <w:sz w:val="20"/>
                <w:szCs w:val="20"/>
                <w:lang w:val="en-US"/>
              </w:rPr>
            </w:pPr>
          </w:p>
        </w:tc>
        <w:tc>
          <w:tcPr>
            <w:tcW w:w="1080" w:type="dxa"/>
          </w:tcPr>
          <w:p w14:paraId="56355483" w14:textId="77777777" w:rsidR="00562C53" w:rsidRPr="00B65B9D" w:rsidRDefault="00562C53" w:rsidP="00507181">
            <w:pPr>
              <w:rPr>
                <w:rFonts w:ascii="Times New Roman" w:hAnsi="Times New Roman" w:cs="Times New Roman"/>
                <w:sz w:val="20"/>
                <w:szCs w:val="20"/>
              </w:rPr>
            </w:pPr>
            <w:r w:rsidRPr="00B65B9D">
              <w:rPr>
                <w:rFonts w:ascii="Times New Roman" w:hAnsi="Times New Roman" w:cs="Times New Roman"/>
                <w:sz w:val="20"/>
                <w:szCs w:val="20"/>
              </w:rPr>
              <w:t>INT3</w:t>
            </w:r>
          </w:p>
        </w:tc>
        <w:tc>
          <w:tcPr>
            <w:tcW w:w="6399" w:type="dxa"/>
          </w:tcPr>
          <w:p w14:paraId="56F81588" w14:textId="77777777" w:rsidR="00562C53" w:rsidRPr="00562C53" w:rsidRDefault="00562C53" w:rsidP="00507181">
            <w:pPr>
              <w:keepNext/>
              <w:rPr>
                <w:rFonts w:ascii="Times New Roman" w:hAnsi="Times New Roman" w:cs="Times New Roman"/>
                <w:sz w:val="20"/>
                <w:szCs w:val="20"/>
                <w:lang w:val="en-US"/>
              </w:rPr>
            </w:pPr>
            <w:r w:rsidRPr="00562C53">
              <w:rPr>
                <w:rFonts w:ascii="Times New Roman" w:hAnsi="Times New Roman" w:cs="Times New Roman"/>
                <w:sz w:val="20"/>
                <w:szCs w:val="20"/>
                <w:lang w:val="en-US"/>
              </w:rPr>
              <w:t>I intend to disclose my tracking data to public institutions</w:t>
            </w:r>
          </w:p>
        </w:tc>
      </w:tr>
    </w:tbl>
    <w:p w14:paraId="025655FE" w14:textId="77777777" w:rsidR="00562C53" w:rsidRDefault="00562C53" w:rsidP="00562C53">
      <w:pPr>
        <w:pStyle w:val="Paragrafoelenco"/>
        <w:ind w:left="0"/>
        <w:jc w:val="both"/>
        <w:rPr>
          <w:rFonts w:ascii="Times New Roman" w:hAnsi="Times New Roman" w:cs="Times New Roman"/>
        </w:rPr>
      </w:pPr>
    </w:p>
    <w:p w14:paraId="452D9491" w14:textId="77777777" w:rsidR="00562C53" w:rsidRPr="00B65B9D" w:rsidRDefault="00562C53" w:rsidP="00562C53">
      <w:pPr>
        <w:pBdr>
          <w:top w:val="nil"/>
          <w:left w:val="nil"/>
          <w:bottom w:val="nil"/>
          <w:right w:val="nil"/>
          <w:between w:val="nil"/>
        </w:pBdr>
        <w:spacing w:before="80" w:after="80" w:line="240" w:lineRule="auto"/>
        <w:jc w:val="center"/>
        <w:rPr>
          <w:rFonts w:ascii="Times New Roman" w:hAnsi="Times New Roman" w:cs="Times New Roman"/>
          <w:i/>
          <w:color w:val="44546A"/>
          <w:sz w:val="18"/>
          <w:szCs w:val="18"/>
        </w:rPr>
      </w:pPr>
      <w:r w:rsidRPr="00B65B9D">
        <w:rPr>
          <w:rFonts w:ascii="Times New Roman" w:hAnsi="Times New Roman" w:cs="Times New Roman"/>
          <w:i/>
          <w:color w:val="44546A"/>
          <w:sz w:val="18"/>
          <w:szCs w:val="18"/>
        </w:rPr>
        <w:t xml:space="preserve">Table </w:t>
      </w:r>
      <w:r>
        <w:rPr>
          <w:rFonts w:ascii="Times New Roman" w:hAnsi="Times New Roman" w:cs="Times New Roman"/>
          <w:i/>
          <w:color w:val="44546A"/>
          <w:sz w:val="18"/>
          <w:szCs w:val="18"/>
        </w:rPr>
        <w:t>7</w:t>
      </w:r>
      <w:r w:rsidRPr="00B65B9D">
        <w:rPr>
          <w:rFonts w:ascii="Times New Roman" w:hAnsi="Times New Roman" w:cs="Times New Roman"/>
          <w:i/>
          <w:color w:val="44546A"/>
          <w:sz w:val="18"/>
          <w:szCs w:val="18"/>
        </w:rPr>
        <w:t xml:space="preserve"> – Scale for measuring control variables</w:t>
      </w:r>
    </w:p>
    <w:tbl>
      <w:tblPr>
        <w:tblStyle w:val="Tabellagriglia1chiara-colore3"/>
        <w:tblW w:w="9772" w:type="dxa"/>
        <w:tblLayout w:type="fixed"/>
        <w:tblLook w:val="0620" w:firstRow="1" w:lastRow="0" w:firstColumn="0" w:lastColumn="0" w:noHBand="1" w:noVBand="1"/>
      </w:tblPr>
      <w:tblGrid>
        <w:gridCol w:w="2146"/>
        <w:gridCol w:w="1080"/>
        <w:gridCol w:w="6546"/>
      </w:tblGrid>
      <w:tr w:rsidR="00562C53" w:rsidRPr="00B65B9D" w14:paraId="169C5FCC" w14:textId="77777777" w:rsidTr="00507181">
        <w:trPr>
          <w:cnfStyle w:val="100000000000" w:firstRow="1" w:lastRow="0" w:firstColumn="0" w:lastColumn="0" w:oddVBand="0" w:evenVBand="0" w:oddHBand="0" w:evenHBand="0" w:firstRowFirstColumn="0" w:firstRowLastColumn="0" w:lastRowFirstColumn="0" w:lastRowLastColumn="0"/>
          <w:trHeight w:val="213"/>
        </w:trPr>
        <w:tc>
          <w:tcPr>
            <w:tcW w:w="2146" w:type="dxa"/>
          </w:tcPr>
          <w:p w14:paraId="00A9475D" w14:textId="77777777" w:rsidR="00562C53" w:rsidRPr="00B65B9D" w:rsidRDefault="00562C53" w:rsidP="00507181">
            <w:pPr>
              <w:rPr>
                <w:rFonts w:ascii="Times New Roman" w:hAnsi="Times New Roman" w:cs="Times New Roman"/>
                <w:iCs/>
              </w:rPr>
            </w:pPr>
            <w:r w:rsidRPr="00B65B9D">
              <w:rPr>
                <w:rFonts w:ascii="Times New Roman" w:hAnsi="Times New Roman" w:cs="Times New Roman"/>
                <w:iCs/>
              </w:rPr>
              <w:t>Construct name</w:t>
            </w:r>
          </w:p>
        </w:tc>
        <w:tc>
          <w:tcPr>
            <w:tcW w:w="1080" w:type="dxa"/>
          </w:tcPr>
          <w:p w14:paraId="7923663E" w14:textId="77777777" w:rsidR="00562C53" w:rsidRPr="00B65B9D" w:rsidRDefault="00562C53" w:rsidP="00507181">
            <w:pPr>
              <w:rPr>
                <w:rFonts w:ascii="Times New Roman" w:hAnsi="Times New Roman" w:cs="Times New Roman"/>
                <w:iCs/>
              </w:rPr>
            </w:pPr>
            <w:r w:rsidRPr="00B65B9D">
              <w:rPr>
                <w:rFonts w:ascii="Times New Roman" w:hAnsi="Times New Roman" w:cs="Times New Roman"/>
                <w:iCs/>
              </w:rPr>
              <w:t>Item Code</w:t>
            </w:r>
          </w:p>
        </w:tc>
        <w:tc>
          <w:tcPr>
            <w:tcW w:w="6546" w:type="dxa"/>
          </w:tcPr>
          <w:p w14:paraId="5E163FD9" w14:textId="77777777" w:rsidR="00562C53" w:rsidRPr="00B65B9D" w:rsidRDefault="00562C53" w:rsidP="00507181">
            <w:pPr>
              <w:rPr>
                <w:rFonts w:ascii="Times New Roman" w:hAnsi="Times New Roman" w:cs="Times New Roman"/>
                <w:iCs/>
              </w:rPr>
            </w:pPr>
            <w:r w:rsidRPr="00B65B9D">
              <w:rPr>
                <w:rFonts w:ascii="Times New Roman" w:hAnsi="Times New Roman" w:cs="Times New Roman"/>
                <w:iCs/>
              </w:rPr>
              <w:t>Statement</w:t>
            </w:r>
          </w:p>
        </w:tc>
      </w:tr>
      <w:tr w:rsidR="00562C53" w:rsidRPr="00B65B9D" w14:paraId="0864529C" w14:textId="77777777" w:rsidTr="00507181">
        <w:trPr>
          <w:trHeight w:val="20"/>
        </w:trPr>
        <w:tc>
          <w:tcPr>
            <w:tcW w:w="2146" w:type="dxa"/>
          </w:tcPr>
          <w:p w14:paraId="0813C12C" w14:textId="77777777" w:rsidR="00562C53" w:rsidRPr="00562C53" w:rsidRDefault="00562C53" w:rsidP="00507181">
            <w:pPr>
              <w:widowControl w:val="0"/>
              <w:pBdr>
                <w:top w:val="nil"/>
                <w:left w:val="nil"/>
                <w:bottom w:val="nil"/>
                <w:right w:val="nil"/>
                <w:between w:val="nil"/>
              </w:pBdr>
              <w:rPr>
                <w:rFonts w:ascii="Times New Roman" w:hAnsi="Times New Roman" w:cs="Times New Roman"/>
                <w:iCs/>
                <w:lang w:val="en-US"/>
              </w:rPr>
            </w:pPr>
            <w:r w:rsidRPr="00562C53">
              <w:rPr>
                <w:rFonts w:ascii="Times New Roman" w:hAnsi="Times New Roman" w:cs="Times New Roman"/>
                <w:iCs/>
                <w:lang w:val="en-US"/>
              </w:rPr>
              <w:lastRenderedPageBreak/>
              <w:t xml:space="preserve">Privacy awareness </w:t>
            </w:r>
            <w:r w:rsidRPr="00B65B9D">
              <w:rPr>
                <w:rFonts w:ascii="Times New Roman" w:hAnsi="Times New Roman" w:cs="Times New Roman"/>
                <w:iCs/>
              </w:rPr>
              <w:fldChar w:fldCharType="begin" w:fldLock="1"/>
            </w:r>
            <w:r w:rsidRPr="00562C53">
              <w:rPr>
                <w:rFonts w:ascii="Times New Roman" w:hAnsi="Times New Roman" w:cs="Times New Roman"/>
                <w:iCs/>
                <w:lang w:val="en-US"/>
              </w:rPr>
              <w:instrText>ADDIN CSL_CITATION {"citationItems":[{"id":"ITEM-1","itemData":{"DOI":"10.1016/j.trc.2015.04.005","ISSN":"0968090X","abstract":"With the advent and rapid dissemination of location-sensing information technology, the issue of location information privacy is receiving growing attention. Perhaps of greatest concern is ensuring that potential users of mobile Information and Communications Technologies (e.g., Location-Based Services and Intelligent Transportation Systems) are comfortable with the levels of privacy protection afforded them, as well as with the benefits they will receive in return for providing private location information. This paper explores the concepts of privacy risks, benefits, willingness to trade, and compensation in relationship to mobile and locational technologies using a stated preference survey to ascertain areas of interest in determining the trade-offs that consumers will be willing to make in return for mobility enhancements. Analysis of the survey leads to findings that while respondents believe that sharing data in the mobile environment may pose privacy risks, they do not generally take steps necessary to address these risks; that privacy preferences are impacted by a range of factors, including both personal and contextual considerations (such as factors arising from their specific situation at the time of information seeking); and that willingness to trade private location data is dependent upon a number of factors related to context, personal characteristics, expected benefits and degree of trust in the collecting organization.","author":[{"dropping-particle":"","family":"Cottrill","given":"Caitlin D.","non-dropping-particle":"","parse-names":false,"suffix":""},{"dropping-particle":"","family":"Vonu Thakuriah","given":"Piyushimita","non-dropping-particle":"","parse-names":false,"suffix":""}],"container-title":"Transportation Research Part C: Emerging Technologies","id":"ITEM-1","issued":{"date-parts":[["2015","7"]]},"page":"132-148","publisher":"Elsevier Ltd","title":"Location privacy preferences: A survey-based analysis of consumer awareness, trade-off and decision-making","type":"article-journal","volume":"56"},"uris":["http://www.mendeley.com/documents/?uuid=674d383a-caa3-3da4-a628-40c98701bc87","http://www.mendeley.com/documents/?uuid=6f447116-b96a-4051-a2d4-713c3f3ae14f"]}],"mendeley":{"formattedCitation":"(Cottrill and Vonu Thakuriah 2015)","plainTextFormattedCitation":"(Cottrill and Vonu Thakuriah 2015)","previouslyFormattedCitation":"(Cottrill and Vonu Thakuriah 2015)"},"properties":{"noteIndex":0},"schema":"https://github.com/citation-style-language/schema/raw/master/csl-citation.json"}</w:instrText>
            </w:r>
            <w:r w:rsidRPr="00B65B9D">
              <w:rPr>
                <w:rFonts w:ascii="Times New Roman" w:hAnsi="Times New Roman" w:cs="Times New Roman"/>
                <w:iCs/>
              </w:rPr>
              <w:fldChar w:fldCharType="separate"/>
            </w:r>
            <w:r w:rsidRPr="00562C53">
              <w:rPr>
                <w:rFonts w:ascii="Times New Roman" w:hAnsi="Times New Roman" w:cs="Times New Roman"/>
                <w:iCs/>
                <w:noProof/>
                <w:lang w:val="en-US"/>
              </w:rPr>
              <w:t>(Cottrill and Vonu Thakuriah 2015)</w:t>
            </w:r>
            <w:r w:rsidRPr="00B65B9D">
              <w:rPr>
                <w:rFonts w:ascii="Times New Roman" w:hAnsi="Times New Roman" w:cs="Times New Roman"/>
                <w:iCs/>
              </w:rPr>
              <w:fldChar w:fldCharType="end"/>
            </w:r>
          </w:p>
        </w:tc>
        <w:tc>
          <w:tcPr>
            <w:tcW w:w="1080" w:type="dxa"/>
          </w:tcPr>
          <w:p w14:paraId="78E660F7" w14:textId="77777777" w:rsidR="00562C53" w:rsidRPr="00B65B9D" w:rsidRDefault="00562C53" w:rsidP="00507181">
            <w:pPr>
              <w:widowControl w:val="0"/>
              <w:rPr>
                <w:rFonts w:ascii="Times New Roman" w:hAnsi="Times New Roman" w:cs="Times New Roman"/>
                <w:iCs/>
              </w:rPr>
            </w:pPr>
            <w:r w:rsidRPr="00B65B9D">
              <w:rPr>
                <w:rFonts w:ascii="Times New Roman" w:hAnsi="Times New Roman" w:cs="Times New Roman"/>
                <w:iCs/>
              </w:rPr>
              <w:t>PRA1</w:t>
            </w:r>
          </w:p>
        </w:tc>
        <w:tc>
          <w:tcPr>
            <w:tcW w:w="6546" w:type="dxa"/>
          </w:tcPr>
          <w:p w14:paraId="3922D579" w14:textId="77777777" w:rsidR="00562C53" w:rsidRPr="00562C53" w:rsidRDefault="00562C53" w:rsidP="00507181">
            <w:pPr>
              <w:widowControl w:val="0"/>
              <w:rPr>
                <w:rFonts w:ascii="Times New Roman" w:hAnsi="Times New Roman" w:cs="Times New Roman"/>
                <w:iCs/>
                <w:lang w:val="en-US"/>
              </w:rPr>
            </w:pPr>
            <w:r w:rsidRPr="00562C53">
              <w:rPr>
                <w:rFonts w:ascii="Times New Roman" w:hAnsi="Times New Roman" w:cs="Times New Roman"/>
                <w:iCs/>
                <w:lang w:val="en-US"/>
              </w:rPr>
              <w:t>I usually read “terms and conditions”</w:t>
            </w:r>
          </w:p>
        </w:tc>
      </w:tr>
      <w:tr w:rsidR="00562C53" w:rsidRPr="00B65B9D" w14:paraId="75A7BB0F" w14:textId="77777777" w:rsidTr="00507181">
        <w:trPr>
          <w:trHeight w:val="276"/>
        </w:trPr>
        <w:tc>
          <w:tcPr>
            <w:tcW w:w="2146" w:type="dxa"/>
          </w:tcPr>
          <w:p w14:paraId="0BC1E15F" w14:textId="40B0882D" w:rsidR="00562C53" w:rsidRPr="00562C53" w:rsidRDefault="00562C53" w:rsidP="00507181">
            <w:pPr>
              <w:widowControl w:val="0"/>
              <w:pBdr>
                <w:top w:val="nil"/>
                <w:left w:val="nil"/>
                <w:bottom w:val="nil"/>
                <w:right w:val="nil"/>
                <w:between w:val="nil"/>
              </w:pBdr>
              <w:rPr>
                <w:rFonts w:ascii="Times New Roman" w:hAnsi="Times New Roman" w:cs="Times New Roman"/>
                <w:iCs/>
                <w:lang w:val="en-US"/>
              </w:rPr>
            </w:pPr>
            <w:r w:rsidRPr="00562C53">
              <w:rPr>
                <w:rFonts w:ascii="Times New Roman" w:hAnsi="Times New Roman" w:cs="Times New Roman"/>
                <w:iCs/>
                <w:lang w:val="en-US"/>
              </w:rPr>
              <w:t xml:space="preserve">Privacy experience </w:t>
            </w:r>
            <w:r w:rsidRPr="00B65B9D">
              <w:rPr>
                <w:rFonts w:ascii="Times New Roman" w:hAnsi="Times New Roman" w:cs="Times New Roman"/>
                <w:iCs/>
              </w:rPr>
              <w:fldChar w:fldCharType="begin" w:fldLock="1"/>
            </w:r>
            <w:r w:rsidRPr="00562C53">
              <w:rPr>
                <w:rFonts w:ascii="Times New Roman" w:hAnsi="Times New Roman" w:cs="Times New Roman"/>
                <w:iCs/>
                <w:lang w:val="en-US"/>
              </w:rPr>
              <w:instrText>ADDIN CSL_CITATION {"citationItems":[{"id":"ITEM-1","itemData":{"DOI":"10.1016/j.chb.2010.02.012","ISSN":"07475632","abstract":"This study examined the ways in which Internet users construct their risk judgments about online privacy. The results, based on telephone survey data from a national probability sample in Singapore (n = 910), revealed that (a) individuals distinguish between two separate dimensions of risk judgment (personal level and societal level), (b) individuals display a strong optimistic bias about online privacy risks, judging themselves to be significantly less vulnerable than others to these risks, and (c) internal belief (perceived controllability) and individual difference (prior experience) significantly moderate optimistic bias by increasing or decreasing the gap between personal- and societal-level risk estimates. The implications of the findings for research and practice are discussed. © 2010 Elsevier Ltd. All rights reserved.","author":[{"dropping-particle":"","family":"Cho","given":"Hichang","non-dropping-particle":"","parse-names":false,"suffix":""},{"dropping-particle":"","family":"Lee","given":"Jae Shin","non-dropping-particle":"","parse-names":false,"suffix":""},{"dropping-particle":"","family":"Chung","given":"Siyoung","non-dropping-particle":"","parse-names":false,"suffix":""}],"container-title":"Computers in Human Behavior","id":"ITEM-1","issue":"5","issued":{"date-parts":[["2010","9"]]},"page":"987-995","publisher":"Pergamon","title":"Optimistic bias about online privacy risks: Testing the moderating effects of perceived controllability and prior experience","type":"article-journal","volume":"26"},"uris":["http://www.mendeley.com/documents/?uuid=5f555bf6-aa92-343f-b725-9d1a903ef875","http://www.mendeley.com/documents/?uuid=bca3aead-9bb6-4741-a174-c485cc188246"]}],"mendeley":{"formattedCitation":"(Hichang Cho, Lee, and Chung 2010)","plainTextFormattedCitation":"(Hichang Cho, Lee, and Chung 2010)","previouslyFormattedCitation":"(Hichang Cho, Lee, and Chung 2010)"},"properties":{"noteIndex":0},"schema":"https://github.com/citation-style-language/schema/raw/master/csl-citation.json"}</w:instrText>
            </w:r>
            <w:r w:rsidRPr="00B65B9D">
              <w:rPr>
                <w:rFonts w:ascii="Times New Roman" w:hAnsi="Times New Roman" w:cs="Times New Roman"/>
                <w:iCs/>
              </w:rPr>
              <w:fldChar w:fldCharType="separate"/>
            </w:r>
            <w:r w:rsidRPr="00562C53">
              <w:rPr>
                <w:rFonts w:ascii="Times New Roman" w:hAnsi="Times New Roman" w:cs="Times New Roman"/>
                <w:iCs/>
                <w:noProof/>
                <w:lang w:val="en-US"/>
              </w:rPr>
              <w:t>(Cho, Lee, and Chung 2010)</w:t>
            </w:r>
            <w:r w:rsidRPr="00B65B9D">
              <w:rPr>
                <w:rFonts w:ascii="Times New Roman" w:hAnsi="Times New Roman" w:cs="Times New Roman"/>
                <w:iCs/>
              </w:rPr>
              <w:fldChar w:fldCharType="end"/>
            </w:r>
            <w:r w:rsidRPr="00562C53">
              <w:rPr>
                <w:rFonts w:ascii="Times New Roman" w:hAnsi="Times New Roman" w:cs="Times New Roman"/>
                <w:iCs/>
                <w:lang w:val="en-US"/>
              </w:rPr>
              <w:t xml:space="preserve"> </w:t>
            </w:r>
          </w:p>
        </w:tc>
        <w:tc>
          <w:tcPr>
            <w:tcW w:w="1080" w:type="dxa"/>
          </w:tcPr>
          <w:p w14:paraId="27EFC3EB" w14:textId="77777777" w:rsidR="00562C53" w:rsidRPr="00B65B9D" w:rsidRDefault="00562C53" w:rsidP="00507181">
            <w:pPr>
              <w:widowControl w:val="0"/>
              <w:pBdr>
                <w:top w:val="nil"/>
                <w:left w:val="nil"/>
                <w:bottom w:val="nil"/>
                <w:right w:val="nil"/>
                <w:between w:val="nil"/>
              </w:pBdr>
              <w:rPr>
                <w:rFonts w:ascii="Times New Roman" w:hAnsi="Times New Roman" w:cs="Times New Roman"/>
                <w:iCs/>
              </w:rPr>
            </w:pPr>
            <w:r w:rsidRPr="00B65B9D">
              <w:rPr>
                <w:rFonts w:ascii="Times New Roman" w:hAnsi="Times New Roman" w:cs="Times New Roman"/>
                <w:iCs/>
              </w:rPr>
              <w:t>PRE1</w:t>
            </w:r>
          </w:p>
        </w:tc>
        <w:tc>
          <w:tcPr>
            <w:tcW w:w="6546" w:type="dxa"/>
          </w:tcPr>
          <w:p w14:paraId="343BD002" w14:textId="77777777" w:rsidR="00562C53" w:rsidRPr="00562C53" w:rsidRDefault="00562C53" w:rsidP="00507181">
            <w:pPr>
              <w:widowControl w:val="0"/>
              <w:pBdr>
                <w:top w:val="nil"/>
                <w:left w:val="nil"/>
                <w:bottom w:val="nil"/>
                <w:right w:val="nil"/>
                <w:between w:val="nil"/>
              </w:pBdr>
              <w:rPr>
                <w:rFonts w:ascii="Times New Roman" w:hAnsi="Times New Roman" w:cs="Times New Roman"/>
                <w:iCs/>
                <w:lang w:val="en-US"/>
              </w:rPr>
            </w:pPr>
            <w:r w:rsidRPr="00562C53">
              <w:rPr>
                <w:rFonts w:ascii="Times New Roman" w:hAnsi="Times New Roman" w:cs="Times New Roman"/>
                <w:iCs/>
                <w:lang w:val="en-US"/>
              </w:rPr>
              <w:t>I have been subject to privacy infringements (e.g. credit card information or identity theft)</w:t>
            </w:r>
          </w:p>
        </w:tc>
      </w:tr>
      <w:tr w:rsidR="00562C53" w:rsidRPr="00B65B9D" w14:paraId="45940026" w14:textId="77777777" w:rsidTr="00507181">
        <w:trPr>
          <w:trHeight w:val="42"/>
        </w:trPr>
        <w:tc>
          <w:tcPr>
            <w:tcW w:w="2146" w:type="dxa"/>
            <w:vMerge w:val="restart"/>
          </w:tcPr>
          <w:p w14:paraId="3EC02297" w14:textId="77777777" w:rsidR="00562C53" w:rsidRPr="00562C53" w:rsidRDefault="00562C53" w:rsidP="00507181">
            <w:pPr>
              <w:widowControl w:val="0"/>
              <w:pBdr>
                <w:top w:val="nil"/>
                <w:left w:val="nil"/>
                <w:bottom w:val="nil"/>
                <w:right w:val="nil"/>
                <w:between w:val="nil"/>
              </w:pBdr>
              <w:rPr>
                <w:rFonts w:ascii="Times New Roman" w:hAnsi="Times New Roman" w:cs="Times New Roman"/>
                <w:iCs/>
                <w:lang w:val="en-US"/>
              </w:rPr>
            </w:pPr>
            <w:r w:rsidRPr="00562C53">
              <w:rPr>
                <w:rFonts w:ascii="Times New Roman" w:hAnsi="Times New Roman" w:cs="Times New Roman"/>
                <w:iCs/>
                <w:lang w:val="en-US"/>
              </w:rPr>
              <w:t xml:space="preserve">Emotional Instability </w:t>
            </w:r>
            <w:r w:rsidRPr="00B65B9D">
              <w:rPr>
                <w:rFonts w:ascii="Times New Roman" w:hAnsi="Times New Roman" w:cs="Times New Roman"/>
                <w:iCs/>
              </w:rPr>
              <w:fldChar w:fldCharType="begin" w:fldLock="1"/>
            </w:r>
            <w:r w:rsidRPr="00562C53">
              <w:rPr>
                <w:rFonts w:ascii="Times New Roman" w:hAnsi="Times New Roman" w:cs="Times New Roman"/>
                <w:iCs/>
                <w:lang w:val="en-US"/>
              </w:rPr>
              <w:instrText>ADDIN CSL_CITATION {"citationItems":[{"id":"ITEM-1","itemData":{"DOI":"10.1016/j.dss.2010.01.010","ISSN":"0167-9236","author":[{"dropping-particle":"","family":"Bansal","given":"Gaurav","non-dropping-particle":"","parse-names":false,"suffix":""},{"dropping-particle":"","family":"Mariam","given":"Fatemeh","non-dropping-particle":"","parse-names":false,"suffix":""},{"dropping-particle":"","family":"Gefen","given":"David","non-dropping-particle":"","parse-names":false,"suffix":""}],"container-title":"Decision Support Systems","id":"ITEM-1","issue":"2","issued":{"date-parts":[["2010"]]},"page":"138-150","publisher":"Elsevier B.V.","title":"The impact of personal dispositions on information sensitivity , privacy concern and trust in disclosing health information online","type":"article-journal","volume":"49"},"uris":["http://www.mendeley.com/documents/?uuid=11d2d929-f6f8-4041-89d2-8a841665df8d"]}],"mendeley":{"formattedCitation":"(Bansal, Mariam, and Gefen 2010)","plainTextFormattedCitation":"(Bansal, Mariam, and Gefen 2010)","previouslyFormattedCitation":"(Bansal, Mariam, and Gefen 2010)"},"properties":{"noteIndex":0},"schema":"https://github.com/citation-style-language/schema/raw/master/csl-citation.json"}</w:instrText>
            </w:r>
            <w:r w:rsidRPr="00B65B9D">
              <w:rPr>
                <w:rFonts w:ascii="Times New Roman" w:hAnsi="Times New Roman" w:cs="Times New Roman"/>
                <w:iCs/>
              </w:rPr>
              <w:fldChar w:fldCharType="separate"/>
            </w:r>
            <w:r w:rsidRPr="00562C53">
              <w:rPr>
                <w:rFonts w:ascii="Times New Roman" w:hAnsi="Times New Roman" w:cs="Times New Roman"/>
                <w:iCs/>
                <w:noProof/>
                <w:lang w:val="en-US"/>
              </w:rPr>
              <w:t>(Bansal, Mariam, and Gefen 2010)</w:t>
            </w:r>
            <w:r w:rsidRPr="00B65B9D">
              <w:rPr>
                <w:rFonts w:ascii="Times New Roman" w:hAnsi="Times New Roman" w:cs="Times New Roman"/>
                <w:iCs/>
              </w:rPr>
              <w:fldChar w:fldCharType="end"/>
            </w:r>
          </w:p>
        </w:tc>
        <w:tc>
          <w:tcPr>
            <w:tcW w:w="1080" w:type="dxa"/>
          </w:tcPr>
          <w:p w14:paraId="6BFBC34F" w14:textId="77777777" w:rsidR="00562C53" w:rsidRPr="00B65B9D" w:rsidRDefault="00562C53" w:rsidP="00507181">
            <w:pPr>
              <w:widowControl w:val="0"/>
              <w:pBdr>
                <w:top w:val="nil"/>
                <w:left w:val="nil"/>
                <w:bottom w:val="nil"/>
                <w:right w:val="nil"/>
                <w:between w:val="nil"/>
              </w:pBdr>
              <w:rPr>
                <w:rFonts w:ascii="Times New Roman" w:hAnsi="Times New Roman" w:cs="Times New Roman"/>
                <w:iCs/>
              </w:rPr>
            </w:pPr>
            <w:r w:rsidRPr="00B65B9D">
              <w:rPr>
                <w:rFonts w:ascii="Times New Roman" w:hAnsi="Times New Roman" w:cs="Times New Roman"/>
                <w:iCs/>
              </w:rPr>
              <w:t xml:space="preserve">EMN1 </w:t>
            </w:r>
          </w:p>
        </w:tc>
        <w:tc>
          <w:tcPr>
            <w:tcW w:w="6546" w:type="dxa"/>
          </w:tcPr>
          <w:p w14:paraId="3480A057" w14:textId="77777777" w:rsidR="00562C53" w:rsidRPr="00B65B9D" w:rsidRDefault="00562C53" w:rsidP="00507181">
            <w:pPr>
              <w:widowControl w:val="0"/>
              <w:rPr>
                <w:rFonts w:ascii="Times New Roman" w:hAnsi="Times New Roman" w:cs="Times New Roman"/>
                <w:iCs/>
              </w:rPr>
            </w:pPr>
            <w:r w:rsidRPr="00B65B9D">
              <w:rPr>
                <w:rFonts w:ascii="Times New Roman" w:hAnsi="Times New Roman" w:cs="Times New Roman"/>
                <w:iCs/>
              </w:rPr>
              <w:t>I get upset easily</w:t>
            </w:r>
          </w:p>
        </w:tc>
      </w:tr>
      <w:tr w:rsidR="00562C53" w:rsidRPr="00B65B9D" w14:paraId="2F28F889" w14:textId="77777777" w:rsidTr="00507181">
        <w:trPr>
          <w:trHeight w:val="141"/>
        </w:trPr>
        <w:tc>
          <w:tcPr>
            <w:tcW w:w="2146" w:type="dxa"/>
            <w:vMerge/>
          </w:tcPr>
          <w:p w14:paraId="59D683C6" w14:textId="77777777" w:rsidR="00562C53" w:rsidRPr="00B65B9D" w:rsidRDefault="00562C53" w:rsidP="00507181">
            <w:pPr>
              <w:widowControl w:val="0"/>
              <w:pBdr>
                <w:top w:val="nil"/>
                <w:left w:val="nil"/>
                <w:bottom w:val="nil"/>
                <w:right w:val="nil"/>
                <w:between w:val="nil"/>
              </w:pBdr>
              <w:spacing w:line="276" w:lineRule="auto"/>
              <w:rPr>
                <w:rFonts w:ascii="Times New Roman" w:hAnsi="Times New Roman" w:cs="Times New Roman"/>
                <w:iCs/>
              </w:rPr>
            </w:pPr>
          </w:p>
        </w:tc>
        <w:tc>
          <w:tcPr>
            <w:tcW w:w="1080" w:type="dxa"/>
          </w:tcPr>
          <w:p w14:paraId="158A3832" w14:textId="77777777" w:rsidR="00562C53" w:rsidRPr="00B65B9D" w:rsidRDefault="00562C53" w:rsidP="00507181">
            <w:pPr>
              <w:widowControl w:val="0"/>
              <w:rPr>
                <w:rFonts w:ascii="Times New Roman" w:hAnsi="Times New Roman" w:cs="Times New Roman"/>
                <w:iCs/>
              </w:rPr>
            </w:pPr>
            <w:r w:rsidRPr="00B65B9D">
              <w:rPr>
                <w:rFonts w:ascii="Times New Roman" w:hAnsi="Times New Roman" w:cs="Times New Roman"/>
                <w:iCs/>
              </w:rPr>
              <w:t xml:space="preserve">EMN2 </w:t>
            </w:r>
          </w:p>
        </w:tc>
        <w:tc>
          <w:tcPr>
            <w:tcW w:w="6546" w:type="dxa"/>
          </w:tcPr>
          <w:p w14:paraId="729A93E7" w14:textId="77777777" w:rsidR="00562C53" w:rsidRPr="00562C53" w:rsidRDefault="00562C53" w:rsidP="00507181">
            <w:pPr>
              <w:widowControl w:val="0"/>
              <w:rPr>
                <w:rFonts w:ascii="Times New Roman" w:hAnsi="Times New Roman" w:cs="Times New Roman"/>
                <w:iCs/>
                <w:lang w:val="en-US"/>
              </w:rPr>
            </w:pPr>
            <w:r w:rsidRPr="00562C53">
              <w:rPr>
                <w:rFonts w:ascii="Times New Roman" w:hAnsi="Times New Roman" w:cs="Times New Roman"/>
                <w:iCs/>
                <w:lang w:val="en-US"/>
              </w:rPr>
              <w:t>I change mood a lot</w:t>
            </w:r>
          </w:p>
        </w:tc>
      </w:tr>
      <w:tr w:rsidR="00562C53" w:rsidRPr="00B65B9D" w14:paraId="66FFF037" w14:textId="77777777" w:rsidTr="00507181">
        <w:trPr>
          <w:trHeight w:val="60"/>
        </w:trPr>
        <w:tc>
          <w:tcPr>
            <w:tcW w:w="2146" w:type="dxa"/>
            <w:vMerge/>
          </w:tcPr>
          <w:p w14:paraId="51D35DBC" w14:textId="77777777" w:rsidR="00562C53" w:rsidRPr="00562C53" w:rsidRDefault="00562C53" w:rsidP="00507181">
            <w:pPr>
              <w:widowControl w:val="0"/>
              <w:pBdr>
                <w:top w:val="nil"/>
                <w:left w:val="nil"/>
                <w:bottom w:val="nil"/>
                <w:right w:val="nil"/>
                <w:between w:val="nil"/>
              </w:pBdr>
              <w:spacing w:line="276" w:lineRule="auto"/>
              <w:rPr>
                <w:rFonts w:ascii="Times New Roman" w:hAnsi="Times New Roman" w:cs="Times New Roman"/>
                <w:iCs/>
                <w:lang w:val="en-US"/>
              </w:rPr>
            </w:pPr>
          </w:p>
        </w:tc>
        <w:tc>
          <w:tcPr>
            <w:tcW w:w="1080" w:type="dxa"/>
          </w:tcPr>
          <w:p w14:paraId="34BFD774" w14:textId="77777777" w:rsidR="00562C53" w:rsidRPr="00B65B9D" w:rsidRDefault="00562C53" w:rsidP="00507181">
            <w:pPr>
              <w:widowControl w:val="0"/>
              <w:rPr>
                <w:rFonts w:ascii="Times New Roman" w:hAnsi="Times New Roman" w:cs="Times New Roman"/>
                <w:iCs/>
              </w:rPr>
            </w:pPr>
            <w:r w:rsidRPr="00B65B9D">
              <w:rPr>
                <w:rFonts w:ascii="Times New Roman" w:hAnsi="Times New Roman" w:cs="Times New Roman"/>
                <w:iCs/>
              </w:rPr>
              <w:t xml:space="preserve">EMN3 </w:t>
            </w:r>
          </w:p>
        </w:tc>
        <w:tc>
          <w:tcPr>
            <w:tcW w:w="6546" w:type="dxa"/>
          </w:tcPr>
          <w:p w14:paraId="3EB95508" w14:textId="77777777" w:rsidR="00562C53" w:rsidRPr="00B65B9D" w:rsidRDefault="00562C53" w:rsidP="00507181">
            <w:pPr>
              <w:widowControl w:val="0"/>
              <w:rPr>
                <w:rFonts w:ascii="Times New Roman" w:hAnsi="Times New Roman" w:cs="Times New Roman"/>
                <w:iCs/>
              </w:rPr>
            </w:pPr>
            <w:r w:rsidRPr="00B65B9D">
              <w:rPr>
                <w:rFonts w:ascii="Times New Roman" w:hAnsi="Times New Roman" w:cs="Times New Roman"/>
                <w:iCs/>
              </w:rPr>
              <w:t>I get irritated easily</w:t>
            </w:r>
          </w:p>
        </w:tc>
      </w:tr>
    </w:tbl>
    <w:p w14:paraId="03AF65CB" w14:textId="77777777" w:rsidR="00562C53" w:rsidRDefault="00562C53" w:rsidP="00562C53">
      <w:pPr>
        <w:pStyle w:val="Paragrafoelenco"/>
        <w:ind w:left="0"/>
        <w:jc w:val="both"/>
        <w:rPr>
          <w:rFonts w:ascii="Times New Roman" w:hAnsi="Times New Roman" w:cs="Times New Roman"/>
        </w:rPr>
      </w:pPr>
    </w:p>
    <w:p w14:paraId="7AE0E13A" w14:textId="77777777" w:rsidR="00562C53" w:rsidRPr="0098616B" w:rsidRDefault="00562C53" w:rsidP="00562C53">
      <w:pPr>
        <w:pStyle w:val="Paragrafoelenco"/>
        <w:ind w:left="0"/>
        <w:jc w:val="both"/>
        <w:rPr>
          <w:rFonts w:ascii="Times New Roman" w:hAnsi="Times New Roman" w:cs="Times New Roman"/>
        </w:rPr>
      </w:pPr>
    </w:p>
    <w:p w14:paraId="224FD2C6" w14:textId="1EE37445" w:rsidR="0093318B" w:rsidRPr="00C6617B" w:rsidRDefault="00C6617B" w:rsidP="00562C53">
      <w:pPr>
        <w:rPr>
          <w:b/>
          <w:bCs/>
        </w:rPr>
      </w:pPr>
      <w:r w:rsidRPr="00C6617B">
        <w:rPr>
          <w:b/>
          <w:bCs/>
        </w:rPr>
        <w:t>References</w:t>
      </w:r>
    </w:p>
    <w:p w14:paraId="0A0903E3" w14:textId="5B673EC3" w:rsidR="00562C53" w:rsidRDefault="00C6617B" w:rsidP="00562C53">
      <w:pPr>
        <w:rPr>
          <w:rFonts w:ascii="Roboto" w:hAnsi="Roboto" w:cs="Times New Roman"/>
          <w:noProof/>
          <w:sz w:val="20"/>
          <w:szCs w:val="24"/>
        </w:rPr>
      </w:pPr>
      <w:r w:rsidRPr="00C33DB9">
        <w:rPr>
          <w:rFonts w:ascii="Roboto" w:hAnsi="Roboto" w:cs="Times New Roman"/>
          <w:noProof/>
          <w:sz w:val="20"/>
          <w:szCs w:val="24"/>
        </w:rPr>
        <w:t>Jarvenpaa SL, Tractinsky N, Vitale M. Consumer trust in an Internet store . Inf Technol Manag. 2000;1:45–71.</w:t>
      </w:r>
    </w:p>
    <w:p w14:paraId="1B63AC10" w14:textId="67D47188" w:rsidR="00C6617B" w:rsidRDefault="00767547" w:rsidP="00562C53">
      <w:pPr>
        <w:rPr>
          <w:rFonts w:ascii="Roboto" w:hAnsi="Roboto" w:cs="Times New Roman"/>
          <w:noProof/>
          <w:sz w:val="20"/>
          <w:szCs w:val="24"/>
        </w:rPr>
      </w:pPr>
      <w:r w:rsidRPr="00C33DB9">
        <w:rPr>
          <w:rFonts w:ascii="Roboto" w:hAnsi="Roboto" w:cs="Times New Roman"/>
          <w:noProof/>
          <w:sz w:val="20"/>
          <w:szCs w:val="24"/>
        </w:rPr>
        <w:t>McKnight DH, Choudhury V, Kacmar C. Developing and validating trust measures for e-commerce: An integrative typology. Inf Syst Res. 2002;13(3):334–59.</w:t>
      </w:r>
    </w:p>
    <w:p w14:paraId="586BB5F2" w14:textId="432AFC28" w:rsidR="0038035E" w:rsidRDefault="0038035E" w:rsidP="00562C53">
      <w:pPr>
        <w:rPr>
          <w:rFonts w:ascii="Roboto" w:hAnsi="Roboto" w:cs="Times New Roman"/>
          <w:noProof/>
          <w:sz w:val="20"/>
          <w:szCs w:val="24"/>
        </w:rPr>
      </w:pPr>
      <w:r w:rsidRPr="00C33DB9">
        <w:rPr>
          <w:rFonts w:ascii="Roboto" w:hAnsi="Roboto" w:cs="Times New Roman"/>
          <w:noProof/>
          <w:sz w:val="20"/>
          <w:szCs w:val="24"/>
        </w:rPr>
        <w:t>Davis FD. Perceived usefulness, perceived ease of use, and user acceptance of information technology. MIS Q. 1989;13(3):319–39.</w:t>
      </w:r>
    </w:p>
    <w:p w14:paraId="7AB8A96F" w14:textId="67EA0E5E" w:rsidR="00996C72" w:rsidRDefault="00996C72" w:rsidP="00562C53">
      <w:pPr>
        <w:rPr>
          <w:rFonts w:ascii="Arial" w:hAnsi="Arial" w:cs="Arial"/>
          <w:color w:val="222222"/>
          <w:sz w:val="20"/>
          <w:szCs w:val="20"/>
          <w:shd w:val="clear" w:color="auto" w:fill="FFFFFF"/>
        </w:rPr>
      </w:pPr>
      <w:r>
        <w:rPr>
          <w:rFonts w:ascii="Arial" w:hAnsi="Arial" w:cs="Arial"/>
          <w:color w:val="222222"/>
          <w:sz w:val="20"/>
          <w:szCs w:val="20"/>
          <w:shd w:val="clear" w:color="auto" w:fill="FFFFFF"/>
        </w:rPr>
        <w:t>Xu, Heng, et al. "The role of push-pull technology in privacy calculus: the case of location-based services." </w:t>
      </w:r>
      <w:r>
        <w:rPr>
          <w:rFonts w:ascii="Arial" w:hAnsi="Arial" w:cs="Arial"/>
          <w:i/>
          <w:iCs/>
          <w:color w:val="222222"/>
          <w:sz w:val="20"/>
          <w:szCs w:val="20"/>
          <w:shd w:val="clear" w:color="auto" w:fill="FFFFFF"/>
        </w:rPr>
        <w:t>Journal of management information systems</w:t>
      </w:r>
      <w:r>
        <w:rPr>
          <w:rFonts w:ascii="Arial" w:hAnsi="Arial" w:cs="Arial"/>
          <w:color w:val="222222"/>
          <w:sz w:val="20"/>
          <w:szCs w:val="20"/>
          <w:shd w:val="clear" w:color="auto" w:fill="FFFFFF"/>
        </w:rPr>
        <w:t> (2009): 135-173.</w:t>
      </w:r>
    </w:p>
    <w:p w14:paraId="4CF47A04" w14:textId="419B1F1A" w:rsidR="00996C72" w:rsidRDefault="001F14AE" w:rsidP="00562C53">
      <w:pPr>
        <w:rPr>
          <w:rFonts w:ascii="Roboto" w:hAnsi="Roboto" w:cs="Times New Roman"/>
          <w:noProof/>
          <w:sz w:val="20"/>
          <w:szCs w:val="24"/>
        </w:rPr>
      </w:pPr>
      <w:r w:rsidRPr="00C33DB9">
        <w:rPr>
          <w:rFonts w:ascii="Roboto" w:hAnsi="Roboto" w:cs="Times New Roman"/>
          <w:noProof/>
          <w:sz w:val="20"/>
          <w:szCs w:val="24"/>
        </w:rPr>
        <w:t>Venkatesh V, Morris MG, Davis GB, Davis FD. User Acceptance of Information Technology</w:t>
      </w:r>
      <w:r>
        <w:rPr>
          <w:rFonts w:ascii="Roboto" w:hAnsi="Roboto" w:cs="Times New Roman"/>
          <w:noProof/>
          <w:sz w:val="20"/>
          <w:szCs w:val="24"/>
        </w:rPr>
        <w:t>: Toward a Unified View. MIS Q</w:t>
      </w:r>
      <w:r w:rsidRPr="00C33DB9">
        <w:rPr>
          <w:rFonts w:ascii="Roboto" w:hAnsi="Roboto" w:cs="Times New Roman"/>
          <w:noProof/>
          <w:sz w:val="20"/>
          <w:szCs w:val="24"/>
        </w:rPr>
        <w:t>. 2003;27(3):425–</w:t>
      </w:r>
      <w:r>
        <w:rPr>
          <w:rFonts w:ascii="Roboto" w:hAnsi="Roboto" w:cs="Times New Roman"/>
          <w:noProof/>
          <w:sz w:val="20"/>
          <w:szCs w:val="24"/>
        </w:rPr>
        <w:t>78.</w:t>
      </w:r>
    </w:p>
    <w:p w14:paraId="3F1D3AD8" w14:textId="77777777" w:rsidR="00B60E4F" w:rsidRDefault="00B60E4F" w:rsidP="00B60E4F">
      <w:pPr>
        <w:widowControl w:val="0"/>
        <w:autoSpaceDE w:val="0"/>
        <w:autoSpaceDN w:val="0"/>
        <w:adjustRightInd w:val="0"/>
        <w:spacing w:after="0" w:line="240" w:lineRule="auto"/>
        <w:rPr>
          <w:rFonts w:ascii="Roboto" w:hAnsi="Roboto" w:cs="Times New Roman"/>
          <w:noProof/>
          <w:sz w:val="20"/>
          <w:szCs w:val="24"/>
        </w:rPr>
      </w:pPr>
      <w:r w:rsidRPr="00C33DB9">
        <w:rPr>
          <w:rFonts w:ascii="Roboto" w:hAnsi="Roboto" w:cs="Times New Roman"/>
          <w:noProof/>
          <w:sz w:val="20"/>
          <w:szCs w:val="24"/>
        </w:rPr>
        <w:t>Cottrill CD, Vonu Thakuriah P. Location privacy preferences: A survey-based analysis of consumer</w:t>
      </w:r>
      <w:r>
        <w:rPr>
          <w:rFonts w:ascii="Roboto" w:hAnsi="Roboto" w:cs="Times New Roman"/>
          <w:noProof/>
          <w:sz w:val="20"/>
          <w:szCs w:val="24"/>
        </w:rPr>
        <w:t xml:space="preserve"> </w:t>
      </w:r>
      <w:r w:rsidRPr="00C33DB9">
        <w:rPr>
          <w:rFonts w:ascii="Roboto" w:hAnsi="Roboto" w:cs="Times New Roman"/>
          <w:noProof/>
          <w:sz w:val="20"/>
          <w:szCs w:val="24"/>
        </w:rPr>
        <w:t>awareness, trade-off and decision-making. Transp Res Part C Emerg Technol. 2015 Jul 1;56:132–48.</w:t>
      </w:r>
    </w:p>
    <w:p w14:paraId="2F766397" w14:textId="77777777" w:rsidR="00286D25" w:rsidRDefault="00286D25" w:rsidP="00286D25">
      <w:pPr>
        <w:widowControl w:val="0"/>
        <w:autoSpaceDE w:val="0"/>
        <w:autoSpaceDN w:val="0"/>
        <w:adjustRightInd w:val="0"/>
        <w:spacing w:line="240" w:lineRule="auto"/>
        <w:rPr>
          <w:rFonts w:ascii="Roboto" w:hAnsi="Roboto" w:cs="Times New Roman"/>
          <w:noProof/>
          <w:sz w:val="20"/>
          <w:szCs w:val="24"/>
        </w:rPr>
      </w:pPr>
    </w:p>
    <w:p w14:paraId="61B51CFB" w14:textId="4DFE4A54" w:rsidR="00286D25" w:rsidRDefault="00286D25" w:rsidP="00286D25">
      <w:pPr>
        <w:widowControl w:val="0"/>
        <w:autoSpaceDE w:val="0"/>
        <w:autoSpaceDN w:val="0"/>
        <w:adjustRightInd w:val="0"/>
        <w:spacing w:line="240" w:lineRule="auto"/>
        <w:rPr>
          <w:rFonts w:ascii="Roboto" w:hAnsi="Roboto" w:cs="Times New Roman"/>
          <w:noProof/>
          <w:sz w:val="20"/>
          <w:szCs w:val="24"/>
        </w:rPr>
      </w:pPr>
      <w:r w:rsidRPr="00C33DB9">
        <w:rPr>
          <w:rFonts w:ascii="Roboto" w:hAnsi="Roboto" w:cs="Times New Roman"/>
          <w:noProof/>
          <w:sz w:val="20"/>
          <w:szCs w:val="24"/>
        </w:rPr>
        <w:t xml:space="preserve">Cho H, Lee JS, Chung S. Optimistic bias about online privacy risks: Testing the moderating effects of perceived controllability and prior experience. Comput Human Behav. 2010 Sep 1;26(5):987–95. </w:t>
      </w:r>
    </w:p>
    <w:p w14:paraId="21FBC51D" w14:textId="28049B05" w:rsidR="00475DB6" w:rsidRPr="00C33DB9" w:rsidRDefault="00475DB6" w:rsidP="00475DB6">
      <w:pPr>
        <w:widowControl w:val="0"/>
        <w:autoSpaceDE w:val="0"/>
        <w:autoSpaceDN w:val="0"/>
        <w:adjustRightInd w:val="0"/>
        <w:spacing w:line="240" w:lineRule="auto"/>
        <w:rPr>
          <w:rFonts w:ascii="Roboto" w:hAnsi="Roboto" w:cs="Times New Roman"/>
          <w:noProof/>
          <w:sz w:val="20"/>
          <w:szCs w:val="24"/>
        </w:rPr>
      </w:pPr>
      <w:r w:rsidRPr="00C33DB9">
        <w:rPr>
          <w:rFonts w:ascii="Roboto" w:hAnsi="Roboto" w:cs="Times New Roman"/>
          <w:noProof/>
          <w:sz w:val="20"/>
          <w:szCs w:val="24"/>
        </w:rPr>
        <w:t>Bansal G, Zahedi FM, Gefen D. The impact of personal dispositions on information sensitivity, privconcern and trust in disclosing health informat</w:t>
      </w:r>
      <w:r>
        <w:rPr>
          <w:rFonts w:ascii="Roboto" w:hAnsi="Roboto" w:cs="Times New Roman"/>
          <w:noProof/>
          <w:sz w:val="20"/>
          <w:szCs w:val="24"/>
        </w:rPr>
        <w:t>ion online. Decis Support Syst</w:t>
      </w:r>
      <w:r w:rsidRPr="00C33DB9">
        <w:rPr>
          <w:rFonts w:ascii="Roboto" w:hAnsi="Roboto" w:cs="Times New Roman"/>
          <w:noProof/>
          <w:sz w:val="20"/>
          <w:szCs w:val="24"/>
        </w:rPr>
        <w:t xml:space="preserve">. 2010;49(2):138–50. </w:t>
      </w:r>
    </w:p>
    <w:p w14:paraId="40D0B6A6" w14:textId="77777777" w:rsidR="00475DB6" w:rsidRPr="00C33DB9" w:rsidRDefault="00475DB6" w:rsidP="00286D25">
      <w:pPr>
        <w:widowControl w:val="0"/>
        <w:autoSpaceDE w:val="0"/>
        <w:autoSpaceDN w:val="0"/>
        <w:adjustRightInd w:val="0"/>
        <w:spacing w:line="240" w:lineRule="auto"/>
        <w:rPr>
          <w:rFonts w:ascii="Roboto" w:hAnsi="Roboto" w:cs="Times New Roman"/>
          <w:noProof/>
          <w:sz w:val="20"/>
          <w:szCs w:val="24"/>
        </w:rPr>
      </w:pPr>
    </w:p>
    <w:p w14:paraId="4136D871" w14:textId="1E766569" w:rsidR="00B60E4F" w:rsidRPr="00C33DB9" w:rsidRDefault="00B60E4F" w:rsidP="00B60E4F">
      <w:pPr>
        <w:widowControl w:val="0"/>
        <w:autoSpaceDE w:val="0"/>
        <w:autoSpaceDN w:val="0"/>
        <w:adjustRightInd w:val="0"/>
        <w:spacing w:after="0" w:line="240" w:lineRule="auto"/>
        <w:rPr>
          <w:rFonts w:ascii="Roboto" w:hAnsi="Roboto" w:cs="Times New Roman"/>
          <w:noProof/>
          <w:sz w:val="20"/>
          <w:szCs w:val="24"/>
        </w:rPr>
      </w:pPr>
      <w:r w:rsidRPr="00C33DB9">
        <w:rPr>
          <w:rFonts w:ascii="Roboto" w:hAnsi="Roboto" w:cs="Times New Roman"/>
          <w:noProof/>
          <w:sz w:val="20"/>
          <w:szCs w:val="24"/>
        </w:rPr>
        <w:t xml:space="preserve"> </w:t>
      </w:r>
    </w:p>
    <w:p w14:paraId="08585EBB" w14:textId="77777777" w:rsidR="00B60E4F" w:rsidRPr="00562C53" w:rsidRDefault="00B60E4F" w:rsidP="00562C53"/>
    <w:sectPr w:rsidR="00B60E4F" w:rsidRPr="00562C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545446"/>
    <w:rsid w:val="00066B05"/>
    <w:rsid w:val="00091467"/>
    <w:rsid w:val="0019448F"/>
    <w:rsid w:val="001F14AE"/>
    <w:rsid w:val="00286D25"/>
    <w:rsid w:val="002E4CF7"/>
    <w:rsid w:val="0038035E"/>
    <w:rsid w:val="00475DB6"/>
    <w:rsid w:val="00545446"/>
    <w:rsid w:val="00562C53"/>
    <w:rsid w:val="00767547"/>
    <w:rsid w:val="007B0910"/>
    <w:rsid w:val="0093318B"/>
    <w:rsid w:val="00996C72"/>
    <w:rsid w:val="00B60E4F"/>
    <w:rsid w:val="00C443FA"/>
    <w:rsid w:val="00C6617B"/>
    <w:rsid w:val="00E01864"/>
    <w:rsid w:val="00FB558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E14B"/>
  <w15:chartTrackingRefBased/>
  <w15:docId w15:val="{0230EA89-F227-4BF3-A1B5-E8CD0D14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0910"/>
    <w:rPr>
      <w:rFonts w:ascii="Calibri" w:eastAsia="Calibri" w:hAnsi="Calibri" w:cs="Calibri"/>
      <w:kern w:val="0"/>
      <w:lang w:eastAsia="it-IT"/>
    </w:rPr>
  </w:style>
  <w:style w:type="paragraph" w:styleId="Titolo1">
    <w:name w:val="heading 1"/>
    <w:basedOn w:val="Normale"/>
    <w:next w:val="Normale"/>
    <w:link w:val="Titolo1Carattere"/>
    <w:uiPriority w:val="9"/>
    <w:qFormat/>
    <w:rsid w:val="007B0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0910"/>
    <w:rPr>
      <w:rFonts w:asciiTheme="majorHAnsi" w:eastAsiaTheme="majorEastAsia" w:hAnsiTheme="majorHAnsi" w:cstheme="majorBidi"/>
      <w:color w:val="2F5496" w:themeColor="accent1" w:themeShade="BF"/>
      <w:kern w:val="0"/>
      <w:sz w:val="32"/>
      <w:szCs w:val="32"/>
      <w:lang w:eastAsia="it-IT"/>
    </w:rPr>
  </w:style>
  <w:style w:type="paragraph" w:styleId="Paragrafoelenco">
    <w:name w:val="List Paragraph"/>
    <w:basedOn w:val="Normale"/>
    <w:uiPriority w:val="34"/>
    <w:qFormat/>
    <w:rsid w:val="007B0910"/>
    <w:pPr>
      <w:ind w:left="720"/>
      <w:contextualSpacing/>
    </w:pPr>
  </w:style>
  <w:style w:type="table" w:styleId="Tabellagriglia1chiara-colore3">
    <w:name w:val="Grid Table 1 Light Accent 3"/>
    <w:basedOn w:val="Tabellanormale"/>
    <w:uiPriority w:val="46"/>
    <w:rsid w:val="007B0910"/>
    <w:pPr>
      <w:spacing w:after="0" w:line="240" w:lineRule="auto"/>
    </w:pPr>
    <w:rPr>
      <w:kern w:val="0"/>
      <w:lang w:val="it-IT"/>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
    <w:name w:val="2"/>
    <w:basedOn w:val="Tabellanormale"/>
    <w:rsid w:val="007B0910"/>
    <w:pPr>
      <w:spacing w:after="0" w:line="240" w:lineRule="auto"/>
    </w:pPr>
    <w:rPr>
      <w:rFonts w:ascii="Calibri" w:eastAsia="Calibri" w:hAnsi="Calibri" w:cs="Calibri"/>
      <w:kern w:val="0"/>
    </w:rPr>
    <w:tblPr>
      <w:tblStyleRowBandSize w:val="1"/>
      <w:tblStyleColBandSize w:val="1"/>
      <w:tblInd w:w="0" w:type="nil"/>
      <w:tblCellMar>
        <w:top w:w="100" w:type="dxa"/>
        <w:bottom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532B1-6C78-4DDD-82A1-BD5C8B7F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4370</Words>
  <Characters>24912</Characters>
  <Application>Microsoft Office Word</Application>
  <DocSecurity>0</DocSecurity>
  <Lines>207</Lines>
  <Paragraphs>58</Paragraphs>
  <ScaleCrop>false</ScaleCrop>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Maria Urbano</dc:creator>
  <cp:keywords/>
  <dc:description/>
  <cp:lastModifiedBy>Valeria Maria Urbano</cp:lastModifiedBy>
  <cp:revision>16</cp:revision>
  <dcterms:created xsi:type="dcterms:W3CDTF">2023-12-22T09:29:00Z</dcterms:created>
  <dcterms:modified xsi:type="dcterms:W3CDTF">2023-12-27T08:38:00Z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