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40D90" w14:textId="6E973958" w:rsidR="00D9709A" w:rsidRPr="009D7170" w:rsidRDefault="00D9709A" w:rsidP="00D9709A">
      <w:pPr>
        <w:spacing w:after="0" w:line="276" w:lineRule="auto"/>
        <w:contextualSpacing/>
        <w:jc w:val="both"/>
        <w:rPr>
          <w:rFonts w:eastAsiaTheme="majorEastAsia" w:cs="Arial"/>
          <w:spacing w:val="-10"/>
          <w:kern w:val="28"/>
          <w:sz w:val="36"/>
          <w:szCs w:val="36"/>
        </w:rPr>
      </w:pPr>
      <w:r w:rsidRPr="009D7170">
        <w:rPr>
          <w:rFonts w:eastAsiaTheme="majorEastAsia" w:cs="Arial"/>
          <w:spacing w:val="-10"/>
          <w:kern w:val="28"/>
          <w:sz w:val="36"/>
          <w:szCs w:val="36"/>
        </w:rPr>
        <w:t xml:space="preserve">The </w:t>
      </w:r>
      <w:r>
        <w:rPr>
          <w:rFonts w:eastAsiaTheme="majorEastAsia" w:cs="Arial"/>
          <w:spacing w:val="-10"/>
          <w:kern w:val="28"/>
          <w:sz w:val="36"/>
          <w:szCs w:val="36"/>
        </w:rPr>
        <w:t>e</w:t>
      </w:r>
      <w:r w:rsidRPr="009D7170">
        <w:rPr>
          <w:rFonts w:eastAsiaTheme="majorEastAsia" w:cs="Arial"/>
          <w:spacing w:val="-10"/>
          <w:kern w:val="28"/>
          <w:sz w:val="36"/>
          <w:szCs w:val="36"/>
        </w:rPr>
        <w:t xml:space="preserve">ffects of </w:t>
      </w:r>
      <w:r>
        <w:rPr>
          <w:rFonts w:eastAsiaTheme="majorEastAsia" w:cs="Arial"/>
          <w:spacing w:val="-10"/>
          <w:kern w:val="28"/>
          <w:sz w:val="36"/>
          <w:szCs w:val="36"/>
        </w:rPr>
        <w:t>i</w:t>
      </w:r>
      <w:r w:rsidRPr="009D7170">
        <w:rPr>
          <w:rFonts w:eastAsiaTheme="majorEastAsia" w:cs="Arial"/>
          <w:spacing w:val="-10"/>
          <w:kern w:val="28"/>
          <w:sz w:val="36"/>
          <w:szCs w:val="36"/>
        </w:rPr>
        <w:t xml:space="preserve">norganic </w:t>
      </w:r>
      <w:r>
        <w:rPr>
          <w:rFonts w:eastAsiaTheme="majorEastAsia" w:cs="Arial"/>
          <w:spacing w:val="-10"/>
          <w:kern w:val="28"/>
          <w:sz w:val="36"/>
          <w:szCs w:val="36"/>
        </w:rPr>
        <w:t>n</w:t>
      </w:r>
      <w:r w:rsidRPr="009D7170">
        <w:rPr>
          <w:rFonts w:eastAsiaTheme="majorEastAsia" w:cs="Arial"/>
          <w:spacing w:val="-10"/>
          <w:kern w:val="28"/>
          <w:sz w:val="36"/>
          <w:szCs w:val="36"/>
        </w:rPr>
        <w:t xml:space="preserve">itrate and </w:t>
      </w:r>
      <w:r>
        <w:rPr>
          <w:rFonts w:eastAsiaTheme="majorEastAsia" w:cs="Arial"/>
          <w:spacing w:val="-10"/>
          <w:kern w:val="28"/>
          <w:sz w:val="36"/>
          <w:szCs w:val="36"/>
        </w:rPr>
        <w:t>i</w:t>
      </w:r>
      <w:r w:rsidRPr="009D7170">
        <w:rPr>
          <w:rFonts w:eastAsiaTheme="majorEastAsia" w:cs="Arial"/>
          <w:spacing w:val="-10"/>
          <w:kern w:val="28"/>
          <w:sz w:val="36"/>
          <w:szCs w:val="36"/>
        </w:rPr>
        <w:t xml:space="preserve">nulin </w:t>
      </w:r>
      <w:r>
        <w:rPr>
          <w:rFonts w:eastAsiaTheme="majorEastAsia" w:cs="Arial"/>
          <w:spacing w:val="-10"/>
          <w:kern w:val="28"/>
          <w:sz w:val="36"/>
          <w:szCs w:val="36"/>
        </w:rPr>
        <w:t xml:space="preserve">co-ingestion </w:t>
      </w:r>
      <w:r w:rsidRPr="009D7170">
        <w:rPr>
          <w:rFonts w:eastAsiaTheme="majorEastAsia" w:cs="Arial"/>
          <w:spacing w:val="-10"/>
          <w:kern w:val="28"/>
          <w:sz w:val="36"/>
          <w:szCs w:val="36"/>
        </w:rPr>
        <w:t xml:space="preserve">on </w:t>
      </w:r>
      <w:r>
        <w:rPr>
          <w:rFonts w:eastAsiaTheme="majorEastAsia" w:cs="Arial"/>
          <w:spacing w:val="-10"/>
          <w:kern w:val="28"/>
          <w:sz w:val="36"/>
          <w:szCs w:val="36"/>
        </w:rPr>
        <w:t>circulating m</w:t>
      </w:r>
      <w:r w:rsidRPr="009D7170">
        <w:rPr>
          <w:rFonts w:eastAsiaTheme="majorEastAsia" w:cs="Arial"/>
          <w:spacing w:val="-10"/>
          <w:kern w:val="28"/>
          <w:sz w:val="36"/>
          <w:szCs w:val="36"/>
        </w:rPr>
        <w:t xml:space="preserve">etabolites and </w:t>
      </w:r>
      <w:r>
        <w:rPr>
          <w:rFonts w:eastAsiaTheme="majorEastAsia" w:cs="Arial"/>
          <w:spacing w:val="-10"/>
          <w:kern w:val="28"/>
          <w:sz w:val="36"/>
          <w:szCs w:val="36"/>
        </w:rPr>
        <w:t>b</w:t>
      </w:r>
      <w:r w:rsidRPr="009D7170">
        <w:rPr>
          <w:rFonts w:eastAsiaTheme="majorEastAsia" w:cs="Arial"/>
          <w:spacing w:val="-10"/>
          <w:kern w:val="28"/>
          <w:sz w:val="36"/>
          <w:szCs w:val="36"/>
        </w:rPr>
        <w:t xml:space="preserve">lood </w:t>
      </w:r>
      <w:r>
        <w:rPr>
          <w:rFonts w:eastAsiaTheme="majorEastAsia" w:cs="Arial"/>
          <w:spacing w:val="-10"/>
          <w:kern w:val="28"/>
          <w:sz w:val="36"/>
          <w:szCs w:val="36"/>
        </w:rPr>
        <w:t>p</w:t>
      </w:r>
      <w:r w:rsidRPr="009D7170">
        <w:rPr>
          <w:rFonts w:eastAsiaTheme="majorEastAsia" w:cs="Arial"/>
          <w:spacing w:val="-10"/>
          <w:kern w:val="28"/>
          <w:sz w:val="36"/>
          <w:szCs w:val="36"/>
        </w:rPr>
        <w:t xml:space="preserve">ressure </w:t>
      </w:r>
      <w:r>
        <w:rPr>
          <w:rFonts w:eastAsiaTheme="majorEastAsia" w:cs="Arial"/>
          <w:spacing w:val="-10"/>
          <w:kern w:val="28"/>
          <w:sz w:val="36"/>
          <w:szCs w:val="36"/>
        </w:rPr>
        <w:t xml:space="preserve">in young adults: </w:t>
      </w:r>
      <w:r w:rsidRPr="009D7170">
        <w:rPr>
          <w:rFonts w:eastAsiaTheme="majorEastAsia" w:cs="Arial"/>
          <w:spacing w:val="-10"/>
          <w:kern w:val="28"/>
          <w:sz w:val="36"/>
          <w:szCs w:val="36"/>
        </w:rPr>
        <w:t xml:space="preserve">A </w:t>
      </w:r>
      <w:r>
        <w:rPr>
          <w:rFonts w:eastAsiaTheme="majorEastAsia" w:cs="Arial"/>
          <w:spacing w:val="-10"/>
          <w:kern w:val="28"/>
          <w:sz w:val="36"/>
          <w:szCs w:val="36"/>
        </w:rPr>
        <w:t>pilot double-blind r</w:t>
      </w:r>
      <w:r w:rsidRPr="009D7170">
        <w:rPr>
          <w:rFonts w:eastAsiaTheme="majorEastAsia" w:cs="Arial"/>
          <w:spacing w:val="-10"/>
          <w:kern w:val="28"/>
          <w:sz w:val="36"/>
          <w:szCs w:val="36"/>
        </w:rPr>
        <w:t xml:space="preserve">andomised </w:t>
      </w:r>
      <w:r>
        <w:rPr>
          <w:rFonts w:eastAsiaTheme="majorEastAsia" w:cs="Arial"/>
          <w:spacing w:val="-10"/>
          <w:kern w:val="28"/>
          <w:sz w:val="36"/>
          <w:szCs w:val="36"/>
        </w:rPr>
        <w:t>crossover trial</w:t>
      </w:r>
    </w:p>
    <w:p w14:paraId="6EEBC372" w14:textId="77777777" w:rsidR="009B0C49" w:rsidRDefault="009B0C49" w:rsidP="00882D32">
      <w:pPr>
        <w:tabs>
          <w:tab w:val="left" w:pos="1739"/>
        </w:tabs>
        <w:spacing w:line="360" w:lineRule="auto"/>
        <w:contextualSpacing/>
        <w:jc w:val="both"/>
        <w:rPr>
          <w:rFonts w:ascii="Arial" w:eastAsia="Times New Roman" w:hAnsi="Arial" w:cs="Arial"/>
          <w:iCs/>
        </w:rPr>
      </w:pPr>
    </w:p>
    <w:p w14:paraId="0D1A421C" w14:textId="77777777" w:rsidR="00864557" w:rsidRPr="00864557" w:rsidRDefault="00864557" w:rsidP="00864557">
      <w:pPr>
        <w:tabs>
          <w:tab w:val="left" w:pos="1739"/>
        </w:tabs>
        <w:spacing w:line="360" w:lineRule="auto"/>
        <w:contextualSpacing/>
        <w:jc w:val="both"/>
        <w:rPr>
          <w:rFonts w:ascii="Arial" w:eastAsia="Times New Roman" w:hAnsi="Arial" w:cs="Arial"/>
          <w:iCs/>
        </w:rPr>
      </w:pPr>
      <w:r w:rsidRPr="00864557">
        <w:rPr>
          <w:rFonts w:ascii="Arial" w:eastAsia="Times New Roman" w:hAnsi="Arial" w:cs="Arial"/>
          <w:iCs/>
        </w:rPr>
        <w:t>Jessica Virgili</w:t>
      </w:r>
      <w:r w:rsidRPr="00E6120A">
        <w:rPr>
          <w:rFonts w:ascii="Arial" w:eastAsia="Times New Roman" w:hAnsi="Arial" w:cs="Arial"/>
          <w:iCs/>
          <w:vertAlign w:val="superscript"/>
        </w:rPr>
        <w:t>1</w:t>
      </w:r>
      <w:r w:rsidRPr="00864557">
        <w:rPr>
          <w:rFonts w:ascii="Arial" w:eastAsia="Times New Roman" w:hAnsi="Arial" w:cs="Arial"/>
          <w:iCs/>
        </w:rPr>
        <w:t>, Gwenaelle Le Gall</w:t>
      </w:r>
      <w:r w:rsidRPr="00E6120A">
        <w:rPr>
          <w:rFonts w:ascii="Arial" w:eastAsia="Times New Roman" w:hAnsi="Arial" w:cs="Arial"/>
          <w:iCs/>
          <w:vertAlign w:val="superscript"/>
        </w:rPr>
        <w:t>2</w:t>
      </w:r>
      <w:r w:rsidRPr="00864557">
        <w:rPr>
          <w:rFonts w:ascii="Arial" w:eastAsia="Times New Roman" w:hAnsi="Arial" w:cs="Arial"/>
          <w:iCs/>
        </w:rPr>
        <w:t>, Anni Vanhatalo</w:t>
      </w:r>
      <w:r w:rsidRPr="00E6120A">
        <w:rPr>
          <w:rFonts w:ascii="Arial" w:eastAsia="Times New Roman" w:hAnsi="Arial" w:cs="Arial"/>
          <w:iCs/>
          <w:vertAlign w:val="superscript"/>
        </w:rPr>
        <w:t>1</w:t>
      </w:r>
      <w:r w:rsidRPr="00864557">
        <w:rPr>
          <w:rFonts w:ascii="Arial" w:eastAsia="Times New Roman" w:hAnsi="Arial" w:cs="Arial"/>
          <w:iCs/>
        </w:rPr>
        <w:t>, Bert Bond</w:t>
      </w:r>
      <w:r w:rsidRPr="00E6120A">
        <w:rPr>
          <w:rFonts w:ascii="Arial" w:eastAsia="Times New Roman" w:hAnsi="Arial" w:cs="Arial"/>
          <w:iCs/>
          <w:vertAlign w:val="superscript"/>
        </w:rPr>
        <w:t>1</w:t>
      </w:r>
      <w:r w:rsidRPr="00864557">
        <w:rPr>
          <w:rFonts w:ascii="Arial" w:eastAsia="Times New Roman" w:hAnsi="Arial" w:cs="Arial"/>
          <w:iCs/>
        </w:rPr>
        <w:t>, David Vauzour</w:t>
      </w:r>
      <w:r w:rsidRPr="00E6120A">
        <w:rPr>
          <w:rFonts w:ascii="Arial" w:eastAsia="Times New Roman" w:hAnsi="Arial" w:cs="Arial"/>
          <w:iCs/>
          <w:vertAlign w:val="superscript"/>
        </w:rPr>
        <w:t>2</w:t>
      </w:r>
      <w:r w:rsidRPr="00864557">
        <w:rPr>
          <w:rFonts w:ascii="Arial" w:eastAsia="Times New Roman" w:hAnsi="Arial" w:cs="Arial"/>
          <w:iCs/>
        </w:rPr>
        <w:t>, and Luciana Torquati</w:t>
      </w:r>
      <w:r w:rsidRPr="00E6120A">
        <w:rPr>
          <w:rFonts w:ascii="Arial" w:eastAsia="Times New Roman" w:hAnsi="Arial" w:cs="Arial"/>
          <w:iCs/>
          <w:vertAlign w:val="superscript"/>
        </w:rPr>
        <w:t>1</w:t>
      </w:r>
    </w:p>
    <w:p w14:paraId="4366E485" w14:textId="77777777" w:rsidR="00864557" w:rsidRPr="00E6120A" w:rsidRDefault="00864557" w:rsidP="00864557">
      <w:pPr>
        <w:tabs>
          <w:tab w:val="left" w:pos="1739"/>
        </w:tabs>
        <w:spacing w:line="360" w:lineRule="auto"/>
        <w:contextualSpacing/>
        <w:jc w:val="both"/>
        <w:rPr>
          <w:rFonts w:ascii="Arial" w:eastAsia="Times New Roman" w:hAnsi="Arial" w:cs="Arial"/>
          <w:iCs/>
          <w:vertAlign w:val="superscript"/>
        </w:rPr>
      </w:pPr>
    </w:p>
    <w:p w14:paraId="5D598C92" w14:textId="3E48F4D9" w:rsidR="00864557" w:rsidRPr="00864557" w:rsidRDefault="00864557" w:rsidP="00864557">
      <w:pPr>
        <w:tabs>
          <w:tab w:val="left" w:pos="1739"/>
        </w:tabs>
        <w:spacing w:line="360" w:lineRule="auto"/>
        <w:contextualSpacing/>
        <w:jc w:val="both"/>
        <w:rPr>
          <w:rFonts w:ascii="Arial" w:eastAsia="Times New Roman" w:hAnsi="Arial" w:cs="Arial"/>
          <w:iCs/>
        </w:rPr>
      </w:pPr>
      <w:r w:rsidRPr="00E6120A">
        <w:rPr>
          <w:rFonts w:ascii="Arial" w:eastAsia="Times New Roman" w:hAnsi="Arial" w:cs="Arial"/>
          <w:iCs/>
          <w:vertAlign w:val="superscript"/>
        </w:rPr>
        <w:t>1</w:t>
      </w:r>
      <w:r w:rsidRPr="00864557">
        <w:rPr>
          <w:rFonts w:ascii="Arial" w:eastAsia="Times New Roman" w:hAnsi="Arial" w:cs="Arial"/>
          <w:iCs/>
        </w:rPr>
        <w:t xml:space="preserve">University of Exeter Medical School, Faculty of Health </w:t>
      </w:r>
      <w:r w:rsidR="0016731D">
        <w:rPr>
          <w:rFonts w:ascii="Arial" w:eastAsia="Times New Roman" w:hAnsi="Arial" w:cs="Arial"/>
          <w:iCs/>
        </w:rPr>
        <w:t xml:space="preserve">and Life </w:t>
      </w:r>
      <w:r w:rsidRPr="00864557">
        <w:rPr>
          <w:rFonts w:ascii="Arial" w:eastAsia="Times New Roman" w:hAnsi="Arial" w:cs="Arial"/>
          <w:iCs/>
        </w:rPr>
        <w:t xml:space="preserve">Sciences, </w:t>
      </w:r>
      <w:r w:rsidR="00C4525B">
        <w:rPr>
          <w:rFonts w:ascii="Arial" w:eastAsia="Times New Roman" w:hAnsi="Arial" w:cs="Arial"/>
          <w:iCs/>
        </w:rPr>
        <w:t xml:space="preserve">Department of Public Health and Sport Sciences, </w:t>
      </w:r>
      <w:r w:rsidRPr="00864557">
        <w:rPr>
          <w:rFonts w:ascii="Arial" w:eastAsia="Times New Roman" w:hAnsi="Arial" w:cs="Arial"/>
          <w:iCs/>
        </w:rPr>
        <w:t xml:space="preserve">University of Exeter, St Lukes Campus, </w:t>
      </w:r>
      <w:r w:rsidR="002B697E">
        <w:rPr>
          <w:rFonts w:ascii="Arial" w:eastAsia="Times New Roman" w:hAnsi="Arial" w:cs="Arial"/>
          <w:iCs/>
        </w:rPr>
        <w:t xml:space="preserve">Heavitree </w:t>
      </w:r>
      <w:r w:rsidR="008D1A84">
        <w:rPr>
          <w:rFonts w:ascii="Arial" w:eastAsia="Times New Roman" w:hAnsi="Arial" w:cs="Arial"/>
          <w:iCs/>
        </w:rPr>
        <w:t xml:space="preserve">Road, </w:t>
      </w:r>
      <w:r w:rsidRPr="00864557">
        <w:rPr>
          <w:rFonts w:ascii="Arial" w:eastAsia="Times New Roman" w:hAnsi="Arial" w:cs="Arial"/>
          <w:iCs/>
        </w:rPr>
        <w:t>Exeter, EX1 2LU, UK.</w:t>
      </w:r>
    </w:p>
    <w:p w14:paraId="4F72971A" w14:textId="7FCB7967" w:rsidR="00864557" w:rsidRPr="00864557" w:rsidRDefault="00864557" w:rsidP="00864557">
      <w:pPr>
        <w:tabs>
          <w:tab w:val="left" w:pos="1739"/>
        </w:tabs>
        <w:spacing w:line="360" w:lineRule="auto"/>
        <w:contextualSpacing/>
        <w:jc w:val="both"/>
        <w:rPr>
          <w:rFonts w:ascii="Arial" w:eastAsia="Times New Roman" w:hAnsi="Arial" w:cs="Arial"/>
          <w:iCs/>
        </w:rPr>
      </w:pPr>
      <w:r w:rsidRPr="00E6120A">
        <w:rPr>
          <w:rFonts w:ascii="Arial" w:eastAsia="Times New Roman" w:hAnsi="Arial" w:cs="Arial"/>
          <w:iCs/>
          <w:vertAlign w:val="superscript"/>
        </w:rPr>
        <w:t>2</w:t>
      </w:r>
      <w:r w:rsidRPr="00864557">
        <w:rPr>
          <w:rFonts w:ascii="Arial" w:eastAsia="Times New Roman" w:hAnsi="Arial" w:cs="Arial"/>
          <w:iCs/>
        </w:rPr>
        <w:t>Norwich Medical School, Faculty of Medicine and Health Sciences, University of East Anglia, Norwich, NR4 7TJ, UK</w:t>
      </w:r>
    </w:p>
    <w:p w14:paraId="7A1BA705" w14:textId="77777777" w:rsidR="00864557" w:rsidRPr="00864557" w:rsidRDefault="00864557" w:rsidP="00864557">
      <w:pPr>
        <w:tabs>
          <w:tab w:val="left" w:pos="1739"/>
        </w:tabs>
        <w:spacing w:line="360" w:lineRule="auto"/>
        <w:contextualSpacing/>
        <w:jc w:val="both"/>
        <w:rPr>
          <w:rFonts w:ascii="Arial" w:eastAsia="Times New Roman" w:hAnsi="Arial" w:cs="Arial"/>
          <w:iCs/>
        </w:rPr>
      </w:pPr>
    </w:p>
    <w:p w14:paraId="11E35E36" w14:textId="77777777" w:rsidR="00864557" w:rsidRPr="00864557" w:rsidRDefault="00864557" w:rsidP="00864557">
      <w:pPr>
        <w:tabs>
          <w:tab w:val="left" w:pos="1739"/>
        </w:tabs>
        <w:spacing w:line="360" w:lineRule="auto"/>
        <w:contextualSpacing/>
        <w:jc w:val="both"/>
        <w:rPr>
          <w:rFonts w:ascii="Arial" w:eastAsia="Times New Roman" w:hAnsi="Arial" w:cs="Arial"/>
          <w:iCs/>
        </w:rPr>
      </w:pPr>
      <w:r w:rsidRPr="00864557">
        <w:rPr>
          <w:rFonts w:ascii="Arial" w:eastAsia="Times New Roman" w:hAnsi="Arial" w:cs="Arial"/>
          <w:iCs/>
        </w:rPr>
        <w:t xml:space="preserve">Correspondence: </w:t>
      </w:r>
    </w:p>
    <w:p w14:paraId="4554D82F" w14:textId="0F50DC17" w:rsidR="004F2ABA" w:rsidRDefault="00864557" w:rsidP="00864557">
      <w:pPr>
        <w:tabs>
          <w:tab w:val="left" w:pos="1739"/>
        </w:tabs>
        <w:spacing w:line="360" w:lineRule="auto"/>
        <w:contextualSpacing/>
        <w:jc w:val="both"/>
        <w:rPr>
          <w:rFonts w:ascii="Arial" w:eastAsia="Times New Roman" w:hAnsi="Arial" w:cs="Arial"/>
          <w:iCs/>
        </w:rPr>
      </w:pPr>
      <w:hyperlink r:id="rId8" w:history="1">
        <w:r w:rsidRPr="00014FD7">
          <w:rPr>
            <w:rStyle w:val="Hyperlink"/>
            <w:rFonts w:ascii="Arial" w:eastAsia="Times New Roman" w:hAnsi="Arial" w:cs="Arial"/>
            <w:iCs/>
          </w:rPr>
          <w:t>l.torquati@exeter.ac.uk</w:t>
        </w:r>
      </w:hyperlink>
    </w:p>
    <w:p w14:paraId="1F1448F9" w14:textId="3F586C17" w:rsidR="00864557" w:rsidRDefault="00864557" w:rsidP="00864557">
      <w:pPr>
        <w:tabs>
          <w:tab w:val="left" w:pos="1739"/>
        </w:tabs>
        <w:spacing w:line="360" w:lineRule="auto"/>
        <w:contextualSpacing/>
        <w:jc w:val="both"/>
        <w:rPr>
          <w:rFonts w:ascii="Arial" w:eastAsia="Times New Roman" w:hAnsi="Arial" w:cs="Arial"/>
          <w:iCs/>
        </w:rPr>
      </w:pPr>
    </w:p>
    <w:p w14:paraId="740ED0B8" w14:textId="77777777" w:rsidR="00864557" w:rsidRDefault="00864557" w:rsidP="00864557">
      <w:pPr>
        <w:tabs>
          <w:tab w:val="left" w:pos="1739"/>
        </w:tabs>
        <w:spacing w:line="360" w:lineRule="auto"/>
        <w:contextualSpacing/>
        <w:jc w:val="both"/>
        <w:rPr>
          <w:rFonts w:ascii="Arial" w:eastAsia="Times New Roman" w:hAnsi="Arial" w:cs="Arial"/>
          <w:iCs/>
        </w:rPr>
      </w:pPr>
    </w:p>
    <w:p w14:paraId="3E452FBB" w14:textId="77777777" w:rsidR="00864557" w:rsidRDefault="00864557" w:rsidP="00864557">
      <w:pPr>
        <w:tabs>
          <w:tab w:val="left" w:pos="1739"/>
        </w:tabs>
        <w:spacing w:line="360" w:lineRule="auto"/>
        <w:contextualSpacing/>
        <w:jc w:val="both"/>
        <w:rPr>
          <w:rFonts w:ascii="Arial" w:eastAsia="Times New Roman" w:hAnsi="Arial" w:cs="Arial"/>
          <w:iCs/>
        </w:rPr>
      </w:pPr>
    </w:p>
    <w:p w14:paraId="10C10306" w14:textId="77777777" w:rsidR="00864557" w:rsidRDefault="00864557" w:rsidP="00864557">
      <w:pPr>
        <w:tabs>
          <w:tab w:val="left" w:pos="1739"/>
        </w:tabs>
        <w:spacing w:line="360" w:lineRule="auto"/>
        <w:contextualSpacing/>
        <w:jc w:val="both"/>
        <w:rPr>
          <w:rFonts w:ascii="Arial" w:eastAsia="Times New Roman" w:hAnsi="Arial" w:cs="Arial"/>
          <w:iCs/>
        </w:rPr>
      </w:pPr>
    </w:p>
    <w:p w14:paraId="5635FE39" w14:textId="77777777" w:rsidR="00864557" w:rsidRDefault="00864557" w:rsidP="00864557">
      <w:pPr>
        <w:tabs>
          <w:tab w:val="left" w:pos="1739"/>
        </w:tabs>
        <w:spacing w:line="360" w:lineRule="auto"/>
        <w:contextualSpacing/>
        <w:jc w:val="both"/>
        <w:rPr>
          <w:rFonts w:ascii="Arial" w:eastAsia="Times New Roman" w:hAnsi="Arial" w:cs="Arial"/>
          <w:iCs/>
        </w:rPr>
      </w:pPr>
    </w:p>
    <w:p w14:paraId="2CF7568D" w14:textId="77777777" w:rsidR="00864557" w:rsidRDefault="00864557" w:rsidP="00864557">
      <w:pPr>
        <w:tabs>
          <w:tab w:val="left" w:pos="1739"/>
        </w:tabs>
        <w:spacing w:line="360" w:lineRule="auto"/>
        <w:contextualSpacing/>
        <w:jc w:val="both"/>
        <w:rPr>
          <w:rFonts w:ascii="Arial" w:eastAsia="Times New Roman" w:hAnsi="Arial" w:cs="Arial"/>
          <w:iCs/>
        </w:rPr>
      </w:pPr>
    </w:p>
    <w:p w14:paraId="125483C4" w14:textId="77777777" w:rsidR="00864557" w:rsidRDefault="00864557" w:rsidP="00864557">
      <w:pPr>
        <w:tabs>
          <w:tab w:val="left" w:pos="1739"/>
        </w:tabs>
        <w:spacing w:line="360" w:lineRule="auto"/>
        <w:contextualSpacing/>
        <w:jc w:val="both"/>
        <w:rPr>
          <w:rFonts w:ascii="Arial" w:eastAsia="Times New Roman" w:hAnsi="Arial" w:cs="Arial"/>
          <w:iCs/>
        </w:rPr>
      </w:pPr>
    </w:p>
    <w:p w14:paraId="400A746A" w14:textId="77777777" w:rsidR="00864557" w:rsidRDefault="00864557" w:rsidP="00864557">
      <w:pPr>
        <w:tabs>
          <w:tab w:val="left" w:pos="1739"/>
        </w:tabs>
        <w:spacing w:line="360" w:lineRule="auto"/>
        <w:contextualSpacing/>
        <w:jc w:val="both"/>
        <w:rPr>
          <w:rFonts w:ascii="Arial" w:eastAsia="Times New Roman" w:hAnsi="Arial" w:cs="Arial"/>
          <w:iCs/>
        </w:rPr>
      </w:pPr>
    </w:p>
    <w:p w14:paraId="45317DA8" w14:textId="77777777" w:rsidR="00864557" w:rsidRDefault="00864557" w:rsidP="00864557">
      <w:pPr>
        <w:tabs>
          <w:tab w:val="left" w:pos="1739"/>
        </w:tabs>
        <w:spacing w:line="360" w:lineRule="auto"/>
        <w:contextualSpacing/>
        <w:jc w:val="both"/>
        <w:rPr>
          <w:rFonts w:ascii="Arial" w:eastAsia="Times New Roman" w:hAnsi="Arial" w:cs="Arial"/>
          <w:iCs/>
        </w:rPr>
      </w:pPr>
    </w:p>
    <w:p w14:paraId="3F50F54D" w14:textId="77777777" w:rsidR="00864557" w:rsidRDefault="00864557" w:rsidP="00864557">
      <w:pPr>
        <w:tabs>
          <w:tab w:val="left" w:pos="1739"/>
        </w:tabs>
        <w:spacing w:line="360" w:lineRule="auto"/>
        <w:contextualSpacing/>
        <w:jc w:val="both"/>
        <w:rPr>
          <w:rFonts w:ascii="Arial" w:eastAsia="Times New Roman" w:hAnsi="Arial" w:cs="Arial"/>
          <w:iCs/>
        </w:rPr>
      </w:pPr>
    </w:p>
    <w:p w14:paraId="58988C52" w14:textId="77777777" w:rsidR="00864557" w:rsidRDefault="00864557" w:rsidP="00864557">
      <w:pPr>
        <w:tabs>
          <w:tab w:val="left" w:pos="1739"/>
        </w:tabs>
        <w:spacing w:line="360" w:lineRule="auto"/>
        <w:contextualSpacing/>
        <w:jc w:val="both"/>
        <w:rPr>
          <w:rFonts w:ascii="Arial" w:eastAsia="Times New Roman" w:hAnsi="Arial" w:cs="Arial"/>
          <w:iCs/>
        </w:rPr>
      </w:pPr>
    </w:p>
    <w:p w14:paraId="51109B5E" w14:textId="77777777" w:rsidR="00864557" w:rsidRDefault="00864557" w:rsidP="00864557">
      <w:pPr>
        <w:tabs>
          <w:tab w:val="left" w:pos="1739"/>
        </w:tabs>
        <w:spacing w:line="360" w:lineRule="auto"/>
        <w:contextualSpacing/>
        <w:jc w:val="both"/>
        <w:rPr>
          <w:rFonts w:ascii="Arial" w:eastAsia="Times New Roman" w:hAnsi="Arial" w:cs="Arial"/>
          <w:iCs/>
        </w:rPr>
      </w:pPr>
    </w:p>
    <w:p w14:paraId="01C8B7C2" w14:textId="77777777" w:rsidR="00864557" w:rsidRDefault="00864557" w:rsidP="00864557">
      <w:pPr>
        <w:tabs>
          <w:tab w:val="left" w:pos="1739"/>
        </w:tabs>
        <w:spacing w:line="360" w:lineRule="auto"/>
        <w:contextualSpacing/>
        <w:jc w:val="both"/>
        <w:rPr>
          <w:rFonts w:ascii="Arial" w:eastAsia="Times New Roman" w:hAnsi="Arial" w:cs="Arial"/>
          <w:iCs/>
        </w:rPr>
      </w:pPr>
    </w:p>
    <w:p w14:paraId="4A4BEDF4" w14:textId="77777777" w:rsidR="00864557" w:rsidRDefault="00864557" w:rsidP="00864557">
      <w:pPr>
        <w:tabs>
          <w:tab w:val="left" w:pos="1739"/>
        </w:tabs>
        <w:spacing w:line="360" w:lineRule="auto"/>
        <w:contextualSpacing/>
        <w:jc w:val="both"/>
        <w:rPr>
          <w:rFonts w:ascii="Arial" w:eastAsia="Times New Roman" w:hAnsi="Arial" w:cs="Arial"/>
          <w:iCs/>
        </w:rPr>
      </w:pPr>
    </w:p>
    <w:p w14:paraId="09DD0A68" w14:textId="77777777" w:rsidR="00864557" w:rsidRDefault="00864557" w:rsidP="00864557">
      <w:pPr>
        <w:tabs>
          <w:tab w:val="left" w:pos="1739"/>
        </w:tabs>
        <w:spacing w:line="360" w:lineRule="auto"/>
        <w:contextualSpacing/>
        <w:jc w:val="both"/>
        <w:rPr>
          <w:rFonts w:ascii="Arial" w:eastAsia="Times New Roman" w:hAnsi="Arial" w:cs="Arial"/>
          <w:iCs/>
        </w:rPr>
      </w:pPr>
    </w:p>
    <w:p w14:paraId="0B55FDD6" w14:textId="77777777" w:rsidR="00864557" w:rsidRDefault="00864557" w:rsidP="00864557">
      <w:pPr>
        <w:tabs>
          <w:tab w:val="left" w:pos="1739"/>
        </w:tabs>
        <w:spacing w:line="360" w:lineRule="auto"/>
        <w:contextualSpacing/>
        <w:jc w:val="both"/>
        <w:rPr>
          <w:rFonts w:ascii="Arial" w:eastAsia="Times New Roman" w:hAnsi="Arial" w:cs="Arial"/>
          <w:iCs/>
        </w:rPr>
      </w:pPr>
    </w:p>
    <w:p w14:paraId="42B0055D" w14:textId="77777777" w:rsidR="00864557" w:rsidRDefault="00864557" w:rsidP="00864557">
      <w:pPr>
        <w:tabs>
          <w:tab w:val="left" w:pos="1739"/>
        </w:tabs>
        <w:spacing w:line="360" w:lineRule="auto"/>
        <w:contextualSpacing/>
        <w:jc w:val="both"/>
        <w:rPr>
          <w:rFonts w:ascii="Arial" w:eastAsia="Times New Roman" w:hAnsi="Arial" w:cs="Arial"/>
          <w:iCs/>
        </w:rPr>
      </w:pPr>
    </w:p>
    <w:p w14:paraId="1DB0ED34" w14:textId="77777777" w:rsidR="004F2ABA" w:rsidRDefault="004F2ABA" w:rsidP="00882D32">
      <w:pPr>
        <w:tabs>
          <w:tab w:val="left" w:pos="1739"/>
        </w:tabs>
        <w:spacing w:line="360" w:lineRule="auto"/>
        <w:contextualSpacing/>
        <w:jc w:val="both"/>
        <w:rPr>
          <w:rFonts w:ascii="Arial" w:eastAsia="Times New Roman" w:hAnsi="Arial" w:cs="Arial"/>
          <w:iCs/>
        </w:rPr>
      </w:pPr>
    </w:p>
    <w:p w14:paraId="4017EC51" w14:textId="77777777" w:rsidR="004F2ABA" w:rsidRDefault="004F2ABA" w:rsidP="00882D32">
      <w:pPr>
        <w:tabs>
          <w:tab w:val="left" w:pos="1739"/>
        </w:tabs>
        <w:spacing w:line="360" w:lineRule="auto"/>
        <w:contextualSpacing/>
        <w:jc w:val="both"/>
        <w:rPr>
          <w:rFonts w:ascii="Arial" w:eastAsia="Times New Roman" w:hAnsi="Arial" w:cs="Arial"/>
          <w:iCs/>
        </w:rPr>
      </w:pPr>
    </w:p>
    <w:p w14:paraId="3A7223B8" w14:textId="77777777" w:rsidR="004F2ABA" w:rsidRDefault="004F2ABA" w:rsidP="00882D32">
      <w:pPr>
        <w:tabs>
          <w:tab w:val="left" w:pos="1739"/>
        </w:tabs>
        <w:spacing w:line="360" w:lineRule="auto"/>
        <w:contextualSpacing/>
        <w:jc w:val="both"/>
        <w:rPr>
          <w:rFonts w:ascii="Arial" w:eastAsia="Times New Roman" w:hAnsi="Arial" w:cs="Arial"/>
          <w:iCs/>
        </w:rPr>
      </w:pPr>
    </w:p>
    <w:p w14:paraId="3B64587E" w14:textId="77777777" w:rsidR="004F2ABA" w:rsidRDefault="004F2ABA" w:rsidP="00882D32">
      <w:pPr>
        <w:tabs>
          <w:tab w:val="left" w:pos="1739"/>
        </w:tabs>
        <w:spacing w:line="360" w:lineRule="auto"/>
        <w:contextualSpacing/>
        <w:jc w:val="both"/>
        <w:rPr>
          <w:rFonts w:ascii="Arial" w:eastAsia="Times New Roman" w:hAnsi="Arial" w:cs="Arial"/>
          <w:iCs/>
        </w:rPr>
      </w:pPr>
    </w:p>
    <w:p w14:paraId="071AC325" w14:textId="52F68B6D" w:rsidR="004F2ABA" w:rsidRDefault="00F44104" w:rsidP="00F44104">
      <w:pPr>
        <w:tabs>
          <w:tab w:val="left" w:pos="1739"/>
        </w:tabs>
        <w:spacing w:line="360" w:lineRule="auto"/>
        <w:contextualSpacing/>
        <w:jc w:val="both"/>
        <w:rPr>
          <w:rFonts w:ascii="Arial" w:eastAsia="Times New Roman" w:hAnsi="Arial" w:cs="Arial"/>
          <w:iCs/>
        </w:rPr>
      </w:pPr>
      <w:r w:rsidRPr="00F44104">
        <w:rPr>
          <w:rFonts w:ascii="Arial" w:eastAsia="Times New Roman" w:hAnsi="Arial" w:cs="Arial"/>
          <w:b/>
          <w:bCs/>
          <w:iCs/>
        </w:rPr>
        <w:lastRenderedPageBreak/>
        <w:t>Keywords:</w:t>
      </w:r>
      <w:r w:rsidRPr="00F44104">
        <w:rPr>
          <w:rFonts w:ascii="Arial" w:eastAsia="Times New Roman" w:hAnsi="Arial" w:cs="Arial"/>
          <w:iCs/>
        </w:rPr>
        <w:t xml:space="preserve"> </w:t>
      </w:r>
      <w:r w:rsidR="003A5AC2">
        <w:rPr>
          <w:rFonts w:ascii="Arial" w:eastAsia="Times New Roman" w:hAnsi="Arial" w:cs="Arial"/>
          <w:iCs/>
        </w:rPr>
        <w:t>Fermentable f</w:t>
      </w:r>
      <w:r w:rsidRPr="00F44104">
        <w:rPr>
          <w:rFonts w:ascii="Arial" w:eastAsia="Times New Roman" w:hAnsi="Arial" w:cs="Arial"/>
          <w:iCs/>
        </w:rPr>
        <w:t>ibre; Nitrate; Gut microbiome; Acetate; Vascular health</w:t>
      </w:r>
    </w:p>
    <w:p w14:paraId="7B6B8E1B" w14:textId="24CD2143" w:rsidR="004F2ABA" w:rsidRDefault="00F44104" w:rsidP="00882D32">
      <w:pPr>
        <w:tabs>
          <w:tab w:val="left" w:pos="1739"/>
        </w:tabs>
        <w:spacing w:line="360" w:lineRule="auto"/>
        <w:contextualSpacing/>
        <w:jc w:val="both"/>
        <w:rPr>
          <w:rFonts w:ascii="Arial" w:eastAsia="Times New Roman" w:hAnsi="Arial" w:cs="Arial"/>
          <w:b/>
          <w:bCs/>
          <w:iCs/>
        </w:rPr>
      </w:pPr>
      <w:r w:rsidRPr="00DF0C15">
        <w:rPr>
          <w:rFonts w:ascii="Arial" w:eastAsia="Times New Roman" w:hAnsi="Arial" w:cs="Arial"/>
          <w:b/>
          <w:bCs/>
          <w:iCs/>
        </w:rPr>
        <w:t xml:space="preserve">Materials and Methods </w:t>
      </w:r>
    </w:p>
    <w:p w14:paraId="5545F14C" w14:textId="1F303A1C" w:rsidR="00DF0C15" w:rsidRPr="00DF0C15" w:rsidRDefault="00DF0C15" w:rsidP="00882D32">
      <w:pPr>
        <w:tabs>
          <w:tab w:val="left" w:pos="1739"/>
        </w:tabs>
        <w:spacing w:line="360" w:lineRule="auto"/>
        <w:contextualSpacing/>
        <w:jc w:val="both"/>
        <w:rPr>
          <w:rFonts w:ascii="Arial" w:eastAsia="Times New Roman" w:hAnsi="Arial" w:cs="Arial"/>
          <w:iCs/>
          <w:u w:val="single"/>
        </w:rPr>
      </w:pPr>
      <w:r w:rsidRPr="00DF0C15">
        <w:rPr>
          <w:rFonts w:ascii="Arial" w:eastAsia="Times New Roman" w:hAnsi="Arial" w:cs="Arial"/>
          <w:iCs/>
          <w:u w:val="single"/>
        </w:rPr>
        <w:t>Study Population</w:t>
      </w:r>
    </w:p>
    <w:p w14:paraId="50B70450" w14:textId="77777777" w:rsidR="00DF0C15" w:rsidRPr="008F4620" w:rsidRDefault="00DF0C15" w:rsidP="00882D32">
      <w:pPr>
        <w:tabs>
          <w:tab w:val="left" w:pos="1739"/>
        </w:tabs>
        <w:spacing w:line="360" w:lineRule="auto"/>
        <w:contextualSpacing/>
        <w:jc w:val="both"/>
        <w:rPr>
          <w:rFonts w:ascii="Arial" w:eastAsia="Times New Roman" w:hAnsi="Arial" w:cs="Arial"/>
          <w:b/>
          <w:bCs/>
          <w:iCs/>
          <w:sz w:val="8"/>
          <w:szCs w:val="8"/>
        </w:rPr>
      </w:pPr>
    </w:p>
    <w:p w14:paraId="62CC00AF" w14:textId="65E2D075" w:rsidR="00062E44" w:rsidRDefault="00C62750" w:rsidP="00882D32">
      <w:pPr>
        <w:tabs>
          <w:tab w:val="left" w:pos="1739"/>
        </w:tabs>
        <w:spacing w:line="360" w:lineRule="auto"/>
        <w:contextualSpacing/>
        <w:jc w:val="both"/>
        <w:rPr>
          <w:rFonts w:ascii="Arial" w:eastAsia="Times New Roman" w:hAnsi="Arial" w:cs="Arial"/>
          <w:iCs/>
        </w:rPr>
      </w:pPr>
      <w:r w:rsidRPr="00C62750">
        <w:rPr>
          <w:rFonts w:ascii="Arial" w:eastAsia="Times New Roman" w:hAnsi="Arial" w:cs="Arial"/>
          <w:iCs/>
        </w:rPr>
        <w:t>Twenty healthy, normotensive, non-smoker participants aged between 18-45 years, with a body mass index (BMI) between 25 and 35 kg/m</w:t>
      </w:r>
      <w:r w:rsidRPr="005A6AD1">
        <w:rPr>
          <w:rFonts w:ascii="Arial" w:eastAsia="Times New Roman" w:hAnsi="Arial" w:cs="Arial"/>
          <w:iCs/>
          <w:vertAlign w:val="superscript"/>
        </w:rPr>
        <w:t>2</w:t>
      </w:r>
      <w:r w:rsidRPr="00C62750">
        <w:rPr>
          <w:rFonts w:ascii="Arial" w:eastAsia="Times New Roman" w:hAnsi="Arial" w:cs="Arial"/>
          <w:iCs/>
        </w:rPr>
        <w:t xml:space="preserve"> were recruited between April and September 2022. Prior to participation, the participants were given a comprehensive explanation and an information sheet detailing the potential risks associated with the study. </w:t>
      </w:r>
      <w:r w:rsidR="0067461B" w:rsidRPr="0067461B">
        <w:rPr>
          <w:rFonts w:ascii="Arial" w:eastAsia="Times New Roman" w:hAnsi="Arial" w:cs="Arial"/>
          <w:iCs/>
        </w:rPr>
        <w:t>The study protocol adhered to the core principles of the ICH-GCP and the Helsinki Declaration and was approved by</w:t>
      </w:r>
      <w:r w:rsidR="00DB7CBC" w:rsidRPr="00DB7CBC">
        <w:rPr>
          <w:rFonts w:ascii="Arial" w:eastAsia="Times New Roman" w:hAnsi="Arial" w:cs="Arial"/>
          <w:iCs/>
        </w:rPr>
        <w:t xml:space="preserve"> the Public Health and Sport Sciences Ethics Committee  (</w:t>
      </w:r>
      <w:r w:rsidR="0067461B" w:rsidRPr="0067461B">
        <w:rPr>
          <w:rFonts w:ascii="Arial" w:eastAsia="Times New Roman" w:hAnsi="Arial" w:cs="Arial"/>
          <w:iCs/>
        </w:rPr>
        <w:t>Ethics Committee of the University of Exeter (approval ID: 22-02-02 A-01).</w:t>
      </w:r>
      <w:r w:rsidR="00A366FD">
        <w:rPr>
          <w:rFonts w:ascii="Arial" w:eastAsia="Times New Roman" w:hAnsi="Arial" w:cs="Arial"/>
          <w:iCs/>
        </w:rPr>
        <w:t xml:space="preserve"> </w:t>
      </w:r>
      <w:r w:rsidR="00827754" w:rsidRPr="00827754">
        <w:rPr>
          <w:rFonts w:ascii="Arial" w:eastAsia="Times New Roman" w:hAnsi="Arial" w:cs="Arial"/>
          <w:iCs/>
        </w:rPr>
        <w:t>All participants provided written informed consent</w:t>
      </w:r>
      <w:r w:rsidR="00827754">
        <w:rPr>
          <w:rFonts w:ascii="Arial" w:eastAsia="Times New Roman" w:hAnsi="Arial" w:cs="Arial"/>
          <w:iCs/>
        </w:rPr>
        <w:t xml:space="preserve"> after satisfying inclusion/exclusion criteria</w:t>
      </w:r>
      <w:r w:rsidR="006B189B">
        <w:rPr>
          <w:rFonts w:ascii="Arial" w:eastAsia="Times New Roman" w:hAnsi="Arial" w:cs="Arial"/>
          <w:iCs/>
        </w:rPr>
        <w:t xml:space="preserve">, as shown below. </w:t>
      </w:r>
    </w:p>
    <w:p w14:paraId="149DDD7C" w14:textId="77777777" w:rsidR="00C75807" w:rsidRDefault="00C75807" w:rsidP="00882D32">
      <w:pPr>
        <w:tabs>
          <w:tab w:val="left" w:pos="1739"/>
        </w:tabs>
        <w:spacing w:line="360" w:lineRule="auto"/>
        <w:contextualSpacing/>
        <w:jc w:val="both"/>
        <w:rPr>
          <w:rFonts w:ascii="Arial" w:eastAsia="Times New Roman" w:hAnsi="Arial" w:cs="Arial"/>
          <w:iCs/>
        </w:rPr>
      </w:pPr>
    </w:p>
    <w:p w14:paraId="4C6B7E3B" w14:textId="5175E22A" w:rsidR="00A44862" w:rsidRDefault="00062E44" w:rsidP="00882D32">
      <w:pPr>
        <w:tabs>
          <w:tab w:val="left" w:pos="1739"/>
        </w:tabs>
        <w:spacing w:line="360" w:lineRule="auto"/>
        <w:contextualSpacing/>
        <w:jc w:val="both"/>
        <w:rPr>
          <w:rFonts w:ascii="Arial" w:eastAsia="Times New Roman" w:hAnsi="Arial" w:cs="Arial"/>
          <w:iCs/>
        </w:rPr>
      </w:pPr>
      <w:r>
        <w:rPr>
          <w:rFonts w:ascii="Arial" w:eastAsia="Times New Roman" w:hAnsi="Arial" w:cs="Arial"/>
          <w:iCs/>
        </w:rPr>
        <w:t xml:space="preserve">Inclusion criteria: </w:t>
      </w:r>
    </w:p>
    <w:p w14:paraId="106E5A35" w14:textId="79173E90" w:rsidR="00275EF0" w:rsidRDefault="00275EF0" w:rsidP="00275EF0">
      <w:pPr>
        <w:pStyle w:val="ListParagraph"/>
        <w:numPr>
          <w:ilvl w:val="0"/>
          <w:numId w:val="2"/>
        </w:numPr>
        <w:tabs>
          <w:tab w:val="left" w:pos="1739"/>
        </w:tabs>
        <w:spacing w:line="360" w:lineRule="auto"/>
        <w:jc w:val="both"/>
        <w:rPr>
          <w:rFonts w:ascii="Arial" w:eastAsia="Times New Roman" w:hAnsi="Arial" w:cs="Arial"/>
          <w:iCs/>
        </w:rPr>
      </w:pPr>
      <w:r>
        <w:rPr>
          <w:rFonts w:ascii="Arial" w:eastAsia="Times New Roman" w:hAnsi="Arial" w:cs="Arial"/>
          <w:iCs/>
        </w:rPr>
        <w:t xml:space="preserve">Adults </w:t>
      </w:r>
      <w:r w:rsidR="00C0469A">
        <w:rPr>
          <w:rFonts w:ascii="Arial" w:eastAsia="Times New Roman" w:hAnsi="Arial" w:cs="Arial"/>
          <w:iCs/>
        </w:rPr>
        <w:t>between 18 and 45 years of age, free from cardiometabolic diseases</w:t>
      </w:r>
    </w:p>
    <w:p w14:paraId="0C245231" w14:textId="04E819B8" w:rsidR="00062E44" w:rsidRDefault="00062E44" w:rsidP="00062E44">
      <w:pPr>
        <w:pStyle w:val="ListParagraph"/>
        <w:numPr>
          <w:ilvl w:val="0"/>
          <w:numId w:val="2"/>
        </w:numPr>
        <w:tabs>
          <w:tab w:val="left" w:pos="1739"/>
        </w:tabs>
        <w:spacing w:line="360" w:lineRule="auto"/>
        <w:jc w:val="both"/>
        <w:rPr>
          <w:rFonts w:ascii="Arial" w:eastAsia="Times New Roman" w:hAnsi="Arial" w:cs="Arial"/>
          <w:iCs/>
        </w:rPr>
      </w:pPr>
      <w:r w:rsidRPr="00C0469A">
        <w:rPr>
          <w:rFonts w:ascii="Arial" w:eastAsia="Times New Roman" w:hAnsi="Arial" w:cs="Arial"/>
          <w:iCs/>
        </w:rPr>
        <w:t>Body mass index (BMI) between 18 and 25 kg/m</w:t>
      </w:r>
      <w:r w:rsidRPr="00D05ABF">
        <w:rPr>
          <w:rFonts w:ascii="Arial" w:eastAsia="Times New Roman" w:hAnsi="Arial" w:cs="Arial"/>
          <w:iCs/>
          <w:vertAlign w:val="superscript"/>
        </w:rPr>
        <w:t>2</w:t>
      </w:r>
      <w:r w:rsidRPr="00C0469A">
        <w:rPr>
          <w:rFonts w:ascii="Arial" w:eastAsia="Times New Roman" w:hAnsi="Arial" w:cs="Arial"/>
          <w:iCs/>
        </w:rPr>
        <w:t xml:space="preserve"> or waist-to-hip ratio of 0.85 or less for women and 0.9 or less for men</w:t>
      </w:r>
    </w:p>
    <w:p w14:paraId="46129E91" w14:textId="3FEE19D2" w:rsidR="006C18BC" w:rsidRPr="006C18BC" w:rsidRDefault="00667990" w:rsidP="006C18BC">
      <w:pPr>
        <w:pStyle w:val="ListParagraph"/>
        <w:numPr>
          <w:ilvl w:val="0"/>
          <w:numId w:val="2"/>
        </w:numPr>
        <w:tabs>
          <w:tab w:val="left" w:pos="1739"/>
        </w:tabs>
        <w:spacing w:line="360" w:lineRule="auto"/>
        <w:jc w:val="both"/>
        <w:rPr>
          <w:rFonts w:ascii="Arial" w:eastAsia="Times New Roman" w:hAnsi="Arial" w:cs="Arial"/>
          <w:iCs/>
        </w:rPr>
      </w:pPr>
      <w:r>
        <w:rPr>
          <w:rFonts w:ascii="Arial" w:eastAsia="Times New Roman" w:hAnsi="Arial" w:cs="Arial"/>
          <w:iCs/>
        </w:rPr>
        <w:t xml:space="preserve">Controlled </w:t>
      </w:r>
      <w:r w:rsidR="006F0457">
        <w:rPr>
          <w:rFonts w:ascii="Arial" w:eastAsia="Times New Roman" w:hAnsi="Arial" w:cs="Arial"/>
          <w:iCs/>
        </w:rPr>
        <w:t>blood pressure</w:t>
      </w:r>
      <w:r w:rsidR="009D7C17">
        <w:rPr>
          <w:rFonts w:ascii="Arial" w:eastAsia="Times New Roman" w:hAnsi="Arial" w:cs="Arial"/>
          <w:iCs/>
        </w:rPr>
        <w:t xml:space="preserve"> (BP), defined as systolic blood pressure (SBP)</w:t>
      </w:r>
      <w:r w:rsidR="006C18BC">
        <w:rPr>
          <w:rFonts w:ascii="Arial" w:eastAsia="Times New Roman" w:hAnsi="Arial" w:cs="Arial"/>
          <w:iCs/>
        </w:rPr>
        <w:t xml:space="preserve"> </w:t>
      </w:r>
      <w:r w:rsidR="006C18BC" w:rsidRPr="006C18BC">
        <w:rPr>
          <w:rFonts w:ascii="Arial" w:eastAsia="Times New Roman" w:hAnsi="Arial" w:cs="Arial"/>
          <w:iCs/>
        </w:rPr>
        <w:t>of ≤ 120 mmHg and a diastolic blood pressure (DBP) of ≤ 80 mmHg</w:t>
      </w:r>
    </w:p>
    <w:p w14:paraId="711E6153" w14:textId="64722A5F" w:rsidR="00062E44" w:rsidRPr="00BD2910" w:rsidRDefault="00844231" w:rsidP="00882D32">
      <w:pPr>
        <w:pStyle w:val="ListParagraph"/>
        <w:numPr>
          <w:ilvl w:val="0"/>
          <w:numId w:val="2"/>
        </w:numPr>
        <w:tabs>
          <w:tab w:val="left" w:pos="1739"/>
        </w:tabs>
        <w:spacing w:line="360" w:lineRule="auto"/>
        <w:jc w:val="both"/>
        <w:rPr>
          <w:rFonts w:ascii="Arial" w:eastAsia="Times New Roman" w:hAnsi="Arial" w:cs="Arial"/>
          <w:iCs/>
        </w:rPr>
      </w:pPr>
      <w:r>
        <w:rPr>
          <w:rFonts w:ascii="Arial" w:eastAsia="Times New Roman" w:hAnsi="Arial" w:cs="Arial"/>
          <w:iCs/>
        </w:rPr>
        <w:t>The participant is able to understand and comply with the protocol requirements, instructions and protocol-stated restrictions</w:t>
      </w:r>
    </w:p>
    <w:p w14:paraId="1472FCCA" w14:textId="49EBE1F7" w:rsidR="00062E44" w:rsidRDefault="00062E44" w:rsidP="00882D32">
      <w:pPr>
        <w:tabs>
          <w:tab w:val="left" w:pos="1739"/>
        </w:tabs>
        <w:spacing w:line="360" w:lineRule="auto"/>
        <w:contextualSpacing/>
        <w:jc w:val="both"/>
        <w:rPr>
          <w:rFonts w:ascii="Arial" w:eastAsia="Times New Roman" w:hAnsi="Arial" w:cs="Arial"/>
          <w:iCs/>
        </w:rPr>
      </w:pPr>
      <w:r>
        <w:rPr>
          <w:rFonts w:ascii="Arial" w:eastAsia="Times New Roman" w:hAnsi="Arial" w:cs="Arial"/>
          <w:iCs/>
        </w:rPr>
        <w:t xml:space="preserve">Exclusion criteria: </w:t>
      </w:r>
    </w:p>
    <w:p w14:paraId="33C81F79" w14:textId="76C27FA9" w:rsidR="00A44862" w:rsidRDefault="00A44862" w:rsidP="00092439">
      <w:pPr>
        <w:pStyle w:val="ListParagraph"/>
        <w:numPr>
          <w:ilvl w:val="0"/>
          <w:numId w:val="1"/>
        </w:numPr>
        <w:tabs>
          <w:tab w:val="left" w:pos="1739"/>
        </w:tabs>
        <w:spacing w:line="360" w:lineRule="auto"/>
        <w:jc w:val="both"/>
        <w:rPr>
          <w:rFonts w:ascii="Arial" w:eastAsia="Times New Roman" w:hAnsi="Arial" w:cs="Arial"/>
          <w:iCs/>
        </w:rPr>
      </w:pPr>
      <w:r w:rsidRPr="00092439">
        <w:rPr>
          <w:rFonts w:ascii="Arial" w:eastAsia="Times New Roman" w:hAnsi="Arial" w:cs="Arial"/>
          <w:iCs/>
        </w:rPr>
        <w:t xml:space="preserve">Use of antibiotics for </w:t>
      </w:r>
      <w:r w:rsidR="00D05ABF">
        <w:rPr>
          <w:rFonts w:ascii="Arial" w:eastAsia="Times New Roman" w:hAnsi="Arial" w:cs="Arial"/>
          <w:iCs/>
        </w:rPr>
        <w:t>three</w:t>
      </w:r>
      <w:r w:rsidRPr="00092439">
        <w:rPr>
          <w:rFonts w:ascii="Arial" w:eastAsia="Times New Roman" w:hAnsi="Arial" w:cs="Arial"/>
          <w:iCs/>
        </w:rPr>
        <w:t xml:space="preserve"> months prior to the study or during the study</w:t>
      </w:r>
      <w:r w:rsidR="002C6267">
        <w:rPr>
          <w:rFonts w:ascii="Arial" w:eastAsia="Times New Roman" w:hAnsi="Arial" w:cs="Arial"/>
          <w:iCs/>
        </w:rPr>
        <w:t xml:space="preserve"> </w:t>
      </w:r>
      <w:r w:rsidR="002C6267">
        <w:rPr>
          <w:rFonts w:ascii="Arial" w:eastAsia="Times New Roman" w:hAnsi="Arial" w:cs="Arial"/>
          <w:iCs/>
        </w:rPr>
        <w:fldChar w:fldCharType="begin"/>
      </w:r>
      <w:r w:rsidR="002C6267">
        <w:rPr>
          <w:rFonts w:ascii="Arial" w:eastAsia="Times New Roman" w:hAnsi="Arial" w:cs="Arial"/>
          <w:iCs/>
        </w:rPr>
        <w:instrText xml:space="preserve"> ADDIN EN.CITE &lt;EndNote&gt;&lt;Cite&gt;&lt;Author&gt;Yuan&lt;/Author&gt;&lt;Year&gt;2023&lt;/Year&gt;&lt;RecNum&gt;111&lt;/RecNum&gt;&lt;DisplayText&gt;(Yuan et al., 2023)&lt;/DisplayText&gt;&lt;record&gt;&lt;rec-number&gt;111&lt;/rec-number&gt;&lt;foreign-keys&gt;&lt;key app="EN" db-id="wx95xep0r55xxue5z0tp0xfo2d9x9x5txe0w" timestamp="1714833003"&gt;111&lt;/key&gt;&lt;/foreign-keys&gt;&lt;ref-type name="Journal Article"&gt;17&lt;/ref-type&gt;&lt;contributors&gt;&lt;authors&gt;&lt;author&gt;Yuan, Xulei&lt;/author&gt;&lt;author&gt;Zhou, Fuyuan&lt;/author&gt;&lt;author&gt;Wang, He&lt;/author&gt;&lt;author&gt;Xu, Xinxin&lt;/author&gt;&lt;author&gt;Xu, Shihan&lt;/author&gt;&lt;author&gt;Zhang, Chuangwei&lt;/author&gt;&lt;author&gt;Zhang, Yanan&lt;/author&gt;&lt;author&gt;Lu, Miao&lt;/author&gt;&lt;author&gt;Zhang, Yang&lt;/author&gt;&lt;author&gt;Zhou, Mengjiao&lt;/author&gt;&lt;author&gt;Li, Han&lt;/author&gt;&lt;author&gt;Zhang, Ximu&lt;/author&gt;&lt;author&gt;Zhang, Tingwei&lt;/author&gt;&lt;author&gt;Song, Jinlin&lt;/author&gt;&lt;/authors&gt;&lt;/contributors&gt;&lt;titles&gt;&lt;title&gt;Systemic antibiotics increase microbiota pathogenicity and oral bone loss&lt;/title&gt;&lt;secondary-title&gt;International Journal of Oral Science&lt;/secondary-title&gt;&lt;/titles&gt;&lt;periodical&gt;&lt;full-title&gt;International Journal of Oral Science&lt;/full-title&gt;&lt;/periodical&gt;&lt;pages&gt;4&lt;/pages&gt;&lt;volume&gt;15&lt;/volume&gt;&lt;number&gt;1&lt;/number&gt;&lt;dates&gt;&lt;year&gt;2023&lt;/year&gt;&lt;pub-dates&gt;&lt;date&gt;2023/01/12&lt;/date&gt;&lt;/pub-dates&gt;&lt;/dates&gt;&lt;isbn&gt;2049-3169&lt;/isbn&gt;&lt;urls&gt;&lt;related-urls&gt;&lt;url&gt;https://doi.org/10.1038/s41368-022-00212-1&lt;/url&gt;&lt;url&gt;https://www.nature.com/articles/s41368-022-00212-1.pdf&lt;/url&gt;&lt;/related-urls&gt;&lt;/urls&gt;&lt;electronic-resource-num&gt;10.1038/s41368-022-00212-1&lt;/electronic-resource-num&gt;&lt;/record&gt;&lt;/Cite&gt;&lt;/EndNote&gt;</w:instrText>
      </w:r>
      <w:r w:rsidR="002C6267">
        <w:rPr>
          <w:rFonts w:ascii="Arial" w:eastAsia="Times New Roman" w:hAnsi="Arial" w:cs="Arial"/>
          <w:iCs/>
        </w:rPr>
        <w:fldChar w:fldCharType="separate"/>
      </w:r>
      <w:r w:rsidR="002C6267">
        <w:rPr>
          <w:rFonts w:ascii="Arial" w:eastAsia="Times New Roman" w:hAnsi="Arial" w:cs="Arial"/>
          <w:iCs/>
          <w:noProof/>
        </w:rPr>
        <w:t>(Yuan et al., 2023)</w:t>
      </w:r>
      <w:r w:rsidR="002C6267">
        <w:rPr>
          <w:rFonts w:ascii="Arial" w:eastAsia="Times New Roman" w:hAnsi="Arial" w:cs="Arial"/>
          <w:iCs/>
        </w:rPr>
        <w:fldChar w:fldCharType="end"/>
      </w:r>
      <w:r w:rsidRPr="00092439">
        <w:rPr>
          <w:rFonts w:ascii="Arial" w:eastAsia="Times New Roman" w:hAnsi="Arial" w:cs="Arial"/>
          <w:iCs/>
        </w:rPr>
        <w:t xml:space="preserve"> </w:t>
      </w:r>
    </w:p>
    <w:p w14:paraId="1F6C29F8" w14:textId="1CA193DE" w:rsidR="00A44862" w:rsidRDefault="00A44862" w:rsidP="00A44862">
      <w:pPr>
        <w:pStyle w:val="ListParagraph"/>
        <w:numPr>
          <w:ilvl w:val="0"/>
          <w:numId w:val="1"/>
        </w:numPr>
        <w:tabs>
          <w:tab w:val="left" w:pos="1739"/>
        </w:tabs>
        <w:spacing w:line="360" w:lineRule="auto"/>
        <w:jc w:val="both"/>
        <w:rPr>
          <w:rFonts w:ascii="Arial" w:eastAsia="Times New Roman" w:hAnsi="Arial" w:cs="Arial"/>
          <w:iCs/>
        </w:rPr>
      </w:pPr>
      <w:r w:rsidRPr="00092439">
        <w:rPr>
          <w:rFonts w:ascii="Arial" w:eastAsia="Times New Roman" w:hAnsi="Arial" w:cs="Arial"/>
          <w:iCs/>
        </w:rPr>
        <w:t xml:space="preserve">Any food allergies and/or intolerances </w:t>
      </w:r>
    </w:p>
    <w:p w14:paraId="01EB7972" w14:textId="607D1844" w:rsidR="00A44862" w:rsidRDefault="00A44862" w:rsidP="00A44862">
      <w:pPr>
        <w:pStyle w:val="ListParagraph"/>
        <w:numPr>
          <w:ilvl w:val="0"/>
          <w:numId w:val="1"/>
        </w:numPr>
        <w:tabs>
          <w:tab w:val="left" w:pos="1739"/>
        </w:tabs>
        <w:spacing w:line="360" w:lineRule="auto"/>
        <w:jc w:val="both"/>
        <w:rPr>
          <w:rFonts w:ascii="Arial" w:eastAsia="Times New Roman" w:hAnsi="Arial" w:cs="Arial"/>
          <w:iCs/>
        </w:rPr>
      </w:pPr>
      <w:r w:rsidRPr="00092439">
        <w:rPr>
          <w:rFonts w:ascii="Arial" w:eastAsia="Times New Roman" w:hAnsi="Arial" w:cs="Arial"/>
          <w:iCs/>
        </w:rPr>
        <w:t>Being on a weight loss intervention or following any restrictive dietary practices (vegan, FODMAP, etc.)</w:t>
      </w:r>
    </w:p>
    <w:p w14:paraId="01CDC6AC" w14:textId="78747CDF" w:rsidR="00A44862" w:rsidRDefault="00A44862" w:rsidP="00A44862">
      <w:pPr>
        <w:pStyle w:val="ListParagraph"/>
        <w:numPr>
          <w:ilvl w:val="0"/>
          <w:numId w:val="1"/>
        </w:numPr>
        <w:tabs>
          <w:tab w:val="left" w:pos="1739"/>
        </w:tabs>
        <w:spacing w:line="360" w:lineRule="auto"/>
        <w:jc w:val="both"/>
        <w:rPr>
          <w:rFonts w:ascii="Arial" w:eastAsia="Times New Roman" w:hAnsi="Arial" w:cs="Arial"/>
          <w:iCs/>
        </w:rPr>
      </w:pPr>
      <w:r w:rsidRPr="00092439">
        <w:rPr>
          <w:rFonts w:ascii="Arial" w:eastAsia="Times New Roman" w:hAnsi="Arial" w:cs="Arial"/>
          <w:iCs/>
        </w:rPr>
        <w:t>History of chronic gastrointestinal conditions (e.g., irritable bowel syndrome, inflammatory bowel diseases, coeliac disease, constipation)</w:t>
      </w:r>
    </w:p>
    <w:p w14:paraId="3B50B787" w14:textId="54337552" w:rsidR="00A44862" w:rsidRDefault="00A44862" w:rsidP="00A44862">
      <w:pPr>
        <w:pStyle w:val="ListParagraph"/>
        <w:numPr>
          <w:ilvl w:val="0"/>
          <w:numId w:val="1"/>
        </w:numPr>
        <w:tabs>
          <w:tab w:val="left" w:pos="1739"/>
        </w:tabs>
        <w:spacing w:line="360" w:lineRule="auto"/>
        <w:jc w:val="both"/>
        <w:rPr>
          <w:rFonts w:ascii="Arial" w:eastAsia="Times New Roman" w:hAnsi="Arial" w:cs="Arial"/>
          <w:iCs/>
        </w:rPr>
      </w:pPr>
      <w:r w:rsidRPr="00092439">
        <w:rPr>
          <w:rFonts w:ascii="Arial" w:eastAsia="Times New Roman" w:hAnsi="Arial" w:cs="Arial"/>
          <w:iCs/>
        </w:rPr>
        <w:t xml:space="preserve">Pre-existing medical conditions, including hypertension, diabetes, or dental conditions (gingivitis) or any cardiovascular, endocrine, and metabolic disease requiring treatment </w:t>
      </w:r>
    </w:p>
    <w:p w14:paraId="43A954D6" w14:textId="49108C42" w:rsidR="00A44862" w:rsidRDefault="00A44862" w:rsidP="00A44862">
      <w:pPr>
        <w:pStyle w:val="ListParagraph"/>
        <w:numPr>
          <w:ilvl w:val="0"/>
          <w:numId w:val="1"/>
        </w:numPr>
        <w:tabs>
          <w:tab w:val="left" w:pos="1739"/>
        </w:tabs>
        <w:spacing w:line="360" w:lineRule="auto"/>
        <w:jc w:val="both"/>
        <w:rPr>
          <w:rFonts w:ascii="Arial" w:eastAsia="Times New Roman" w:hAnsi="Arial" w:cs="Arial"/>
          <w:iCs/>
        </w:rPr>
      </w:pPr>
      <w:r w:rsidRPr="00092439">
        <w:rPr>
          <w:rFonts w:ascii="Arial" w:eastAsia="Times New Roman" w:hAnsi="Arial" w:cs="Arial"/>
          <w:iCs/>
        </w:rPr>
        <w:t xml:space="preserve">Use of any medication that influences gut transit or intestinal microbiota (e.g., proton pump inhibitors, metformin, and laxatives) and prebiotics/probiotics for at least one month prior to the study or during the study </w:t>
      </w:r>
    </w:p>
    <w:p w14:paraId="1850B4E6" w14:textId="77777777" w:rsidR="00092439" w:rsidRDefault="00A44862" w:rsidP="00A44862">
      <w:pPr>
        <w:pStyle w:val="ListParagraph"/>
        <w:numPr>
          <w:ilvl w:val="0"/>
          <w:numId w:val="1"/>
        </w:numPr>
        <w:tabs>
          <w:tab w:val="left" w:pos="1739"/>
        </w:tabs>
        <w:spacing w:line="360" w:lineRule="auto"/>
        <w:jc w:val="both"/>
        <w:rPr>
          <w:rFonts w:ascii="Arial" w:eastAsia="Times New Roman" w:hAnsi="Arial" w:cs="Arial"/>
          <w:iCs/>
        </w:rPr>
      </w:pPr>
      <w:r w:rsidRPr="00092439">
        <w:rPr>
          <w:rFonts w:ascii="Arial" w:eastAsia="Times New Roman" w:hAnsi="Arial" w:cs="Arial"/>
          <w:iCs/>
        </w:rPr>
        <w:t>Use of beta-adrenergic blocking agents, lipid-lowering drugs, and hypertensive medications</w:t>
      </w:r>
    </w:p>
    <w:p w14:paraId="44A1EDF8" w14:textId="77777777" w:rsidR="00092439" w:rsidRDefault="00A44862" w:rsidP="00092439">
      <w:pPr>
        <w:pStyle w:val="ListParagraph"/>
        <w:numPr>
          <w:ilvl w:val="0"/>
          <w:numId w:val="1"/>
        </w:numPr>
        <w:tabs>
          <w:tab w:val="left" w:pos="1739"/>
        </w:tabs>
        <w:spacing w:line="360" w:lineRule="auto"/>
        <w:jc w:val="both"/>
        <w:rPr>
          <w:rFonts w:ascii="Arial" w:eastAsia="Times New Roman" w:hAnsi="Arial" w:cs="Arial"/>
          <w:iCs/>
        </w:rPr>
      </w:pPr>
      <w:r w:rsidRPr="00092439">
        <w:rPr>
          <w:rFonts w:ascii="Arial" w:eastAsia="Times New Roman" w:hAnsi="Arial" w:cs="Arial"/>
          <w:iCs/>
        </w:rPr>
        <w:t>Pregnant or lactating female participants</w:t>
      </w:r>
    </w:p>
    <w:p w14:paraId="64E0D865" w14:textId="3C93EE47" w:rsidR="00A44862" w:rsidRDefault="00A44862" w:rsidP="00200A1B">
      <w:pPr>
        <w:pStyle w:val="ListParagraph"/>
        <w:numPr>
          <w:ilvl w:val="0"/>
          <w:numId w:val="1"/>
        </w:numPr>
        <w:tabs>
          <w:tab w:val="left" w:pos="1739"/>
        </w:tabs>
        <w:spacing w:line="360" w:lineRule="auto"/>
        <w:jc w:val="both"/>
        <w:rPr>
          <w:rFonts w:ascii="Arial" w:eastAsia="Times New Roman" w:hAnsi="Arial" w:cs="Arial"/>
          <w:iCs/>
        </w:rPr>
      </w:pPr>
      <w:r w:rsidRPr="00092439">
        <w:rPr>
          <w:rFonts w:ascii="Arial" w:eastAsia="Times New Roman" w:hAnsi="Arial" w:cs="Arial"/>
          <w:iCs/>
        </w:rPr>
        <w:t>Regular use of an antibacterial mouthwash or tongue scrapes</w:t>
      </w:r>
      <w:r w:rsidR="0092576E">
        <w:rPr>
          <w:rFonts w:ascii="Arial" w:eastAsia="Times New Roman" w:hAnsi="Arial" w:cs="Arial"/>
          <w:iCs/>
        </w:rPr>
        <w:t xml:space="preserve"> </w:t>
      </w:r>
      <w:r w:rsidR="002C6267">
        <w:rPr>
          <w:rFonts w:ascii="Arial" w:eastAsia="Times New Roman" w:hAnsi="Arial" w:cs="Arial"/>
          <w:iCs/>
        </w:rPr>
        <w:fldChar w:fldCharType="begin">
          <w:fldData xml:space="preserve">PEVuZE5vdGU+PENpdGU+PEF1dGhvcj5NY0RvbmFnaDwvQXV0aG9yPjxZZWFyPjIwMTg8L1llYXI+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</w:fldData>
        </w:fldChar>
      </w:r>
      <w:r w:rsidR="002C6267">
        <w:rPr>
          <w:rFonts w:ascii="Arial" w:eastAsia="Times New Roman" w:hAnsi="Arial" w:cs="Arial"/>
          <w:iCs/>
        </w:rPr>
        <w:instrText xml:space="preserve"> ADDIN EN.CITE </w:instrText>
      </w:r>
      <w:r w:rsidR="002C6267">
        <w:rPr>
          <w:rFonts w:ascii="Arial" w:eastAsia="Times New Roman" w:hAnsi="Arial" w:cs="Arial"/>
          <w:iCs/>
        </w:rPr>
        <w:fldChar w:fldCharType="begin">
          <w:fldData xml:space="preserve">PEVuZE5vdGU+PENpdGU+PEF1dGhvcj5NY0RvbmFnaDwvQXV0aG9yPjxZZWFyPjIwMTg8L1llYXI+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</w:fldData>
        </w:fldChar>
      </w:r>
      <w:r w:rsidR="002C6267">
        <w:rPr>
          <w:rFonts w:ascii="Arial" w:eastAsia="Times New Roman" w:hAnsi="Arial" w:cs="Arial"/>
          <w:iCs/>
        </w:rPr>
        <w:instrText xml:space="preserve"> ADDIN EN.CITE.DATA </w:instrText>
      </w:r>
      <w:r w:rsidR="002C6267">
        <w:rPr>
          <w:rFonts w:ascii="Arial" w:eastAsia="Times New Roman" w:hAnsi="Arial" w:cs="Arial"/>
          <w:iCs/>
        </w:rPr>
      </w:r>
      <w:r w:rsidR="002C6267">
        <w:rPr>
          <w:rFonts w:ascii="Arial" w:eastAsia="Times New Roman" w:hAnsi="Arial" w:cs="Arial"/>
          <w:iCs/>
        </w:rPr>
        <w:fldChar w:fldCharType="end"/>
      </w:r>
      <w:r w:rsidR="002C6267">
        <w:rPr>
          <w:rFonts w:ascii="Arial" w:eastAsia="Times New Roman" w:hAnsi="Arial" w:cs="Arial"/>
          <w:iCs/>
        </w:rPr>
      </w:r>
      <w:r w:rsidR="002C6267">
        <w:rPr>
          <w:rFonts w:ascii="Arial" w:eastAsia="Times New Roman" w:hAnsi="Arial" w:cs="Arial"/>
          <w:iCs/>
        </w:rPr>
        <w:fldChar w:fldCharType="separate"/>
      </w:r>
      <w:r w:rsidR="002C6267">
        <w:rPr>
          <w:rFonts w:ascii="Arial" w:eastAsia="Times New Roman" w:hAnsi="Arial" w:cs="Arial"/>
          <w:iCs/>
          <w:noProof/>
        </w:rPr>
        <w:t>(McDonagh et al., 2018)</w:t>
      </w:r>
      <w:r w:rsidR="002C6267">
        <w:rPr>
          <w:rFonts w:ascii="Arial" w:eastAsia="Times New Roman" w:hAnsi="Arial" w:cs="Arial"/>
          <w:iCs/>
        </w:rPr>
        <w:fldChar w:fldCharType="end"/>
      </w:r>
    </w:p>
    <w:p w14:paraId="3BB6578E" w14:textId="246CA9C4" w:rsidR="00B1122F" w:rsidRPr="00200A1B" w:rsidRDefault="00B1122F" w:rsidP="00200A1B">
      <w:pPr>
        <w:pStyle w:val="ListParagraph"/>
        <w:numPr>
          <w:ilvl w:val="0"/>
          <w:numId w:val="1"/>
        </w:numPr>
        <w:tabs>
          <w:tab w:val="left" w:pos="1739"/>
        </w:tabs>
        <w:spacing w:line="360" w:lineRule="auto"/>
        <w:jc w:val="both"/>
        <w:rPr>
          <w:rFonts w:ascii="Arial" w:eastAsia="Times New Roman" w:hAnsi="Arial" w:cs="Arial"/>
          <w:iCs/>
        </w:rPr>
      </w:pPr>
      <w:r>
        <w:rPr>
          <w:rFonts w:ascii="Arial" w:eastAsia="Times New Roman" w:hAnsi="Arial" w:cs="Arial"/>
          <w:iCs/>
        </w:rPr>
        <w:t>C</w:t>
      </w:r>
      <w:r w:rsidRPr="00B1122F">
        <w:rPr>
          <w:rFonts w:ascii="Arial" w:eastAsia="Times New Roman" w:hAnsi="Arial" w:cs="Arial"/>
          <w:iCs/>
        </w:rPr>
        <w:t>urrent or recent consumption of NO</w:t>
      </w:r>
      <w:r w:rsidRPr="00A836C2">
        <w:rPr>
          <w:rFonts w:ascii="Arial" w:eastAsia="Times New Roman" w:hAnsi="Arial" w:cs="Arial"/>
          <w:iCs/>
          <w:vertAlign w:val="subscript"/>
        </w:rPr>
        <w:t>3</w:t>
      </w:r>
      <w:r w:rsidRPr="00A836C2">
        <w:rPr>
          <w:rFonts w:ascii="Arial" w:eastAsia="Times New Roman" w:hAnsi="Arial" w:cs="Arial"/>
          <w:iCs/>
          <w:vertAlign w:val="superscript"/>
        </w:rPr>
        <w:t>−</w:t>
      </w:r>
      <w:r w:rsidRPr="00B1122F">
        <w:rPr>
          <w:rFonts w:ascii="Arial" w:eastAsia="Times New Roman" w:hAnsi="Arial" w:cs="Arial"/>
          <w:iCs/>
        </w:rPr>
        <w:t xml:space="preserve">, </w:t>
      </w:r>
      <w:r w:rsidR="00A836C2">
        <w:rPr>
          <w:rFonts w:ascii="Arial" w:eastAsia="Times New Roman" w:hAnsi="Arial" w:cs="Arial"/>
          <w:iCs/>
        </w:rPr>
        <w:t>L</w:t>
      </w:r>
      <w:r w:rsidRPr="00B1122F">
        <w:rPr>
          <w:rFonts w:ascii="Arial" w:eastAsia="Times New Roman" w:hAnsi="Arial" w:cs="Arial"/>
          <w:iCs/>
        </w:rPr>
        <w:t xml:space="preserve">-arginine or </w:t>
      </w:r>
      <w:r w:rsidR="00A836C2">
        <w:rPr>
          <w:rFonts w:ascii="Arial" w:eastAsia="Times New Roman" w:hAnsi="Arial" w:cs="Arial"/>
          <w:iCs/>
        </w:rPr>
        <w:t>L</w:t>
      </w:r>
      <w:r w:rsidRPr="00B1122F">
        <w:rPr>
          <w:rFonts w:ascii="Arial" w:eastAsia="Times New Roman" w:hAnsi="Arial" w:cs="Arial"/>
          <w:iCs/>
        </w:rPr>
        <w:t>-citrulline supplements.</w:t>
      </w:r>
    </w:p>
    <w:p w14:paraId="20DA7BBA" w14:textId="0E0DD187" w:rsidR="00A44862" w:rsidRPr="00092439" w:rsidRDefault="00092439" w:rsidP="00A44862">
      <w:pPr>
        <w:pStyle w:val="ListParagraph"/>
        <w:numPr>
          <w:ilvl w:val="0"/>
          <w:numId w:val="1"/>
        </w:numPr>
        <w:tabs>
          <w:tab w:val="left" w:pos="1739"/>
        </w:tabs>
        <w:spacing w:line="360" w:lineRule="auto"/>
        <w:jc w:val="both"/>
        <w:rPr>
          <w:rFonts w:ascii="Arial" w:eastAsia="Times New Roman" w:hAnsi="Arial" w:cs="Arial"/>
          <w:iCs/>
        </w:rPr>
      </w:pPr>
      <w:r>
        <w:rPr>
          <w:rFonts w:ascii="Arial" w:eastAsia="Times New Roman" w:hAnsi="Arial" w:cs="Arial"/>
          <w:iCs/>
        </w:rPr>
        <w:t>S</w:t>
      </w:r>
      <w:r w:rsidR="00A44862" w:rsidRPr="00092439">
        <w:rPr>
          <w:rFonts w:ascii="Arial" w:eastAsia="Times New Roman" w:hAnsi="Arial" w:cs="Arial"/>
          <w:iCs/>
        </w:rPr>
        <w:t xml:space="preserve">moking </w:t>
      </w:r>
    </w:p>
    <w:p w14:paraId="4F8FF9DF" w14:textId="77777777" w:rsidR="00DF0C15" w:rsidRDefault="00DF0C15" w:rsidP="00882D32">
      <w:pPr>
        <w:tabs>
          <w:tab w:val="left" w:pos="1739"/>
        </w:tabs>
        <w:spacing w:line="360" w:lineRule="auto"/>
        <w:contextualSpacing/>
        <w:jc w:val="both"/>
        <w:rPr>
          <w:rFonts w:ascii="Arial" w:eastAsia="Times New Roman" w:hAnsi="Arial" w:cs="Arial"/>
          <w:iCs/>
        </w:rPr>
      </w:pPr>
    </w:p>
    <w:p w14:paraId="2ECAB6D0" w14:textId="3401733E" w:rsidR="00367238" w:rsidRDefault="00367238" w:rsidP="00882D32">
      <w:pPr>
        <w:tabs>
          <w:tab w:val="left" w:pos="1739"/>
        </w:tabs>
        <w:spacing w:line="360" w:lineRule="auto"/>
        <w:contextualSpacing/>
        <w:jc w:val="both"/>
        <w:rPr>
          <w:rFonts w:ascii="Arial" w:eastAsia="Times New Roman" w:hAnsi="Arial" w:cs="Arial"/>
          <w:iCs/>
          <w:u w:val="single"/>
        </w:rPr>
      </w:pPr>
      <w:r w:rsidRPr="00367238">
        <w:rPr>
          <w:rFonts w:ascii="Arial" w:eastAsia="Times New Roman" w:hAnsi="Arial" w:cs="Arial"/>
          <w:iCs/>
          <w:u w:val="single"/>
        </w:rPr>
        <w:t xml:space="preserve">Randomisation and blinding </w:t>
      </w:r>
    </w:p>
    <w:p w14:paraId="2F17DB63" w14:textId="77777777" w:rsidR="008F4620" w:rsidRPr="008F4620" w:rsidRDefault="008F4620" w:rsidP="00882D32">
      <w:pPr>
        <w:tabs>
          <w:tab w:val="left" w:pos="1739"/>
        </w:tabs>
        <w:spacing w:line="360" w:lineRule="auto"/>
        <w:contextualSpacing/>
        <w:jc w:val="both"/>
        <w:rPr>
          <w:rFonts w:ascii="Arial" w:eastAsia="Times New Roman" w:hAnsi="Arial" w:cs="Arial"/>
          <w:iCs/>
          <w:sz w:val="8"/>
          <w:szCs w:val="8"/>
          <w:u w:val="single"/>
        </w:rPr>
      </w:pPr>
    </w:p>
    <w:p w14:paraId="537B0B79" w14:textId="219D49BD" w:rsidR="000F27F2" w:rsidRDefault="000F27F2" w:rsidP="008F4620">
      <w:pPr>
        <w:tabs>
          <w:tab w:val="left" w:pos="1739"/>
        </w:tabs>
        <w:spacing w:line="360" w:lineRule="auto"/>
        <w:contextualSpacing/>
        <w:jc w:val="both"/>
        <w:rPr>
          <w:rFonts w:ascii="Arial" w:eastAsia="Times New Roman" w:hAnsi="Arial" w:cs="Arial"/>
          <w:iCs/>
        </w:rPr>
      </w:pPr>
      <w:r w:rsidRPr="000F27F2">
        <w:rPr>
          <w:rFonts w:ascii="Arial" w:eastAsia="Times New Roman" w:hAnsi="Arial" w:cs="Arial"/>
          <w:iCs/>
        </w:rPr>
        <w:t>A researcher not involved in participant recruitment carried out the randomisation process using an online tool (www.randomizer.org), generating consecutive sets of numbers ranging from one to three that corresponded with specific interventions. Each participant was sequentially allocated one of six randomisation sequences based on eligibility following the screening visit.</w:t>
      </w:r>
      <w:r w:rsidR="00105A56">
        <w:rPr>
          <w:rFonts w:ascii="Arial" w:eastAsia="Times New Roman" w:hAnsi="Arial" w:cs="Arial"/>
          <w:iCs/>
        </w:rPr>
        <w:t xml:space="preserve"> The supplementations order remained </w:t>
      </w:r>
      <w:r w:rsidR="005058CB">
        <w:rPr>
          <w:rFonts w:ascii="Arial" w:eastAsia="Times New Roman" w:hAnsi="Arial" w:cs="Arial"/>
          <w:iCs/>
        </w:rPr>
        <w:t xml:space="preserve">blinded until data and statistical analysis at the end of the study. </w:t>
      </w:r>
    </w:p>
    <w:p w14:paraId="254F8275" w14:textId="77777777" w:rsidR="000F27F2" w:rsidRDefault="000F27F2" w:rsidP="008F4620">
      <w:pPr>
        <w:tabs>
          <w:tab w:val="left" w:pos="1739"/>
        </w:tabs>
        <w:spacing w:line="360" w:lineRule="auto"/>
        <w:contextualSpacing/>
        <w:jc w:val="both"/>
        <w:rPr>
          <w:rFonts w:ascii="Arial" w:eastAsia="Times New Roman" w:hAnsi="Arial" w:cs="Arial"/>
          <w:iCs/>
        </w:rPr>
      </w:pPr>
    </w:p>
    <w:p w14:paraId="46B0028E" w14:textId="5DFC9839" w:rsidR="00BE305F" w:rsidRPr="006D751E" w:rsidRDefault="00BE305F" w:rsidP="00882D32">
      <w:pPr>
        <w:tabs>
          <w:tab w:val="left" w:pos="1739"/>
        </w:tabs>
        <w:spacing w:line="360" w:lineRule="auto"/>
        <w:contextualSpacing/>
        <w:jc w:val="both"/>
        <w:rPr>
          <w:rFonts w:ascii="Arial" w:eastAsia="Times New Roman" w:hAnsi="Arial" w:cs="Arial"/>
          <w:iCs/>
        </w:rPr>
      </w:pPr>
      <w:r w:rsidRPr="007B2741">
        <w:rPr>
          <w:rFonts w:ascii="Arial" w:eastAsia="Times New Roman" w:hAnsi="Arial" w:cs="Arial"/>
          <w:iCs/>
          <w:u w:val="single"/>
        </w:rPr>
        <w:t>Plasma short-chain fatty acids analysis</w:t>
      </w:r>
      <w:r w:rsidR="00BB317E">
        <w:rPr>
          <w:rFonts w:ascii="Arial" w:eastAsia="Times New Roman" w:hAnsi="Arial" w:cs="Arial"/>
          <w:iCs/>
          <w:u w:val="single"/>
        </w:rPr>
        <w:t>:</w:t>
      </w:r>
    </w:p>
    <w:p w14:paraId="449A05F6" w14:textId="77777777" w:rsidR="009D0A78" w:rsidRPr="007B2741" w:rsidRDefault="009D0A78" w:rsidP="00882D32">
      <w:pPr>
        <w:tabs>
          <w:tab w:val="left" w:pos="1739"/>
        </w:tabs>
        <w:spacing w:line="360" w:lineRule="auto"/>
        <w:contextualSpacing/>
        <w:jc w:val="both"/>
        <w:rPr>
          <w:rFonts w:ascii="Arial" w:hAnsi="Arial" w:cs="Arial"/>
          <w:sz w:val="8"/>
          <w:szCs w:val="8"/>
        </w:rPr>
      </w:pPr>
    </w:p>
    <w:p w14:paraId="33C1D4C2" w14:textId="0CB61311" w:rsidR="00D94EBE" w:rsidRPr="00E20762" w:rsidRDefault="00D94EBE" w:rsidP="00882D32">
      <w:pPr>
        <w:tabs>
          <w:tab w:val="left" w:pos="1739"/>
        </w:tabs>
        <w:spacing w:line="360" w:lineRule="auto"/>
        <w:contextualSpacing/>
        <w:jc w:val="both"/>
        <w:rPr>
          <w:rFonts w:ascii="Arial" w:hAnsi="Arial" w:cs="Arial"/>
        </w:rPr>
      </w:pPr>
      <w:r w:rsidRPr="00E20762">
        <w:rPr>
          <w:rFonts w:ascii="Arial" w:hAnsi="Arial" w:cs="Arial"/>
        </w:rPr>
        <w:t>Reagent and chemicals</w:t>
      </w:r>
      <w:r w:rsidR="007B2741">
        <w:rPr>
          <w:rFonts w:ascii="Arial" w:hAnsi="Arial" w:cs="Arial"/>
        </w:rPr>
        <w:t xml:space="preserve">: </w:t>
      </w:r>
      <w:r w:rsidRPr="00E20762">
        <w:rPr>
          <w:rFonts w:ascii="Arial" w:hAnsi="Arial" w:cs="Arial"/>
        </w:rPr>
        <w:t>All aqueous solutions were prepared using purified water at a Milli-Q grade. Acetic acid, propionic acid, butyric acid, isobutyric acid, 2-methylbutyric acid, valeric acid, isovaleric acid, caproic acid, isocaproic acid</w:t>
      </w:r>
      <w:r w:rsidR="00C73D3F" w:rsidRPr="00E20762">
        <w:rPr>
          <w:rFonts w:ascii="Arial" w:hAnsi="Arial" w:cs="Arial"/>
        </w:rPr>
        <w:t>, acetic-d</w:t>
      </w:r>
      <w:r w:rsidR="00C73D3F" w:rsidRPr="00E20762">
        <w:rPr>
          <w:rFonts w:ascii="Arial" w:hAnsi="Arial" w:cs="Arial"/>
          <w:vertAlign w:val="subscript"/>
        </w:rPr>
        <w:t>3</w:t>
      </w:r>
      <w:r w:rsidR="00025DE8" w:rsidRPr="00E20762">
        <w:rPr>
          <w:rFonts w:ascii="Arial" w:hAnsi="Arial" w:cs="Arial"/>
        </w:rPr>
        <w:t xml:space="preserve"> (ac-d3),</w:t>
      </w:r>
      <w:r w:rsidR="00C73D3F" w:rsidRPr="00E20762">
        <w:rPr>
          <w:rFonts w:ascii="Arial" w:hAnsi="Arial" w:cs="Arial"/>
        </w:rPr>
        <w:t xml:space="preserve"> propionic acid-d</w:t>
      </w:r>
      <w:r w:rsidR="00C73D3F" w:rsidRPr="00E20762">
        <w:rPr>
          <w:rFonts w:ascii="Arial" w:hAnsi="Arial" w:cs="Arial"/>
          <w:vertAlign w:val="subscript"/>
        </w:rPr>
        <w:t>2</w:t>
      </w:r>
      <w:r w:rsidR="00C73D3F" w:rsidRPr="00E20762">
        <w:rPr>
          <w:rFonts w:ascii="Arial" w:hAnsi="Arial" w:cs="Arial"/>
        </w:rPr>
        <w:t xml:space="preserve"> </w:t>
      </w:r>
      <w:r w:rsidR="00025DE8" w:rsidRPr="00E20762">
        <w:rPr>
          <w:rFonts w:ascii="Arial" w:hAnsi="Arial" w:cs="Arial"/>
        </w:rPr>
        <w:t xml:space="preserve">(pro-d2) </w:t>
      </w:r>
      <w:r w:rsidR="00C73D3F" w:rsidRPr="00E20762">
        <w:rPr>
          <w:rFonts w:ascii="Arial" w:hAnsi="Arial" w:cs="Arial"/>
        </w:rPr>
        <w:t>and</w:t>
      </w:r>
      <w:r w:rsidRPr="00E20762">
        <w:rPr>
          <w:rFonts w:ascii="Arial" w:hAnsi="Arial" w:cs="Arial"/>
        </w:rPr>
        <w:t xml:space="preserve"> 2-isobutoxyacetic acid were purchased</w:t>
      </w:r>
      <w:r w:rsidR="00C73D3F" w:rsidRPr="00E20762">
        <w:rPr>
          <w:rFonts w:ascii="Arial" w:hAnsi="Arial" w:cs="Arial"/>
        </w:rPr>
        <w:t xml:space="preserve"> from</w:t>
      </w:r>
      <w:r w:rsidRPr="00E20762">
        <w:rPr>
          <w:rFonts w:ascii="Arial" w:hAnsi="Arial" w:cs="Arial"/>
        </w:rPr>
        <w:t xml:space="preserve"> Sigma-Aldrich (UK). The solutions were prepared in methanol and stored at −20°C. For derivati</w:t>
      </w:r>
      <w:r w:rsidR="00907CD5">
        <w:rPr>
          <w:rFonts w:ascii="Arial" w:hAnsi="Arial" w:cs="Arial"/>
        </w:rPr>
        <w:t>s</w:t>
      </w:r>
      <w:r w:rsidRPr="00E20762">
        <w:rPr>
          <w:rFonts w:ascii="Arial" w:hAnsi="Arial" w:cs="Arial"/>
        </w:rPr>
        <w:t>ation 3-Nitrophenylhydrazine hydrochloride (3-NPH), 1-Ethyl-3-(3-dimethy-laminopropyl)</w:t>
      </w:r>
      <w:r w:rsidR="001F4EBF">
        <w:rPr>
          <w:rFonts w:ascii="Arial" w:hAnsi="Arial" w:cs="Arial"/>
        </w:rPr>
        <w:t xml:space="preserve"> </w:t>
      </w:r>
      <w:r w:rsidRPr="00E20762">
        <w:rPr>
          <w:rFonts w:ascii="Arial" w:hAnsi="Arial" w:cs="Arial"/>
        </w:rPr>
        <w:t>carbodiimide hydrochloride (EDC) and pyridine were purchased by Sigma-Aldrich (UK)</w:t>
      </w:r>
      <w:r w:rsidR="00C73D3F" w:rsidRPr="00E20762">
        <w:rPr>
          <w:rFonts w:ascii="Arial" w:hAnsi="Arial" w:cs="Arial"/>
        </w:rPr>
        <w:t>.</w:t>
      </w:r>
    </w:p>
    <w:p w14:paraId="715B4C11" w14:textId="77777777" w:rsidR="003174DA" w:rsidRPr="00E20762" w:rsidRDefault="003174DA" w:rsidP="00882D32">
      <w:pPr>
        <w:tabs>
          <w:tab w:val="left" w:pos="1739"/>
        </w:tabs>
        <w:spacing w:line="360" w:lineRule="auto"/>
        <w:contextualSpacing/>
        <w:jc w:val="both"/>
        <w:rPr>
          <w:rFonts w:ascii="Arial" w:hAnsi="Arial" w:cs="Arial"/>
        </w:rPr>
      </w:pPr>
    </w:p>
    <w:p w14:paraId="06064E2C" w14:textId="025F4C26" w:rsidR="00786105" w:rsidRPr="007B2741" w:rsidRDefault="00786105" w:rsidP="007B2741">
      <w:pPr>
        <w:tabs>
          <w:tab w:val="left" w:pos="1739"/>
        </w:tabs>
        <w:spacing w:line="360" w:lineRule="auto"/>
        <w:contextualSpacing/>
        <w:jc w:val="both"/>
        <w:rPr>
          <w:rFonts w:ascii="Arial" w:eastAsia="Times New Roman" w:hAnsi="Arial" w:cs="Arial"/>
          <w:shd w:val="clear" w:color="auto" w:fill="CCCCCC"/>
        </w:rPr>
      </w:pPr>
      <w:r w:rsidRPr="00E20762">
        <w:rPr>
          <w:rFonts w:ascii="Arial" w:eastAsia="Times New Roman" w:hAnsi="Arial" w:cs="Arial"/>
          <w:iCs/>
        </w:rPr>
        <w:t>Sample preparation</w:t>
      </w:r>
      <w:r w:rsidR="003174DA">
        <w:rPr>
          <w:rFonts w:ascii="Arial" w:eastAsia="Times New Roman" w:hAnsi="Arial" w:cs="Arial"/>
          <w:iCs/>
        </w:rPr>
        <w:t xml:space="preserve">: </w:t>
      </w:r>
      <w:r w:rsidRPr="00E20762">
        <w:rPr>
          <w:rFonts w:ascii="Arial" w:hAnsi="Arial" w:cs="Arial"/>
        </w:rPr>
        <w:t>40</w:t>
      </w:r>
      <w:r w:rsidR="00354B87">
        <w:rPr>
          <w:rFonts w:ascii="Arial" w:hAnsi="Arial" w:cs="Arial"/>
        </w:rPr>
        <w:t xml:space="preserve"> </w:t>
      </w:r>
      <w:r w:rsidRPr="00E20762">
        <w:rPr>
          <w:rFonts w:ascii="Arial" w:hAnsi="Arial" w:cs="Arial"/>
        </w:rPr>
        <w:t>µ</w:t>
      </w:r>
      <w:r w:rsidR="00C518FC">
        <w:rPr>
          <w:rFonts w:ascii="Arial" w:hAnsi="Arial" w:cs="Arial"/>
        </w:rPr>
        <w:t>L</w:t>
      </w:r>
      <w:r w:rsidRPr="00E20762">
        <w:rPr>
          <w:rFonts w:ascii="Arial" w:hAnsi="Arial" w:cs="Arial"/>
        </w:rPr>
        <w:t xml:space="preserve"> serum was diluted with 500</w:t>
      </w:r>
      <w:r w:rsidR="00354B87">
        <w:rPr>
          <w:rFonts w:ascii="Arial" w:hAnsi="Arial" w:cs="Arial"/>
        </w:rPr>
        <w:t xml:space="preserve"> </w:t>
      </w:r>
      <w:r w:rsidRPr="00E20762">
        <w:rPr>
          <w:rFonts w:ascii="Arial" w:hAnsi="Arial" w:cs="Arial"/>
        </w:rPr>
        <w:t>µ</w:t>
      </w:r>
      <w:r w:rsidR="004D0C8A">
        <w:rPr>
          <w:rFonts w:ascii="Arial" w:hAnsi="Arial" w:cs="Arial"/>
        </w:rPr>
        <w:t>L</w:t>
      </w:r>
      <w:r w:rsidRPr="00E20762">
        <w:rPr>
          <w:rFonts w:ascii="Arial" w:hAnsi="Arial" w:cs="Arial"/>
        </w:rPr>
        <w:t xml:space="preserve"> ice-cold methanol and incubated on dry ice for 15 min</w:t>
      </w:r>
      <w:r w:rsidR="00E2248F">
        <w:rPr>
          <w:rFonts w:ascii="Arial" w:hAnsi="Arial" w:cs="Arial"/>
        </w:rPr>
        <w:t>utes</w:t>
      </w:r>
      <w:r w:rsidRPr="00E20762">
        <w:rPr>
          <w:rFonts w:ascii="Arial" w:hAnsi="Arial" w:cs="Arial"/>
        </w:rPr>
        <w:t>. The samples were centrifuged (14800 rpm, 5 min</w:t>
      </w:r>
      <w:r w:rsidR="00377C44">
        <w:rPr>
          <w:rFonts w:ascii="Arial" w:hAnsi="Arial" w:cs="Arial"/>
        </w:rPr>
        <w:t>utes</w:t>
      </w:r>
      <w:r w:rsidRPr="00E20762">
        <w:rPr>
          <w:rFonts w:ascii="Arial" w:hAnsi="Arial" w:cs="Arial"/>
        </w:rPr>
        <w:t>) and supernatants were filtered using 0.45</w:t>
      </w:r>
      <w:r w:rsidR="004D0C8A">
        <w:rPr>
          <w:rFonts w:ascii="Arial" w:hAnsi="Arial" w:cs="Arial"/>
        </w:rPr>
        <w:t xml:space="preserve"> </w:t>
      </w:r>
      <w:r w:rsidRPr="00E20762">
        <w:rPr>
          <w:rFonts w:ascii="Arial" w:hAnsi="Arial" w:cs="Arial"/>
        </w:rPr>
        <w:t>µ</w:t>
      </w:r>
      <w:r w:rsidR="004D0C8A">
        <w:rPr>
          <w:rFonts w:ascii="Arial" w:hAnsi="Arial" w:cs="Arial"/>
        </w:rPr>
        <w:t>M</w:t>
      </w:r>
      <w:r w:rsidRPr="00E20762">
        <w:rPr>
          <w:rFonts w:ascii="Arial" w:hAnsi="Arial" w:cs="Arial"/>
        </w:rPr>
        <w:t xml:space="preserve"> PTFE filters. The filtered extracts were evaporated until dry using a Savant™ SpeedVac™ High-Capacity Concentrator (Cat. SC210A-230) and were reconstituted with 40 µL of </w:t>
      </w:r>
      <w:r w:rsidR="00255D0B">
        <w:rPr>
          <w:rFonts w:ascii="Arial" w:hAnsi="Arial" w:cs="Arial"/>
        </w:rPr>
        <w:t xml:space="preserve">HPLC </w:t>
      </w:r>
      <w:r w:rsidRPr="00E20762">
        <w:rPr>
          <w:rFonts w:ascii="Arial" w:hAnsi="Arial" w:cs="Arial"/>
        </w:rPr>
        <w:t>methanol. 20</w:t>
      </w:r>
      <w:r w:rsidR="00790BE3">
        <w:rPr>
          <w:rFonts w:ascii="Arial" w:hAnsi="Arial" w:cs="Arial"/>
        </w:rPr>
        <w:t xml:space="preserve"> </w:t>
      </w:r>
      <w:r w:rsidRPr="00E20762">
        <w:rPr>
          <w:rFonts w:ascii="Arial" w:hAnsi="Arial" w:cs="Arial"/>
        </w:rPr>
        <w:t>µ</w:t>
      </w:r>
      <w:r w:rsidR="00790BE3">
        <w:rPr>
          <w:rFonts w:ascii="Arial" w:hAnsi="Arial" w:cs="Arial"/>
        </w:rPr>
        <w:t>L</w:t>
      </w:r>
      <w:r w:rsidRPr="00E20762">
        <w:rPr>
          <w:rFonts w:ascii="Arial" w:hAnsi="Arial" w:cs="Arial"/>
        </w:rPr>
        <w:t xml:space="preserve"> of reconstituted sample was mixed with 20</w:t>
      </w:r>
      <w:r w:rsidR="00354B87">
        <w:rPr>
          <w:rFonts w:ascii="Arial" w:hAnsi="Arial" w:cs="Arial"/>
        </w:rPr>
        <w:t xml:space="preserve"> </w:t>
      </w:r>
      <w:r w:rsidRPr="00E20762">
        <w:rPr>
          <w:rFonts w:ascii="Arial" w:hAnsi="Arial" w:cs="Arial"/>
        </w:rPr>
        <w:t>µL of internal standard mix (20ppm ac</w:t>
      </w:r>
      <w:r w:rsidR="00354B87">
        <w:rPr>
          <w:rFonts w:ascii="Arial" w:hAnsi="Arial" w:cs="Arial"/>
        </w:rPr>
        <w:t>etic acid</w:t>
      </w:r>
      <w:r w:rsidRPr="00E20762">
        <w:rPr>
          <w:rFonts w:ascii="Arial" w:hAnsi="Arial" w:cs="Arial"/>
        </w:rPr>
        <w:t>-d</w:t>
      </w:r>
      <w:r w:rsidR="00025DE8" w:rsidRPr="00E20762">
        <w:rPr>
          <w:rFonts w:ascii="Arial" w:hAnsi="Arial" w:cs="Arial"/>
        </w:rPr>
        <w:t>3</w:t>
      </w:r>
      <w:r w:rsidRPr="00E20762">
        <w:rPr>
          <w:rFonts w:ascii="Arial" w:hAnsi="Arial" w:cs="Arial"/>
        </w:rPr>
        <w:t>, pro</w:t>
      </w:r>
      <w:r w:rsidR="00F529A2">
        <w:rPr>
          <w:rFonts w:ascii="Arial" w:hAnsi="Arial" w:cs="Arial"/>
        </w:rPr>
        <w:t>pionic acid</w:t>
      </w:r>
      <w:r w:rsidRPr="00E20762">
        <w:rPr>
          <w:rFonts w:ascii="Arial" w:hAnsi="Arial" w:cs="Arial"/>
        </w:rPr>
        <w:t>-d2,</w:t>
      </w:r>
      <w:r w:rsidR="00F529A2">
        <w:rPr>
          <w:rFonts w:ascii="Arial" w:hAnsi="Arial" w:cs="Arial"/>
        </w:rPr>
        <w:t xml:space="preserve"> and</w:t>
      </w:r>
      <w:r w:rsidRPr="00E20762">
        <w:rPr>
          <w:rFonts w:ascii="Arial" w:hAnsi="Arial" w:cs="Arial"/>
        </w:rPr>
        <w:t xml:space="preserve"> iso</w:t>
      </w:r>
      <w:r w:rsidR="004C2671">
        <w:rPr>
          <w:rFonts w:ascii="Arial" w:hAnsi="Arial" w:cs="Arial"/>
        </w:rPr>
        <w:t>-</w:t>
      </w:r>
      <w:r w:rsidR="004C2671" w:rsidRPr="00E20762">
        <w:rPr>
          <w:rFonts w:ascii="Arial" w:hAnsi="Arial" w:cs="Arial"/>
        </w:rPr>
        <w:t>butoxy acetic</w:t>
      </w:r>
      <w:r w:rsidRPr="00E20762">
        <w:rPr>
          <w:rFonts w:ascii="Arial" w:hAnsi="Arial" w:cs="Arial"/>
        </w:rPr>
        <w:t xml:space="preserve"> acid). For derivatisation, 10 µL of 3-NPH (50</w:t>
      </w:r>
      <w:r w:rsidR="00932193">
        <w:rPr>
          <w:rFonts w:ascii="Arial" w:hAnsi="Arial" w:cs="Arial"/>
        </w:rPr>
        <w:t xml:space="preserve"> </w:t>
      </w:r>
      <w:r w:rsidRPr="00E20762">
        <w:rPr>
          <w:rFonts w:ascii="Arial" w:hAnsi="Arial" w:cs="Arial"/>
        </w:rPr>
        <w:t>mM 3-NPH solution) and 10 µL of EDC (50</w:t>
      </w:r>
      <w:r w:rsidR="00932193">
        <w:rPr>
          <w:rFonts w:ascii="Arial" w:hAnsi="Arial" w:cs="Arial"/>
        </w:rPr>
        <w:t xml:space="preserve"> </w:t>
      </w:r>
      <w:r w:rsidRPr="00E20762">
        <w:rPr>
          <w:rFonts w:ascii="Arial" w:hAnsi="Arial" w:cs="Arial"/>
        </w:rPr>
        <w:t>mM EDC solution) made in 7% pyridine (v/v methanol) were added to the reconstituted extracts and incubated at 37°C for 30 min</w:t>
      </w:r>
      <w:r w:rsidR="00932193">
        <w:rPr>
          <w:rFonts w:ascii="Arial" w:hAnsi="Arial" w:cs="Arial"/>
        </w:rPr>
        <w:t>utes</w:t>
      </w:r>
      <w:r w:rsidRPr="00E20762">
        <w:rPr>
          <w:rFonts w:ascii="Arial" w:hAnsi="Arial" w:cs="Arial"/>
        </w:rPr>
        <w:t xml:space="preserve"> in a Standard Incubator (Model B 28, Binder, Tuttlingen, Germany). The derivatisation reaction was quenched by adding 20 µL of 0.1% formic acid. All the derivatised samples were transferred to the autosampler vials containing 150 µ</w:t>
      </w:r>
      <w:r w:rsidR="004B0B61">
        <w:rPr>
          <w:rFonts w:ascii="Arial" w:hAnsi="Arial" w:cs="Arial"/>
        </w:rPr>
        <w:t>L</w:t>
      </w:r>
      <w:r w:rsidRPr="00E20762">
        <w:rPr>
          <w:rFonts w:ascii="Arial" w:hAnsi="Arial" w:cs="Arial"/>
        </w:rPr>
        <w:t xml:space="preserve"> inserts and run on the LC-MS/MS system</w:t>
      </w:r>
      <w:r w:rsidR="00A5514F" w:rsidRPr="00E20762">
        <w:rPr>
          <w:rFonts w:ascii="Arial" w:hAnsi="Arial" w:cs="Arial"/>
        </w:rPr>
        <w:t xml:space="preserve">. </w:t>
      </w:r>
      <w:r w:rsidRPr="00E20762">
        <w:rPr>
          <w:rFonts w:ascii="Arial" w:eastAsia="Times New Roman" w:hAnsi="Arial" w:cs="Arial"/>
        </w:rPr>
        <w:t xml:space="preserve">Stock solutions of each metabolite were prepared in methanol (1mg/mL) and stored at -80°C.  Calibration standards were prepared by pooling all relevant analytes for each method at </w:t>
      </w:r>
      <w:r w:rsidR="008002B6">
        <w:rPr>
          <w:rFonts w:ascii="Arial" w:eastAsia="Times New Roman" w:hAnsi="Arial" w:cs="Arial"/>
        </w:rPr>
        <w:t>five</w:t>
      </w:r>
      <w:r w:rsidRPr="00E20762">
        <w:rPr>
          <w:rFonts w:ascii="Arial" w:eastAsia="Times New Roman" w:hAnsi="Arial" w:cs="Arial"/>
        </w:rPr>
        <w:t xml:space="preserve"> different concentrations by preparing a serial dilution of a solution containing acetic acid at 30 µg/mL, propionic acid at 2.5 µg/mL and the other </w:t>
      </w:r>
      <w:r w:rsidR="008002B6">
        <w:rPr>
          <w:rFonts w:ascii="Arial" w:eastAsia="Times New Roman" w:hAnsi="Arial" w:cs="Arial"/>
        </w:rPr>
        <w:t>six</w:t>
      </w:r>
      <w:r w:rsidRPr="00E20762">
        <w:rPr>
          <w:rFonts w:ascii="Arial" w:eastAsia="Times New Roman" w:hAnsi="Arial" w:cs="Arial"/>
        </w:rPr>
        <w:t xml:space="preserve"> SCFA</w:t>
      </w:r>
      <w:r w:rsidR="00BA4010">
        <w:rPr>
          <w:rFonts w:ascii="Arial" w:eastAsia="Times New Roman" w:hAnsi="Arial" w:cs="Arial"/>
        </w:rPr>
        <w:t>s</w:t>
      </w:r>
      <w:r w:rsidRPr="00E20762">
        <w:rPr>
          <w:rFonts w:ascii="Arial" w:eastAsia="Times New Roman" w:hAnsi="Arial" w:cs="Arial"/>
        </w:rPr>
        <w:t xml:space="preserve"> at 1.25 µg/mL and adding the respective internal standards at 50 µg/mL. Calibration standards were run at the beginning, middle and end of each analytical queue. The analyte: internal standard response ratio was used to create calibration curves and quantify each metabolite.</w:t>
      </w:r>
    </w:p>
    <w:p w14:paraId="3AF1A282" w14:textId="77777777" w:rsidR="00786105" w:rsidRPr="00E20762" w:rsidRDefault="00786105" w:rsidP="00882D32">
      <w:pPr>
        <w:spacing w:line="360" w:lineRule="auto"/>
        <w:contextualSpacing/>
        <w:jc w:val="both"/>
        <w:rPr>
          <w:rFonts w:ascii="Arial" w:eastAsia="Times New Roman" w:hAnsi="Arial" w:cs="Arial"/>
        </w:rPr>
      </w:pPr>
    </w:p>
    <w:p w14:paraId="708EBD1A" w14:textId="1D493AE3" w:rsidR="00E15294" w:rsidRDefault="00786105" w:rsidP="003174DA">
      <w:pPr>
        <w:spacing w:line="360" w:lineRule="auto"/>
        <w:contextualSpacing/>
        <w:jc w:val="both"/>
        <w:rPr>
          <w:rFonts w:ascii="Arial" w:eastAsia="Times New Roman" w:hAnsi="Arial" w:cs="Arial"/>
        </w:rPr>
      </w:pPr>
      <w:r w:rsidRPr="00E20762">
        <w:rPr>
          <w:rFonts w:ascii="Arial" w:eastAsia="Times New Roman" w:hAnsi="Arial" w:cs="Arial"/>
        </w:rPr>
        <w:t>LC-MS/MS Condition</w:t>
      </w:r>
      <w:r w:rsidR="003174DA">
        <w:rPr>
          <w:rFonts w:ascii="Arial" w:eastAsia="Times New Roman" w:hAnsi="Arial" w:cs="Arial"/>
        </w:rPr>
        <w:t>: m</w:t>
      </w:r>
      <w:r w:rsidRPr="00E20762">
        <w:rPr>
          <w:rFonts w:ascii="Arial" w:eastAsia="Times New Roman" w:hAnsi="Arial" w:cs="Arial"/>
        </w:rPr>
        <w:t xml:space="preserve">etabolite quantification was performed using liquid chromatography-tandem mass spectrometry (LC-MS/MS) comprising of Waters Acquity UPLC system and Xevo TQ-S Cronos mass spectrometer controlled by MassLynx 4.1 software. For the detection of </w:t>
      </w:r>
      <w:r w:rsidR="00025DE8" w:rsidRPr="00E20762">
        <w:rPr>
          <w:rFonts w:ascii="Arial" w:eastAsia="Times New Roman" w:hAnsi="Arial" w:cs="Arial"/>
        </w:rPr>
        <w:t>SCFA</w:t>
      </w:r>
      <w:r w:rsidR="00A1259B">
        <w:rPr>
          <w:rFonts w:ascii="Arial" w:eastAsia="Times New Roman" w:hAnsi="Arial" w:cs="Arial"/>
        </w:rPr>
        <w:t>s</w:t>
      </w:r>
      <w:r w:rsidRPr="00E20762">
        <w:rPr>
          <w:rFonts w:ascii="Arial" w:eastAsia="Times New Roman" w:hAnsi="Arial" w:cs="Arial"/>
        </w:rPr>
        <w:t xml:space="preserve">, the electrospray ionisation (ESI) operated in negative mode and chromatographic separations were performed with </w:t>
      </w:r>
      <w:r w:rsidR="00A5514F" w:rsidRPr="00E20762">
        <w:rPr>
          <w:rFonts w:ascii="Arial" w:eastAsia="Times New Roman" w:hAnsi="Arial" w:cs="Arial"/>
        </w:rPr>
        <w:t xml:space="preserve">a </w:t>
      </w:r>
      <w:r w:rsidR="00780DB3" w:rsidRPr="00E20762">
        <w:rPr>
          <w:rFonts w:ascii="Arial" w:hAnsi="Arial" w:cs="Arial"/>
        </w:rPr>
        <w:t>Kinetex® 2.6 µ</w:t>
      </w:r>
      <w:r w:rsidR="00F204A0">
        <w:rPr>
          <w:rFonts w:ascii="Arial" w:hAnsi="Arial" w:cs="Arial"/>
        </w:rPr>
        <w:t>M</w:t>
      </w:r>
      <w:r w:rsidR="00780DB3" w:rsidRPr="00E20762">
        <w:rPr>
          <w:rFonts w:ascii="Arial" w:hAnsi="Arial" w:cs="Arial"/>
        </w:rPr>
        <w:t xml:space="preserve"> XB-C18</w:t>
      </w:r>
      <w:r w:rsidR="00780DB3" w:rsidRPr="00E20762">
        <w:rPr>
          <w:rFonts w:ascii="Arial" w:eastAsia="Times New Roman" w:hAnsi="Arial" w:cs="Arial"/>
        </w:rPr>
        <w:t xml:space="preserve"> </w:t>
      </w:r>
      <w:r w:rsidRPr="00E20762">
        <w:rPr>
          <w:rFonts w:ascii="Arial" w:eastAsia="Times New Roman" w:hAnsi="Arial" w:cs="Arial"/>
        </w:rPr>
        <w:t>(</w:t>
      </w:r>
      <w:r w:rsidR="00780DB3" w:rsidRPr="00E20762">
        <w:rPr>
          <w:rFonts w:ascii="Arial" w:eastAsia="Times New Roman" w:hAnsi="Arial" w:cs="Arial"/>
        </w:rPr>
        <w:t>50</w:t>
      </w:r>
      <w:r w:rsidRPr="00E20762">
        <w:rPr>
          <w:rFonts w:ascii="Arial" w:eastAsia="Times New Roman" w:hAnsi="Arial" w:cs="Arial"/>
        </w:rPr>
        <w:t xml:space="preserve"> x </w:t>
      </w:r>
      <w:r w:rsidR="00780DB3" w:rsidRPr="00E20762">
        <w:rPr>
          <w:rFonts w:ascii="Arial" w:eastAsia="Times New Roman" w:hAnsi="Arial" w:cs="Arial"/>
        </w:rPr>
        <w:t>2.1</w:t>
      </w:r>
      <w:r w:rsidRPr="00E20762">
        <w:rPr>
          <w:rFonts w:ascii="Arial" w:eastAsia="Times New Roman" w:hAnsi="Arial" w:cs="Arial"/>
        </w:rPr>
        <w:t xml:space="preserve"> m</w:t>
      </w:r>
      <w:r w:rsidR="00780DB3" w:rsidRPr="00E20762">
        <w:rPr>
          <w:rFonts w:ascii="Arial" w:eastAsia="Times New Roman" w:hAnsi="Arial" w:cs="Arial"/>
        </w:rPr>
        <w:t xml:space="preserve">, </w:t>
      </w:r>
      <w:r w:rsidR="00780DB3" w:rsidRPr="00E20762">
        <w:rPr>
          <w:rFonts w:ascii="Arial" w:hAnsi="Arial" w:cs="Arial"/>
        </w:rPr>
        <w:t>Phenomenex Inc.</w:t>
      </w:r>
      <w:r w:rsidR="00780DB3" w:rsidRPr="00E20762">
        <w:rPr>
          <w:rFonts w:ascii="Arial" w:eastAsia="Times New Roman" w:hAnsi="Arial" w:cs="Arial"/>
        </w:rPr>
        <w:t>)</w:t>
      </w:r>
      <w:r w:rsidR="0009171E" w:rsidRPr="00E20762">
        <w:rPr>
          <w:rFonts w:ascii="Arial" w:eastAsia="Times New Roman" w:hAnsi="Arial" w:cs="Arial"/>
        </w:rPr>
        <w:t>.</w:t>
      </w:r>
      <w:r w:rsidRPr="00E20762">
        <w:rPr>
          <w:rFonts w:ascii="Arial" w:eastAsia="Times New Roman" w:hAnsi="Arial" w:cs="Arial"/>
        </w:rPr>
        <w:t xml:space="preserve"> Eluent A</w:t>
      </w:r>
      <w:r w:rsidR="00A5514F" w:rsidRPr="00E20762">
        <w:rPr>
          <w:rFonts w:ascii="Arial" w:eastAsia="Times New Roman" w:hAnsi="Arial" w:cs="Arial"/>
        </w:rPr>
        <w:t xml:space="preserve"> (</w:t>
      </w:r>
      <w:r w:rsidRPr="00E20762">
        <w:rPr>
          <w:rFonts w:ascii="Arial" w:eastAsia="Times New Roman" w:hAnsi="Arial" w:cs="Arial"/>
        </w:rPr>
        <w:t>0.1% formic acid, water) and eluent B (0.1% formic acid</w:t>
      </w:r>
      <w:r w:rsidR="00A5514F" w:rsidRPr="00E20762">
        <w:rPr>
          <w:rFonts w:ascii="Arial" w:eastAsia="Times New Roman" w:hAnsi="Arial" w:cs="Arial"/>
        </w:rPr>
        <w:t xml:space="preserve">, </w:t>
      </w:r>
      <w:r w:rsidRPr="00E20762">
        <w:rPr>
          <w:rFonts w:ascii="Arial" w:eastAsia="Times New Roman" w:hAnsi="Arial" w:cs="Arial"/>
        </w:rPr>
        <w:t>methanol</w:t>
      </w:r>
      <w:r w:rsidR="00A5514F" w:rsidRPr="00E20762">
        <w:rPr>
          <w:rFonts w:ascii="Arial" w:eastAsia="Times New Roman" w:hAnsi="Arial" w:cs="Arial"/>
        </w:rPr>
        <w:t>)</w:t>
      </w:r>
      <w:r w:rsidRPr="00E20762">
        <w:rPr>
          <w:rFonts w:ascii="Arial" w:eastAsia="Times New Roman" w:hAnsi="Arial" w:cs="Arial"/>
        </w:rPr>
        <w:t xml:space="preserve"> ran at a constant rate of 0.</w:t>
      </w:r>
      <w:r w:rsidR="00A5514F" w:rsidRPr="00E20762">
        <w:rPr>
          <w:rFonts w:ascii="Arial" w:eastAsia="Times New Roman" w:hAnsi="Arial" w:cs="Arial"/>
        </w:rPr>
        <w:t>5</w:t>
      </w:r>
      <w:r w:rsidRPr="00E20762">
        <w:rPr>
          <w:rFonts w:ascii="Arial" w:eastAsia="Times New Roman" w:hAnsi="Arial" w:cs="Arial"/>
        </w:rPr>
        <w:t xml:space="preserve"> mL/min</w:t>
      </w:r>
      <w:r w:rsidR="00C46D44">
        <w:rPr>
          <w:rFonts w:ascii="Arial" w:eastAsia="Times New Roman" w:hAnsi="Arial" w:cs="Arial"/>
        </w:rPr>
        <w:t>ute</w:t>
      </w:r>
      <w:r w:rsidRPr="00E20762">
        <w:rPr>
          <w:rFonts w:ascii="Arial" w:eastAsia="Times New Roman" w:hAnsi="Arial" w:cs="Arial"/>
        </w:rPr>
        <w:t xml:space="preserve">. The gradient began at </w:t>
      </w:r>
      <w:r w:rsidR="00A5514F" w:rsidRPr="00E20762">
        <w:rPr>
          <w:rFonts w:ascii="Arial" w:eastAsia="Times New Roman" w:hAnsi="Arial" w:cs="Arial"/>
        </w:rPr>
        <w:t>1</w:t>
      </w:r>
      <w:r w:rsidRPr="00E20762">
        <w:rPr>
          <w:rFonts w:ascii="Arial" w:eastAsia="Times New Roman" w:hAnsi="Arial" w:cs="Arial"/>
        </w:rPr>
        <w:t xml:space="preserve">0% B and was held for </w:t>
      </w:r>
      <w:r w:rsidR="00A5514F" w:rsidRPr="00E20762">
        <w:rPr>
          <w:rFonts w:ascii="Arial" w:eastAsia="Times New Roman" w:hAnsi="Arial" w:cs="Arial"/>
        </w:rPr>
        <w:t>1</w:t>
      </w:r>
      <w:r w:rsidRPr="00E20762">
        <w:rPr>
          <w:rFonts w:ascii="Arial" w:eastAsia="Times New Roman" w:hAnsi="Arial" w:cs="Arial"/>
        </w:rPr>
        <w:t xml:space="preserve"> min</w:t>
      </w:r>
      <w:r w:rsidR="0030228F">
        <w:rPr>
          <w:rFonts w:ascii="Arial" w:eastAsia="Times New Roman" w:hAnsi="Arial" w:cs="Arial"/>
        </w:rPr>
        <w:t>ute</w:t>
      </w:r>
      <w:r w:rsidRPr="00E20762">
        <w:rPr>
          <w:rFonts w:ascii="Arial" w:eastAsia="Times New Roman" w:hAnsi="Arial" w:cs="Arial"/>
        </w:rPr>
        <w:t xml:space="preserve"> before a linear increase to </w:t>
      </w:r>
      <w:r w:rsidR="00A5514F" w:rsidRPr="00E20762">
        <w:rPr>
          <w:rFonts w:ascii="Arial" w:eastAsia="Times New Roman" w:hAnsi="Arial" w:cs="Arial"/>
        </w:rPr>
        <w:t>23</w:t>
      </w:r>
      <w:r w:rsidRPr="00E20762">
        <w:rPr>
          <w:rFonts w:ascii="Arial" w:eastAsia="Times New Roman" w:hAnsi="Arial" w:cs="Arial"/>
        </w:rPr>
        <w:t xml:space="preserve">% B occurred at </w:t>
      </w:r>
      <w:r w:rsidR="00A5514F" w:rsidRPr="00E20762">
        <w:rPr>
          <w:rFonts w:ascii="Arial" w:eastAsia="Times New Roman" w:hAnsi="Arial" w:cs="Arial"/>
        </w:rPr>
        <w:t>4.5 min</w:t>
      </w:r>
      <w:r w:rsidR="0030228F">
        <w:rPr>
          <w:rFonts w:ascii="Arial" w:eastAsia="Times New Roman" w:hAnsi="Arial" w:cs="Arial"/>
        </w:rPr>
        <w:t>utes</w:t>
      </w:r>
      <w:r w:rsidR="00A5514F" w:rsidRPr="00E20762">
        <w:rPr>
          <w:rFonts w:ascii="Arial" w:eastAsia="Times New Roman" w:hAnsi="Arial" w:cs="Arial"/>
        </w:rPr>
        <w:t>, then 50% B at 6 min</w:t>
      </w:r>
      <w:r w:rsidR="00C46D44">
        <w:rPr>
          <w:rFonts w:ascii="Arial" w:eastAsia="Times New Roman" w:hAnsi="Arial" w:cs="Arial"/>
        </w:rPr>
        <w:t>utes</w:t>
      </w:r>
      <w:r w:rsidR="00A5514F" w:rsidRPr="00E20762">
        <w:rPr>
          <w:rFonts w:ascii="Arial" w:eastAsia="Times New Roman" w:hAnsi="Arial" w:cs="Arial"/>
        </w:rPr>
        <w:t xml:space="preserve"> following by 100% B at 7 min</w:t>
      </w:r>
      <w:r w:rsidR="00C46D44">
        <w:rPr>
          <w:rFonts w:ascii="Arial" w:eastAsia="Times New Roman" w:hAnsi="Arial" w:cs="Arial"/>
        </w:rPr>
        <w:t>utes</w:t>
      </w:r>
      <w:r w:rsidR="00A5514F" w:rsidRPr="00E20762">
        <w:rPr>
          <w:rFonts w:ascii="Arial" w:eastAsia="Times New Roman" w:hAnsi="Arial" w:cs="Arial"/>
        </w:rPr>
        <w:t>.</w:t>
      </w:r>
      <w:r w:rsidRPr="00E20762">
        <w:rPr>
          <w:rFonts w:ascii="Arial" w:eastAsia="Times New Roman" w:hAnsi="Arial" w:cs="Arial"/>
        </w:rPr>
        <w:t xml:space="preserve"> This was held for </w:t>
      </w:r>
      <w:r w:rsidR="00A5514F" w:rsidRPr="00E20762">
        <w:rPr>
          <w:rFonts w:ascii="Arial" w:eastAsia="Times New Roman" w:hAnsi="Arial" w:cs="Arial"/>
        </w:rPr>
        <w:t>0.5</w:t>
      </w:r>
      <w:r w:rsidRPr="00E20762">
        <w:rPr>
          <w:rFonts w:ascii="Arial" w:eastAsia="Times New Roman" w:hAnsi="Arial" w:cs="Arial"/>
        </w:rPr>
        <w:t xml:space="preserve"> min</w:t>
      </w:r>
      <w:r w:rsidR="0030228F">
        <w:rPr>
          <w:rFonts w:ascii="Arial" w:eastAsia="Times New Roman" w:hAnsi="Arial" w:cs="Arial"/>
        </w:rPr>
        <w:t>utes</w:t>
      </w:r>
      <w:r w:rsidRPr="00E20762">
        <w:rPr>
          <w:rFonts w:ascii="Arial" w:eastAsia="Times New Roman" w:hAnsi="Arial" w:cs="Arial"/>
        </w:rPr>
        <w:t xml:space="preserve"> before a linear decrease in gradient back to </w:t>
      </w:r>
      <w:r w:rsidR="00A5514F" w:rsidRPr="00E20762">
        <w:rPr>
          <w:rFonts w:ascii="Arial" w:eastAsia="Times New Roman" w:hAnsi="Arial" w:cs="Arial"/>
        </w:rPr>
        <w:t>1</w:t>
      </w:r>
      <w:r w:rsidRPr="00E20762">
        <w:rPr>
          <w:rFonts w:ascii="Arial" w:eastAsia="Times New Roman" w:hAnsi="Arial" w:cs="Arial"/>
        </w:rPr>
        <w:t xml:space="preserve">0% B occurred between </w:t>
      </w:r>
      <w:r w:rsidR="00A5514F" w:rsidRPr="00E20762">
        <w:rPr>
          <w:rFonts w:ascii="Arial" w:eastAsia="Times New Roman" w:hAnsi="Arial" w:cs="Arial"/>
        </w:rPr>
        <w:t>7.5</w:t>
      </w:r>
      <w:r w:rsidRPr="00E20762">
        <w:rPr>
          <w:rFonts w:ascii="Arial" w:eastAsia="Times New Roman" w:hAnsi="Arial" w:cs="Arial"/>
        </w:rPr>
        <w:t xml:space="preserve"> and </w:t>
      </w:r>
      <w:r w:rsidR="00A5514F" w:rsidRPr="00E20762">
        <w:rPr>
          <w:rFonts w:ascii="Arial" w:eastAsia="Times New Roman" w:hAnsi="Arial" w:cs="Arial"/>
        </w:rPr>
        <w:t>12</w:t>
      </w:r>
      <w:r w:rsidRPr="00E20762">
        <w:rPr>
          <w:rFonts w:ascii="Arial" w:eastAsia="Times New Roman" w:hAnsi="Arial" w:cs="Arial"/>
        </w:rPr>
        <w:t xml:space="preserve"> min</w:t>
      </w:r>
      <w:r w:rsidR="0030228F">
        <w:rPr>
          <w:rFonts w:ascii="Arial" w:eastAsia="Times New Roman" w:hAnsi="Arial" w:cs="Arial"/>
        </w:rPr>
        <w:t>utes</w:t>
      </w:r>
      <w:r w:rsidRPr="00E20762">
        <w:rPr>
          <w:rFonts w:ascii="Arial" w:eastAsia="Times New Roman" w:hAnsi="Arial" w:cs="Arial"/>
        </w:rPr>
        <w:t>.</w:t>
      </w:r>
      <w:r w:rsidR="00A5514F" w:rsidRPr="00E20762">
        <w:rPr>
          <w:rFonts w:ascii="Arial" w:eastAsia="Times New Roman" w:hAnsi="Arial" w:cs="Arial"/>
        </w:rPr>
        <w:t xml:space="preserve"> </w:t>
      </w:r>
      <w:r w:rsidRPr="00E20762">
        <w:rPr>
          <w:rFonts w:ascii="Arial" w:eastAsia="Times New Roman" w:hAnsi="Arial" w:cs="Arial"/>
        </w:rPr>
        <w:t xml:space="preserve">This method was adapted from </w:t>
      </w:r>
      <w:r w:rsidR="00E15294">
        <w:rPr>
          <w:rFonts w:ascii="Arial" w:eastAsia="Times New Roman" w:hAnsi="Arial" w:cs="Arial"/>
        </w:rPr>
        <w:fldChar w:fldCharType="begin">
          <w:fldData xml:space="preserve">PEVuZE5vdGU+PENpdGUgQXV0aG9yWWVhcj0iMSI+PEF1dGhvcj5EZWkgQ2FzPC9BdXRob3I+PFll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</w:fldData>
        </w:fldChar>
      </w:r>
      <w:r w:rsidR="00972C58">
        <w:rPr>
          <w:rFonts w:ascii="Arial" w:eastAsia="Times New Roman" w:hAnsi="Arial" w:cs="Arial"/>
        </w:rPr>
        <w:instrText xml:space="preserve"> ADDIN EN.CITE </w:instrText>
      </w:r>
      <w:r w:rsidR="00972C58">
        <w:rPr>
          <w:rFonts w:ascii="Arial" w:eastAsia="Times New Roman" w:hAnsi="Arial" w:cs="Arial"/>
        </w:rPr>
        <w:fldChar w:fldCharType="begin">
          <w:fldData xml:space="preserve">PEVuZE5vdGU+PENpdGUgQXV0aG9yWWVhcj0iMSI+PEF1dGhvcj5EZWkgQ2FzPC9BdXRob3I+PFll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</w:fldData>
        </w:fldChar>
      </w:r>
      <w:r w:rsidR="00972C58">
        <w:rPr>
          <w:rFonts w:ascii="Arial" w:eastAsia="Times New Roman" w:hAnsi="Arial" w:cs="Arial"/>
        </w:rPr>
        <w:instrText xml:space="preserve"> ADDIN EN.CITE.DATA </w:instrText>
      </w:r>
      <w:r w:rsidR="00972C58">
        <w:rPr>
          <w:rFonts w:ascii="Arial" w:eastAsia="Times New Roman" w:hAnsi="Arial" w:cs="Arial"/>
        </w:rPr>
      </w:r>
      <w:r w:rsidR="00972C58">
        <w:rPr>
          <w:rFonts w:ascii="Arial" w:eastAsia="Times New Roman" w:hAnsi="Arial" w:cs="Arial"/>
        </w:rPr>
        <w:fldChar w:fldCharType="end"/>
      </w:r>
      <w:r w:rsidR="00E15294">
        <w:rPr>
          <w:rFonts w:ascii="Arial" w:eastAsia="Times New Roman" w:hAnsi="Arial" w:cs="Arial"/>
        </w:rPr>
      </w:r>
      <w:r w:rsidR="00E15294">
        <w:rPr>
          <w:rFonts w:ascii="Arial" w:eastAsia="Times New Roman" w:hAnsi="Arial" w:cs="Arial"/>
        </w:rPr>
        <w:fldChar w:fldCharType="separate"/>
      </w:r>
      <w:r w:rsidR="00972C58">
        <w:rPr>
          <w:rFonts w:ascii="Arial" w:eastAsia="Times New Roman" w:hAnsi="Arial" w:cs="Arial"/>
          <w:noProof/>
        </w:rPr>
        <w:t>Dei Cas et al. (2020)</w:t>
      </w:r>
      <w:r w:rsidR="00E15294">
        <w:rPr>
          <w:rFonts w:ascii="Arial" w:eastAsia="Times New Roman" w:hAnsi="Arial" w:cs="Arial"/>
        </w:rPr>
        <w:fldChar w:fldCharType="end"/>
      </w:r>
      <w:r w:rsidR="00E15294">
        <w:rPr>
          <w:rFonts w:ascii="Arial" w:eastAsia="Times New Roman" w:hAnsi="Arial" w:cs="Arial"/>
        </w:rPr>
        <w:t>.</w:t>
      </w:r>
    </w:p>
    <w:p w14:paraId="4EA43AFE" w14:textId="068E59D0" w:rsidR="00786105" w:rsidRPr="003174DA" w:rsidRDefault="00786105" w:rsidP="003174DA">
      <w:pPr>
        <w:spacing w:line="360" w:lineRule="auto"/>
        <w:contextualSpacing/>
        <w:jc w:val="both"/>
        <w:rPr>
          <w:rFonts w:ascii="Arial" w:eastAsia="Times New Roman" w:hAnsi="Arial" w:cs="Arial"/>
        </w:rPr>
      </w:pPr>
      <w:r w:rsidRPr="00E20762">
        <w:rPr>
          <w:rFonts w:ascii="Arial" w:eastAsia="Times New Roman" w:hAnsi="Arial" w:cs="Arial"/>
        </w:rPr>
        <w:t>Chromatogram peak analysis was performed by the accompanying Waters® TargetLynx ™ application manager and all further data analysis and calibration curve constructions were completed in Microsoft Excel (2019 version).</w:t>
      </w:r>
      <w:r w:rsidRPr="00E20762">
        <w:rPr>
          <w:rFonts w:ascii="Arial" w:eastAsia="Times New Roman" w:hAnsi="Arial" w:cs="Arial"/>
          <w:i/>
        </w:rPr>
        <w:t xml:space="preserve"> </w:t>
      </w:r>
    </w:p>
    <w:p w14:paraId="0D77F5BF" w14:textId="77777777" w:rsidR="00786105" w:rsidRPr="00E20762" w:rsidRDefault="00786105" w:rsidP="00882D32">
      <w:pPr>
        <w:tabs>
          <w:tab w:val="left" w:pos="1739"/>
        </w:tabs>
        <w:spacing w:line="360" w:lineRule="auto"/>
        <w:contextualSpacing/>
        <w:jc w:val="both"/>
        <w:rPr>
          <w:rFonts w:ascii="Arial" w:eastAsia="Times New Roman" w:hAnsi="Arial" w:cs="Arial"/>
          <w:i/>
        </w:rPr>
      </w:pPr>
    </w:p>
    <w:p w14:paraId="681443A9" w14:textId="03A36D05" w:rsidR="0077406D" w:rsidRDefault="00786105" w:rsidP="004F3259">
      <w:pPr>
        <w:spacing w:line="360" w:lineRule="auto"/>
        <w:contextualSpacing/>
        <w:jc w:val="both"/>
        <w:rPr>
          <w:rFonts w:ascii="Arial" w:eastAsia="Times New Roman" w:hAnsi="Arial" w:cs="Arial"/>
        </w:rPr>
      </w:pPr>
      <w:r w:rsidRPr="00E20762">
        <w:rPr>
          <w:rFonts w:ascii="Arial" w:eastAsia="Times New Roman" w:hAnsi="Arial" w:cs="Arial"/>
          <w:iCs/>
        </w:rPr>
        <w:t>Method Performance</w:t>
      </w:r>
      <w:r w:rsidR="003174DA" w:rsidRPr="003174DA">
        <w:rPr>
          <w:rFonts w:ascii="Arial" w:eastAsia="Times New Roman" w:hAnsi="Arial" w:cs="Arial"/>
          <w:iCs/>
        </w:rPr>
        <w:t>: e</w:t>
      </w:r>
      <w:r w:rsidRPr="003174DA">
        <w:rPr>
          <w:rFonts w:ascii="Arial" w:eastAsia="Times New Roman" w:hAnsi="Arial" w:cs="Arial"/>
          <w:iCs/>
        </w:rPr>
        <w:t>xcellent</w:t>
      </w:r>
      <w:r w:rsidRPr="00E20762">
        <w:rPr>
          <w:rFonts w:ascii="Arial" w:eastAsia="Times New Roman" w:hAnsi="Arial" w:cs="Arial"/>
        </w:rPr>
        <w:t xml:space="preserve"> linear response range was ensured for each calibration curve with correlation coefficients (r</w:t>
      </w:r>
      <w:r w:rsidRPr="00E20762">
        <w:rPr>
          <w:rFonts w:ascii="Arial" w:eastAsia="Times New Roman" w:hAnsi="Arial" w:cs="Arial"/>
          <w:vertAlign w:val="superscript"/>
        </w:rPr>
        <w:t>2</w:t>
      </w:r>
      <w:r w:rsidRPr="00E20762">
        <w:rPr>
          <w:rFonts w:ascii="Arial" w:eastAsia="Times New Roman" w:hAnsi="Arial" w:cs="Arial"/>
        </w:rPr>
        <w:t>) 0.99 or higher for all calibration curves generated. An Agilent high performance autosampler with an injection program was used to minimise carry-over effects between samples. Samples were run in a random order and 20% of the whole set was re-run as a quality control for the method repeatability. No signal was also detected in blank samples run amongst the serum and calibration injections, or in blanks run after the highest calibration standard, indicating that there was little to no carry-over occurring.</w:t>
      </w:r>
    </w:p>
    <w:p w14:paraId="14FF7274" w14:textId="77777777" w:rsidR="00654CBA" w:rsidRDefault="00654CBA" w:rsidP="004F3259">
      <w:pPr>
        <w:spacing w:line="360" w:lineRule="auto"/>
        <w:contextualSpacing/>
        <w:jc w:val="both"/>
        <w:rPr>
          <w:rFonts w:ascii="Arial" w:eastAsia="Times New Roman" w:hAnsi="Arial" w:cs="Arial"/>
        </w:rPr>
      </w:pPr>
    </w:p>
    <w:p w14:paraId="5C1A4A3B" w14:textId="6152B050" w:rsidR="005958B1" w:rsidRDefault="00654CBA" w:rsidP="00654CBA">
      <w:pPr>
        <w:spacing w:line="360" w:lineRule="auto"/>
        <w:contextualSpacing/>
        <w:jc w:val="both"/>
        <w:rPr>
          <w:rFonts w:ascii="Arial" w:eastAsia="Times New Roman" w:hAnsi="Arial" w:cs="Arial"/>
          <w:iCs/>
          <w:u w:val="single"/>
        </w:rPr>
      </w:pPr>
      <w:r w:rsidRPr="00654CBA">
        <w:rPr>
          <w:rFonts w:ascii="Arial" w:eastAsia="Times New Roman" w:hAnsi="Arial" w:cs="Arial"/>
          <w:iCs/>
          <w:u w:val="single"/>
        </w:rPr>
        <w:t xml:space="preserve">Statistical Analysis </w:t>
      </w:r>
    </w:p>
    <w:p w14:paraId="6D3F0AC3" w14:textId="77777777" w:rsidR="00394028" w:rsidRPr="00394028" w:rsidRDefault="00394028" w:rsidP="00654CBA">
      <w:pPr>
        <w:spacing w:line="360" w:lineRule="auto"/>
        <w:contextualSpacing/>
        <w:jc w:val="both"/>
        <w:rPr>
          <w:rFonts w:ascii="Arial" w:eastAsia="Times New Roman" w:hAnsi="Arial" w:cs="Arial"/>
          <w:iCs/>
          <w:sz w:val="8"/>
          <w:szCs w:val="8"/>
          <w:u w:val="single"/>
        </w:rPr>
      </w:pPr>
    </w:p>
    <w:p w14:paraId="41F588EC" w14:textId="11BE1076" w:rsidR="00654CBA" w:rsidRDefault="00654CBA" w:rsidP="00654CBA">
      <w:pPr>
        <w:spacing w:line="360" w:lineRule="auto"/>
        <w:contextualSpacing/>
        <w:jc w:val="both"/>
        <w:rPr>
          <w:rFonts w:ascii="Arial" w:eastAsia="Times New Roman" w:hAnsi="Arial" w:cs="Arial"/>
          <w:iCs/>
        </w:rPr>
      </w:pPr>
      <w:r w:rsidRPr="00654CBA">
        <w:rPr>
          <w:rFonts w:ascii="Arial" w:eastAsia="Times New Roman" w:hAnsi="Arial" w:cs="Arial"/>
          <w:iCs/>
        </w:rPr>
        <w:t>This study aimed to investigate the effects of combining nitrate with inulin on NO biomarkers</w:t>
      </w:r>
      <w:r w:rsidR="00394028">
        <w:rPr>
          <w:rFonts w:ascii="Arial" w:eastAsia="Times New Roman" w:hAnsi="Arial" w:cs="Arial"/>
          <w:iCs/>
        </w:rPr>
        <w:t>, such as plasma nitrate and nitrite,</w:t>
      </w:r>
      <w:r w:rsidRPr="00654CBA">
        <w:rPr>
          <w:rFonts w:ascii="Arial" w:eastAsia="Times New Roman" w:hAnsi="Arial" w:cs="Arial"/>
          <w:iCs/>
        </w:rPr>
        <w:t xml:space="preserve"> compared with individual supplements by measuring plasma nitrate and nitrite concentrations from baseline to 360 minutes post-consumption. Additionally, this study assessed the impact of the supplements on plasma SCFAs (acetate, butyrate, and propionate) concentrations. This study further examined the effects of the supplements on systolic (SBP), diastolic (DBP), and mean arterial blood pressure (MAP) variables over the same period. The relationship between individual peak changes in NO metabolites and SCFA acetate and corresponding BP changes was explored. The peak concentrations for each supplementation were identified as the highest measured values at any timepoint for each individual.</w:t>
      </w:r>
    </w:p>
    <w:p w14:paraId="1D560A22" w14:textId="77777777" w:rsidR="005958B1" w:rsidRPr="00654CBA" w:rsidRDefault="005958B1" w:rsidP="00654CBA">
      <w:pPr>
        <w:spacing w:line="360" w:lineRule="auto"/>
        <w:contextualSpacing/>
        <w:jc w:val="both"/>
        <w:rPr>
          <w:rFonts w:ascii="Arial" w:eastAsia="Times New Roman" w:hAnsi="Arial" w:cs="Arial"/>
          <w:iCs/>
        </w:rPr>
      </w:pPr>
    </w:p>
    <w:p w14:paraId="0126211A" w14:textId="70FFB967" w:rsidR="00387A7D" w:rsidRDefault="00654CBA" w:rsidP="00654CBA">
      <w:pPr>
        <w:spacing w:line="360" w:lineRule="auto"/>
        <w:contextualSpacing/>
        <w:jc w:val="both"/>
        <w:rPr>
          <w:rFonts w:ascii="Arial" w:eastAsia="Times New Roman" w:hAnsi="Arial" w:cs="Arial"/>
          <w:iCs/>
        </w:rPr>
      </w:pPr>
      <w:r w:rsidRPr="00654CBA">
        <w:rPr>
          <w:rFonts w:ascii="Arial" w:eastAsia="Times New Roman" w:hAnsi="Arial" w:cs="Arial"/>
          <w:iCs/>
        </w:rPr>
        <w:t xml:space="preserve">Data were analysed using SPSS (IBM SPSS Statistics, Version 29). Graphical representations were created using GraphPad Prism software (GraphPad Software V 10.1.1; San Diego, CA, USA). Changes over time (0-360 minutes) in plasma nitrite, nitrate, and SCFAs, </w:t>
      </w:r>
      <w:r w:rsidR="00E27350">
        <w:rPr>
          <w:rFonts w:ascii="Arial" w:eastAsia="Times New Roman" w:hAnsi="Arial" w:cs="Arial"/>
          <w:iCs/>
        </w:rPr>
        <w:t>condition</w:t>
      </w:r>
      <w:r w:rsidRPr="00654CBA">
        <w:rPr>
          <w:rFonts w:ascii="Arial" w:eastAsia="Times New Roman" w:hAnsi="Arial" w:cs="Arial"/>
          <w:iCs/>
        </w:rPr>
        <w:t xml:space="preserve"> (15 g INU + NO</w:t>
      </w:r>
      <w:r w:rsidRPr="009315E0">
        <w:rPr>
          <w:rFonts w:ascii="Arial" w:eastAsia="Times New Roman" w:hAnsi="Arial" w:cs="Arial"/>
          <w:iCs/>
          <w:vertAlign w:val="subscript"/>
        </w:rPr>
        <w:t>3</w:t>
      </w:r>
      <w:r w:rsidRPr="00CE371F">
        <w:rPr>
          <w:rFonts w:ascii="Arial" w:eastAsia="Times New Roman" w:hAnsi="Arial" w:cs="Arial"/>
          <w:iCs/>
          <w:vertAlign w:val="superscript"/>
        </w:rPr>
        <w:t>-</w:t>
      </w:r>
      <w:r w:rsidRPr="00654CBA">
        <w:rPr>
          <w:rFonts w:ascii="Arial" w:eastAsia="Times New Roman" w:hAnsi="Arial" w:cs="Arial"/>
          <w:iCs/>
        </w:rPr>
        <w:t>, NO</w:t>
      </w:r>
      <w:r w:rsidRPr="00C83E3F">
        <w:rPr>
          <w:rFonts w:ascii="Arial" w:eastAsia="Times New Roman" w:hAnsi="Arial" w:cs="Arial"/>
          <w:iCs/>
          <w:vertAlign w:val="subscript"/>
        </w:rPr>
        <w:t>3</w:t>
      </w:r>
      <w:r w:rsidRPr="00C83E3F">
        <w:rPr>
          <w:rFonts w:ascii="Arial" w:eastAsia="Times New Roman" w:hAnsi="Arial" w:cs="Arial"/>
          <w:iCs/>
          <w:vertAlign w:val="superscript"/>
        </w:rPr>
        <w:t>-</w:t>
      </w:r>
      <w:r w:rsidRPr="00654CBA">
        <w:rPr>
          <w:rFonts w:ascii="Arial" w:eastAsia="Times New Roman" w:hAnsi="Arial" w:cs="Arial"/>
          <w:iCs/>
        </w:rPr>
        <w:t xml:space="preserve">, and INU), and time x </w:t>
      </w:r>
      <w:r w:rsidR="009315E0">
        <w:rPr>
          <w:rFonts w:ascii="Arial" w:eastAsia="Times New Roman" w:hAnsi="Arial" w:cs="Arial"/>
          <w:iCs/>
        </w:rPr>
        <w:t>condition</w:t>
      </w:r>
      <w:r w:rsidRPr="00654CBA">
        <w:rPr>
          <w:rFonts w:ascii="Arial" w:eastAsia="Times New Roman" w:hAnsi="Arial" w:cs="Arial"/>
          <w:iCs/>
        </w:rPr>
        <w:t xml:space="preserve"> effects were analysed using a two-way repeated measures ANOVA with time and </w:t>
      </w:r>
      <w:r w:rsidR="000A36F9">
        <w:rPr>
          <w:rFonts w:ascii="Arial" w:eastAsia="Times New Roman" w:hAnsi="Arial" w:cs="Arial"/>
          <w:iCs/>
        </w:rPr>
        <w:t xml:space="preserve">condition </w:t>
      </w:r>
      <w:r w:rsidRPr="00654CBA">
        <w:rPr>
          <w:rFonts w:ascii="Arial" w:eastAsia="Times New Roman" w:hAnsi="Arial" w:cs="Arial"/>
          <w:iCs/>
        </w:rPr>
        <w:t xml:space="preserve">used as within-subject factors. In case of a significant interaction, a post hoc test with Bonferroni correction was performed to compare treatment effects at specific time points. </w:t>
      </w:r>
      <w:r w:rsidR="0001220E" w:rsidRPr="0001220E">
        <w:rPr>
          <w:rFonts w:ascii="Arial" w:eastAsia="Times New Roman" w:hAnsi="Arial" w:cs="Arial"/>
          <w:iCs/>
        </w:rPr>
        <w:t>When the interaction effects were not significant, the main effects of time and condition were analysed separately.</w:t>
      </w:r>
      <w:r w:rsidR="0001220E">
        <w:rPr>
          <w:rFonts w:ascii="Arial" w:eastAsia="Times New Roman" w:hAnsi="Arial" w:cs="Arial"/>
          <w:iCs/>
        </w:rPr>
        <w:t xml:space="preserve"> </w:t>
      </w:r>
      <w:r w:rsidRPr="00654CBA">
        <w:rPr>
          <w:rFonts w:ascii="Arial" w:eastAsia="Times New Roman" w:hAnsi="Arial" w:cs="Arial"/>
          <w:iCs/>
        </w:rPr>
        <w:t xml:space="preserve">The total and incremental area under the curve (tAUC and iAUC) were determined by applying the trapezium rule and were calculated using R Statistical Software (R version 4.3.2). tAUC was used to evaluate the overall impact of </w:t>
      </w:r>
      <w:r w:rsidR="001264CB">
        <w:rPr>
          <w:rFonts w:ascii="Arial" w:eastAsia="Times New Roman" w:hAnsi="Arial" w:cs="Arial"/>
          <w:iCs/>
        </w:rPr>
        <w:t>conditions</w:t>
      </w:r>
      <w:r w:rsidRPr="00654CBA">
        <w:rPr>
          <w:rFonts w:ascii="Arial" w:eastAsia="Times New Roman" w:hAnsi="Arial" w:cs="Arial"/>
          <w:iCs/>
        </w:rPr>
        <w:t xml:space="preserve"> on the concentrations of </w:t>
      </w:r>
      <w:r w:rsidR="00E27350">
        <w:rPr>
          <w:rFonts w:ascii="Arial" w:eastAsia="Times New Roman" w:hAnsi="Arial" w:cs="Arial"/>
          <w:iCs/>
        </w:rPr>
        <w:t>plasma nitrate and nitrite</w:t>
      </w:r>
      <w:r w:rsidRPr="00654CBA">
        <w:rPr>
          <w:rFonts w:ascii="Arial" w:eastAsia="Times New Roman" w:hAnsi="Arial" w:cs="Arial"/>
          <w:iCs/>
        </w:rPr>
        <w:t xml:space="preserve"> and SCFAs. In contrast, iAUC was used to show how the </w:t>
      </w:r>
      <w:r w:rsidR="001264CB">
        <w:rPr>
          <w:rFonts w:ascii="Arial" w:eastAsia="Times New Roman" w:hAnsi="Arial" w:cs="Arial"/>
          <w:iCs/>
        </w:rPr>
        <w:t>conditions</w:t>
      </w:r>
      <w:r w:rsidRPr="00654CBA">
        <w:rPr>
          <w:rFonts w:ascii="Arial" w:eastAsia="Times New Roman" w:hAnsi="Arial" w:cs="Arial"/>
          <w:iCs/>
        </w:rPr>
        <w:t xml:space="preserve"> specifically enhanced these metabolites, which is distinct from the general trend in total concentration. Differences in tAUC and iAUC after treatment were compared using a one-way repeated-measures ANOVA. Where significant differences were found, a Bonferroni post-hoc test was performed. ANOVA unstandardi</w:t>
      </w:r>
      <w:r w:rsidR="00F3390E">
        <w:rPr>
          <w:rFonts w:ascii="Arial" w:eastAsia="Times New Roman" w:hAnsi="Arial" w:cs="Arial"/>
          <w:iCs/>
        </w:rPr>
        <w:t>s</w:t>
      </w:r>
      <w:r w:rsidRPr="00654CBA">
        <w:rPr>
          <w:rFonts w:ascii="Arial" w:eastAsia="Times New Roman" w:hAnsi="Arial" w:cs="Arial"/>
          <w:iCs/>
        </w:rPr>
        <w:t xml:space="preserve">ed residuals were tested for normality using the Shapiro-Wilk test. Sphericity was checked using Mauchly's test, and multivariate models were applied if the assumptions were unmet. If the data were not normally distributed and sphericity was violated, the Friedman test was used as a non-parametric alternative </w:t>
      </w:r>
      <w:r w:rsidR="00827F69">
        <w:rPr>
          <w:rFonts w:ascii="Arial" w:eastAsia="Times New Roman" w:hAnsi="Arial" w:cs="Arial"/>
          <w:iCs/>
        </w:rPr>
        <w:fldChar w:fldCharType="begin"/>
      </w:r>
      <w:r w:rsidR="00827F69">
        <w:rPr>
          <w:rFonts w:ascii="Arial" w:eastAsia="Times New Roman" w:hAnsi="Arial" w:cs="Arial"/>
          <w:iCs/>
        </w:rPr>
        <w:instrText xml:space="preserve"> ADDIN EN.CITE &lt;EndNote&gt;&lt;Cite&gt;&lt;Author&gt;Blanca&lt;/Author&gt;&lt;Year&gt;2023&lt;/Year&gt;&lt;RecNum&gt;162&lt;/RecNum&gt;&lt;DisplayText&gt;(Blanca et al., 2023)&lt;/DisplayText&gt;&lt;record&gt;&lt;rec-number&gt;162&lt;/rec-number&gt;&lt;foreign-keys&gt;&lt;key app="EN" db-id="wx95xep0r55xxue5z0tp0xfo2d9x9x5txe0w" timestamp="1730742930"&gt;162&lt;/key&gt;&lt;/foreign-keys&gt;&lt;ref-type name="Journal Article"&gt;17&lt;/ref-type&gt;&lt;contributors&gt;&lt;authors&gt;&lt;author&gt;Blanca, M. J.&lt;/author&gt;&lt;author&gt;Arnau, J.&lt;/author&gt;&lt;author&gt;García-Castro, F. J.&lt;/author&gt;&lt;author&gt;Alarcón, R.&lt;/author&gt;&lt;author&gt;Bono, R.&lt;/author&gt;&lt;/authors&gt;&lt;/contributors&gt;&lt;auth-address&gt;University of Malaga.&lt;/auth-address&gt;&lt;titles&gt;&lt;title&gt;Non-normal Data in Repeated Measures ANOVA: Impact on Type I Error and Power&lt;/title&gt;&lt;secondary-title&gt;Psicothema&lt;/secondary-title&gt;&lt;/titles&gt;&lt;periodical&gt;&lt;full-title&gt;Psicothema&lt;/full-title&gt;&lt;/periodical&gt;&lt;pages&gt;21-29&lt;/pages&gt;&lt;volume&gt;35&lt;/volume&gt;&lt;number&gt;1&lt;/number&gt;&lt;keywords&gt;&lt;keyword&gt;Humans&lt;/keyword&gt;&lt;keyword&gt;*Research Design&lt;/keyword&gt;&lt;keyword&gt;Sample Size&lt;/keyword&gt;&lt;keyword&gt;Computer Simulation&lt;/keyword&gt;&lt;keyword&gt;Analysis of Variance&lt;/keyword&gt;&lt;/keywords&gt;&lt;dates&gt;&lt;year&gt;2023&lt;/year&gt;&lt;pub-dates&gt;&lt;date&gt;Feb&lt;/date&gt;&lt;/pub-dates&gt;&lt;/dates&gt;&lt;isbn&gt;0214-9915&lt;/isbn&gt;&lt;accession-num&gt;36695847&lt;/accession-num&gt;&lt;urls&gt;&lt;/urls&gt;&lt;electronic-resource-num&gt;10.7334/psicothema2022.292&lt;/electronic-resource-num&gt;&lt;remote-database-provider&gt;NLM&lt;/remote-database-provider&gt;&lt;language&gt;eng&lt;/language&gt;&lt;/record&gt;&lt;/Cite&gt;&lt;/EndNote&gt;</w:instrText>
      </w:r>
      <w:r w:rsidR="00827F69">
        <w:rPr>
          <w:rFonts w:ascii="Arial" w:eastAsia="Times New Roman" w:hAnsi="Arial" w:cs="Arial"/>
          <w:iCs/>
        </w:rPr>
        <w:fldChar w:fldCharType="separate"/>
      </w:r>
      <w:r w:rsidR="00827F69">
        <w:rPr>
          <w:rFonts w:ascii="Arial" w:eastAsia="Times New Roman" w:hAnsi="Arial" w:cs="Arial"/>
          <w:iCs/>
          <w:noProof/>
        </w:rPr>
        <w:t>(Blanca et al., 2023)</w:t>
      </w:r>
      <w:r w:rsidR="00827F69">
        <w:rPr>
          <w:rFonts w:ascii="Arial" w:eastAsia="Times New Roman" w:hAnsi="Arial" w:cs="Arial"/>
          <w:iCs/>
        </w:rPr>
        <w:fldChar w:fldCharType="end"/>
      </w:r>
      <w:r w:rsidR="00827F69">
        <w:rPr>
          <w:rFonts w:ascii="Arial" w:eastAsia="Times New Roman" w:hAnsi="Arial" w:cs="Arial"/>
          <w:iCs/>
        </w:rPr>
        <w:t>.</w:t>
      </w:r>
      <w:r w:rsidRPr="00654CBA">
        <w:rPr>
          <w:rFonts w:ascii="Arial" w:eastAsia="Times New Roman" w:hAnsi="Arial" w:cs="Arial"/>
          <w:iCs/>
        </w:rPr>
        <w:t xml:space="preserve"> Correlation analyses, using Spearman’s rank-order and Pearson’s methods depending on normality, were used to investigate the relationships between individual peak changes in nitrite, nitrate, and acetate and the corresponding BP variables timepoints. Correlation strengths were inferred using thresholds of 0.2 for weak, 0.5 for moderate, and 0.8 for strong correlations </w:t>
      </w:r>
      <w:r w:rsidR="00827F69">
        <w:rPr>
          <w:rFonts w:ascii="Arial" w:eastAsia="Times New Roman" w:hAnsi="Arial" w:cs="Arial"/>
          <w:iCs/>
        </w:rPr>
        <w:fldChar w:fldCharType="begin"/>
      </w:r>
      <w:r w:rsidR="00827F69">
        <w:rPr>
          <w:rFonts w:ascii="Arial" w:eastAsia="Times New Roman" w:hAnsi="Arial" w:cs="Arial"/>
          <w:iCs/>
        </w:rPr>
        <w:instrText xml:space="preserve"> ADDIN EN.CITE &lt;EndNote&gt;&lt;Cite&gt;&lt;Author&gt;Mukaka&lt;/Author&gt;&lt;Year&gt;2012&lt;/Year&gt;&lt;RecNum&gt;124&lt;/RecNum&gt;&lt;DisplayText&gt;(Mukaka, 2012)&lt;/DisplayText&gt;&lt;record&gt;&lt;rec-number&gt;124&lt;/rec-number&gt;&lt;foreign-keys&gt;&lt;key app="EN" db-id="wx95xep0r55xxue5z0tp0xfo2d9x9x5txe0w" timestamp="1722175343"&gt;124&lt;/key&gt;&lt;/foreign-keys&gt;&lt;ref-type name="Journal Article"&gt;17&lt;/ref-type&gt;&lt;contributors&gt;&lt;authors&gt;&lt;author&gt;Mukaka, M. M.&lt;/author&gt;&lt;/authors&gt;&lt;/contributors&gt;&lt;auth-address&gt;Malawi-Liverpool Wellcome Trust Clinical Research Program ; Department of Community Health, College of Medicine, University of Malawi ; The Liverpool School of Tropical Medicine, Liverpool, L69 3GA, UK, University of Liverpool.&lt;/auth-address&gt;&lt;titles&gt;&lt;title&gt;Statistics corner: A guide to appropriate use of correlation coefficient in medical research&lt;/title&gt;&lt;secondary-title&gt;Malawi Med J&lt;/secondary-title&gt;&lt;/titles&gt;&lt;periodical&gt;&lt;full-title&gt;Malawi Med J&lt;/full-title&gt;&lt;/periodical&gt;&lt;pages&gt;69-71&lt;/pages&gt;&lt;volume&gt;24&lt;/volume&gt;&lt;number&gt;3&lt;/number&gt;&lt;keywords&gt;&lt;keyword&gt;Biomedical Research/*methods&lt;/keyword&gt;&lt;keyword&gt;Guidelines as Topic&lt;/keyword&gt;&lt;keyword&gt;Humans&lt;/keyword&gt;&lt;keyword&gt;*Research Design&lt;/keyword&gt;&lt;keyword&gt;*Statistics as Topic&lt;/keyword&gt;&lt;/keywords&gt;&lt;dates&gt;&lt;year&gt;2012&lt;/year&gt;&lt;pub-dates&gt;&lt;date&gt;Sep&lt;/date&gt;&lt;/pub-dates&gt;&lt;/dates&gt;&lt;isbn&gt;1995-7262 (Print)&amp;#xD;1995-7262&lt;/isbn&gt;&lt;accession-num&gt;23638278&lt;/accession-num&gt;&lt;urls&gt;&lt;related-urls&gt;&lt;url&gt;https://www.ncbi.nlm.nih.gov/pmc/articles/PMC3576830/pdf/MMJ2403-0069.pdf&lt;/url&gt;&lt;/related-urls&gt;&lt;/urls&gt;&lt;custom2&gt;PMC3576830&lt;/custom2&gt;&lt;remote-database-provider&gt;NLM&lt;/remote-database-provider&gt;&lt;language&gt;eng&lt;/language&gt;&lt;/record&gt;&lt;/Cite&gt;&lt;/EndNote&gt;</w:instrText>
      </w:r>
      <w:r w:rsidR="00827F69">
        <w:rPr>
          <w:rFonts w:ascii="Arial" w:eastAsia="Times New Roman" w:hAnsi="Arial" w:cs="Arial"/>
          <w:iCs/>
        </w:rPr>
        <w:fldChar w:fldCharType="separate"/>
      </w:r>
      <w:r w:rsidR="00827F69">
        <w:rPr>
          <w:rFonts w:ascii="Arial" w:eastAsia="Times New Roman" w:hAnsi="Arial" w:cs="Arial"/>
          <w:iCs/>
          <w:noProof/>
        </w:rPr>
        <w:t>(Mukaka, 2012)</w:t>
      </w:r>
      <w:r w:rsidR="00827F69">
        <w:rPr>
          <w:rFonts w:ascii="Arial" w:eastAsia="Times New Roman" w:hAnsi="Arial" w:cs="Arial"/>
          <w:iCs/>
        </w:rPr>
        <w:fldChar w:fldCharType="end"/>
      </w:r>
      <w:r w:rsidR="00827F69">
        <w:rPr>
          <w:rFonts w:ascii="Arial" w:eastAsia="Times New Roman" w:hAnsi="Arial" w:cs="Arial"/>
          <w:iCs/>
        </w:rPr>
        <w:t xml:space="preserve">. </w:t>
      </w:r>
      <w:r w:rsidRPr="00654CBA">
        <w:rPr>
          <w:rFonts w:ascii="Arial" w:eastAsia="Times New Roman" w:hAnsi="Arial" w:cs="Arial"/>
          <w:iCs/>
        </w:rPr>
        <w:t xml:space="preserve">All data are expressed as the mean ± SD, unless otherwise stated. In all cases, statistical significance was set at </w:t>
      </w:r>
      <w:r w:rsidRPr="00B35AAF">
        <w:rPr>
          <w:rFonts w:ascii="Arial" w:eastAsia="Times New Roman" w:hAnsi="Arial" w:cs="Arial"/>
          <w:i/>
        </w:rPr>
        <w:t>p</w:t>
      </w:r>
      <w:r w:rsidRPr="00654CBA">
        <w:rPr>
          <w:rFonts w:ascii="Arial" w:eastAsia="Times New Roman" w:hAnsi="Arial" w:cs="Arial"/>
          <w:iCs/>
        </w:rPr>
        <w:t xml:space="preserve"> ≤ 0.05.</w:t>
      </w:r>
    </w:p>
    <w:p w14:paraId="012CCEFB" w14:textId="77777777" w:rsidR="00E6120A" w:rsidRDefault="00E6120A" w:rsidP="00654CBA">
      <w:pPr>
        <w:spacing w:line="360" w:lineRule="auto"/>
        <w:contextualSpacing/>
        <w:jc w:val="both"/>
        <w:rPr>
          <w:rFonts w:ascii="Arial" w:eastAsia="Times New Roman" w:hAnsi="Arial" w:cs="Arial"/>
          <w:iCs/>
        </w:rPr>
      </w:pPr>
    </w:p>
    <w:p w14:paraId="2693D2F1" w14:textId="77777777" w:rsidR="00E6120A" w:rsidRDefault="00E6120A" w:rsidP="00654CBA">
      <w:pPr>
        <w:spacing w:line="360" w:lineRule="auto"/>
        <w:contextualSpacing/>
        <w:jc w:val="both"/>
        <w:rPr>
          <w:rFonts w:ascii="Arial" w:eastAsia="Times New Roman" w:hAnsi="Arial" w:cs="Arial"/>
          <w:iCs/>
        </w:rPr>
      </w:pPr>
    </w:p>
    <w:p w14:paraId="55F39140" w14:textId="77777777" w:rsidR="00E6120A" w:rsidRDefault="00E6120A" w:rsidP="00654CBA">
      <w:pPr>
        <w:spacing w:line="360" w:lineRule="auto"/>
        <w:contextualSpacing/>
        <w:jc w:val="both"/>
        <w:rPr>
          <w:rFonts w:ascii="Arial" w:eastAsia="Times New Roman" w:hAnsi="Arial" w:cs="Arial"/>
          <w:iCs/>
        </w:rPr>
      </w:pPr>
    </w:p>
    <w:p w14:paraId="47733575" w14:textId="77777777" w:rsidR="00E6120A" w:rsidRDefault="00E6120A" w:rsidP="00654CBA">
      <w:pPr>
        <w:spacing w:line="360" w:lineRule="auto"/>
        <w:contextualSpacing/>
        <w:jc w:val="both"/>
        <w:rPr>
          <w:rFonts w:ascii="Arial" w:eastAsia="Times New Roman" w:hAnsi="Arial" w:cs="Arial"/>
          <w:iCs/>
        </w:rPr>
      </w:pPr>
    </w:p>
    <w:p w14:paraId="27B5D621" w14:textId="77777777" w:rsidR="00E6120A" w:rsidRDefault="00E6120A" w:rsidP="00654CBA">
      <w:pPr>
        <w:spacing w:line="360" w:lineRule="auto"/>
        <w:contextualSpacing/>
        <w:jc w:val="both"/>
        <w:rPr>
          <w:rFonts w:ascii="Arial" w:eastAsia="Times New Roman" w:hAnsi="Arial" w:cs="Arial"/>
          <w:iCs/>
        </w:rPr>
      </w:pPr>
    </w:p>
    <w:p w14:paraId="288BBE17" w14:textId="77777777" w:rsidR="00E6120A" w:rsidRDefault="00E6120A" w:rsidP="00654CBA">
      <w:pPr>
        <w:spacing w:line="360" w:lineRule="auto"/>
        <w:contextualSpacing/>
        <w:jc w:val="both"/>
        <w:rPr>
          <w:rFonts w:ascii="Arial" w:eastAsia="Times New Roman" w:hAnsi="Arial" w:cs="Arial"/>
          <w:iCs/>
        </w:rPr>
      </w:pPr>
    </w:p>
    <w:p w14:paraId="38E5B2C9" w14:textId="77777777" w:rsidR="00E27350" w:rsidRDefault="00E27350" w:rsidP="00654CBA">
      <w:pPr>
        <w:spacing w:line="360" w:lineRule="auto"/>
        <w:contextualSpacing/>
        <w:jc w:val="both"/>
        <w:rPr>
          <w:rFonts w:ascii="Arial" w:eastAsia="Times New Roman" w:hAnsi="Arial" w:cs="Arial"/>
          <w:iCs/>
        </w:rPr>
      </w:pPr>
    </w:p>
    <w:p w14:paraId="66F85F23" w14:textId="77777777" w:rsidR="00E27350" w:rsidRDefault="00E27350" w:rsidP="00654CBA">
      <w:pPr>
        <w:spacing w:line="360" w:lineRule="auto"/>
        <w:contextualSpacing/>
        <w:jc w:val="both"/>
        <w:rPr>
          <w:rFonts w:ascii="Arial" w:eastAsia="Times New Roman" w:hAnsi="Arial" w:cs="Arial"/>
          <w:iCs/>
        </w:rPr>
      </w:pPr>
    </w:p>
    <w:p w14:paraId="3D698EB5" w14:textId="77777777" w:rsidR="00E27350" w:rsidRDefault="00E27350" w:rsidP="00654CBA">
      <w:pPr>
        <w:spacing w:line="360" w:lineRule="auto"/>
        <w:contextualSpacing/>
        <w:jc w:val="both"/>
        <w:rPr>
          <w:rFonts w:ascii="Arial" w:eastAsia="Times New Roman" w:hAnsi="Arial" w:cs="Arial"/>
          <w:iCs/>
        </w:rPr>
      </w:pPr>
    </w:p>
    <w:p w14:paraId="00669F9C" w14:textId="77777777" w:rsidR="00E27350" w:rsidRDefault="00E27350" w:rsidP="00654CBA">
      <w:pPr>
        <w:spacing w:line="360" w:lineRule="auto"/>
        <w:contextualSpacing/>
        <w:jc w:val="both"/>
        <w:rPr>
          <w:rFonts w:ascii="Arial" w:eastAsia="Times New Roman" w:hAnsi="Arial" w:cs="Arial"/>
          <w:iCs/>
        </w:rPr>
      </w:pPr>
    </w:p>
    <w:p w14:paraId="05DC8CD6" w14:textId="77777777" w:rsidR="00E27350" w:rsidRDefault="00E27350" w:rsidP="00654CBA">
      <w:pPr>
        <w:spacing w:line="360" w:lineRule="auto"/>
        <w:contextualSpacing/>
        <w:jc w:val="both"/>
        <w:rPr>
          <w:rFonts w:ascii="Arial" w:eastAsia="Times New Roman" w:hAnsi="Arial" w:cs="Arial"/>
          <w:iCs/>
        </w:rPr>
      </w:pPr>
    </w:p>
    <w:p w14:paraId="02C61FE1" w14:textId="77777777" w:rsidR="00E27350" w:rsidRDefault="00E27350" w:rsidP="00654CBA">
      <w:pPr>
        <w:spacing w:line="360" w:lineRule="auto"/>
        <w:contextualSpacing/>
        <w:jc w:val="both"/>
        <w:rPr>
          <w:rFonts w:ascii="Arial" w:eastAsia="Times New Roman" w:hAnsi="Arial" w:cs="Arial"/>
          <w:iCs/>
        </w:rPr>
      </w:pPr>
    </w:p>
    <w:p w14:paraId="72CF3F72" w14:textId="77777777" w:rsidR="00E27350" w:rsidRDefault="00E27350" w:rsidP="00654CBA">
      <w:pPr>
        <w:spacing w:line="360" w:lineRule="auto"/>
        <w:contextualSpacing/>
        <w:jc w:val="both"/>
        <w:rPr>
          <w:rFonts w:ascii="Arial" w:eastAsia="Times New Roman" w:hAnsi="Arial" w:cs="Arial"/>
          <w:iCs/>
        </w:rPr>
      </w:pPr>
    </w:p>
    <w:p w14:paraId="1026C0D8" w14:textId="77777777" w:rsidR="00E27350" w:rsidRDefault="00E27350" w:rsidP="00654CBA">
      <w:pPr>
        <w:spacing w:line="360" w:lineRule="auto"/>
        <w:contextualSpacing/>
        <w:jc w:val="both"/>
        <w:rPr>
          <w:rFonts w:ascii="Arial" w:eastAsia="Times New Roman" w:hAnsi="Arial" w:cs="Arial"/>
          <w:iCs/>
        </w:rPr>
      </w:pPr>
    </w:p>
    <w:p w14:paraId="38763DBB" w14:textId="77777777" w:rsidR="00E27350" w:rsidRDefault="00E27350" w:rsidP="00654CBA">
      <w:pPr>
        <w:spacing w:line="360" w:lineRule="auto"/>
        <w:contextualSpacing/>
        <w:jc w:val="both"/>
        <w:rPr>
          <w:rFonts w:ascii="Arial" w:eastAsia="Times New Roman" w:hAnsi="Arial" w:cs="Arial"/>
          <w:iCs/>
        </w:rPr>
      </w:pPr>
    </w:p>
    <w:p w14:paraId="2961AF1E" w14:textId="77777777" w:rsidR="00E27350" w:rsidRDefault="00E27350" w:rsidP="00654CBA">
      <w:pPr>
        <w:spacing w:line="360" w:lineRule="auto"/>
        <w:contextualSpacing/>
        <w:jc w:val="both"/>
        <w:rPr>
          <w:rFonts w:ascii="Arial" w:eastAsia="Times New Roman" w:hAnsi="Arial" w:cs="Arial"/>
          <w:iCs/>
        </w:rPr>
      </w:pPr>
    </w:p>
    <w:p w14:paraId="6004DBDB" w14:textId="77777777" w:rsidR="002653C7" w:rsidRDefault="002653C7" w:rsidP="004F3259">
      <w:pPr>
        <w:spacing w:line="360" w:lineRule="auto"/>
        <w:contextualSpacing/>
        <w:jc w:val="both"/>
        <w:rPr>
          <w:rFonts w:ascii="Arial" w:eastAsia="Times New Roman" w:hAnsi="Arial" w:cs="Arial"/>
          <w:iCs/>
        </w:rPr>
      </w:pPr>
    </w:p>
    <w:p w14:paraId="7C714B01" w14:textId="672E5319" w:rsidR="00786105" w:rsidRPr="00E20762" w:rsidRDefault="00022F56" w:rsidP="004F3259">
      <w:pPr>
        <w:spacing w:line="360" w:lineRule="auto"/>
        <w:contextualSpacing/>
        <w:jc w:val="both"/>
        <w:rPr>
          <w:rFonts w:ascii="Arial" w:hAnsi="Arial" w:cs="Arial"/>
          <w:sz w:val="20"/>
          <w:szCs w:val="20"/>
        </w:rPr>
      </w:pPr>
      <w:r w:rsidRPr="00E20762">
        <w:rPr>
          <w:rFonts w:ascii="Arial" w:hAnsi="Arial" w:cs="Arial"/>
          <w:b/>
          <w:bCs/>
          <w:sz w:val="20"/>
          <w:szCs w:val="20"/>
        </w:rPr>
        <w:t xml:space="preserve">Table </w:t>
      </w:r>
      <w:r w:rsidR="00C265CF">
        <w:rPr>
          <w:rFonts w:ascii="Arial" w:hAnsi="Arial" w:cs="Arial"/>
          <w:b/>
          <w:bCs/>
          <w:sz w:val="20"/>
          <w:szCs w:val="20"/>
        </w:rPr>
        <w:t>S</w:t>
      </w:r>
      <w:r w:rsidRPr="00E20762">
        <w:rPr>
          <w:rFonts w:ascii="Arial" w:hAnsi="Arial" w:cs="Arial"/>
          <w:b/>
          <w:bCs/>
          <w:sz w:val="20"/>
          <w:szCs w:val="20"/>
        </w:rPr>
        <w:t>1</w:t>
      </w:r>
      <w:r w:rsidRPr="00E20762">
        <w:rPr>
          <w:rFonts w:ascii="Arial" w:hAnsi="Arial" w:cs="Arial"/>
          <w:sz w:val="20"/>
          <w:szCs w:val="20"/>
        </w:rPr>
        <w:t xml:space="preserve">: Nutritional content of the three </w:t>
      </w:r>
      <w:r w:rsidR="00E07AB1">
        <w:rPr>
          <w:rFonts w:ascii="Arial" w:hAnsi="Arial" w:cs="Arial"/>
          <w:sz w:val="20"/>
          <w:szCs w:val="20"/>
        </w:rPr>
        <w:t>conditions</w:t>
      </w:r>
      <w:r w:rsidR="00675C4D" w:rsidRPr="00E20762">
        <w:rPr>
          <w:rFonts w:ascii="Arial" w:hAnsi="Arial" w:cs="Arial"/>
          <w:sz w:val="20"/>
          <w:szCs w:val="20"/>
        </w:rPr>
        <w:t xml:space="preserve">. </w:t>
      </w:r>
    </w:p>
    <w:p w14:paraId="327D4E0B" w14:textId="77777777" w:rsidR="00675C4D" w:rsidRPr="00E20762" w:rsidRDefault="00675C4D" w:rsidP="004F3259">
      <w:pPr>
        <w:spacing w:line="360" w:lineRule="auto"/>
        <w:contextualSpacing/>
        <w:jc w:val="both"/>
        <w:rPr>
          <w:rFonts w:ascii="Arial" w:hAnsi="Arial" w:cs="Arial"/>
          <w:sz w:val="8"/>
          <w:szCs w:val="8"/>
        </w:rPr>
      </w:pPr>
    </w:p>
    <w:tbl>
      <w:tblPr>
        <w:tblStyle w:val="PlainTable2"/>
        <w:tblW w:w="0" w:type="auto"/>
        <w:tblLook w:val="0620" w:firstRow="1" w:lastRow="0" w:firstColumn="0" w:lastColumn="0" w:noHBand="1" w:noVBand="1"/>
      </w:tblPr>
      <w:tblGrid>
        <w:gridCol w:w="2434"/>
        <w:gridCol w:w="2434"/>
        <w:gridCol w:w="2434"/>
        <w:gridCol w:w="2434"/>
      </w:tblGrid>
      <w:tr w:rsidR="00A02F4A" w:rsidRPr="00E20762" w14:paraId="7375B35D" w14:textId="77777777" w:rsidTr="005923F3">
        <w:trPr>
          <w:cnfStyle w:val="100000000000" w:firstRow="1" w:lastRow="0" w:firstColumn="0" w:lastColumn="0" w:oddVBand="0" w:evenVBand="0" w:oddHBand="0" w:evenHBand="0" w:firstRowFirstColumn="0" w:firstRowLastColumn="0" w:lastRowFirstColumn="0" w:lastRowLastColumn="0"/>
          <w:trHeight w:val="345"/>
        </w:trPr>
        <w:tc>
          <w:tcPr>
            <w:tcW w:w="2434" w:type="dxa"/>
          </w:tcPr>
          <w:p w14:paraId="47F0BB56" w14:textId="1CA0C73F" w:rsidR="00A02F4A" w:rsidRPr="001D2EC3" w:rsidRDefault="00A02F4A" w:rsidP="0077406D">
            <w:pPr>
              <w:spacing w:line="360" w:lineRule="auto"/>
              <w:contextualSpacing/>
              <w:rPr>
                <w:rFonts w:ascii="Arial" w:hAnsi="Arial" w:cs="Arial"/>
                <w:sz w:val="20"/>
                <w:szCs w:val="20"/>
              </w:rPr>
            </w:pPr>
            <w:r w:rsidRPr="001D2EC3">
              <w:rPr>
                <w:rFonts w:ascii="Arial" w:hAnsi="Arial" w:cs="Arial"/>
                <w:sz w:val="20"/>
                <w:szCs w:val="20"/>
              </w:rPr>
              <w:t>Nutrient</w:t>
            </w:r>
          </w:p>
        </w:tc>
        <w:tc>
          <w:tcPr>
            <w:tcW w:w="2434" w:type="dxa"/>
          </w:tcPr>
          <w:p w14:paraId="794FA183" w14:textId="4223C55C" w:rsidR="00A02F4A" w:rsidRPr="001D2EC3" w:rsidRDefault="00A02F4A" w:rsidP="0077406D">
            <w:pPr>
              <w:spacing w:line="360" w:lineRule="auto"/>
              <w:contextualSpacing/>
              <w:rPr>
                <w:rFonts w:ascii="Arial" w:hAnsi="Arial" w:cs="Arial"/>
                <w:sz w:val="20"/>
                <w:szCs w:val="20"/>
              </w:rPr>
            </w:pPr>
            <w:r w:rsidRPr="001D2EC3">
              <w:rPr>
                <w:rFonts w:ascii="Arial" w:hAnsi="Arial" w:cs="Arial"/>
                <w:sz w:val="20"/>
                <w:szCs w:val="20"/>
              </w:rPr>
              <w:t>INU + NO</w:t>
            </w:r>
            <w:r w:rsidRPr="001D2EC3">
              <w:rPr>
                <w:rFonts w:ascii="Arial" w:hAnsi="Arial" w:cs="Arial"/>
                <w:sz w:val="20"/>
                <w:szCs w:val="20"/>
                <w:vertAlign w:val="subscript"/>
              </w:rPr>
              <w:t>3</w:t>
            </w:r>
            <w:r w:rsidRPr="001D2EC3">
              <w:rPr>
                <w:rFonts w:ascii="Arial" w:hAnsi="Arial" w:cs="Arial"/>
                <w:sz w:val="20"/>
                <w:szCs w:val="20"/>
                <w:vertAlign w:val="superscript"/>
              </w:rPr>
              <w:t>-</w:t>
            </w:r>
          </w:p>
        </w:tc>
        <w:tc>
          <w:tcPr>
            <w:tcW w:w="2434" w:type="dxa"/>
          </w:tcPr>
          <w:p w14:paraId="7EF42588" w14:textId="44E9FB44" w:rsidR="00A02F4A" w:rsidRPr="001D2EC3" w:rsidRDefault="00A02F4A" w:rsidP="0077406D">
            <w:pPr>
              <w:spacing w:line="360" w:lineRule="auto"/>
              <w:contextualSpacing/>
              <w:rPr>
                <w:rFonts w:ascii="Arial" w:hAnsi="Arial" w:cs="Arial"/>
                <w:sz w:val="20"/>
                <w:szCs w:val="20"/>
              </w:rPr>
            </w:pPr>
            <w:r w:rsidRPr="001D2EC3">
              <w:rPr>
                <w:rFonts w:ascii="Arial" w:hAnsi="Arial" w:cs="Arial"/>
                <w:sz w:val="20"/>
                <w:szCs w:val="20"/>
              </w:rPr>
              <w:t>NO</w:t>
            </w:r>
            <w:r w:rsidRPr="001D2EC3">
              <w:rPr>
                <w:rFonts w:ascii="Arial" w:hAnsi="Arial" w:cs="Arial"/>
                <w:sz w:val="20"/>
                <w:szCs w:val="20"/>
                <w:vertAlign w:val="subscript"/>
              </w:rPr>
              <w:t>3</w:t>
            </w:r>
            <w:r w:rsidRPr="001D2EC3">
              <w:rPr>
                <w:rFonts w:ascii="Arial" w:hAnsi="Arial" w:cs="Arial"/>
                <w:sz w:val="20"/>
                <w:szCs w:val="20"/>
                <w:vertAlign w:val="superscript"/>
              </w:rPr>
              <w:t>-</w:t>
            </w:r>
          </w:p>
        </w:tc>
        <w:tc>
          <w:tcPr>
            <w:tcW w:w="2434" w:type="dxa"/>
          </w:tcPr>
          <w:p w14:paraId="7750D7DA" w14:textId="015D0AF2" w:rsidR="00A02F4A" w:rsidRPr="001D2EC3" w:rsidRDefault="00A02F4A" w:rsidP="0077406D">
            <w:pPr>
              <w:spacing w:line="360" w:lineRule="auto"/>
              <w:contextualSpacing/>
              <w:rPr>
                <w:rFonts w:ascii="Arial" w:hAnsi="Arial" w:cs="Arial"/>
                <w:sz w:val="20"/>
                <w:szCs w:val="20"/>
              </w:rPr>
            </w:pPr>
            <w:r w:rsidRPr="001D2EC3">
              <w:rPr>
                <w:rFonts w:ascii="Arial" w:hAnsi="Arial" w:cs="Arial"/>
                <w:sz w:val="20"/>
                <w:szCs w:val="20"/>
              </w:rPr>
              <w:t>INU</w:t>
            </w:r>
          </w:p>
        </w:tc>
      </w:tr>
      <w:tr w:rsidR="0077406D" w:rsidRPr="00E20762" w14:paraId="19F51F9F" w14:textId="77777777" w:rsidTr="005923F3">
        <w:trPr>
          <w:trHeight w:val="345"/>
        </w:trPr>
        <w:tc>
          <w:tcPr>
            <w:tcW w:w="2434" w:type="dxa"/>
          </w:tcPr>
          <w:p w14:paraId="123F56D3" w14:textId="2883A132"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Energy</w:t>
            </w:r>
            <w:r w:rsidR="0035719D" w:rsidRPr="00E20762">
              <w:rPr>
                <w:rFonts w:ascii="Arial" w:hAnsi="Arial" w:cs="Arial"/>
                <w:sz w:val="20"/>
                <w:szCs w:val="20"/>
              </w:rPr>
              <w:t>, kcal</w:t>
            </w:r>
          </w:p>
        </w:tc>
        <w:tc>
          <w:tcPr>
            <w:tcW w:w="2434" w:type="dxa"/>
          </w:tcPr>
          <w:p w14:paraId="22F29A3F" w14:textId="7EE8B40F"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22.5 </w:t>
            </w:r>
          </w:p>
        </w:tc>
        <w:tc>
          <w:tcPr>
            <w:tcW w:w="2434" w:type="dxa"/>
          </w:tcPr>
          <w:p w14:paraId="50142233" w14:textId="6C4993E2"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0 </w:t>
            </w:r>
          </w:p>
        </w:tc>
        <w:tc>
          <w:tcPr>
            <w:tcW w:w="2434" w:type="dxa"/>
          </w:tcPr>
          <w:p w14:paraId="2F70EB06" w14:textId="305174B1"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22.5 </w:t>
            </w:r>
          </w:p>
        </w:tc>
      </w:tr>
      <w:tr w:rsidR="0077406D" w:rsidRPr="00E20762" w14:paraId="73EFD9C6" w14:textId="77777777" w:rsidTr="005923F3">
        <w:trPr>
          <w:trHeight w:val="345"/>
        </w:trPr>
        <w:tc>
          <w:tcPr>
            <w:tcW w:w="2434" w:type="dxa"/>
          </w:tcPr>
          <w:p w14:paraId="6BCAD374" w14:textId="6BF90834"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Carbohydrates</w:t>
            </w:r>
            <w:r w:rsidR="0035719D" w:rsidRPr="00E20762">
              <w:rPr>
                <w:rFonts w:ascii="Arial" w:hAnsi="Arial" w:cs="Arial"/>
                <w:sz w:val="20"/>
                <w:szCs w:val="20"/>
              </w:rPr>
              <w:t>, g</w:t>
            </w:r>
          </w:p>
        </w:tc>
        <w:tc>
          <w:tcPr>
            <w:tcW w:w="2434" w:type="dxa"/>
          </w:tcPr>
          <w:p w14:paraId="5F1EE7EC" w14:textId="3FF6772D"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1.2 </w:t>
            </w:r>
          </w:p>
        </w:tc>
        <w:tc>
          <w:tcPr>
            <w:tcW w:w="2434" w:type="dxa"/>
          </w:tcPr>
          <w:p w14:paraId="3FB44065" w14:textId="6D46E11F"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0 </w:t>
            </w:r>
          </w:p>
        </w:tc>
        <w:tc>
          <w:tcPr>
            <w:tcW w:w="2434" w:type="dxa"/>
          </w:tcPr>
          <w:p w14:paraId="01173F9B" w14:textId="5337520E"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1.2 </w:t>
            </w:r>
          </w:p>
        </w:tc>
      </w:tr>
      <w:tr w:rsidR="0077406D" w:rsidRPr="00E20762" w14:paraId="2D297716" w14:textId="77777777" w:rsidTr="005923F3">
        <w:trPr>
          <w:trHeight w:val="345"/>
        </w:trPr>
        <w:tc>
          <w:tcPr>
            <w:tcW w:w="2434" w:type="dxa"/>
          </w:tcPr>
          <w:p w14:paraId="5382712C" w14:textId="1C21A500" w:rsidR="0077406D" w:rsidRPr="00E20762" w:rsidRDefault="0077406D" w:rsidP="0077406D">
            <w:pPr>
              <w:spacing w:line="360" w:lineRule="auto"/>
              <w:contextualSpacing/>
              <w:jc w:val="center"/>
              <w:rPr>
                <w:rFonts w:ascii="Arial" w:hAnsi="Arial" w:cs="Arial"/>
                <w:sz w:val="20"/>
                <w:szCs w:val="20"/>
              </w:rPr>
            </w:pPr>
            <w:r w:rsidRPr="00E20762">
              <w:rPr>
                <w:rFonts w:ascii="Arial" w:hAnsi="Arial" w:cs="Arial"/>
                <w:sz w:val="20"/>
                <w:szCs w:val="20"/>
              </w:rPr>
              <w:t>Dietary Fibre</w:t>
            </w:r>
            <w:r w:rsidR="0035719D" w:rsidRPr="00E20762">
              <w:rPr>
                <w:rFonts w:ascii="Arial" w:hAnsi="Arial" w:cs="Arial"/>
                <w:sz w:val="20"/>
                <w:szCs w:val="20"/>
              </w:rPr>
              <w:t>, g</w:t>
            </w:r>
          </w:p>
        </w:tc>
        <w:tc>
          <w:tcPr>
            <w:tcW w:w="2434" w:type="dxa"/>
          </w:tcPr>
          <w:p w14:paraId="4E3C8E1C" w14:textId="58F50C02"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13.5 </w:t>
            </w:r>
          </w:p>
        </w:tc>
        <w:tc>
          <w:tcPr>
            <w:tcW w:w="2434" w:type="dxa"/>
          </w:tcPr>
          <w:p w14:paraId="04249BF2" w14:textId="7D4EF40A"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0 </w:t>
            </w:r>
          </w:p>
        </w:tc>
        <w:tc>
          <w:tcPr>
            <w:tcW w:w="2434" w:type="dxa"/>
          </w:tcPr>
          <w:p w14:paraId="0B7F493E" w14:textId="0C53BD3A"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13.5 </w:t>
            </w:r>
          </w:p>
        </w:tc>
      </w:tr>
      <w:tr w:rsidR="0077406D" w:rsidRPr="00E20762" w14:paraId="3B7AADE2" w14:textId="77777777" w:rsidTr="005923F3">
        <w:trPr>
          <w:trHeight w:val="345"/>
        </w:trPr>
        <w:tc>
          <w:tcPr>
            <w:tcW w:w="2434" w:type="dxa"/>
          </w:tcPr>
          <w:p w14:paraId="2ACA5D3C" w14:textId="01767F16"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Protein</w:t>
            </w:r>
            <w:r w:rsidR="0035719D" w:rsidRPr="00E20762">
              <w:rPr>
                <w:rFonts w:ascii="Arial" w:hAnsi="Arial" w:cs="Arial"/>
                <w:sz w:val="20"/>
                <w:szCs w:val="20"/>
              </w:rPr>
              <w:t>, g</w:t>
            </w:r>
          </w:p>
        </w:tc>
        <w:tc>
          <w:tcPr>
            <w:tcW w:w="2434" w:type="dxa"/>
          </w:tcPr>
          <w:p w14:paraId="3067A342" w14:textId="4BDA839D"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0 </w:t>
            </w:r>
          </w:p>
        </w:tc>
        <w:tc>
          <w:tcPr>
            <w:tcW w:w="2434" w:type="dxa"/>
          </w:tcPr>
          <w:p w14:paraId="12EEFA5D" w14:textId="485844A9"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0 </w:t>
            </w:r>
          </w:p>
        </w:tc>
        <w:tc>
          <w:tcPr>
            <w:tcW w:w="2434" w:type="dxa"/>
          </w:tcPr>
          <w:p w14:paraId="75077E06" w14:textId="038F2142"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0 </w:t>
            </w:r>
          </w:p>
        </w:tc>
      </w:tr>
      <w:tr w:rsidR="0077406D" w:rsidRPr="00E20762" w14:paraId="1C4C6903" w14:textId="77777777" w:rsidTr="005923F3">
        <w:trPr>
          <w:trHeight w:val="345"/>
        </w:trPr>
        <w:tc>
          <w:tcPr>
            <w:tcW w:w="2434" w:type="dxa"/>
          </w:tcPr>
          <w:p w14:paraId="6C6D7AC2" w14:textId="61CB798B"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Fats</w:t>
            </w:r>
            <w:r w:rsidR="0035719D" w:rsidRPr="00E20762">
              <w:rPr>
                <w:rFonts w:ascii="Arial" w:hAnsi="Arial" w:cs="Arial"/>
                <w:sz w:val="20"/>
                <w:szCs w:val="20"/>
              </w:rPr>
              <w:t>, g</w:t>
            </w:r>
          </w:p>
        </w:tc>
        <w:tc>
          <w:tcPr>
            <w:tcW w:w="2434" w:type="dxa"/>
          </w:tcPr>
          <w:p w14:paraId="3F0B6581" w14:textId="18F8048A"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0 </w:t>
            </w:r>
          </w:p>
        </w:tc>
        <w:tc>
          <w:tcPr>
            <w:tcW w:w="2434" w:type="dxa"/>
          </w:tcPr>
          <w:p w14:paraId="3341D79C" w14:textId="5FF1550A"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0 </w:t>
            </w:r>
          </w:p>
        </w:tc>
        <w:tc>
          <w:tcPr>
            <w:tcW w:w="2434" w:type="dxa"/>
          </w:tcPr>
          <w:p w14:paraId="7FF95C07" w14:textId="24FB8385" w:rsidR="0077406D" w:rsidRPr="00E20762" w:rsidRDefault="0077406D" w:rsidP="0077406D">
            <w:pPr>
              <w:spacing w:line="360" w:lineRule="auto"/>
              <w:contextualSpacing/>
              <w:rPr>
                <w:rFonts w:ascii="Arial" w:hAnsi="Arial" w:cs="Arial"/>
                <w:sz w:val="20"/>
                <w:szCs w:val="20"/>
              </w:rPr>
            </w:pPr>
            <w:r w:rsidRPr="00E20762">
              <w:rPr>
                <w:rFonts w:ascii="Arial" w:hAnsi="Arial" w:cs="Arial"/>
                <w:sz w:val="20"/>
                <w:szCs w:val="20"/>
              </w:rPr>
              <w:t xml:space="preserve">0 </w:t>
            </w:r>
          </w:p>
        </w:tc>
      </w:tr>
      <w:tr w:rsidR="00A93623" w:rsidRPr="00E20762" w14:paraId="18979EA7" w14:textId="77777777" w:rsidTr="005923F3">
        <w:trPr>
          <w:trHeight w:val="345"/>
        </w:trPr>
        <w:tc>
          <w:tcPr>
            <w:tcW w:w="2434" w:type="dxa"/>
          </w:tcPr>
          <w:p w14:paraId="30B284BB" w14:textId="0FD89BB4" w:rsidR="00A93623" w:rsidRPr="00E20762" w:rsidRDefault="0035719D" w:rsidP="0077406D">
            <w:pPr>
              <w:spacing w:line="360" w:lineRule="auto"/>
              <w:contextualSpacing/>
              <w:rPr>
                <w:rFonts w:ascii="Arial" w:hAnsi="Arial" w:cs="Arial"/>
                <w:sz w:val="20"/>
                <w:szCs w:val="20"/>
              </w:rPr>
            </w:pPr>
            <w:r w:rsidRPr="00E20762">
              <w:rPr>
                <w:rFonts w:ascii="Arial" w:hAnsi="Arial" w:cs="Arial"/>
                <w:sz w:val="20"/>
                <w:szCs w:val="20"/>
              </w:rPr>
              <w:t>Potassium, mg</w:t>
            </w:r>
          </w:p>
        </w:tc>
        <w:tc>
          <w:tcPr>
            <w:tcW w:w="2434" w:type="dxa"/>
          </w:tcPr>
          <w:p w14:paraId="4B9ACDEE" w14:textId="1743EE5A" w:rsidR="00A93623" w:rsidRPr="00E20762" w:rsidRDefault="0035719D" w:rsidP="0077406D">
            <w:pPr>
              <w:spacing w:line="360" w:lineRule="auto"/>
              <w:contextualSpacing/>
              <w:rPr>
                <w:rFonts w:ascii="Arial" w:hAnsi="Arial" w:cs="Arial"/>
                <w:sz w:val="20"/>
                <w:szCs w:val="20"/>
              </w:rPr>
            </w:pPr>
            <w:r w:rsidRPr="00E20762">
              <w:rPr>
                <w:rFonts w:ascii="Arial" w:hAnsi="Arial" w:cs="Arial"/>
                <w:sz w:val="20"/>
                <w:szCs w:val="20"/>
              </w:rPr>
              <w:t>154.8</w:t>
            </w:r>
          </w:p>
        </w:tc>
        <w:tc>
          <w:tcPr>
            <w:tcW w:w="2434" w:type="dxa"/>
          </w:tcPr>
          <w:p w14:paraId="0CDAEEB1" w14:textId="3EA6B199" w:rsidR="00A93623" w:rsidRPr="00E20762" w:rsidRDefault="0035719D" w:rsidP="0077406D">
            <w:pPr>
              <w:spacing w:line="360" w:lineRule="auto"/>
              <w:contextualSpacing/>
              <w:rPr>
                <w:rFonts w:ascii="Arial" w:hAnsi="Arial" w:cs="Arial"/>
                <w:sz w:val="20"/>
                <w:szCs w:val="20"/>
              </w:rPr>
            </w:pPr>
            <w:r w:rsidRPr="00E20762">
              <w:rPr>
                <w:rFonts w:ascii="Arial" w:hAnsi="Arial" w:cs="Arial"/>
                <w:sz w:val="20"/>
                <w:szCs w:val="20"/>
              </w:rPr>
              <w:t>154.8</w:t>
            </w:r>
          </w:p>
        </w:tc>
        <w:tc>
          <w:tcPr>
            <w:tcW w:w="2434" w:type="dxa"/>
          </w:tcPr>
          <w:p w14:paraId="4603BDDD" w14:textId="1BF800F1" w:rsidR="00A93623" w:rsidRPr="00E20762" w:rsidRDefault="0035719D" w:rsidP="0077406D">
            <w:pPr>
              <w:spacing w:line="360" w:lineRule="auto"/>
              <w:contextualSpacing/>
              <w:rPr>
                <w:rFonts w:ascii="Arial" w:hAnsi="Arial" w:cs="Arial"/>
                <w:sz w:val="20"/>
                <w:szCs w:val="20"/>
              </w:rPr>
            </w:pPr>
            <w:r w:rsidRPr="00E20762">
              <w:rPr>
                <w:rFonts w:ascii="Arial" w:hAnsi="Arial" w:cs="Arial"/>
                <w:sz w:val="20"/>
                <w:szCs w:val="20"/>
              </w:rPr>
              <w:t>0</w:t>
            </w:r>
          </w:p>
        </w:tc>
      </w:tr>
      <w:tr w:rsidR="008E53A6" w:rsidRPr="00E20762" w14:paraId="17895E5B" w14:textId="77777777" w:rsidTr="005923F3">
        <w:trPr>
          <w:trHeight w:val="345"/>
        </w:trPr>
        <w:tc>
          <w:tcPr>
            <w:tcW w:w="2434" w:type="dxa"/>
          </w:tcPr>
          <w:p w14:paraId="513E8EDB" w14:textId="2A99736D" w:rsidR="008E53A6" w:rsidRPr="00E20762" w:rsidRDefault="008E53A6" w:rsidP="0077406D">
            <w:pPr>
              <w:spacing w:line="360" w:lineRule="auto"/>
              <w:contextualSpacing/>
              <w:rPr>
                <w:rFonts w:ascii="Arial" w:hAnsi="Arial" w:cs="Arial"/>
                <w:sz w:val="20"/>
                <w:szCs w:val="20"/>
              </w:rPr>
            </w:pPr>
            <w:r w:rsidRPr="00E20762">
              <w:rPr>
                <w:rFonts w:ascii="Arial" w:hAnsi="Arial" w:cs="Arial"/>
                <w:sz w:val="20"/>
                <w:szCs w:val="20"/>
              </w:rPr>
              <w:t>Nitrate, mg</w:t>
            </w:r>
          </w:p>
        </w:tc>
        <w:tc>
          <w:tcPr>
            <w:tcW w:w="2434" w:type="dxa"/>
          </w:tcPr>
          <w:p w14:paraId="67FB45BE" w14:textId="2296A35E" w:rsidR="008E53A6" w:rsidRPr="00E20762" w:rsidRDefault="00D93539" w:rsidP="0077406D">
            <w:pPr>
              <w:spacing w:line="360" w:lineRule="auto"/>
              <w:contextualSpacing/>
              <w:rPr>
                <w:rFonts w:ascii="Arial" w:hAnsi="Arial" w:cs="Arial"/>
                <w:sz w:val="20"/>
                <w:szCs w:val="20"/>
              </w:rPr>
            </w:pPr>
            <w:r w:rsidRPr="00E20762">
              <w:rPr>
                <w:rFonts w:ascii="Arial" w:hAnsi="Arial" w:cs="Arial"/>
                <w:sz w:val="20"/>
                <w:szCs w:val="20"/>
              </w:rPr>
              <w:t>400</w:t>
            </w:r>
          </w:p>
        </w:tc>
        <w:tc>
          <w:tcPr>
            <w:tcW w:w="2434" w:type="dxa"/>
          </w:tcPr>
          <w:p w14:paraId="2DAF703A" w14:textId="6A906081" w:rsidR="008E53A6" w:rsidRPr="00E20762" w:rsidRDefault="00D93539" w:rsidP="0077406D">
            <w:pPr>
              <w:spacing w:line="360" w:lineRule="auto"/>
              <w:contextualSpacing/>
              <w:rPr>
                <w:rFonts w:ascii="Arial" w:hAnsi="Arial" w:cs="Arial"/>
                <w:sz w:val="20"/>
                <w:szCs w:val="20"/>
              </w:rPr>
            </w:pPr>
            <w:r w:rsidRPr="00E20762">
              <w:rPr>
                <w:rFonts w:ascii="Arial" w:hAnsi="Arial" w:cs="Arial"/>
                <w:sz w:val="20"/>
                <w:szCs w:val="20"/>
              </w:rPr>
              <w:t>400</w:t>
            </w:r>
          </w:p>
        </w:tc>
        <w:tc>
          <w:tcPr>
            <w:tcW w:w="2434" w:type="dxa"/>
          </w:tcPr>
          <w:p w14:paraId="3E71319E" w14:textId="3FD32A47" w:rsidR="008E53A6" w:rsidRPr="00E20762" w:rsidRDefault="00D93539" w:rsidP="0077406D">
            <w:pPr>
              <w:spacing w:line="360" w:lineRule="auto"/>
              <w:contextualSpacing/>
              <w:rPr>
                <w:rFonts w:ascii="Arial" w:hAnsi="Arial" w:cs="Arial"/>
                <w:sz w:val="20"/>
                <w:szCs w:val="20"/>
              </w:rPr>
            </w:pPr>
            <w:r w:rsidRPr="00E20762">
              <w:rPr>
                <w:rFonts w:ascii="Arial" w:hAnsi="Arial" w:cs="Arial"/>
                <w:sz w:val="20"/>
                <w:szCs w:val="20"/>
              </w:rPr>
              <w:t>0</w:t>
            </w:r>
          </w:p>
        </w:tc>
      </w:tr>
    </w:tbl>
    <w:p w14:paraId="01E9AD67" w14:textId="77777777" w:rsidR="00BE305F" w:rsidRPr="00E20762" w:rsidRDefault="00BE305F" w:rsidP="004F3259">
      <w:pPr>
        <w:spacing w:line="360" w:lineRule="auto"/>
        <w:contextualSpacing/>
        <w:jc w:val="both"/>
        <w:rPr>
          <w:rFonts w:ascii="Arial" w:hAnsi="Arial" w:cs="Arial"/>
          <w:sz w:val="8"/>
          <w:szCs w:val="8"/>
        </w:rPr>
      </w:pPr>
    </w:p>
    <w:p w14:paraId="13D142DE" w14:textId="592E994B" w:rsidR="00D455AE" w:rsidRPr="00E27350" w:rsidRDefault="00D455AE" w:rsidP="00FC4C4C">
      <w:pPr>
        <w:spacing w:line="360" w:lineRule="auto"/>
        <w:contextualSpacing/>
        <w:jc w:val="both"/>
        <w:rPr>
          <w:rFonts w:ascii="Arial" w:hAnsi="Arial" w:cs="Arial"/>
          <w:sz w:val="20"/>
          <w:szCs w:val="20"/>
        </w:rPr>
      </w:pPr>
      <w:r w:rsidRPr="00E27350">
        <w:rPr>
          <w:rFonts w:ascii="Arial" w:hAnsi="Arial" w:cs="Arial"/>
          <w:b/>
          <w:bCs/>
          <w:sz w:val="20"/>
          <w:szCs w:val="20"/>
        </w:rPr>
        <w:t>Abbreviations:</w:t>
      </w:r>
      <w:r w:rsidRPr="00E27350">
        <w:rPr>
          <w:rFonts w:ascii="Arial" w:hAnsi="Arial" w:cs="Arial"/>
          <w:sz w:val="20"/>
          <w:szCs w:val="20"/>
        </w:rPr>
        <w:t xml:space="preserve"> INU = Inulin; NO</w:t>
      </w:r>
      <w:r w:rsidRPr="00E27350">
        <w:rPr>
          <w:rFonts w:ascii="Arial" w:hAnsi="Arial" w:cs="Arial"/>
          <w:sz w:val="20"/>
          <w:szCs w:val="20"/>
          <w:vertAlign w:val="subscript"/>
        </w:rPr>
        <w:t>3</w:t>
      </w:r>
      <w:r w:rsidRPr="00E27350">
        <w:rPr>
          <w:rFonts w:ascii="Arial" w:hAnsi="Arial" w:cs="Arial"/>
          <w:sz w:val="20"/>
          <w:szCs w:val="20"/>
          <w:vertAlign w:val="superscript"/>
        </w:rPr>
        <w:t>-</w:t>
      </w:r>
      <w:r w:rsidRPr="00E27350">
        <w:rPr>
          <w:rFonts w:ascii="Arial" w:hAnsi="Arial" w:cs="Arial"/>
          <w:sz w:val="20"/>
          <w:szCs w:val="20"/>
        </w:rPr>
        <w:t xml:space="preserve"> = nitrate</w:t>
      </w:r>
      <w:r w:rsidR="002215A4" w:rsidRPr="00E27350">
        <w:rPr>
          <w:rFonts w:ascii="Arial" w:hAnsi="Arial" w:cs="Arial"/>
          <w:sz w:val="20"/>
          <w:szCs w:val="20"/>
        </w:rPr>
        <w:t>. INU + NO</w:t>
      </w:r>
      <w:r w:rsidR="002215A4" w:rsidRPr="00E27350">
        <w:rPr>
          <w:rFonts w:ascii="Arial" w:hAnsi="Arial" w:cs="Arial"/>
          <w:sz w:val="20"/>
          <w:szCs w:val="20"/>
          <w:vertAlign w:val="subscript"/>
        </w:rPr>
        <w:t>3</w:t>
      </w:r>
      <w:r w:rsidR="002215A4" w:rsidRPr="00E27350">
        <w:rPr>
          <w:rFonts w:ascii="Arial" w:hAnsi="Arial" w:cs="Arial"/>
          <w:sz w:val="20"/>
          <w:szCs w:val="20"/>
          <w:vertAlign w:val="superscript"/>
        </w:rPr>
        <w:t xml:space="preserve">- </w:t>
      </w:r>
      <w:r w:rsidR="002215A4" w:rsidRPr="00E27350">
        <w:rPr>
          <w:rFonts w:ascii="Arial" w:hAnsi="Arial" w:cs="Arial"/>
          <w:sz w:val="20"/>
          <w:szCs w:val="20"/>
        </w:rPr>
        <w:t>treatment included 15 g chicory root  Orafti®</w:t>
      </w:r>
      <w:r w:rsidR="00064D31" w:rsidRPr="00E27350">
        <w:rPr>
          <w:rFonts w:ascii="Arial" w:hAnsi="Arial" w:cs="Arial"/>
          <w:sz w:val="20"/>
          <w:szCs w:val="20"/>
        </w:rPr>
        <w:t xml:space="preserve">, </w:t>
      </w:r>
      <w:r w:rsidR="002215A4" w:rsidRPr="00E27350">
        <w:rPr>
          <w:rFonts w:ascii="Arial" w:hAnsi="Arial" w:cs="Arial"/>
          <w:sz w:val="20"/>
          <w:szCs w:val="20"/>
        </w:rPr>
        <w:t>0.4 g potassium nitrate</w:t>
      </w:r>
      <w:r w:rsidR="00064D31" w:rsidRPr="00E27350">
        <w:rPr>
          <w:rFonts w:ascii="Arial" w:hAnsi="Arial" w:cs="Arial"/>
          <w:sz w:val="20"/>
          <w:szCs w:val="20"/>
        </w:rPr>
        <w:t xml:space="preserve">, </w:t>
      </w:r>
      <w:r w:rsidR="002215A4" w:rsidRPr="00E27350">
        <w:rPr>
          <w:rFonts w:ascii="Arial" w:hAnsi="Arial" w:cs="Arial"/>
          <w:sz w:val="20"/>
          <w:szCs w:val="20"/>
        </w:rPr>
        <w:t>300 mL sterile water</w:t>
      </w:r>
      <w:r w:rsidR="00064D31" w:rsidRPr="00E27350">
        <w:rPr>
          <w:rFonts w:ascii="Arial" w:hAnsi="Arial" w:cs="Arial"/>
          <w:sz w:val="20"/>
          <w:szCs w:val="20"/>
        </w:rPr>
        <w:t xml:space="preserve">, </w:t>
      </w:r>
      <w:r w:rsidR="002215A4" w:rsidRPr="00E27350">
        <w:rPr>
          <w:rFonts w:ascii="Arial" w:hAnsi="Arial" w:cs="Arial"/>
          <w:sz w:val="20"/>
          <w:szCs w:val="20"/>
        </w:rPr>
        <w:t>20 mL cordial (sugar-free)</w:t>
      </w:r>
      <w:r w:rsidR="00FC4C4C" w:rsidRPr="00E27350">
        <w:rPr>
          <w:rFonts w:ascii="Arial" w:hAnsi="Arial" w:cs="Arial"/>
          <w:sz w:val="20"/>
          <w:szCs w:val="20"/>
        </w:rPr>
        <w:t>;</w:t>
      </w:r>
      <w:r w:rsidR="00064D31" w:rsidRPr="00E27350">
        <w:rPr>
          <w:rFonts w:ascii="Arial" w:hAnsi="Arial" w:cs="Arial"/>
          <w:sz w:val="20"/>
          <w:szCs w:val="20"/>
        </w:rPr>
        <w:t xml:space="preserve"> NO</w:t>
      </w:r>
      <w:r w:rsidR="00064D31" w:rsidRPr="00E27350">
        <w:rPr>
          <w:rFonts w:ascii="Arial" w:hAnsi="Arial" w:cs="Arial"/>
          <w:sz w:val="20"/>
          <w:szCs w:val="20"/>
          <w:vertAlign w:val="subscript"/>
        </w:rPr>
        <w:t>3</w:t>
      </w:r>
      <w:r w:rsidR="00064D31" w:rsidRPr="00E27350">
        <w:rPr>
          <w:rFonts w:ascii="Arial" w:hAnsi="Arial" w:cs="Arial"/>
          <w:sz w:val="20"/>
          <w:szCs w:val="20"/>
          <w:vertAlign w:val="superscript"/>
        </w:rPr>
        <w:t>-</w:t>
      </w:r>
      <w:r w:rsidR="00064D31" w:rsidRPr="00E27350">
        <w:rPr>
          <w:rFonts w:ascii="Arial" w:hAnsi="Arial" w:cs="Arial"/>
          <w:sz w:val="20"/>
          <w:szCs w:val="20"/>
        </w:rPr>
        <w:t xml:space="preserve"> treatment included </w:t>
      </w:r>
      <w:r w:rsidR="00FC4C4C" w:rsidRPr="00E27350">
        <w:rPr>
          <w:rFonts w:ascii="Arial" w:hAnsi="Arial" w:cs="Arial"/>
          <w:sz w:val="20"/>
          <w:szCs w:val="20"/>
        </w:rPr>
        <w:t>400 mg</w:t>
      </w:r>
      <w:r w:rsidR="00064D31" w:rsidRPr="00E27350">
        <w:rPr>
          <w:rFonts w:ascii="Arial" w:hAnsi="Arial" w:cs="Arial"/>
          <w:sz w:val="20"/>
          <w:szCs w:val="20"/>
        </w:rPr>
        <w:t xml:space="preserve"> potassium nitrate</w:t>
      </w:r>
      <w:r w:rsidR="00FC4C4C" w:rsidRPr="00E27350">
        <w:rPr>
          <w:rFonts w:ascii="Arial" w:hAnsi="Arial" w:cs="Arial"/>
          <w:sz w:val="20"/>
          <w:szCs w:val="20"/>
        </w:rPr>
        <w:t xml:space="preserve">, </w:t>
      </w:r>
      <w:r w:rsidR="00064D31" w:rsidRPr="00E27350">
        <w:rPr>
          <w:rFonts w:ascii="Arial" w:hAnsi="Arial" w:cs="Arial"/>
          <w:sz w:val="20"/>
          <w:szCs w:val="20"/>
        </w:rPr>
        <w:t>300 mL sterile water</w:t>
      </w:r>
      <w:r w:rsidR="00FC4C4C" w:rsidRPr="00E27350">
        <w:rPr>
          <w:rFonts w:ascii="Arial" w:hAnsi="Arial" w:cs="Arial"/>
          <w:sz w:val="20"/>
          <w:szCs w:val="20"/>
        </w:rPr>
        <w:t xml:space="preserve">, </w:t>
      </w:r>
      <w:r w:rsidR="00064D31" w:rsidRPr="00E27350">
        <w:rPr>
          <w:rFonts w:ascii="Arial" w:hAnsi="Arial" w:cs="Arial"/>
          <w:sz w:val="20"/>
          <w:szCs w:val="20"/>
        </w:rPr>
        <w:t>20 mL cordial (sugar-free)</w:t>
      </w:r>
      <w:r w:rsidR="00FC4C4C" w:rsidRPr="00E27350">
        <w:rPr>
          <w:rFonts w:ascii="Arial" w:hAnsi="Arial" w:cs="Arial"/>
          <w:sz w:val="20"/>
          <w:szCs w:val="20"/>
        </w:rPr>
        <w:t>; INU treatment included 15 g chicory root  Orafti®, 300 mL sterile water, 20 mL cordial (sugar-free).</w:t>
      </w:r>
    </w:p>
    <w:p w14:paraId="695C0F7E" w14:textId="77777777" w:rsidR="004B4866" w:rsidRDefault="004B4866" w:rsidP="004F3259">
      <w:pPr>
        <w:spacing w:line="360" w:lineRule="auto"/>
        <w:contextualSpacing/>
        <w:jc w:val="both"/>
        <w:rPr>
          <w:rFonts w:ascii="Arial" w:hAnsi="Arial" w:cs="Arial"/>
          <w:sz w:val="16"/>
          <w:szCs w:val="16"/>
        </w:rPr>
      </w:pPr>
    </w:p>
    <w:p w14:paraId="6E2E7B12" w14:textId="77777777" w:rsidR="00123E1C" w:rsidRPr="00E20762" w:rsidRDefault="00123E1C" w:rsidP="004F3259">
      <w:pPr>
        <w:spacing w:line="360" w:lineRule="auto"/>
        <w:contextualSpacing/>
        <w:jc w:val="both"/>
        <w:rPr>
          <w:rFonts w:ascii="Arial" w:hAnsi="Arial" w:cs="Arial"/>
          <w:sz w:val="16"/>
          <w:szCs w:val="16"/>
        </w:rPr>
      </w:pPr>
    </w:p>
    <w:p w14:paraId="32118FED" w14:textId="5FBF30E9" w:rsidR="00675C4D" w:rsidRPr="00E20762" w:rsidRDefault="00675C4D" w:rsidP="00D455AE">
      <w:pPr>
        <w:spacing w:line="360" w:lineRule="auto"/>
        <w:contextualSpacing/>
        <w:jc w:val="both"/>
        <w:rPr>
          <w:rFonts w:ascii="Arial" w:hAnsi="Arial" w:cs="Arial"/>
          <w:sz w:val="20"/>
          <w:szCs w:val="20"/>
        </w:rPr>
      </w:pPr>
      <w:r w:rsidRPr="00E20762">
        <w:rPr>
          <w:rFonts w:ascii="Arial" w:hAnsi="Arial" w:cs="Arial"/>
          <w:b/>
          <w:bCs/>
          <w:sz w:val="20"/>
          <w:szCs w:val="20"/>
        </w:rPr>
        <w:t xml:space="preserve">Table </w:t>
      </w:r>
      <w:r w:rsidR="00C265CF">
        <w:rPr>
          <w:rFonts w:ascii="Arial" w:hAnsi="Arial" w:cs="Arial"/>
          <w:b/>
          <w:bCs/>
          <w:sz w:val="20"/>
          <w:szCs w:val="20"/>
        </w:rPr>
        <w:t>S</w:t>
      </w:r>
      <w:r w:rsidRPr="00E20762">
        <w:rPr>
          <w:rFonts w:ascii="Arial" w:hAnsi="Arial" w:cs="Arial"/>
          <w:b/>
          <w:bCs/>
          <w:sz w:val="20"/>
          <w:szCs w:val="20"/>
        </w:rPr>
        <w:t>2</w:t>
      </w:r>
      <w:r w:rsidRPr="00E20762">
        <w:rPr>
          <w:rFonts w:ascii="Arial" w:hAnsi="Arial" w:cs="Arial"/>
          <w:sz w:val="20"/>
          <w:szCs w:val="20"/>
        </w:rPr>
        <w:t xml:space="preserve">: Nutritional content of the standard lunch provided during each testing visit. </w:t>
      </w:r>
    </w:p>
    <w:p w14:paraId="6C75ECE3" w14:textId="77777777" w:rsidR="00F92256" w:rsidRPr="00E20762" w:rsidRDefault="00F92256" w:rsidP="00D455AE">
      <w:pPr>
        <w:spacing w:line="360" w:lineRule="auto"/>
        <w:contextualSpacing/>
        <w:jc w:val="both"/>
        <w:rPr>
          <w:rFonts w:ascii="Arial" w:hAnsi="Arial" w:cs="Arial"/>
          <w:sz w:val="8"/>
          <w:szCs w:val="8"/>
        </w:rPr>
      </w:pPr>
    </w:p>
    <w:tbl>
      <w:tblPr>
        <w:tblStyle w:val="PlainTable2"/>
        <w:tblW w:w="0" w:type="auto"/>
        <w:tblLook w:val="0620" w:firstRow="1" w:lastRow="0" w:firstColumn="0" w:lastColumn="0" w:noHBand="1" w:noVBand="1"/>
      </w:tblPr>
      <w:tblGrid>
        <w:gridCol w:w="4868"/>
        <w:gridCol w:w="4868"/>
      </w:tblGrid>
      <w:tr w:rsidR="00F92256" w:rsidRPr="00E20762" w14:paraId="61E00943" w14:textId="77777777" w:rsidTr="005923F3">
        <w:trPr>
          <w:cnfStyle w:val="100000000000" w:firstRow="1" w:lastRow="0" w:firstColumn="0" w:lastColumn="0" w:oddVBand="0" w:evenVBand="0" w:oddHBand="0" w:evenHBand="0" w:firstRowFirstColumn="0" w:firstRowLastColumn="0" w:lastRowFirstColumn="0" w:lastRowLastColumn="0"/>
        </w:trPr>
        <w:tc>
          <w:tcPr>
            <w:tcW w:w="4868" w:type="dxa"/>
          </w:tcPr>
          <w:p w14:paraId="7B094CEE" w14:textId="71CAF959" w:rsidR="00F92256" w:rsidRPr="001D2EC3" w:rsidRDefault="00F92256" w:rsidP="004F3259">
            <w:pPr>
              <w:spacing w:line="360" w:lineRule="auto"/>
              <w:contextualSpacing/>
              <w:jc w:val="both"/>
              <w:rPr>
                <w:rFonts w:ascii="Arial" w:hAnsi="Arial" w:cs="Arial"/>
                <w:sz w:val="20"/>
                <w:szCs w:val="20"/>
              </w:rPr>
            </w:pPr>
            <w:r w:rsidRPr="001D2EC3">
              <w:rPr>
                <w:rFonts w:ascii="Arial" w:hAnsi="Arial" w:cs="Arial"/>
                <w:sz w:val="20"/>
                <w:szCs w:val="20"/>
              </w:rPr>
              <w:t>Nutrient</w:t>
            </w:r>
          </w:p>
        </w:tc>
        <w:tc>
          <w:tcPr>
            <w:tcW w:w="4868" w:type="dxa"/>
          </w:tcPr>
          <w:p w14:paraId="2ED95008" w14:textId="531306B4" w:rsidR="00F92256" w:rsidRPr="00A02F4A" w:rsidRDefault="00F92256" w:rsidP="004F3259">
            <w:pPr>
              <w:spacing w:line="360" w:lineRule="auto"/>
              <w:contextualSpacing/>
              <w:jc w:val="both"/>
              <w:rPr>
                <w:rFonts w:ascii="Arial" w:hAnsi="Arial" w:cs="Arial"/>
                <w:b w:val="0"/>
                <w:bCs w:val="0"/>
                <w:sz w:val="20"/>
                <w:szCs w:val="20"/>
              </w:rPr>
            </w:pPr>
          </w:p>
        </w:tc>
      </w:tr>
      <w:tr w:rsidR="00F92256" w:rsidRPr="00E20762" w14:paraId="21EE8EB0" w14:textId="77777777" w:rsidTr="005923F3">
        <w:tc>
          <w:tcPr>
            <w:tcW w:w="4868" w:type="dxa"/>
          </w:tcPr>
          <w:p w14:paraId="6AD03EAE" w14:textId="7ED4287A" w:rsidR="00F92256" w:rsidRPr="00A02F4A" w:rsidRDefault="00BB1951" w:rsidP="004F3259">
            <w:pPr>
              <w:spacing w:line="360" w:lineRule="auto"/>
              <w:contextualSpacing/>
              <w:jc w:val="both"/>
              <w:rPr>
                <w:rFonts w:ascii="Arial" w:hAnsi="Arial" w:cs="Arial"/>
                <w:sz w:val="20"/>
                <w:szCs w:val="20"/>
              </w:rPr>
            </w:pPr>
            <w:r w:rsidRPr="00A02F4A">
              <w:rPr>
                <w:rFonts w:ascii="Arial" w:hAnsi="Arial" w:cs="Arial"/>
                <w:sz w:val="20"/>
                <w:szCs w:val="20"/>
              </w:rPr>
              <w:t>Energy, kcal</w:t>
            </w:r>
          </w:p>
        </w:tc>
        <w:tc>
          <w:tcPr>
            <w:tcW w:w="4868" w:type="dxa"/>
          </w:tcPr>
          <w:p w14:paraId="52019644" w14:textId="1DA507F7" w:rsidR="00F92256" w:rsidRPr="00A02F4A" w:rsidRDefault="00B05C2B" w:rsidP="004F3259">
            <w:pPr>
              <w:spacing w:line="360" w:lineRule="auto"/>
              <w:contextualSpacing/>
              <w:jc w:val="both"/>
              <w:rPr>
                <w:rFonts w:ascii="Arial" w:hAnsi="Arial" w:cs="Arial"/>
                <w:sz w:val="20"/>
                <w:szCs w:val="20"/>
              </w:rPr>
            </w:pPr>
            <w:r w:rsidRPr="00A02F4A">
              <w:rPr>
                <w:rFonts w:ascii="Arial" w:hAnsi="Arial" w:cs="Arial"/>
                <w:sz w:val="20"/>
                <w:szCs w:val="20"/>
              </w:rPr>
              <w:t>367</w:t>
            </w:r>
          </w:p>
        </w:tc>
      </w:tr>
      <w:tr w:rsidR="00F92256" w:rsidRPr="00E20762" w14:paraId="77852EF0" w14:textId="77777777" w:rsidTr="005923F3">
        <w:tc>
          <w:tcPr>
            <w:tcW w:w="4868" w:type="dxa"/>
          </w:tcPr>
          <w:p w14:paraId="57E4C390" w14:textId="42619053" w:rsidR="00F92256" w:rsidRPr="00A02F4A" w:rsidRDefault="00BB1951" w:rsidP="004F3259">
            <w:pPr>
              <w:spacing w:line="360" w:lineRule="auto"/>
              <w:contextualSpacing/>
              <w:jc w:val="both"/>
              <w:rPr>
                <w:rFonts w:ascii="Arial" w:hAnsi="Arial" w:cs="Arial"/>
                <w:sz w:val="20"/>
                <w:szCs w:val="20"/>
              </w:rPr>
            </w:pPr>
            <w:r w:rsidRPr="00A02F4A">
              <w:rPr>
                <w:rFonts w:ascii="Arial" w:hAnsi="Arial" w:cs="Arial"/>
                <w:sz w:val="20"/>
                <w:szCs w:val="20"/>
              </w:rPr>
              <w:t>Carbohydrates, g</w:t>
            </w:r>
          </w:p>
        </w:tc>
        <w:tc>
          <w:tcPr>
            <w:tcW w:w="4868" w:type="dxa"/>
          </w:tcPr>
          <w:p w14:paraId="7E2F4C0B" w14:textId="32C99FE7" w:rsidR="00F92256" w:rsidRPr="00A02F4A" w:rsidRDefault="00B05C2B" w:rsidP="004F3259">
            <w:pPr>
              <w:spacing w:line="360" w:lineRule="auto"/>
              <w:contextualSpacing/>
              <w:jc w:val="both"/>
              <w:rPr>
                <w:rFonts w:ascii="Arial" w:hAnsi="Arial" w:cs="Arial"/>
                <w:sz w:val="20"/>
                <w:szCs w:val="20"/>
              </w:rPr>
            </w:pPr>
            <w:r w:rsidRPr="00A02F4A">
              <w:rPr>
                <w:rFonts w:ascii="Arial" w:hAnsi="Arial" w:cs="Arial"/>
                <w:sz w:val="20"/>
                <w:szCs w:val="20"/>
              </w:rPr>
              <w:t>44</w:t>
            </w:r>
          </w:p>
        </w:tc>
      </w:tr>
      <w:tr w:rsidR="00F92256" w:rsidRPr="00E20762" w14:paraId="487B8E23" w14:textId="77777777" w:rsidTr="005923F3">
        <w:tc>
          <w:tcPr>
            <w:tcW w:w="4868" w:type="dxa"/>
          </w:tcPr>
          <w:p w14:paraId="4B66B196" w14:textId="1FED4A75" w:rsidR="00F92256" w:rsidRPr="00A02F4A" w:rsidRDefault="004F071C" w:rsidP="004F071C">
            <w:pPr>
              <w:spacing w:line="360" w:lineRule="auto"/>
              <w:contextualSpacing/>
              <w:rPr>
                <w:rFonts w:ascii="Arial" w:hAnsi="Arial" w:cs="Arial"/>
                <w:sz w:val="20"/>
                <w:szCs w:val="20"/>
              </w:rPr>
            </w:pPr>
            <w:r w:rsidRPr="00A02F4A">
              <w:rPr>
                <w:rFonts w:ascii="Arial" w:hAnsi="Arial" w:cs="Arial"/>
                <w:sz w:val="20"/>
                <w:szCs w:val="20"/>
              </w:rPr>
              <w:t xml:space="preserve">          </w:t>
            </w:r>
            <w:r w:rsidR="00F02C0C" w:rsidRPr="00A02F4A">
              <w:rPr>
                <w:rFonts w:ascii="Arial" w:hAnsi="Arial" w:cs="Arial"/>
                <w:sz w:val="20"/>
                <w:szCs w:val="20"/>
              </w:rPr>
              <w:t>Dietary fibre, g</w:t>
            </w:r>
          </w:p>
        </w:tc>
        <w:tc>
          <w:tcPr>
            <w:tcW w:w="4868" w:type="dxa"/>
          </w:tcPr>
          <w:p w14:paraId="3DB79FD5" w14:textId="77D33A48" w:rsidR="00F92256" w:rsidRPr="00A02F4A" w:rsidRDefault="003328A7" w:rsidP="004F3259">
            <w:pPr>
              <w:spacing w:line="360" w:lineRule="auto"/>
              <w:contextualSpacing/>
              <w:jc w:val="both"/>
              <w:rPr>
                <w:rFonts w:ascii="Arial" w:hAnsi="Arial" w:cs="Arial"/>
                <w:sz w:val="20"/>
                <w:szCs w:val="20"/>
              </w:rPr>
            </w:pPr>
            <w:r w:rsidRPr="00A02F4A">
              <w:rPr>
                <w:rFonts w:ascii="Arial" w:hAnsi="Arial" w:cs="Arial"/>
                <w:sz w:val="20"/>
                <w:szCs w:val="20"/>
              </w:rPr>
              <w:t>2.2</w:t>
            </w:r>
          </w:p>
        </w:tc>
      </w:tr>
      <w:tr w:rsidR="00F92256" w:rsidRPr="00E20762" w14:paraId="2DB764B7" w14:textId="77777777" w:rsidTr="005923F3">
        <w:tc>
          <w:tcPr>
            <w:tcW w:w="4868" w:type="dxa"/>
          </w:tcPr>
          <w:p w14:paraId="4708B3CC" w14:textId="763BB329" w:rsidR="00F92256" w:rsidRPr="00A02F4A" w:rsidRDefault="004F071C" w:rsidP="004F071C">
            <w:pPr>
              <w:spacing w:line="360" w:lineRule="auto"/>
              <w:contextualSpacing/>
              <w:rPr>
                <w:rFonts w:ascii="Arial" w:hAnsi="Arial" w:cs="Arial"/>
                <w:sz w:val="20"/>
                <w:szCs w:val="20"/>
              </w:rPr>
            </w:pPr>
            <w:r w:rsidRPr="00A02F4A">
              <w:rPr>
                <w:rFonts w:ascii="Arial" w:hAnsi="Arial" w:cs="Arial"/>
                <w:sz w:val="20"/>
                <w:szCs w:val="20"/>
              </w:rPr>
              <w:t xml:space="preserve">          </w:t>
            </w:r>
            <w:r w:rsidR="00F02C0C" w:rsidRPr="00A02F4A">
              <w:rPr>
                <w:rFonts w:ascii="Arial" w:hAnsi="Arial" w:cs="Arial"/>
                <w:sz w:val="20"/>
                <w:szCs w:val="20"/>
              </w:rPr>
              <w:t>S</w:t>
            </w:r>
            <w:r w:rsidR="00192791" w:rsidRPr="00A02F4A">
              <w:rPr>
                <w:rFonts w:ascii="Arial" w:hAnsi="Arial" w:cs="Arial"/>
                <w:sz w:val="20"/>
                <w:szCs w:val="20"/>
              </w:rPr>
              <w:t>tarch</w:t>
            </w:r>
            <w:r w:rsidR="00F02C0C" w:rsidRPr="00A02F4A">
              <w:rPr>
                <w:rFonts w:ascii="Arial" w:hAnsi="Arial" w:cs="Arial"/>
                <w:sz w:val="20"/>
                <w:szCs w:val="20"/>
              </w:rPr>
              <w:t>, g</w:t>
            </w:r>
          </w:p>
        </w:tc>
        <w:tc>
          <w:tcPr>
            <w:tcW w:w="4868" w:type="dxa"/>
          </w:tcPr>
          <w:p w14:paraId="33E68635" w14:textId="4731C97F" w:rsidR="00F92256" w:rsidRPr="00A02F4A" w:rsidRDefault="003328A7" w:rsidP="004F3259">
            <w:pPr>
              <w:spacing w:line="360" w:lineRule="auto"/>
              <w:contextualSpacing/>
              <w:jc w:val="both"/>
              <w:rPr>
                <w:rFonts w:ascii="Arial" w:hAnsi="Arial" w:cs="Arial"/>
                <w:sz w:val="20"/>
                <w:szCs w:val="20"/>
              </w:rPr>
            </w:pPr>
            <w:r w:rsidRPr="00A02F4A">
              <w:rPr>
                <w:rFonts w:ascii="Arial" w:hAnsi="Arial" w:cs="Arial"/>
                <w:sz w:val="20"/>
                <w:szCs w:val="20"/>
              </w:rPr>
              <w:t>41</w:t>
            </w:r>
          </w:p>
        </w:tc>
      </w:tr>
      <w:tr w:rsidR="00F92256" w:rsidRPr="00E20762" w14:paraId="7F1021FD" w14:textId="77777777" w:rsidTr="005923F3">
        <w:tc>
          <w:tcPr>
            <w:tcW w:w="4868" w:type="dxa"/>
          </w:tcPr>
          <w:p w14:paraId="6F9F8291" w14:textId="6B03099F" w:rsidR="00F92256" w:rsidRPr="00A02F4A" w:rsidRDefault="004F071C" w:rsidP="004F071C">
            <w:pPr>
              <w:spacing w:line="360" w:lineRule="auto"/>
              <w:contextualSpacing/>
              <w:rPr>
                <w:rFonts w:ascii="Arial" w:hAnsi="Arial" w:cs="Arial"/>
                <w:sz w:val="20"/>
                <w:szCs w:val="20"/>
              </w:rPr>
            </w:pPr>
            <w:r w:rsidRPr="00A02F4A">
              <w:rPr>
                <w:rFonts w:ascii="Arial" w:hAnsi="Arial" w:cs="Arial"/>
                <w:sz w:val="20"/>
                <w:szCs w:val="20"/>
              </w:rPr>
              <w:t xml:space="preserve">          </w:t>
            </w:r>
            <w:r w:rsidR="00192791" w:rsidRPr="00A02F4A">
              <w:rPr>
                <w:rFonts w:ascii="Arial" w:hAnsi="Arial" w:cs="Arial"/>
                <w:sz w:val="20"/>
                <w:szCs w:val="20"/>
              </w:rPr>
              <w:t>Sugar, g</w:t>
            </w:r>
          </w:p>
        </w:tc>
        <w:tc>
          <w:tcPr>
            <w:tcW w:w="4868" w:type="dxa"/>
          </w:tcPr>
          <w:p w14:paraId="5560D675" w14:textId="5C0BEB05" w:rsidR="00F92256" w:rsidRPr="00A02F4A" w:rsidRDefault="003328A7" w:rsidP="004F3259">
            <w:pPr>
              <w:spacing w:line="360" w:lineRule="auto"/>
              <w:contextualSpacing/>
              <w:jc w:val="both"/>
              <w:rPr>
                <w:rFonts w:ascii="Arial" w:hAnsi="Arial" w:cs="Arial"/>
                <w:sz w:val="20"/>
                <w:szCs w:val="20"/>
              </w:rPr>
            </w:pPr>
            <w:r w:rsidRPr="00A02F4A">
              <w:rPr>
                <w:rFonts w:ascii="Arial" w:hAnsi="Arial" w:cs="Arial"/>
                <w:sz w:val="20"/>
                <w:szCs w:val="20"/>
              </w:rPr>
              <w:t>3</w:t>
            </w:r>
          </w:p>
        </w:tc>
      </w:tr>
      <w:tr w:rsidR="00F92256" w:rsidRPr="00E20762" w14:paraId="7BD981C7" w14:textId="77777777" w:rsidTr="005923F3">
        <w:tc>
          <w:tcPr>
            <w:tcW w:w="4868" w:type="dxa"/>
          </w:tcPr>
          <w:p w14:paraId="28F4DECC" w14:textId="401BEA97" w:rsidR="00F92256" w:rsidRPr="00A02F4A" w:rsidRDefault="004F071C" w:rsidP="004F3259">
            <w:pPr>
              <w:spacing w:line="360" w:lineRule="auto"/>
              <w:contextualSpacing/>
              <w:jc w:val="both"/>
              <w:rPr>
                <w:rFonts w:ascii="Arial" w:hAnsi="Arial" w:cs="Arial"/>
                <w:sz w:val="20"/>
                <w:szCs w:val="20"/>
              </w:rPr>
            </w:pPr>
            <w:r w:rsidRPr="00A02F4A">
              <w:rPr>
                <w:rFonts w:ascii="Arial" w:hAnsi="Arial" w:cs="Arial"/>
                <w:sz w:val="20"/>
                <w:szCs w:val="20"/>
              </w:rPr>
              <w:t>Protein, g</w:t>
            </w:r>
          </w:p>
        </w:tc>
        <w:tc>
          <w:tcPr>
            <w:tcW w:w="4868" w:type="dxa"/>
          </w:tcPr>
          <w:p w14:paraId="55140390" w14:textId="66908C76" w:rsidR="00F92256" w:rsidRPr="00A02F4A" w:rsidRDefault="00F81CB1" w:rsidP="004F3259">
            <w:pPr>
              <w:spacing w:line="360" w:lineRule="auto"/>
              <w:contextualSpacing/>
              <w:jc w:val="both"/>
              <w:rPr>
                <w:rFonts w:ascii="Arial" w:hAnsi="Arial" w:cs="Arial"/>
                <w:sz w:val="20"/>
                <w:szCs w:val="20"/>
              </w:rPr>
            </w:pPr>
            <w:r w:rsidRPr="00A02F4A">
              <w:rPr>
                <w:rFonts w:ascii="Arial" w:hAnsi="Arial" w:cs="Arial"/>
                <w:sz w:val="20"/>
                <w:szCs w:val="20"/>
              </w:rPr>
              <w:t>14.1</w:t>
            </w:r>
          </w:p>
        </w:tc>
      </w:tr>
      <w:tr w:rsidR="00F92256" w:rsidRPr="00E20762" w14:paraId="3031141C" w14:textId="77777777" w:rsidTr="005923F3">
        <w:tc>
          <w:tcPr>
            <w:tcW w:w="4868" w:type="dxa"/>
          </w:tcPr>
          <w:p w14:paraId="6254A0A8" w14:textId="4E525AEC" w:rsidR="00F92256" w:rsidRPr="00A02F4A" w:rsidRDefault="004F071C" w:rsidP="004F3259">
            <w:pPr>
              <w:spacing w:line="360" w:lineRule="auto"/>
              <w:contextualSpacing/>
              <w:jc w:val="both"/>
              <w:rPr>
                <w:rFonts w:ascii="Arial" w:hAnsi="Arial" w:cs="Arial"/>
                <w:sz w:val="20"/>
                <w:szCs w:val="20"/>
              </w:rPr>
            </w:pPr>
            <w:r w:rsidRPr="00A02F4A">
              <w:rPr>
                <w:rFonts w:ascii="Arial" w:hAnsi="Arial" w:cs="Arial"/>
                <w:sz w:val="20"/>
                <w:szCs w:val="20"/>
              </w:rPr>
              <w:t>Fat, g</w:t>
            </w:r>
          </w:p>
        </w:tc>
        <w:tc>
          <w:tcPr>
            <w:tcW w:w="4868" w:type="dxa"/>
          </w:tcPr>
          <w:p w14:paraId="63A4467D" w14:textId="65A814AF" w:rsidR="00F92256" w:rsidRPr="00A02F4A" w:rsidRDefault="00F81CB1" w:rsidP="004F3259">
            <w:pPr>
              <w:spacing w:line="360" w:lineRule="auto"/>
              <w:contextualSpacing/>
              <w:jc w:val="both"/>
              <w:rPr>
                <w:rFonts w:ascii="Arial" w:hAnsi="Arial" w:cs="Arial"/>
                <w:sz w:val="20"/>
                <w:szCs w:val="20"/>
              </w:rPr>
            </w:pPr>
            <w:r w:rsidRPr="00A02F4A">
              <w:rPr>
                <w:rFonts w:ascii="Arial" w:hAnsi="Arial" w:cs="Arial"/>
                <w:sz w:val="20"/>
                <w:szCs w:val="20"/>
              </w:rPr>
              <w:t>15.1</w:t>
            </w:r>
          </w:p>
        </w:tc>
      </w:tr>
      <w:tr w:rsidR="00222F4E" w:rsidRPr="00E20762" w14:paraId="49B46AB2" w14:textId="77777777" w:rsidTr="005923F3">
        <w:tc>
          <w:tcPr>
            <w:tcW w:w="4868" w:type="dxa"/>
          </w:tcPr>
          <w:p w14:paraId="0BBCE599" w14:textId="113C4799" w:rsidR="00222F4E" w:rsidRPr="00A02F4A" w:rsidRDefault="00B05C2B" w:rsidP="004F3259">
            <w:pPr>
              <w:spacing w:line="360" w:lineRule="auto"/>
              <w:contextualSpacing/>
              <w:jc w:val="both"/>
              <w:rPr>
                <w:rFonts w:ascii="Arial" w:hAnsi="Arial" w:cs="Arial"/>
                <w:sz w:val="20"/>
                <w:szCs w:val="20"/>
              </w:rPr>
            </w:pPr>
            <w:r w:rsidRPr="00A02F4A">
              <w:rPr>
                <w:rFonts w:ascii="Arial" w:hAnsi="Arial" w:cs="Arial"/>
                <w:sz w:val="20"/>
                <w:szCs w:val="20"/>
              </w:rPr>
              <w:t xml:space="preserve">          </w:t>
            </w:r>
            <w:r w:rsidR="00222F4E" w:rsidRPr="00A02F4A">
              <w:rPr>
                <w:rFonts w:ascii="Arial" w:hAnsi="Arial" w:cs="Arial"/>
                <w:sz w:val="20"/>
                <w:szCs w:val="20"/>
              </w:rPr>
              <w:t>Saturated fat, g</w:t>
            </w:r>
          </w:p>
        </w:tc>
        <w:tc>
          <w:tcPr>
            <w:tcW w:w="4868" w:type="dxa"/>
          </w:tcPr>
          <w:p w14:paraId="68C0DB92" w14:textId="7C308161" w:rsidR="00222F4E" w:rsidRPr="00A02F4A" w:rsidRDefault="00F81CB1" w:rsidP="004F3259">
            <w:pPr>
              <w:spacing w:line="360" w:lineRule="auto"/>
              <w:contextualSpacing/>
              <w:jc w:val="both"/>
              <w:rPr>
                <w:rFonts w:ascii="Arial" w:hAnsi="Arial" w:cs="Arial"/>
                <w:sz w:val="20"/>
                <w:szCs w:val="20"/>
              </w:rPr>
            </w:pPr>
            <w:r w:rsidRPr="00A02F4A">
              <w:rPr>
                <w:rFonts w:ascii="Arial" w:hAnsi="Arial" w:cs="Arial"/>
                <w:sz w:val="20"/>
                <w:szCs w:val="20"/>
              </w:rPr>
              <w:t>7.5</w:t>
            </w:r>
          </w:p>
        </w:tc>
      </w:tr>
      <w:tr w:rsidR="00222F4E" w:rsidRPr="00E20762" w14:paraId="366FCF12" w14:textId="77777777" w:rsidTr="005923F3">
        <w:tc>
          <w:tcPr>
            <w:tcW w:w="4868" w:type="dxa"/>
          </w:tcPr>
          <w:p w14:paraId="356EADCF" w14:textId="47F53320" w:rsidR="00222F4E" w:rsidRPr="00A02F4A" w:rsidRDefault="000454E7" w:rsidP="004F3259">
            <w:pPr>
              <w:spacing w:line="360" w:lineRule="auto"/>
              <w:contextualSpacing/>
              <w:jc w:val="both"/>
              <w:rPr>
                <w:rFonts w:ascii="Arial" w:hAnsi="Arial" w:cs="Arial"/>
                <w:sz w:val="20"/>
                <w:szCs w:val="20"/>
              </w:rPr>
            </w:pPr>
            <w:r w:rsidRPr="00A02F4A">
              <w:rPr>
                <w:rFonts w:ascii="Arial" w:hAnsi="Arial" w:cs="Arial"/>
                <w:sz w:val="20"/>
                <w:szCs w:val="20"/>
              </w:rPr>
              <w:t>Sodium, mg</w:t>
            </w:r>
          </w:p>
        </w:tc>
        <w:tc>
          <w:tcPr>
            <w:tcW w:w="4868" w:type="dxa"/>
          </w:tcPr>
          <w:p w14:paraId="720EA228" w14:textId="4E1B5CC6" w:rsidR="00222F4E" w:rsidRPr="00A02F4A" w:rsidRDefault="00F81CB1" w:rsidP="004F3259">
            <w:pPr>
              <w:spacing w:line="360" w:lineRule="auto"/>
              <w:contextualSpacing/>
              <w:jc w:val="both"/>
              <w:rPr>
                <w:rFonts w:ascii="Arial" w:hAnsi="Arial" w:cs="Arial"/>
                <w:sz w:val="20"/>
                <w:szCs w:val="20"/>
              </w:rPr>
            </w:pPr>
            <w:r w:rsidRPr="00A02F4A">
              <w:rPr>
                <w:rFonts w:ascii="Arial" w:hAnsi="Arial" w:cs="Arial"/>
                <w:sz w:val="20"/>
                <w:szCs w:val="20"/>
              </w:rPr>
              <w:t>558</w:t>
            </w:r>
          </w:p>
        </w:tc>
      </w:tr>
      <w:tr w:rsidR="00222F4E" w:rsidRPr="00E20762" w14:paraId="60235695" w14:textId="77777777" w:rsidTr="005923F3">
        <w:tc>
          <w:tcPr>
            <w:tcW w:w="4868" w:type="dxa"/>
          </w:tcPr>
          <w:p w14:paraId="6DBBC10B" w14:textId="4B422CB7" w:rsidR="00222F4E" w:rsidRPr="00A02F4A" w:rsidRDefault="000454E7" w:rsidP="004F3259">
            <w:pPr>
              <w:spacing w:line="360" w:lineRule="auto"/>
              <w:contextualSpacing/>
              <w:jc w:val="both"/>
              <w:rPr>
                <w:rFonts w:ascii="Arial" w:hAnsi="Arial" w:cs="Arial"/>
                <w:sz w:val="20"/>
                <w:szCs w:val="20"/>
              </w:rPr>
            </w:pPr>
            <w:r w:rsidRPr="00A02F4A">
              <w:rPr>
                <w:rFonts w:ascii="Arial" w:hAnsi="Arial" w:cs="Arial"/>
                <w:sz w:val="20"/>
                <w:szCs w:val="20"/>
              </w:rPr>
              <w:t>Chloride, mg</w:t>
            </w:r>
          </w:p>
        </w:tc>
        <w:tc>
          <w:tcPr>
            <w:tcW w:w="4868" w:type="dxa"/>
          </w:tcPr>
          <w:p w14:paraId="56E9BDCD" w14:textId="3FED641C" w:rsidR="00222F4E" w:rsidRPr="00A02F4A" w:rsidRDefault="003328A7" w:rsidP="004F3259">
            <w:pPr>
              <w:spacing w:line="360" w:lineRule="auto"/>
              <w:contextualSpacing/>
              <w:jc w:val="both"/>
              <w:rPr>
                <w:rFonts w:ascii="Arial" w:hAnsi="Arial" w:cs="Arial"/>
                <w:sz w:val="20"/>
                <w:szCs w:val="20"/>
              </w:rPr>
            </w:pPr>
            <w:r w:rsidRPr="00A02F4A">
              <w:rPr>
                <w:rFonts w:ascii="Arial" w:hAnsi="Arial" w:cs="Arial"/>
                <w:sz w:val="20"/>
                <w:szCs w:val="20"/>
              </w:rPr>
              <w:t>845</w:t>
            </w:r>
          </w:p>
        </w:tc>
      </w:tr>
      <w:tr w:rsidR="00B05C2B" w:rsidRPr="00E20762" w14:paraId="55DABD33" w14:textId="77777777" w:rsidTr="005923F3">
        <w:tc>
          <w:tcPr>
            <w:tcW w:w="4868" w:type="dxa"/>
          </w:tcPr>
          <w:p w14:paraId="44D895AD" w14:textId="7D33EC5A" w:rsidR="00B05C2B" w:rsidRPr="00A02F4A" w:rsidRDefault="00B05C2B" w:rsidP="004F3259">
            <w:pPr>
              <w:spacing w:line="360" w:lineRule="auto"/>
              <w:contextualSpacing/>
              <w:jc w:val="both"/>
              <w:rPr>
                <w:rFonts w:ascii="Arial" w:hAnsi="Arial" w:cs="Arial"/>
                <w:sz w:val="20"/>
                <w:szCs w:val="20"/>
              </w:rPr>
            </w:pPr>
            <w:r w:rsidRPr="00A02F4A">
              <w:rPr>
                <w:rFonts w:ascii="Arial" w:hAnsi="Arial" w:cs="Arial"/>
                <w:sz w:val="20"/>
                <w:szCs w:val="20"/>
              </w:rPr>
              <w:t>Calcium, mg</w:t>
            </w:r>
          </w:p>
        </w:tc>
        <w:tc>
          <w:tcPr>
            <w:tcW w:w="4868" w:type="dxa"/>
          </w:tcPr>
          <w:p w14:paraId="43F2D4CE" w14:textId="377BC47B" w:rsidR="00B05C2B" w:rsidRPr="00A02F4A" w:rsidRDefault="003328A7" w:rsidP="004F3259">
            <w:pPr>
              <w:spacing w:line="360" w:lineRule="auto"/>
              <w:contextualSpacing/>
              <w:jc w:val="both"/>
              <w:rPr>
                <w:rFonts w:ascii="Arial" w:hAnsi="Arial" w:cs="Arial"/>
                <w:sz w:val="20"/>
                <w:szCs w:val="20"/>
              </w:rPr>
            </w:pPr>
            <w:r w:rsidRPr="00A02F4A">
              <w:rPr>
                <w:rFonts w:ascii="Arial" w:hAnsi="Arial" w:cs="Arial"/>
                <w:sz w:val="20"/>
                <w:szCs w:val="20"/>
              </w:rPr>
              <w:t>163</w:t>
            </w:r>
          </w:p>
        </w:tc>
      </w:tr>
    </w:tbl>
    <w:p w14:paraId="0FE4CC22" w14:textId="77777777" w:rsidR="00882D32" w:rsidRPr="00E20762" w:rsidRDefault="00882D32" w:rsidP="004F3259">
      <w:pPr>
        <w:spacing w:line="360" w:lineRule="auto"/>
        <w:contextualSpacing/>
        <w:jc w:val="both"/>
        <w:rPr>
          <w:rFonts w:ascii="Arial" w:hAnsi="Arial" w:cs="Arial"/>
          <w:sz w:val="8"/>
          <w:szCs w:val="8"/>
        </w:rPr>
      </w:pPr>
    </w:p>
    <w:p w14:paraId="486B2E1F" w14:textId="73064920" w:rsidR="00D04EA5" w:rsidRPr="00E27350" w:rsidRDefault="007733BD" w:rsidP="004F3259">
      <w:pPr>
        <w:spacing w:line="360" w:lineRule="auto"/>
        <w:contextualSpacing/>
        <w:jc w:val="both"/>
        <w:rPr>
          <w:rFonts w:ascii="Arial" w:hAnsi="Arial" w:cs="Arial"/>
          <w:sz w:val="20"/>
          <w:szCs w:val="20"/>
        </w:rPr>
      </w:pPr>
      <w:r w:rsidRPr="00E27350">
        <w:rPr>
          <w:rFonts w:ascii="Arial" w:hAnsi="Arial" w:cs="Arial"/>
          <w:sz w:val="20"/>
          <w:szCs w:val="20"/>
        </w:rPr>
        <w:t>Nutritional content values for the standard lunch are based on a Nutritics report</w:t>
      </w:r>
      <w:r w:rsidR="00E07C4C" w:rsidRPr="00E27350">
        <w:rPr>
          <w:rFonts w:ascii="Arial" w:hAnsi="Arial" w:cs="Arial"/>
          <w:sz w:val="20"/>
          <w:szCs w:val="20"/>
        </w:rPr>
        <w:t xml:space="preserve"> </w:t>
      </w:r>
      <w:r w:rsidR="00104343" w:rsidRPr="00E27350">
        <w:rPr>
          <w:rFonts w:ascii="Arial" w:hAnsi="Arial" w:cs="Arial"/>
          <w:sz w:val="20"/>
          <w:szCs w:val="20"/>
        </w:rPr>
        <w:t xml:space="preserve">(Nutritics, 2019). </w:t>
      </w:r>
      <w:r w:rsidR="00D60AED" w:rsidRPr="00E27350">
        <w:rPr>
          <w:rFonts w:ascii="Arial" w:hAnsi="Arial" w:cs="Arial"/>
          <w:sz w:val="20"/>
          <w:szCs w:val="20"/>
        </w:rPr>
        <w:t>Lunch Ingredients included 94 g white bread, 22 g lactose-free cheddar cheese, and 7 g spreadable plant-based butter.</w:t>
      </w:r>
    </w:p>
    <w:p w14:paraId="40A3480A" w14:textId="77777777" w:rsidR="00E6120A" w:rsidRDefault="00E6120A" w:rsidP="004F3259">
      <w:pPr>
        <w:spacing w:line="360" w:lineRule="auto"/>
        <w:contextualSpacing/>
        <w:jc w:val="both"/>
        <w:rPr>
          <w:rFonts w:ascii="Arial" w:hAnsi="Arial" w:cs="Arial"/>
          <w:sz w:val="18"/>
          <w:szCs w:val="18"/>
        </w:rPr>
      </w:pPr>
    </w:p>
    <w:p w14:paraId="160363D4" w14:textId="77777777" w:rsidR="00E6120A" w:rsidRDefault="00E6120A" w:rsidP="004F3259">
      <w:pPr>
        <w:spacing w:line="360" w:lineRule="auto"/>
        <w:contextualSpacing/>
        <w:jc w:val="both"/>
        <w:rPr>
          <w:rFonts w:ascii="Arial" w:hAnsi="Arial" w:cs="Arial"/>
          <w:sz w:val="18"/>
          <w:szCs w:val="18"/>
        </w:rPr>
      </w:pPr>
    </w:p>
    <w:p w14:paraId="3BDF4F0A" w14:textId="77777777" w:rsidR="00E6120A" w:rsidRDefault="00E6120A" w:rsidP="004F3259">
      <w:pPr>
        <w:spacing w:line="360" w:lineRule="auto"/>
        <w:contextualSpacing/>
        <w:jc w:val="both"/>
        <w:rPr>
          <w:rFonts w:ascii="Arial" w:hAnsi="Arial" w:cs="Arial"/>
          <w:sz w:val="18"/>
          <w:szCs w:val="18"/>
        </w:rPr>
      </w:pPr>
    </w:p>
    <w:p w14:paraId="5E958DC3" w14:textId="77777777" w:rsidR="00E6120A" w:rsidRDefault="00E6120A" w:rsidP="004F3259">
      <w:pPr>
        <w:spacing w:line="360" w:lineRule="auto"/>
        <w:contextualSpacing/>
        <w:jc w:val="both"/>
        <w:rPr>
          <w:rFonts w:ascii="Arial" w:hAnsi="Arial" w:cs="Arial"/>
          <w:sz w:val="18"/>
          <w:szCs w:val="18"/>
        </w:rPr>
      </w:pPr>
    </w:p>
    <w:p w14:paraId="17BA0E30" w14:textId="77777777" w:rsidR="00E6120A" w:rsidRDefault="00E6120A" w:rsidP="004F3259">
      <w:pPr>
        <w:spacing w:line="360" w:lineRule="auto"/>
        <w:contextualSpacing/>
        <w:jc w:val="both"/>
        <w:rPr>
          <w:rFonts w:ascii="Arial" w:hAnsi="Arial" w:cs="Arial"/>
          <w:sz w:val="18"/>
          <w:szCs w:val="18"/>
        </w:rPr>
      </w:pPr>
    </w:p>
    <w:p w14:paraId="5398C118" w14:textId="77777777" w:rsidR="00E6120A" w:rsidRDefault="00E6120A" w:rsidP="004F3259">
      <w:pPr>
        <w:spacing w:line="360" w:lineRule="auto"/>
        <w:contextualSpacing/>
        <w:jc w:val="both"/>
        <w:rPr>
          <w:rFonts w:ascii="Arial" w:hAnsi="Arial" w:cs="Arial"/>
          <w:sz w:val="18"/>
          <w:szCs w:val="18"/>
        </w:rPr>
      </w:pPr>
    </w:p>
    <w:p w14:paraId="75F09199" w14:textId="5D6F90CB" w:rsidR="00EF3620" w:rsidRPr="007573E3" w:rsidRDefault="00EF3620" w:rsidP="002653C7">
      <w:pPr>
        <w:spacing w:line="360" w:lineRule="auto"/>
        <w:contextualSpacing/>
        <w:jc w:val="both"/>
        <w:rPr>
          <w:rFonts w:ascii="Arial" w:hAnsi="Arial" w:cs="Arial"/>
          <w:sz w:val="18"/>
          <w:szCs w:val="18"/>
        </w:rPr>
        <w:sectPr w:rsidR="00EF3620" w:rsidRPr="007573E3" w:rsidSect="00E916B8">
          <w:headerReference w:type="default" r:id="rId9"/>
          <w:footerReference w:type="default" r:id="rId10"/>
          <w:pgSz w:w="11906" w:h="16838"/>
          <w:pgMar w:top="1440" w:right="1080" w:bottom="1440" w:left="1080" w:header="708" w:footer="708" w:gutter="0"/>
          <w:cols w:space="708"/>
          <w:docGrid w:linePitch="360"/>
        </w:sectPr>
      </w:pPr>
    </w:p>
    <w:p w14:paraId="2D2624C7" w14:textId="2E065339" w:rsidR="00AE211A" w:rsidRPr="00AE211A" w:rsidRDefault="00AE211A" w:rsidP="00AE211A">
      <w:pPr>
        <w:tabs>
          <w:tab w:val="left" w:pos="1039"/>
        </w:tabs>
        <w:rPr>
          <w:rFonts w:ascii="Arial" w:hAnsi="Arial" w:cs="Arial"/>
          <w:sz w:val="16"/>
          <w:szCs w:val="16"/>
        </w:rPr>
      </w:pPr>
    </w:p>
    <w:p w14:paraId="3ED54B31" w14:textId="0AA04087" w:rsidR="00D21D94" w:rsidRDefault="00D21D94" w:rsidP="004F3259">
      <w:pPr>
        <w:spacing w:line="360" w:lineRule="auto"/>
        <w:contextualSpacing/>
        <w:jc w:val="both"/>
        <w:rPr>
          <w:rFonts w:ascii="Arial" w:hAnsi="Arial" w:cs="Arial"/>
          <w:b/>
          <w:bCs/>
        </w:rPr>
      </w:pPr>
    </w:p>
    <w:p w14:paraId="6A1CF04F" w14:textId="5EE85C60" w:rsidR="00F005DF" w:rsidRDefault="00F005DF" w:rsidP="004F3259">
      <w:pPr>
        <w:spacing w:line="360" w:lineRule="auto"/>
        <w:contextualSpacing/>
        <w:jc w:val="both"/>
        <w:rPr>
          <w:rFonts w:ascii="Arial" w:hAnsi="Arial" w:cs="Arial"/>
          <w:b/>
          <w:bCs/>
        </w:rPr>
      </w:pPr>
    </w:p>
    <w:p w14:paraId="342BBC53" w14:textId="42D94EC0" w:rsidR="007B7F7B" w:rsidRDefault="007B7F7B" w:rsidP="004F3259">
      <w:pPr>
        <w:spacing w:line="360" w:lineRule="auto"/>
        <w:contextualSpacing/>
        <w:jc w:val="both"/>
        <w:rPr>
          <w:rFonts w:ascii="Arial" w:hAnsi="Arial" w:cs="Arial"/>
          <w:b/>
          <w:bCs/>
        </w:rPr>
      </w:pPr>
    </w:p>
    <w:p w14:paraId="466098E3" w14:textId="16FC1D28" w:rsidR="00870587" w:rsidRDefault="00901CE1" w:rsidP="004F3259">
      <w:pPr>
        <w:spacing w:line="360" w:lineRule="auto"/>
        <w:contextualSpacing/>
        <w:jc w:val="both"/>
        <w:rPr>
          <w:rFonts w:ascii="Arial" w:hAnsi="Arial" w:cs="Arial"/>
          <w:b/>
          <w:bCs/>
        </w:rPr>
      </w:pPr>
      <w:r>
        <w:rPr>
          <w:rFonts w:ascii="Arial" w:hAnsi="Arial" w:cs="Arial"/>
          <w:b/>
          <w:bCs/>
        </w:rPr>
        <w:object w:dxaOrig="11645" w:dyaOrig="5899" w14:anchorId="7366A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82.25pt;height:294.95pt" o:ole="" filled="t">
            <v:imagedata r:id="rId11" o:title=""/>
          </v:shape>
          <o:OLEObject Type="Embed" ProgID="Prism10.Document" ShapeID="_x0000_i1028" DrawAspect="Content" ObjectID="_1813265322" r:id="rId12"/>
        </w:object>
      </w:r>
    </w:p>
    <w:p w14:paraId="081FF839" w14:textId="09EEC4D3" w:rsidR="008864EF" w:rsidRPr="00D21D94" w:rsidRDefault="00686063" w:rsidP="004F3259">
      <w:pPr>
        <w:spacing w:line="360" w:lineRule="auto"/>
        <w:contextualSpacing/>
        <w:jc w:val="both"/>
        <w:rPr>
          <w:rFonts w:ascii="Arial" w:hAnsi="Arial" w:cs="Arial"/>
        </w:rPr>
      </w:pPr>
      <w:r w:rsidRPr="00087306">
        <w:rPr>
          <w:rFonts w:ascii="Arial" w:hAnsi="Arial" w:cs="Arial"/>
          <w:b/>
          <w:bCs/>
          <w:sz w:val="20"/>
          <w:szCs w:val="20"/>
        </w:rPr>
        <w:t xml:space="preserve">Figure </w:t>
      </w:r>
      <w:r w:rsidR="009014F2" w:rsidRPr="00087306">
        <w:rPr>
          <w:rFonts w:ascii="Arial" w:hAnsi="Arial" w:cs="Arial"/>
          <w:b/>
          <w:bCs/>
          <w:sz w:val="20"/>
          <w:szCs w:val="20"/>
        </w:rPr>
        <w:t>S1</w:t>
      </w:r>
      <w:r w:rsidR="00087306">
        <w:rPr>
          <w:rFonts w:ascii="Arial" w:hAnsi="Arial" w:cs="Arial"/>
          <w:b/>
          <w:bCs/>
          <w:sz w:val="20"/>
          <w:szCs w:val="20"/>
        </w:rPr>
        <w:t>.</w:t>
      </w:r>
      <w:r w:rsidRPr="00686063">
        <w:rPr>
          <w:rFonts w:ascii="Arial" w:hAnsi="Arial" w:cs="Arial"/>
        </w:rPr>
        <w:t xml:space="preserve"> </w:t>
      </w:r>
      <w:r w:rsidRPr="00087306">
        <w:rPr>
          <w:rFonts w:ascii="Arial" w:hAnsi="Arial" w:cs="Arial"/>
          <w:color w:val="000000" w:themeColor="text1"/>
          <w:sz w:val="20"/>
          <w:szCs w:val="20"/>
        </w:rPr>
        <w:t>Plasma nitrite and nitrate following INU+NO</w:t>
      </w:r>
      <w:r w:rsidRPr="00087306">
        <w:rPr>
          <w:rFonts w:ascii="Arial" w:hAnsi="Arial" w:cs="Arial"/>
          <w:color w:val="000000" w:themeColor="text1"/>
          <w:sz w:val="20"/>
          <w:szCs w:val="20"/>
          <w:vertAlign w:val="subscript"/>
        </w:rPr>
        <w:t>3</w:t>
      </w:r>
      <w:r w:rsidRPr="00087306">
        <w:rPr>
          <w:rFonts w:ascii="Arial" w:hAnsi="Arial" w:cs="Arial"/>
          <w:color w:val="000000" w:themeColor="text1"/>
          <w:sz w:val="20"/>
          <w:szCs w:val="20"/>
          <w:vertAlign w:val="superscript"/>
        </w:rPr>
        <w:t>-</w:t>
      </w:r>
      <w:r w:rsidRPr="00087306">
        <w:rPr>
          <w:rFonts w:ascii="Arial" w:hAnsi="Arial" w:cs="Arial"/>
          <w:color w:val="000000" w:themeColor="text1"/>
          <w:sz w:val="20"/>
          <w:szCs w:val="20"/>
        </w:rPr>
        <w:t xml:space="preserve"> (pink), NO</w:t>
      </w:r>
      <w:r w:rsidRPr="00087306">
        <w:rPr>
          <w:rFonts w:ascii="Arial" w:hAnsi="Arial" w:cs="Arial"/>
          <w:color w:val="000000" w:themeColor="text1"/>
          <w:sz w:val="20"/>
          <w:szCs w:val="20"/>
          <w:vertAlign w:val="subscript"/>
        </w:rPr>
        <w:t>3</w:t>
      </w:r>
      <w:r w:rsidRPr="00087306">
        <w:rPr>
          <w:rFonts w:ascii="Arial" w:hAnsi="Arial" w:cs="Arial"/>
          <w:color w:val="000000" w:themeColor="text1"/>
          <w:sz w:val="20"/>
          <w:szCs w:val="20"/>
          <w:vertAlign w:val="superscript"/>
        </w:rPr>
        <w:t>-</w:t>
      </w:r>
      <w:r w:rsidRPr="00087306">
        <w:rPr>
          <w:rFonts w:ascii="Arial" w:hAnsi="Arial" w:cs="Arial"/>
          <w:color w:val="000000" w:themeColor="text1"/>
          <w:sz w:val="20"/>
          <w:szCs w:val="20"/>
        </w:rPr>
        <w:t xml:space="preserve"> (green), and INU (orange) conditions. A) plasma nitrite (nM) over 360 minutes; B) plasma nitrite </w:t>
      </w:r>
      <w:r w:rsidR="002C0298" w:rsidRPr="00087306">
        <w:rPr>
          <w:rFonts w:ascii="Arial" w:hAnsi="Arial" w:cs="Arial"/>
          <w:color w:val="000000" w:themeColor="text1"/>
          <w:sz w:val="20"/>
          <w:szCs w:val="20"/>
        </w:rPr>
        <w:t>t</w:t>
      </w:r>
      <w:r w:rsidRPr="00087306">
        <w:rPr>
          <w:rFonts w:ascii="Arial" w:hAnsi="Arial" w:cs="Arial"/>
          <w:color w:val="000000" w:themeColor="text1"/>
          <w:sz w:val="20"/>
          <w:szCs w:val="20"/>
        </w:rPr>
        <w:t xml:space="preserve">AUC from baseline to 360 minutes; C) plasma nitrate (µM) over 360 minutes; D) plasma nitrate </w:t>
      </w:r>
      <w:r w:rsidR="002C0298" w:rsidRPr="00087306">
        <w:rPr>
          <w:rFonts w:ascii="Arial" w:hAnsi="Arial" w:cs="Arial"/>
          <w:color w:val="000000" w:themeColor="text1"/>
          <w:sz w:val="20"/>
          <w:szCs w:val="20"/>
        </w:rPr>
        <w:t>t</w:t>
      </w:r>
      <w:r w:rsidRPr="00087306">
        <w:rPr>
          <w:rFonts w:ascii="Arial" w:hAnsi="Arial" w:cs="Arial"/>
          <w:color w:val="000000" w:themeColor="text1"/>
          <w:sz w:val="20"/>
          <w:szCs w:val="20"/>
        </w:rPr>
        <w:t>AUC from baseline to 360 minutes. All results are expressed as means ± SD (</w:t>
      </w:r>
      <w:r w:rsidRPr="00087306">
        <w:rPr>
          <w:rFonts w:ascii="Arial" w:hAnsi="Arial" w:cs="Arial"/>
          <w:i/>
          <w:iCs/>
          <w:color w:val="000000" w:themeColor="text1"/>
          <w:sz w:val="20"/>
          <w:szCs w:val="20"/>
        </w:rPr>
        <w:t>n</w:t>
      </w:r>
      <w:r w:rsidRPr="00087306">
        <w:rPr>
          <w:rFonts w:ascii="Arial" w:hAnsi="Arial" w:cs="Arial"/>
          <w:color w:val="000000" w:themeColor="text1"/>
          <w:sz w:val="20"/>
          <w:szCs w:val="20"/>
        </w:rPr>
        <w:t xml:space="preserve"> = 20). ns p &gt; 0.05, ***p &lt; 0.001</w:t>
      </w:r>
      <w:r w:rsidR="00087306" w:rsidRPr="00087306">
        <w:rPr>
          <w:rFonts w:ascii="Arial" w:hAnsi="Arial" w:cs="Arial"/>
          <w:color w:val="000000" w:themeColor="text1"/>
          <w:sz w:val="20"/>
          <w:szCs w:val="20"/>
        </w:rPr>
        <w:t xml:space="preserve">. </w:t>
      </w:r>
      <w:r w:rsidRPr="00087306">
        <w:rPr>
          <w:rFonts w:ascii="Arial" w:hAnsi="Arial" w:cs="Arial"/>
          <w:color w:val="000000" w:themeColor="text1"/>
          <w:sz w:val="20"/>
          <w:szCs w:val="20"/>
        </w:rPr>
        <w:t xml:space="preserve">Abbreviations: </w:t>
      </w:r>
      <w:r w:rsidR="00087306" w:rsidRPr="00087306">
        <w:rPr>
          <w:rFonts w:ascii="Arial" w:hAnsi="Arial" w:cs="Arial"/>
          <w:color w:val="000000" w:themeColor="text1"/>
          <w:sz w:val="20"/>
          <w:szCs w:val="20"/>
        </w:rPr>
        <w:t>t</w:t>
      </w:r>
      <w:r w:rsidRPr="00087306">
        <w:rPr>
          <w:rFonts w:ascii="Arial" w:hAnsi="Arial" w:cs="Arial"/>
          <w:color w:val="000000" w:themeColor="text1"/>
          <w:sz w:val="20"/>
          <w:szCs w:val="20"/>
        </w:rPr>
        <w:t xml:space="preserve">AUC, </w:t>
      </w:r>
      <w:r w:rsidR="00087306" w:rsidRPr="00087306">
        <w:rPr>
          <w:rFonts w:ascii="Arial" w:hAnsi="Arial" w:cs="Arial"/>
          <w:color w:val="000000" w:themeColor="text1"/>
          <w:sz w:val="20"/>
          <w:szCs w:val="20"/>
        </w:rPr>
        <w:t>total</w:t>
      </w:r>
      <w:r w:rsidRPr="00087306">
        <w:rPr>
          <w:rFonts w:ascii="Arial" w:hAnsi="Arial" w:cs="Arial"/>
          <w:color w:val="000000" w:themeColor="text1"/>
          <w:sz w:val="20"/>
          <w:szCs w:val="20"/>
        </w:rPr>
        <w:t xml:space="preserve"> area under the curve; INU, inulin; NO</w:t>
      </w:r>
      <w:r w:rsidRPr="00087306">
        <w:rPr>
          <w:rFonts w:ascii="Arial" w:hAnsi="Arial" w:cs="Arial"/>
          <w:color w:val="000000" w:themeColor="text1"/>
          <w:sz w:val="20"/>
          <w:szCs w:val="20"/>
          <w:vertAlign w:val="subscript"/>
        </w:rPr>
        <w:t>3</w:t>
      </w:r>
      <w:r w:rsidRPr="00087306">
        <w:rPr>
          <w:rFonts w:ascii="Arial" w:hAnsi="Arial" w:cs="Arial"/>
          <w:color w:val="000000" w:themeColor="text1"/>
          <w:sz w:val="20"/>
          <w:szCs w:val="20"/>
          <w:vertAlign w:val="superscript"/>
        </w:rPr>
        <w:t>-</w:t>
      </w:r>
      <w:r w:rsidRPr="00087306">
        <w:rPr>
          <w:rFonts w:ascii="Arial" w:hAnsi="Arial" w:cs="Arial"/>
          <w:color w:val="000000" w:themeColor="text1"/>
          <w:sz w:val="20"/>
          <w:szCs w:val="20"/>
        </w:rPr>
        <w:t>, nitrate; min, minutes</w:t>
      </w:r>
      <w:r w:rsidR="00087306" w:rsidRPr="00087306">
        <w:rPr>
          <w:rFonts w:ascii="Arial" w:hAnsi="Arial" w:cs="Arial"/>
          <w:color w:val="000000" w:themeColor="text1"/>
          <w:sz w:val="20"/>
          <w:szCs w:val="20"/>
        </w:rPr>
        <w:t>.</w:t>
      </w:r>
    </w:p>
    <w:p w14:paraId="07D1397E" w14:textId="68DB77C3" w:rsidR="004A720B" w:rsidRDefault="004A720B" w:rsidP="004F3259">
      <w:pPr>
        <w:spacing w:line="360" w:lineRule="auto"/>
        <w:contextualSpacing/>
        <w:jc w:val="both"/>
        <w:rPr>
          <w:rFonts w:ascii="Arial" w:hAnsi="Arial" w:cs="Arial"/>
          <w:b/>
          <w:bCs/>
          <w:sz w:val="16"/>
          <w:szCs w:val="16"/>
        </w:rPr>
      </w:pPr>
    </w:p>
    <w:p w14:paraId="12CD5195" w14:textId="07089D77" w:rsidR="008E40D9" w:rsidRDefault="008E40D9" w:rsidP="004F3259">
      <w:pPr>
        <w:spacing w:line="360" w:lineRule="auto"/>
        <w:contextualSpacing/>
        <w:jc w:val="both"/>
        <w:rPr>
          <w:rFonts w:ascii="Arial" w:hAnsi="Arial" w:cs="Arial"/>
          <w:b/>
          <w:bCs/>
          <w:sz w:val="16"/>
          <w:szCs w:val="16"/>
        </w:rPr>
      </w:pPr>
    </w:p>
    <w:p w14:paraId="50154A24" w14:textId="588D4DE2" w:rsidR="00C13DC2" w:rsidRDefault="00C13DC2" w:rsidP="004F3259">
      <w:pPr>
        <w:spacing w:line="360" w:lineRule="auto"/>
        <w:contextualSpacing/>
        <w:jc w:val="both"/>
        <w:rPr>
          <w:rFonts w:ascii="Arial" w:hAnsi="Arial" w:cs="Arial"/>
          <w:b/>
          <w:bCs/>
          <w:sz w:val="16"/>
          <w:szCs w:val="16"/>
        </w:rPr>
      </w:pPr>
    </w:p>
    <w:p w14:paraId="382A7EFD" w14:textId="77777777" w:rsidR="00C13DC2" w:rsidRDefault="00C13DC2" w:rsidP="004F3259">
      <w:pPr>
        <w:spacing w:line="360" w:lineRule="auto"/>
        <w:contextualSpacing/>
        <w:jc w:val="both"/>
        <w:rPr>
          <w:rFonts w:ascii="Arial" w:hAnsi="Arial" w:cs="Arial"/>
          <w:b/>
          <w:bCs/>
          <w:sz w:val="16"/>
          <w:szCs w:val="16"/>
        </w:rPr>
      </w:pPr>
    </w:p>
    <w:p w14:paraId="5261F4DA" w14:textId="77777777" w:rsidR="008E40D9" w:rsidRDefault="008E40D9" w:rsidP="004F3259">
      <w:pPr>
        <w:spacing w:line="360" w:lineRule="auto"/>
        <w:contextualSpacing/>
        <w:jc w:val="both"/>
        <w:rPr>
          <w:rFonts w:ascii="Arial" w:hAnsi="Arial" w:cs="Arial"/>
          <w:b/>
          <w:bCs/>
          <w:sz w:val="16"/>
          <w:szCs w:val="16"/>
        </w:rPr>
      </w:pPr>
    </w:p>
    <w:p w14:paraId="762DEE75" w14:textId="0CE898F1" w:rsidR="00151111" w:rsidRDefault="00151111" w:rsidP="004F3259">
      <w:pPr>
        <w:spacing w:line="360" w:lineRule="auto"/>
        <w:contextualSpacing/>
        <w:jc w:val="both"/>
        <w:rPr>
          <w:rFonts w:ascii="Arial" w:hAnsi="Arial" w:cs="Arial"/>
          <w:b/>
          <w:bCs/>
          <w:sz w:val="16"/>
          <w:szCs w:val="16"/>
        </w:rPr>
      </w:pPr>
    </w:p>
    <w:p w14:paraId="65A2E928" w14:textId="2C2212C5" w:rsidR="004A720B" w:rsidRPr="0041614F" w:rsidRDefault="0041614F" w:rsidP="004F3259">
      <w:pPr>
        <w:spacing w:line="360" w:lineRule="auto"/>
        <w:contextualSpacing/>
        <w:jc w:val="both"/>
        <w:rPr>
          <w:rFonts w:ascii="Arial" w:hAnsi="Arial" w:cs="Arial"/>
          <w:b/>
          <w:bCs/>
          <w:sz w:val="16"/>
          <w:szCs w:val="16"/>
        </w:rPr>
      </w:pPr>
      <w:r>
        <w:rPr>
          <w:rFonts w:ascii="Arial" w:hAnsi="Arial" w:cs="Arial"/>
          <w:b/>
          <w:bCs/>
          <w:sz w:val="16"/>
          <w:szCs w:val="16"/>
        </w:rPr>
        <w:object w:dxaOrig="13503" w:dyaOrig="6081" w14:anchorId="135D62E7">
          <v:shape id="_x0000_i1026" type="#_x0000_t75" style="width:675.15pt;height:304.05pt" o:ole="" filled="t">
            <v:imagedata r:id="rId13" o:title=""/>
          </v:shape>
          <o:OLEObject Type="Embed" ProgID="Prism10.Document" ShapeID="_x0000_i1026" DrawAspect="Content" ObjectID="_1813265323" r:id="rId14"/>
        </w:object>
      </w:r>
      <w:r w:rsidR="000329C6" w:rsidRPr="00FD2193">
        <w:rPr>
          <w:rFonts w:ascii="Arial" w:hAnsi="Arial" w:cs="Arial"/>
          <w:b/>
          <w:bCs/>
          <w:color w:val="000000" w:themeColor="text1"/>
          <w:sz w:val="20"/>
          <w:szCs w:val="20"/>
        </w:rPr>
        <w:t xml:space="preserve">Figure </w:t>
      </w:r>
      <w:r w:rsidR="00FD2193" w:rsidRPr="00FD2193">
        <w:rPr>
          <w:rFonts w:ascii="Arial" w:hAnsi="Arial" w:cs="Arial"/>
          <w:b/>
          <w:bCs/>
          <w:color w:val="000000" w:themeColor="text1"/>
          <w:sz w:val="20"/>
          <w:szCs w:val="20"/>
        </w:rPr>
        <w:t>S2.</w:t>
      </w:r>
      <w:r w:rsidR="00FD2193" w:rsidRPr="00FD2193">
        <w:rPr>
          <w:rFonts w:ascii="Arial" w:hAnsi="Arial" w:cs="Arial"/>
          <w:color w:val="000000" w:themeColor="text1"/>
        </w:rPr>
        <w:t xml:space="preserve"> </w:t>
      </w:r>
      <w:r w:rsidR="000329C6" w:rsidRPr="00FD2193">
        <w:rPr>
          <w:rFonts w:ascii="Arial" w:hAnsi="Arial" w:cs="Arial"/>
          <w:color w:val="000000" w:themeColor="text1"/>
        </w:rPr>
        <w:t xml:space="preserve"> </w:t>
      </w:r>
      <w:r w:rsidR="000329C6" w:rsidRPr="00F67F66">
        <w:rPr>
          <w:rFonts w:ascii="Arial" w:hAnsi="Arial" w:cs="Arial"/>
          <w:color w:val="000000" w:themeColor="text1"/>
          <w:sz w:val="20"/>
          <w:szCs w:val="20"/>
        </w:rPr>
        <w:t>Plasma acetate, propionate and butyrate following INU+NO</w:t>
      </w:r>
      <w:r w:rsidR="000329C6" w:rsidRPr="00F67F66">
        <w:rPr>
          <w:rFonts w:ascii="Arial" w:hAnsi="Arial" w:cs="Arial"/>
          <w:color w:val="000000" w:themeColor="text1"/>
          <w:sz w:val="20"/>
          <w:szCs w:val="20"/>
          <w:vertAlign w:val="subscript"/>
        </w:rPr>
        <w:t>3</w:t>
      </w:r>
      <w:r w:rsidR="000329C6" w:rsidRPr="00F67F66">
        <w:rPr>
          <w:rFonts w:ascii="Arial" w:hAnsi="Arial" w:cs="Arial"/>
          <w:color w:val="000000" w:themeColor="text1"/>
          <w:sz w:val="20"/>
          <w:szCs w:val="20"/>
          <w:vertAlign w:val="superscript"/>
        </w:rPr>
        <w:t>-</w:t>
      </w:r>
      <w:r w:rsidR="000329C6" w:rsidRPr="00F67F66">
        <w:rPr>
          <w:rFonts w:ascii="Arial" w:hAnsi="Arial" w:cs="Arial"/>
          <w:color w:val="000000" w:themeColor="text1"/>
          <w:sz w:val="20"/>
          <w:szCs w:val="20"/>
        </w:rPr>
        <w:t xml:space="preserve"> (pink), NO</w:t>
      </w:r>
      <w:r w:rsidR="000329C6" w:rsidRPr="00F67F66">
        <w:rPr>
          <w:rFonts w:ascii="Arial" w:hAnsi="Arial" w:cs="Arial"/>
          <w:color w:val="000000" w:themeColor="text1"/>
          <w:sz w:val="20"/>
          <w:szCs w:val="20"/>
          <w:vertAlign w:val="subscript"/>
        </w:rPr>
        <w:t>3</w:t>
      </w:r>
      <w:r w:rsidR="000329C6" w:rsidRPr="00F67F66">
        <w:rPr>
          <w:rFonts w:ascii="Arial" w:hAnsi="Arial" w:cs="Arial"/>
          <w:color w:val="000000" w:themeColor="text1"/>
          <w:sz w:val="20"/>
          <w:szCs w:val="20"/>
          <w:vertAlign w:val="superscript"/>
        </w:rPr>
        <w:t>-</w:t>
      </w:r>
      <w:r w:rsidR="000329C6" w:rsidRPr="00F67F66">
        <w:rPr>
          <w:rFonts w:ascii="Arial" w:hAnsi="Arial" w:cs="Arial"/>
          <w:color w:val="000000" w:themeColor="text1"/>
          <w:sz w:val="20"/>
          <w:szCs w:val="20"/>
        </w:rPr>
        <w:t xml:space="preserve"> (green), and INU (orange) </w:t>
      </w:r>
      <w:r w:rsidR="009908BD" w:rsidRPr="00F67F66">
        <w:rPr>
          <w:rFonts w:ascii="Arial" w:hAnsi="Arial" w:cs="Arial"/>
          <w:color w:val="000000" w:themeColor="text1"/>
          <w:sz w:val="20"/>
          <w:szCs w:val="20"/>
        </w:rPr>
        <w:t>conditions</w:t>
      </w:r>
      <w:r w:rsidR="000329C6" w:rsidRPr="00F67F66">
        <w:rPr>
          <w:rFonts w:ascii="Arial" w:hAnsi="Arial" w:cs="Arial"/>
          <w:color w:val="000000" w:themeColor="text1"/>
          <w:sz w:val="20"/>
          <w:szCs w:val="20"/>
        </w:rPr>
        <w:t>. A) plasma acetate (µM) over 360 minutes; B) plasma acetate tAUC from baseline to 360 minutes; C) plasma propionate (µM) over 360 minutes; D) plasma propionate tAUC from baseline to 360 minutes; E) plasma butyrate (µM) over 360 minutes; F) plasma butyrate tAUC from baseline to 360 minutes. All results are expressed as means ± SD (n = 20). tAUC = total area under the curve. ns p &gt; 0.05, **p = 0.001, *p &lt; 0.01. Abbreviations: tAUC, total area under the curve; INU, inulin; NO</w:t>
      </w:r>
      <w:r w:rsidR="000329C6" w:rsidRPr="00F67F66">
        <w:rPr>
          <w:rFonts w:ascii="Arial" w:hAnsi="Arial" w:cs="Arial"/>
          <w:color w:val="000000" w:themeColor="text1"/>
          <w:sz w:val="20"/>
          <w:szCs w:val="20"/>
          <w:vertAlign w:val="subscript"/>
        </w:rPr>
        <w:t>3</w:t>
      </w:r>
      <w:r w:rsidR="000329C6" w:rsidRPr="00F67F66">
        <w:rPr>
          <w:rFonts w:ascii="Arial" w:hAnsi="Arial" w:cs="Arial"/>
          <w:color w:val="000000" w:themeColor="text1"/>
          <w:sz w:val="20"/>
          <w:szCs w:val="20"/>
          <w:vertAlign w:val="superscript"/>
        </w:rPr>
        <w:t>-</w:t>
      </w:r>
      <w:r w:rsidR="000329C6" w:rsidRPr="00F67F66">
        <w:rPr>
          <w:rFonts w:ascii="Arial" w:hAnsi="Arial" w:cs="Arial"/>
          <w:color w:val="000000" w:themeColor="text1"/>
          <w:sz w:val="20"/>
          <w:szCs w:val="20"/>
        </w:rPr>
        <w:t>, nitrate; min, minutes.</w:t>
      </w:r>
    </w:p>
    <w:p w14:paraId="15E0D610" w14:textId="77777777" w:rsidR="00AB064E" w:rsidRDefault="00AB064E" w:rsidP="00AB064E">
      <w:pPr>
        <w:rPr>
          <w:rFonts w:ascii="Arial" w:hAnsi="Arial" w:cs="Arial"/>
          <w:b/>
          <w:bCs/>
          <w:sz w:val="16"/>
          <w:szCs w:val="16"/>
        </w:rPr>
      </w:pPr>
    </w:p>
    <w:p w14:paraId="01ED04C7" w14:textId="77777777" w:rsidR="00AB064E" w:rsidRDefault="00AB064E" w:rsidP="00AB064E">
      <w:pPr>
        <w:rPr>
          <w:rFonts w:ascii="Arial" w:hAnsi="Arial" w:cs="Arial"/>
          <w:b/>
          <w:bCs/>
          <w:sz w:val="16"/>
          <w:szCs w:val="16"/>
        </w:rPr>
      </w:pPr>
    </w:p>
    <w:p w14:paraId="518964AC" w14:textId="77777777" w:rsidR="00AB064E" w:rsidRPr="00AB064E" w:rsidRDefault="00AB064E" w:rsidP="00AB064E">
      <w:pPr>
        <w:rPr>
          <w:rFonts w:ascii="Arial" w:hAnsi="Arial" w:cs="Arial"/>
          <w:sz w:val="16"/>
          <w:szCs w:val="16"/>
        </w:rPr>
        <w:sectPr w:rsidR="00AB064E" w:rsidRPr="00AB064E" w:rsidSect="00C0224A">
          <w:pgSz w:w="16838" w:h="11906" w:orient="landscape"/>
          <w:pgMar w:top="1080" w:right="1440" w:bottom="1080" w:left="1440" w:header="708" w:footer="708" w:gutter="0"/>
          <w:cols w:space="708"/>
          <w:docGrid w:linePitch="360"/>
        </w:sectPr>
      </w:pPr>
    </w:p>
    <w:p w14:paraId="62DE5E9E" w14:textId="7EC88E65" w:rsidR="00D04EA5" w:rsidRPr="00F30BB9" w:rsidRDefault="001A12C8" w:rsidP="004F3259">
      <w:pPr>
        <w:spacing w:line="360" w:lineRule="auto"/>
        <w:contextualSpacing/>
        <w:jc w:val="both"/>
        <w:rPr>
          <w:rFonts w:ascii="Arial" w:hAnsi="Arial" w:cs="Arial"/>
          <w:b/>
          <w:bCs/>
        </w:rPr>
      </w:pPr>
      <w:r w:rsidRPr="00E20762">
        <w:rPr>
          <w:rFonts w:ascii="Arial" w:hAnsi="Arial" w:cs="Arial"/>
          <w:b/>
          <w:bCs/>
        </w:rPr>
        <w:t>Supplementa</w:t>
      </w:r>
      <w:r w:rsidR="00C33643">
        <w:rPr>
          <w:rFonts w:ascii="Arial" w:hAnsi="Arial" w:cs="Arial"/>
          <w:b/>
          <w:bCs/>
        </w:rPr>
        <w:t>ry</w:t>
      </w:r>
      <w:r w:rsidRPr="00E20762">
        <w:rPr>
          <w:rFonts w:ascii="Arial" w:hAnsi="Arial" w:cs="Arial"/>
          <w:b/>
          <w:bCs/>
        </w:rPr>
        <w:t xml:space="preserve"> </w:t>
      </w:r>
      <w:r w:rsidR="00315650">
        <w:rPr>
          <w:rFonts w:ascii="Arial" w:hAnsi="Arial" w:cs="Arial"/>
          <w:b/>
          <w:bCs/>
        </w:rPr>
        <w:t>R</w:t>
      </w:r>
      <w:r w:rsidRPr="00E20762">
        <w:rPr>
          <w:rFonts w:ascii="Arial" w:hAnsi="Arial" w:cs="Arial"/>
          <w:b/>
          <w:bCs/>
        </w:rPr>
        <w:t>eferences</w:t>
      </w:r>
    </w:p>
    <w:p w14:paraId="32852FB7" w14:textId="48A115B1" w:rsidR="00972C58" w:rsidRPr="00972C58" w:rsidRDefault="00F94DDC" w:rsidP="00972C58">
      <w:pPr>
        <w:pStyle w:val="EndNoteBibliography"/>
        <w:spacing w:after="0"/>
        <w:ind w:left="720" w:hanging="720"/>
      </w:pPr>
      <w:r w:rsidRPr="00E20762">
        <w:fldChar w:fldCharType="begin"/>
      </w:r>
      <w:r w:rsidRPr="00E20762">
        <w:instrText xml:space="preserve"> ADDIN EN.REFLIST </w:instrText>
      </w:r>
      <w:r w:rsidRPr="00E20762">
        <w:fldChar w:fldCharType="separate"/>
      </w:r>
      <w:r w:rsidR="00972C58" w:rsidRPr="00972C58">
        <w:t xml:space="preserve">Blanca, M. J., Arnau, J., García-Castro, F. J., Alarcón, R., &amp; Bono, R. (2023). Non-normal Data in Repeated Measures ANOVA: Impact on Type I Error and Power. </w:t>
      </w:r>
      <w:r w:rsidR="00972C58" w:rsidRPr="00972C58">
        <w:rPr>
          <w:i/>
        </w:rPr>
        <w:t>Psicothema</w:t>
      </w:r>
      <w:r w:rsidR="00972C58" w:rsidRPr="00972C58">
        <w:t>,</w:t>
      </w:r>
      <w:r w:rsidR="00972C58" w:rsidRPr="00972C58">
        <w:rPr>
          <w:i/>
        </w:rPr>
        <w:t xml:space="preserve"> 35</w:t>
      </w:r>
      <w:r w:rsidR="00972C58" w:rsidRPr="00972C58">
        <w:t xml:space="preserve">(1), 21-29. </w:t>
      </w:r>
      <w:hyperlink r:id="rId15" w:history="1">
        <w:r w:rsidR="00972C58" w:rsidRPr="00972C58">
          <w:rPr>
            <w:rStyle w:val="Hyperlink"/>
          </w:rPr>
          <w:t>https://doi.org/10.7334/psicothema2022.292</w:t>
        </w:r>
      </w:hyperlink>
      <w:r w:rsidR="00972C58" w:rsidRPr="00972C58">
        <w:t xml:space="preserve"> </w:t>
      </w:r>
    </w:p>
    <w:p w14:paraId="2E219F4A" w14:textId="78FBD5A5" w:rsidR="00972C58" w:rsidRPr="00972C58" w:rsidRDefault="00972C58" w:rsidP="00972C58">
      <w:pPr>
        <w:pStyle w:val="EndNoteBibliography"/>
        <w:spacing w:after="0"/>
        <w:ind w:left="720" w:hanging="720"/>
      </w:pPr>
      <w:r w:rsidRPr="00972C58">
        <w:t xml:space="preserve">Dei Cas, M., Paroni, R., Saccardo, A., Casagni, E., Arnoldi, S., Gambaro, V., Saresella, M., Mario, C., La Rosa, F., Marventano, I., Piancone, F., &amp; Roda, G. (2020). A straightforward LC-MS/MS analysis to study serum profile of short and medium chain fatty acids. </w:t>
      </w:r>
      <w:r w:rsidRPr="00972C58">
        <w:rPr>
          <w:i/>
        </w:rPr>
        <w:t>J Chromatogr B Analyt Technol Biomed Life Sci</w:t>
      </w:r>
      <w:r w:rsidRPr="00972C58">
        <w:t>,</w:t>
      </w:r>
      <w:r w:rsidRPr="00972C58">
        <w:rPr>
          <w:i/>
        </w:rPr>
        <w:t xml:space="preserve"> 1154</w:t>
      </w:r>
      <w:r w:rsidRPr="00972C58">
        <w:t xml:space="preserve">, 121982. </w:t>
      </w:r>
      <w:hyperlink r:id="rId16" w:history="1">
        <w:r w:rsidRPr="00972C58">
          <w:rPr>
            <w:rStyle w:val="Hyperlink"/>
          </w:rPr>
          <w:t>https://doi.org/10.1016/j.jchromb.2020.121982</w:t>
        </w:r>
      </w:hyperlink>
      <w:r w:rsidRPr="00972C58">
        <w:t xml:space="preserve"> </w:t>
      </w:r>
    </w:p>
    <w:p w14:paraId="2B5A7152" w14:textId="428628FB" w:rsidR="00972C58" w:rsidRPr="00972C58" w:rsidRDefault="00972C58" w:rsidP="00972C58">
      <w:pPr>
        <w:pStyle w:val="EndNoteBibliography"/>
        <w:spacing w:after="0"/>
        <w:ind w:left="720" w:hanging="720"/>
      </w:pPr>
      <w:r w:rsidRPr="00972C58">
        <w:t xml:space="preserve">McDonagh, S. T. J., Wylie, L. J., Webster, J. M. A., Vanhatalo, A., &amp; Jones, A. M. (2018). Influence of dietary nitrate food forms on nitrate metabolism and blood pressure in healthy normotensive adults. </w:t>
      </w:r>
      <w:r w:rsidRPr="00972C58">
        <w:rPr>
          <w:i/>
        </w:rPr>
        <w:t>Nitric Oxide</w:t>
      </w:r>
      <w:r w:rsidRPr="00972C58">
        <w:t>,</w:t>
      </w:r>
      <w:r w:rsidRPr="00972C58">
        <w:rPr>
          <w:i/>
        </w:rPr>
        <w:t xml:space="preserve"> 72</w:t>
      </w:r>
      <w:r w:rsidRPr="00972C58">
        <w:t xml:space="preserve">, 66-74. </w:t>
      </w:r>
      <w:hyperlink r:id="rId17" w:history="1">
        <w:r w:rsidRPr="00972C58">
          <w:rPr>
            <w:rStyle w:val="Hyperlink"/>
          </w:rPr>
          <w:t>https://doi.org/10.1016/j.niox.2017.12.001</w:t>
        </w:r>
      </w:hyperlink>
      <w:r w:rsidRPr="00972C58">
        <w:t xml:space="preserve"> </w:t>
      </w:r>
    </w:p>
    <w:p w14:paraId="7D17B327" w14:textId="4F9B8483" w:rsidR="00972C58" w:rsidRPr="00972C58" w:rsidRDefault="00972C58" w:rsidP="00972C58">
      <w:pPr>
        <w:pStyle w:val="EndNoteBibliography"/>
        <w:spacing w:after="0"/>
        <w:ind w:left="720" w:hanging="720"/>
      </w:pPr>
      <w:r w:rsidRPr="00972C58">
        <w:t xml:space="preserve">Mukaka, M. M. (2012). Statistics corner: A guide to appropriate use of correlation coefficient in medical research. </w:t>
      </w:r>
      <w:r w:rsidRPr="00972C58">
        <w:rPr>
          <w:i/>
        </w:rPr>
        <w:t>Malawi Med J</w:t>
      </w:r>
      <w:r w:rsidRPr="00972C58">
        <w:t>,</w:t>
      </w:r>
      <w:r w:rsidRPr="00972C58">
        <w:rPr>
          <w:i/>
        </w:rPr>
        <w:t xml:space="preserve"> 24</w:t>
      </w:r>
      <w:r w:rsidRPr="00972C58">
        <w:t xml:space="preserve">(3), 69-71. </w:t>
      </w:r>
      <w:hyperlink r:id="rId18" w:history="1">
        <w:r w:rsidRPr="00972C58">
          <w:rPr>
            <w:rStyle w:val="Hyperlink"/>
          </w:rPr>
          <w:t>https://www.ncbi.nlm.nih.gov/pmc/articles/PMC3576830/pdf/MMJ2403-0069.pdf</w:t>
        </w:r>
      </w:hyperlink>
      <w:r w:rsidRPr="00972C58">
        <w:t xml:space="preserve"> </w:t>
      </w:r>
    </w:p>
    <w:p w14:paraId="045342C0" w14:textId="70544429" w:rsidR="00972C58" w:rsidRPr="00972C58" w:rsidRDefault="00972C58" w:rsidP="00972C58">
      <w:pPr>
        <w:pStyle w:val="EndNoteBibliography"/>
        <w:ind w:left="720" w:hanging="720"/>
      </w:pPr>
      <w:r w:rsidRPr="00972C58">
        <w:t xml:space="preserve">Yuan, X., Zhou, F., Wang, H., Xu, X., Xu, S., Zhang, C., Zhang, Y., Lu, M., Zhang, Y., Zhou, M., Li, H., Zhang, X., Zhang, T., &amp; Song, J. (2023). Systemic antibiotics increase microbiota pathogenicity and oral bone loss. </w:t>
      </w:r>
      <w:r w:rsidRPr="00972C58">
        <w:rPr>
          <w:i/>
        </w:rPr>
        <w:t>International Journal of Oral Science</w:t>
      </w:r>
      <w:r w:rsidRPr="00972C58">
        <w:t>,</w:t>
      </w:r>
      <w:r w:rsidRPr="00972C58">
        <w:rPr>
          <w:i/>
        </w:rPr>
        <w:t xml:space="preserve"> 15</w:t>
      </w:r>
      <w:r w:rsidRPr="00972C58">
        <w:t xml:space="preserve">(1), 4. </w:t>
      </w:r>
      <w:hyperlink r:id="rId19" w:history="1">
        <w:r w:rsidRPr="00972C58">
          <w:rPr>
            <w:rStyle w:val="Hyperlink"/>
          </w:rPr>
          <w:t>https://doi.org/10.1038/s41368-022-00212-1</w:t>
        </w:r>
      </w:hyperlink>
      <w:r w:rsidRPr="00972C58">
        <w:t xml:space="preserve"> </w:t>
      </w:r>
    </w:p>
    <w:p w14:paraId="5ECADC5A" w14:textId="02AEBB47" w:rsidR="001A12C8" w:rsidRPr="00E20762" w:rsidRDefault="00F94DDC" w:rsidP="00D04EA5">
      <w:pPr>
        <w:spacing w:line="360" w:lineRule="auto"/>
        <w:jc w:val="both"/>
        <w:rPr>
          <w:rFonts w:ascii="Arial" w:hAnsi="Arial" w:cs="Arial"/>
        </w:rPr>
      </w:pPr>
      <w:r w:rsidRPr="00E20762">
        <w:rPr>
          <w:rFonts w:ascii="Arial" w:hAnsi="Arial" w:cs="Arial"/>
        </w:rPr>
        <w:fldChar w:fldCharType="end"/>
      </w:r>
    </w:p>
    <w:sectPr w:rsidR="001A12C8" w:rsidRPr="00E20762" w:rsidSect="00C0224A">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F182D" w14:textId="77777777" w:rsidR="00773C6E" w:rsidRDefault="00773C6E" w:rsidP="00BE305F">
      <w:pPr>
        <w:spacing w:after="0" w:line="240" w:lineRule="auto"/>
      </w:pPr>
      <w:r>
        <w:separator/>
      </w:r>
    </w:p>
  </w:endnote>
  <w:endnote w:type="continuationSeparator" w:id="0">
    <w:p w14:paraId="5302AE87" w14:textId="77777777" w:rsidR="00773C6E" w:rsidRDefault="00773C6E" w:rsidP="00BE30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5118071"/>
      <w:docPartObj>
        <w:docPartGallery w:val="Page Numbers (Bottom of Page)"/>
        <w:docPartUnique/>
      </w:docPartObj>
    </w:sdtPr>
    <w:sdtEndPr>
      <w:rPr>
        <w:noProof/>
      </w:rPr>
    </w:sdtEndPr>
    <w:sdtContent>
      <w:p w14:paraId="7DF70E62" w14:textId="0606657F" w:rsidR="00944639" w:rsidRDefault="0094463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83D70B" w14:textId="77777777" w:rsidR="00944639" w:rsidRDefault="009446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F7A41" w14:textId="77777777" w:rsidR="00773C6E" w:rsidRDefault="00773C6E" w:rsidP="00BE305F">
      <w:pPr>
        <w:spacing w:after="0" w:line="240" w:lineRule="auto"/>
      </w:pPr>
      <w:r>
        <w:separator/>
      </w:r>
    </w:p>
  </w:footnote>
  <w:footnote w:type="continuationSeparator" w:id="0">
    <w:p w14:paraId="56073925" w14:textId="77777777" w:rsidR="00773C6E" w:rsidRDefault="00773C6E" w:rsidP="00BE30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7279" w14:textId="6234A824" w:rsidR="00A846AD" w:rsidRDefault="00A846AD">
    <w:pPr>
      <w:pStyle w:val="Header"/>
    </w:pPr>
    <w:r w:rsidRPr="00A846AD">
      <w:t>Supplementary Methods</w:t>
    </w:r>
  </w:p>
  <w:p w14:paraId="1DF78777" w14:textId="77777777" w:rsidR="00A846AD" w:rsidRDefault="00A846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3283A"/>
    <w:multiLevelType w:val="hybridMultilevel"/>
    <w:tmpl w:val="E43202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02E7F1D"/>
    <w:multiLevelType w:val="hybridMultilevel"/>
    <w:tmpl w:val="A92203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080562">
    <w:abstractNumId w:val="0"/>
  </w:num>
  <w:num w:numId="2" w16cid:durableId="1294093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PA 7th&lt;/Style&gt;&lt;LeftDelim&gt;{&lt;/LeftDelim&gt;&lt;RightDelim&gt;}&lt;/RightDelim&gt;&lt;FontName&gt;Aptos&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x95xep0r55xxue5z0tp0xfo2d9x9x5txe0w&quot;&gt;Jessica&amp;apos;s library&lt;record-ids&gt;&lt;item&gt;83&lt;/item&gt;&lt;item&gt;88&lt;/item&gt;&lt;item&gt;111&lt;/item&gt;&lt;item&gt;124&lt;/item&gt;&lt;item&gt;162&lt;/item&gt;&lt;/record-ids&gt;&lt;/item&gt;&lt;/Libraries&gt;"/>
  </w:docVars>
  <w:rsids>
    <w:rsidRoot w:val="00786105"/>
    <w:rsid w:val="0000085E"/>
    <w:rsid w:val="0001220E"/>
    <w:rsid w:val="00016F2A"/>
    <w:rsid w:val="0001761D"/>
    <w:rsid w:val="00022F56"/>
    <w:rsid w:val="00023B52"/>
    <w:rsid w:val="00025DE8"/>
    <w:rsid w:val="00026091"/>
    <w:rsid w:val="000306A3"/>
    <w:rsid w:val="000329C6"/>
    <w:rsid w:val="00040B75"/>
    <w:rsid w:val="000454E7"/>
    <w:rsid w:val="00045771"/>
    <w:rsid w:val="00060406"/>
    <w:rsid w:val="00062E44"/>
    <w:rsid w:val="00064D31"/>
    <w:rsid w:val="000661BA"/>
    <w:rsid w:val="00067AAC"/>
    <w:rsid w:val="00070A83"/>
    <w:rsid w:val="00071ED1"/>
    <w:rsid w:val="00073043"/>
    <w:rsid w:val="00087306"/>
    <w:rsid w:val="0009171E"/>
    <w:rsid w:val="00092439"/>
    <w:rsid w:val="0009692E"/>
    <w:rsid w:val="000A36F9"/>
    <w:rsid w:val="000B3C58"/>
    <w:rsid w:val="000C0695"/>
    <w:rsid w:val="000F27F2"/>
    <w:rsid w:val="0010112F"/>
    <w:rsid w:val="00104343"/>
    <w:rsid w:val="00105A56"/>
    <w:rsid w:val="00107495"/>
    <w:rsid w:val="001079FD"/>
    <w:rsid w:val="0011377E"/>
    <w:rsid w:val="00120780"/>
    <w:rsid w:val="00123E1C"/>
    <w:rsid w:val="001264CB"/>
    <w:rsid w:val="00151111"/>
    <w:rsid w:val="00161B7D"/>
    <w:rsid w:val="00165F19"/>
    <w:rsid w:val="0016731D"/>
    <w:rsid w:val="00170534"/>
    <w:rsid w:val="00192791"/>
    <w:rsid w:val="001A12C8"/>
    <w:rsid w:val="001C2B9E"/>
    <w:rsid w:val="001D0867"/>
    <w:rsid w:val="001D2EC3"/>
    <w:rsid w:val="001D3B4D"/>
    <w:rsid w:val="001D5970"/>
    <w:rsid w:val="001D6603"/>
    <w:rsid w:val="001F4EBF"/>
    <w:rsid w:val="001F68BE"/>
    <w:rsid w:val="00200A1B"/>
    <w:rsid w:val="00207668"/>
    <w:rsid w:val="002215A4"/>
    <w:rsid w:val="00222F4E"/>
    <w:rsid w:val="00230962"/>
    <w:rsid w:val="00237517"/>
    <w:rsid w:val="00242236"/>
    <w:rsid w:val="0024784A"/>
    <w:rsid w:val="00255D0B"/>
    <w:rsid w:val="002653C7"/>
    <w:rsid w:val="00265599"/>
    <w:rsid w:val="002665CB"/>
    <w:rsid w:val="00275EF0"/>
    <w:rsid w:val="00281072"/>
    <w:rsid w:val="00282658"/>
    <w:rsid w:val="002A4582"/>
    <w:rsid w:val="002B697E"/>
    <w:rsid w:val="002C0298"/>
    <w:rsid w:val="002C2CCC"/>
    <w:rsid w:val="002C6267"/>
    <w:rsid w:val="002D5018"/>
    <w:rsid w:val="002F5CAE"/>
    <w:rsid w:val="0030228F"/>
    <w:rsid w:val="003029BD"/>
    <w:rsid w:val="00315650"/>
    <w:rsid w:val="003174DA"/>
    <w:rsid w:val="00320DEA"/>
    <w:rsid w:val="00327153"/>
    <w:rsid w:val="00331D9A"/>
    <w:rsid w:val="003328A7"/>
    <w:rsid w:val="00334B39"/>
    <w:rsid w:val="00341CFD"/>
    <w:rsid w:val="00354B87"/>
    <w:rsid w:val="0035719D"/>
    <w:rsid w:val="0036544A"/>
    <w:rsid w:val="00367238"/>
    <w:rsid w:val="00377C44"/>
    <w:rsid w:val="00381860"/>
    <w:rsid w:val="00385B79"/>
    <w:rsid w:val="00387A7D"/>
    <w:rsid w:val="00387C08"/>
    <w:rsid w:val="00394028"/>
    <w:rsid w:val="00394E06"/>
    <w:rsid w:val="003A5AC2"/>
    <w:rsid w:val="003A7E8D"/>
    <w:rsid w:val="003B1A17"/>
    <w:rsid w:val="003D51BE"/>
    <w:rsid w:val="003E7694"/>
    <w:rsid w:val="003F3790"/>
    <w:rsid w:val="00401B0A"/>
    <w:rsid w:val="0040722F"/>
    <w:rsid w:val="0041614F"/>
    <w:rsid w:val="00436559"/>
    <w:rsid w:val="00436BC4"/>
    <w:rsid w:val="00445699"/>
    <w:rsid w:val="00481322"/>
    <w:rsid w:val="004945FD"/>
    <w:rsid w:val="004955BF"/>
    <w:rsid w:val="004A455D"/>
    <w:rsid w:val="004A691D"/>
    <w:rsid w:val="004A720B"/>
    <w:rsid w:val="004B0B61"/>
    <w:rsid w:val="004B4866"/>
    <w:rsid w:val="004B6B25"/>
    <w:rsid w:val="004C2671"/>
    <w:rsid w:val="004D0C8A"/>
    <w:rsid w:val="004F071C"/>
    <w:rsid w:val="004F2ABA"/>
    <w:rsid w:val="004F3259"/>
    <w:rsid w:val="00500C79"/>
    <w:rsid w:val="005058CB"/>
    <w:rsid w:val="0052244C"/>
    <w:rsid w:val="005401F6"/>
    <w:rsid w:val="00542A1D"/>
    <w:rsid w:val="0054317C"/>
    <w:rsid w:val="00551B30"/>
    <w:rsid w:val="00563F8A"/>
    <w:rsid w:val="005923F3"/>
    <w:rsid w:val="005958B1"/>
    <w:rsid w:val="005A6AD1"/>
    <w:rsid w:val="005B594C"/>
    <w:rsid w:val="005C36AD"/>
    <w:rsid w:val="005C584D"/>
    <w:rsid w:val="005F0690"/>
    <w:rsid w:val="005F1BD2"/>
    <w:rsid w:val="006076FA"/>
    <w:rsid w:val="006336CA"/>
    <w:rsid w:val="00644487"/>
    <w:rsid w:val="0065069C"/>
    <w:rsid w:val="00654CBA"/>
    <w:rsid w:val="00667990"/>
    <w:rsid w:val="0067461B"/>
    <w:rsid w:val="00675C4D"/>
    <w:rsid w:val="006765F2"/>
    <w:rsid w:val="006843B0"/>
    <w:rsid w:val="00686063"/>
    <w:rsid w:val="00697F9A"/>
    <w:rsid w:val="006A25C4"/>
    <w:rsid w:val="006B189B"/>
    <w:rsid w:val="006C18BC"/>
    <w:rsid w:val="006D1C1B"/>
    <w:rsid w:val="006D751E"/>
    <w:rsid w:val="006F0457"/>
    <w:rsid w:val="006F4B1F"/>
    <w:rsid w:val="006F5B2D"/>
    <w:rsid w:val="007036A8"/>
    <w:rsid w:val="007036D3"/>
    <w:rsid w:val="00713C9B"/>
    <w:rsid w:val="00716B84"/>
    <w:rsid w:val="00733488"/>
    <w:rsid w:val="00734CDB"/>
    <w:rsid w:val="00742527"/>
    <w:rsid w:val="007573E3"/>
    <w:rsid w:val="00763A7E"/>
    <w:rsid w:val="00772081"/>
    <w:rsid w:val="007733BD"/>
    <w:rsid w:val="00773C6E"/>
    <w:rsid w:val="0077406D"/>
    <w:rsid w:val="007740DE"/>
    <w:rsid w:val="00780DB3"/>
    <w:rsid w:val="00780F16"/>
    <w:rsid w:val="00786105"/>
    <w:rsid w:val="00790BE3"/>
    <w:rsid w:val="007A18FB"/>
    <w:rsid w:val="007A6562"/>
    <w:rsid w:val="007B2741"/>
    <w:rsid w:val="007B3C7E"/>
    <w:rsid w:val="007B7F7B"/>
    <w:rsid w:val="007F2D31"/>
    <w:rsid w:val="008002B6"/>
    <w:rsid w:val="00810B5C"/>
    <w:rsid w:val="0082216F"/>
    <w:rsid w:val="00827754"/>
    <w:rsid w:val="00827F69"/>
    <w:rsid w:val="00844231"/>
    <w:rsid w:val="00864557"/>
    <w:rsid w:val="00867219"/>
    <w:rsid w:val="00870086"/>
    <w:rsid w:val="00870587"/>
    <w:rsid w:val="0087789B"/>
    <w:rsid w:val="00882D32"/>
    <w:rsid w:val="00885B9B"/>
    <w:rsid w:val="008864EF"/>
    <w:rsid w:val="008B0DB6"/>
    <w:rsid w:val="008C386A"/>
    <w:rsid w:val="008D1A84"/>
    <w:rsid w:val="008D3308"/>
    <w:rsid w:val="008E40D9"/>
    <w:rsid w:val="008E53A6"/>
    <w:rsid w:val="008F29AB"/>
    <w:rsid w:val="008F4620"/>
    <w:rsid w:val="00900B9C"/>
    <w:rsid w:val="009014F2"/>
    <w:rsid w:val="00901CE1"/>
    <w:rsid w:val="00907CD5"/>
    <w:rsid w:val="0092576E"/>
    <w:rsid w:val="00927AA2"/>
    <w:rsid w:val="00931202"/>
    <w:rsid w:val="009315E0"/>
    <w:rsid w:val="00932193"/>
    <w:rsid w:val="00944639"/>
    <w:rsid w:val="00950333"/>
    <w:rsid w:val="00972C58"/>
    <w:rsid w:val="00972ED0"/>
    <w:rsid w:val="009750E9"/>
    <w:rsid w:val="009861D3"/>
    <w:rsid w:val="009908BD"/>
    <w:rsid w:val="009A6789"/>
    <w:rsid w:val="009B0C49"/>
    <w:rsid w:val="009B5B83"/>
    <w:rsid w:val="009C06BF"/>
    <w:rsid w:val="009D0A78"/>
    <w:rsid w:val="009D10D2"/>
    <w:rsid w:val="009D5B6F"/>
    <w:rsid w:val="009D7C17"/>
    <w:rsid w:val="009E4135"/>
    <w:rsid w:val="009E6241"/>
    <w:rsid w:val="009F518F"/>
    <w:rsid w:val="009F70CA"/>
    <w:rsid w:val="00A02F4A"/>
    <w:rsid w:val="00A1259B"/>
    <w:rsid w:val="00A17D6D"/>
    <w:rsid w:val="00A232A5"/>
    <w:rsid w:val="00A23567"/>
    <w:rsid w:val="00A33A14"/>
    <w:rsid w:val="00A366FD"/>
    <w:rsid w:val="00A44862"/>
    <w:rsid w:val="00A54842"/>
    <w:rsid w:val="00A5514F"/>
    <w:rsid w:val="00A61394"/>
    <w:rsid w:val="00A836C2"/>
    <w:rsid w:val="00A846AD"/>
    <w:rsid w:val="00A92B8B"/>
    <w:rsid w:val="00A93623"/>
    <w:rsid w:val="00A967EC"/>
    <w:rsid w:val="00AA7396"/>
    <w:rsid w:val="00AB064E"/>
    <w:rsid w:val="00AC4BB3"/>
    <w:rsid w:val="00AE211A"/>
    <w:rsid w:val="00AE3AF8"/>
    <w:rsid w:val="00AF3C0E"/>
    <w:rsid w:val="00AF5640"/>
    <w:rsid w:val="00B05C2B"/>
    <w:rsid w:val="00B1122F"/>
    <w:rsid w:val="00B226C8"/>
    <w:rsid w:val="00B35AAF"/>
    <w:rsid w:val="00B7622F"/>
    <w:rsid w:val="00B77F7B"/>
    <w:rsid w:val="00B83CC0"/>
    <w:rsid w:val="00BA086A"/>
    <w:rsid w:val="00BA2A04"/>
    <w:rsid w:val="00BA4010"/>
    <w:rsid w:val="00BB1951"/>
    <w:rsid w:val="00BB317E"/>
    <w:rsid w:val="00BC4BC7"/>
    <w:rsid w:val="00BD2910"/>
    <w:rsid w:val="00BE305F"/>
    <w:rsid w:val="00C001AC"/>
    <w:rsid w:val="00C0224A"/>
    <w:rsid w:val="00C0469A"/>
    <w:rsid w:val="00C10261"/>
    <w:rsid w:val="00C13C13"/>
    <w:rsid w:val="00C13DC2"/>
    <w:rsid w:val="00C1686A"/>
    <w:rsid w:val="00C265CF"/>
    <w:rsid w:val="00C33643"/>
    <w:rsid w:val="00C4525B"/>
    <w:rsid w:val="00C4640A"/>
    <w:rsid w:val="00C46D44"/>
    <w:rsid w:val="00C518FC"/>
    <w:rsid w:val="00C62750"/>
    <w:rsid w:val="00C66104"/>
    <w:rsid w:val="00C73D3F"/>
    <w:rsid w:val="00C75807"/>
    <w:rsid w:val="00C77028"/>
    <w:rsid w:val="00C82179"/>
    <w:rsid w:val="00C83E3F"/>
    <w:rsid w:val="00C84C68"/>
    <w:rsid w:val="00C903E2"/>
    <w:rsid w:val="00CA2B3A"/>
    <w:rsid w:val="00CC1C41"/>
    <w:rsid w:val="00CD7C58"/>
    <w:rsid w:val="00CE0997"/>
    <w:rsid w:val="00CE371F"/>
    <w:rsid w:val="00CF7CA0"/>
    <w:rsid w:val="00CF7E14"/>
    <w:rsid w:val="00D03CCF"/>
    <w:rsid w:val="00D04EA5"/>
    <w:rsid w:val="00D05ABF"/>
    <w:rsid w:val="00D21D94"/>
    <w:rsid w:val="00D23257"/>
    <w:rsid w:val="00D37400"/>
    <w:rsid w:val="00D455AE"/>
    <w:rsid w:val="00D521AB"/>
    <w:rsid w:val="00D60AED"/>
    <w:rsid w:val="00D614F5"/>
    <w:rsid w:val="00D662AF"/>
    <w:rsid w:val="00D75B6E"/>
    <w:rsid w:val="00D93539"/>
    <w:rsid w:val="00D94EBE"/>
    <w:rsid w:val="00D9709A"/>
    <w:rsid w:val="00D97F4F"/>
    <w:rsid w:val="00DA75D7"/>
    <w:rsid w:val="00DB2D9A"/>
    <w:rsid w:val="00DB72A7"/>
    <w:rsid w:val="00DB7CBC"/>
    <w:rsid w:val="00DE5389"/>
    <w:rsid w:val="00DF0C15"/>
    <w:rsid w:val="00DF779B"/>
    <w:rsid w:val="00E07AB1"/>
    <w:rsid w:val="00E07C4C"/>
    <w:rsid w:val="00E15294"/>
    <w:rsid w:val="00E20762"/>
    <w:rsid w:val="00E2248F"/>
    <w:rsid w:val="00E27350"/>
    <w:rsid w:val="00E3427E"/>
    <w:rsid w:val="00E4011F"/>
    <w:rsid w:val="00E53A8C"/>
    <w:rsid w:val="00E6120A"/>
    <w:rsid w:val="00E66ED7"/>
    <w:rsid w:val="00E67925"/>
    <w:rsid w:val="00E67CD8"/>
    <w:rsid w:val="00E72B4E"/>
    <w:rsid w:val="00E87048"/>
    <w:rsid w:val="00E916B8"/>
    <w:rsid w:val="00EA3C05"/>
    <w:rsid w:val="00ED37E3"/>
    <w:rsid w:val="00ED617E"/>
    <w:rsid w:val="00EE24F4"/>
    <w:rsid w:val="00EE57C6"/>
    <w:rsid w:val="00EF3620"/>
    <w:rsid w:val="00F005DF"/>
    <w:rsid w:val="00F00AB2"/>
    <w:rsid w:val="00F02C0C"/>
    <w:rsid w:val="00F204A0"/>
    <w:rsid w:val="00F30BB9"/>
    <w:rsid w:val="00F3390E"/>
    <w:rsid w:val="00F36D73"/>
    <w:rsid w:val="00F44104"/>
    <w:rsid w:val="00F47128"/>
    <w:rsid w:val="00F529A2"/>
    <w:rsid w:val="00F53F04"/>
    <w:rsid w:val="00F67F66"/>
    <w:rsid w:val="00F81CB1"/>
    <w:rsid w:val="00F92256"/>
    <w:rsid w:val="00F94DDC"/>
    <w:rsid w:val="00FB1E77"/>
    <w:rsid w:val="00FC4C4C"/>
    <w:rsid w:val="00FD2193"/>
    <w:rsid w:val="00FD549F"/>
    <w:rsid w:val="00FE339D"/>
    <w:rsid w:val="00FF7D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E34431"/>
  <w15:chartTrackingRefBased/>
  <w15:docId w15:val="{BD7656A3-B5F6-4AA3-97A5-46EA6BA42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61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61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61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61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61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61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61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61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61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61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61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61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61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61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61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61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61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6105"/>
    <w:rPr>
      <w:rFonts w:eastAsiaTheme="majorEastAsia" w:cstheme="majorBidi"/>
      <w:color w:val="272727" w:themeColor="text1" w:themeTint="D8"/>
    </w:rPr>
  </w:style>
  <w:style w:type="paragraph" w:styleId="Title">
    <w:name w:val="Title"/>
    <w:basedOn w:val="Normal"/>
    <w:next w:val="Normal"/>
    <w:link w:val="TitleChar"/>
    <w:uiPriority w:val="10"/>
    <w:qFormat/>
    <w:rsid w:val="007861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61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61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61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6105"/>
    <w:pPr>
      <w:spacing w:before="160"/>
      <w:jc w:val="center"/>
    </w:pPr>
    <w:rPr>
      <w:i/>
      <w:iCs/>
      <w:color w:val="404040" w:themeColor="text1" w:themeTint="BF"/>
    </w:rPr>
  </w:style>
  <w:style w:type="character" w:customStyle="1" w:styleId="QuoteChar">
    <w:name w:val="Quote Char"/>
    <w:basedOn w:val="DefaultParagraphFont"/>
    <w:link w:val="Quote"/>
    <w:uiPriority w:val="29"/>
    <w:rsid w:val="00786105"/>
    <w:rPr>
      <w:i/>
      <w:iCs/>
      <w:color w:val="404040" w:themeColor="text1" w:themeTint="BF"/>
    </w:rPr>
  </w:style>
  <w:style w:type="paragraph" w:styleId="ListParagraph">
    <w:name w:val="List Paragraph"/>
    <w:basedOn w:val="Normal"/>
    <w:uiPriority w:val="34"/>
    <w:qFormat/>
    <w:rsid w:val="00786105"/>
    <w:pPr>
      <w:ind w:left="720"/>
      <w:contextualSpacing/>
    </w:pPr>
  </w:style>
  <w:style w:type="character" w:styleId="IntenseEmphasis">
    <w:name w:val="Intense Emphasis"/>
    <w:basedOn w:val="DefaultParagraphFont"/>
    <w:uiPriority w:val="21"/>
    <w:qFormat/>
    <w:rsid w:val="00786105"/>
    <w:rPr>
      <w:i/>
      <w:iCs/>
      <w:color w:val="0F4761" w:themeColor="accent1" w:themeShade="BF"/>
    </w:rPr>
  </w:style>
  <w:style w:type="paragraph" w:styleId="IntenseQuote">
    <w:name w:val="Intense Quote"/>
    <w:basedOn w:val="Normal"/>
    <w:next w:val="Normal"/>
    <w:link w:val="IntenseQuoteChar"/>
    <w:uiPriority w:val="30"/>
    <w:qFormat/>
    <w:rsid w:val="007861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6105"/>
    <w:rPr>
      <w:i/>
      <w:iCs/>
      <w:color w:val="0F4761" w:themeColor="accent1" w:themeShade="BF"/>
    </w:rPr>
  </w:style>
  <w:style w:type="character" w:styleId="IntenseReference">
    <w:name w:val="Intense Reference"/>
    <w:basedOn w:val="DefaultParagraphFont"/>
    <w:uiPriority w:val="32"/>
    <w:qFormat/>
    <w:rsid w:val="00786105"/>
    <w:rPr>
      <w:b/>
      <w:bCs/>
      <w:smallCaps/>
      <w:color w:val="0F4761" w:themeColor="accent1" w:themeShade="BF"/>
      <w:spacing w:val="5"/>
    </w:rPr>
  </w:style>
  <w:style w:type="paragraph" w:styleId="Header">
    <w:name w:val="header"/>
    <w:basedOn w:val="Normal"/>
    <w:link w:val="HeaderChar"/>
    <w:uiPriority w:val="99"/>
    <w:unhideWhenUsed/>
    <w:rsid w:val="00BE30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305F"/>
  </w:style>
  <w:style w:type="paragraph" w:styleId="Footer">
    <w:name w:val="footer"/>
    <w:basedOn w:val="Normal"/>
    <w:link w:val="FooterChar"/>
    <w:uiPriority w:val="99"/>
    <w:unhideWhenUsed/>
    <w:rsid w:val="00BE30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305F"/>
  </w:style>
  <w:style w:type="table" w:styleId="TableGrid">
    <w:name w:val="Table Grid"/>
    <w:basedOn w:val="TableNormal"/>
    <w:uiPriority w:val="39"/>
    <w:rsid w:val="00BE30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7740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ndNoteBibliographyTitle">
    <w:name w:val="EndNote Bibliography Title"/>
    <w:basedOn w:val="Normal"/>
    <w:link w:val="EndNoteBibliographyTitleChar"/>
    <w:rsid w:val="00F94DDC"/>
    <w:pPr>
      <w:spacing w:after="0"/>
      <w:jc w:val="center"/>
    </w:pPr>
    <w:rPr>
      <w:rFonts w:ascii="Aptos" w:hAnsi="Aptos"/>
      <w:noProof/>
      <w:lang w:val="en-US"/>
    </w:rPr>
  </w:style>
  <w:style w:type="character" w:customStyle="1" w:styleId="EndNoteBibliographyTitleChar">
    <w:name w:val="EndNote Bibliography Title Char"/>
    <w:basedOn w:val="DefaultParagraphFont"/>
    <w:link w:val="EndNoteBibliographyTitle"/>
    <w:rsid w:val="00F94DDC"/>
    <w:rPr>
      <w:rFonts w:ascii="Aptos" w:hAnsi="Aptos"/>
      <w:noProof/>
      <w:lang w:val="en-US"/>
    </w:rPr>
  </w:style>
  <w:style w:type="paragraph" w:customStyle="1" w:styleId="EndNoteBibliography">
    <w:name w:val="EndNote Bibliography"/>
    <w:basedOn w:val="Normal"/>
    <w:link w:val="EndNoteBibliographyChar"/>
    <w:rsid w:val="00F94DDC"/>
    <w:pPr>
      <w:spacing w:line="240" w:lineRule="auto"/>
      <w:jc w:val="both"/>
    </w:pPr>
    <w:rPr>
      <w:rFonts w:ascii="Aptos" w:hAnsi="Aptos"/>
      <w:noProof/>
      <w:lang w:val="en-US"/>
    </w:rPr>
  </w:style>
  <w:style w:type="character" w:customStyle="1" w:styleId="EndNoteBibliographyChar">
    <w:name w:val="EndNote Bibliography Char"/>
    <w:basedOn w:val="DefaultParagraphFont"/>
    <w:link w:val="EndNoteBibliography"/>
    <w:rsid w:val="00F94DDC"/>
    <w:rPr>
      <w:rFonts w:ascii="Aptos" w:hAnsi="Aptos"/>
      <w:noProof/>
      <w:lang w:val="en-US"/>
    </w:rPr>
  </w:style>
  <w:style w:type="character" w:styleId="Hyperlink">
    <w:name w:val="Hyperlink"/>
    <w:basedOn w:val="DefaultParagraphFont"/>
    <w:uiPriority w:val="99"/>
    <w:unhideWhenUsed/>
    <w:rsid w:val="00F94DDC"/>
    <w:rPr>
      <w:color w:val="467886" w:themeColor="hyperlink"/>
      <w:u w:val="single"/>
    </w:rPr>
  </w:style>
  <w:style w:type="character" w:styleId="UnresolvedMention">
    <w:name w:val="Unresolved Mention"/>
    <w:basedOn w:val="DefaultParagraphFont"/>
    <w:uiPriority w:val="99"/>
    <w:semiHidden/>
    <w:unhideWhenUsed/>
    <w:rsid w:val="00F94DDC"/>
    <w:rPr>
      <w:color w:val="605E5C"/>
      <w:shd w:val="clear" w:color="auto" w:fill="E1DFDD"/>
    </w:rPr>
  </w:style>
  <w:style w:type="table" w:styleId="PlainTable2">
    <w:name w:val="Plain Table 2"/>
    <w:basedOn w:val="TableNormal"/>
    <w:uiPriority w:val="42"/>
    <w:rsid w:val="00D60AE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torquati@exeter.ac.uk" TargetMode="External"/><Relationship Id="rId13" Type="http://schemas.openxmlformats.org/officeDocument/2006/relationships/image" Target="media/image2.emf"/><Relationship Id="rId18" Type="http://schemas.openxmlformats.org/officeDocument/2006/relationships/hyperlink" Target="https://www.ncbi.nlm.nih.gov/pmc/articles/PMC3576830/pdf/MMJ2403-0069.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doi.org/10.1016/j.niox.2017.12.001" TargetMode="External"/><Relationship Id="rId2" Type="http://schemas.openxmlformats.org/officeDocument/2006/relationships/numbering" Target="numbering.xml"/><Relationship Id="rId16" Type="http://schemas.openxmlformats.org/officeDocument/2006/relationships/hyperlink" Target="https://doi.org/10.1016/j.jchromb.2020.12198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yperlink" Target="https://doi.org/10.7334/psicothema2022.292" TargetMode="External"/><Relationship Id="rId10" Type="http://schemas.openxmlformats.org/officeDocument/2006/relationships/footer" Target="footer1.xml"/><Relationship Id="rId19" Type="http://schemas.openxmlformats.org/officeDocument/2006/relationships/hyperlink" Target="https://doi.org/10.1038/s41368-022-00212-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61F46-FA40-4034-9FCB-B5F07C8D0B67}">
  <ds:schemaRefs>
    <ds:schemaRef ds:uri="http://schemas.openxmlformats.org/officeDocument/2006/bibliography"/>
  </ds:schemaRefs>
</ds:datastoreItem>
</file>

<file path=docMetadata/LabelInfo.xml><?xml version="1.0" encoding="utf-8"?>
<clbl:labelList xmlns:clbl="http://schemas.microsoft.com/office/2020/mipLabelMetadata">
  <clbl:label id="{912a5d77-fb98-4eee-af32-1334d8f04a53}" enabled="0" method="" siteId="{912a5d77-fb98-4eee-af32-1334d8f04a53}" removed="1"/>
</clbl:labelList>
</file>

<file path=docProps/app.xml><?xml version="1.0" encoding="utf-8"?>
<Properties xmlns="http://schemas.openxmlformats.org/officeDocument/2006/extended-properties" xmlns:vt="http://schemas.openxmlformats.org/officeDocument/2006/docPropsVTypes">
  <Template>Normal</Template>
  <TotalTime>1421</TotalTime>
  <Pages>9</Pages>
  <Words>2894</Words>
  <Characters>16500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Virgili, Jessica</dc:creator>
  <cp:keywords/>
  <dc:description/>
  <cp:lastModifiedBy>Virgili, Jessica</cp:lastModifiedBy>
  <cp:revision>301</cp:revision>
  <dcterms:created xsi:type="dcterms:W3CDTF">2024-10-01T14:56:00Z</dcterms:created>
  <dcterms:modified xsi:type="dcterms:W3CDTF">2025-07-05T23:02:00Z</dcterms:modified>
</cp:coreProperties>
</file>