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D1FA51" w14:textId="16418482" w:rsidR="00014C65" w:rsidRPr="005D266B" w:rsidRDefault="00014C65" w:rsidP="00014C65">
      <w:pPr>
        <w:pStyle w:val="Title"/>
        <w:rPr>
          <w:rFonts w:ascii="Aptos Narrow" w:hAnsi="Aptos Narrow"/>
          <w:b/>
          <w:bCs/>
          <w:lang w:val="en-US"/>
        </w:rPr>
      </w:pPr>
      <w:r w:rsidRPr="005D266B">
        <w:rPr>
          <w:rFonts w:ascii="Aptos Narrow" w:hAnsi="Aptos Narrow"/>
          <w:b/>
          <w:bCs/>
          <w:lang w:val="en-US"/>
        </w:rPr>
        <w:t>Supp</w:t>
      </w:r>
      <w:r w:rsidR="00407153">
        <w:rPr>
          <w:rFonts w:ascii="Aptos Narrow" w:hAnsi="Aptos Narrow"/>
          <w:b/>
          <w:bCs/>
          <w:lang w:val="en-US"/>
        </w:rPr>
        <w:t>lementary Materials</w:t>
      </w:r>
    </w:p>
    <w:p w14:paraId="630357B5" w14:textId="77777777" w:rsidR="00290875" w:rsidRDefault="00290875" w:rsidP="00B62F02">
      <w:pPr>
        <w:pStyle w:val="Title"/>
        <w:rPr>
          <w:rFonts w:ascii="Aptos Narrow" w:hAnsi="Aptos Narrow"/>
          <w:b/>
          <w:bCs/>
          <w:sz w:val="32"/>
          <w:szCs w:val="32"/>
          <w:lang w:val="en-US"/>
        </w:rPr>
      </w:pPr>
      <w:r w:rsidRPr="00290875">
        <w:rPr>
          <w:rFonts w:ascii="Aptos Narrow" w:hAnsi="Aptos Narrow"/>
          <w:b/>
          <w:bCs/>
          <w:sz w:val="32"/>
          <w:szCs w:val="32"/>
          <w:lang w:val="en-US"/>
        </w:rPr>
        <w:t xml:space="preserve">A Feasibility Study on using Soft Insoles for estimating 3D Ground Reaction Forces with incorporated 3D Printed Foam-like Sensors </w:t>
      </w:r>
    </w:p>
    <w:p w14:paraId="4412D79A" w14:textId="339D18F0" w:rsidR="009A3D2B" w:rsidRPr="00290875" w:rsidRDefault="00014C65" w:rsidP="00B62F02">
      <w:pPr>
        <w:pStyle w:val="Title"/>
        <w:rPr>
          <w:rFonts w:ascii="Aptos Narrow" w:hAnsi="Aptos Narrow"/>
          <w:sz w:val="24"/>
          <w:szCs w:val="24"/>
        </w:rPr>
      </w:pPr>
      <w:r w:rsidRPr="00290875">
        <w:rPr>
          <w:rFonts w:ascii="Aptos Narrow" w:hAnsi="Aptos Narrow"/>
          <w:sz w:val="24"/>
          <w:szCs w:val="24"/>
        </w:rPr>
        <w:t>Nick Willemstein</w:t>
      </w:r>
      <w:r w:rsidR="00290875">
        <w:rPr>
          <w:rFonts w:ascii="Aptos Narrow" w:hAnsi="Aptos Narrow"/>
          <w:sz w:val="24"/>
          <w:szCs w:val="24"/>
        </w:rPr>
        <w:t xml:space="preserve"> Saivimal Sridar</w:t>
      </w:r>
      <w:r w:rsidRPr="00290875">
        <w:rPr>
          <w:rFonts w:ascii="Aptos Narrow" w:hAnsi="Aptos Narrow"/>
          <w:sz w:val="24"/>
          <w:szCs w:val="24"/>
        </w:rPr>
        <w:t xml:space="preserve"> Herman van der Kooij Ali Sadeghi*</w:t>
      </w:r>
      <w:r w:rsidRPr="00290875">
        <w:rPr>
          <w:rFonts w:ascii="Aptos Narrow" w:hAnsi="Aptos Narrow"/>
          <w:sz w:val="24"/>
          <w:szCs w:val="24"/>
        </w:rPr>
        <w:cr/>
      </w:r>
    </w:p>
    <w:p w14:paraId="02113915" w14:textId="77777777" w:rsidR="005D266B" w:rsidRPr="00290875" w:rsidRDefault="005D266B" w:rsidP="005D266B"/>
    <w:p w14:paraId="11CC0E9B" w14:textId="70ACFD23" w:rsidR="009A3D2B" w:rsidRPr="005D266B" w:rsidRDefault="009A3D2B">
      <w:pPr>
        <w:rPr>
          <w:rFonts w:ascii="Aptos Narrow" w:hAnsi="Aptos Narrow"/>
          <w:b/>
          <w:bCs/>
        </w:rPr>
      </w:pPr>
      <w:proofErr w:type="spellStart"/>
      <w:r w:rsidRPr="005D266B">
        <w:rPr>
          <w:rFonts w:ascii="Aptos Narrow" w:hAnsi="Aptos Narrow"/>
          <w:b/>
          <w:bCs/>
        </w:rPr>
        <w:t>Overview</w:t>
      </w:r>
      <w:proofErr w:type="spellEnd"/>
      <w:r w:rsidRPr="005D266B">
        <w:rPr>
          <w:rFonts w:ascii="Aptos Narrow" w:hAnsi="Aptos Narrow"/>
          <w:b/>
          <w:bCs/>
        </w:rPr>
        <w:t>:</w:t>
      </w:r>
    </w:p>
    <w:p w14:paraId="164FE354" w14:textId="153081EC" w:rsidR="009A3D2B" w:rsidRPr="005D266B" w:rsidRDefault="00290875" w:rsidP="009A3D2B">
      <w:pPr>
        <w:pStyle w:val="ListParagraph"/>
        <w:numPr>
          <w:ilvl w:val="0"/>
          <w:numId w:val="1"/>
        </w:numPr>
        <w:rPr>
          <w:rFonts w:ascii="Aptos Narrow" w:hAnsi="Aptos Narrow"/>
          <w:lang w:val="en-US"/>
        </w:rPr>
      </w:pPr>
      <w:r>
        <w:rPr>
          <w:rFonts w:ascii="Aptos Narrow" w:hAnsi="Aptos Narrow"/>
          <w:lang w:val="en-US"/>
        </w:rPr>
        <w:t>Sensitivity Plot</w:t>
      </w:r>
    </w:p>
    <w:p w14:paraId="4C5DD959" w14:textId="2957AA47" w:rsidR="00BC60AE" w:rsidRPr="005D266B" w:rsidRDefault="00290875" w:rsidP="009A3D2B">
      <w:pPr>
        <w:pStyle w:val="ListParagraph"/>
        <w:numPr>
          <w:ilvl w:val="0"/>
          <w:numId w:val="1"/>
        </w:numPr>
        <w:rPr>
          <w:rFonts w:ascii="Aptos Narrow" w:hAnsi="Aptos Narrow"/>
          <w:lang w:val="en-US"/>
        </w:rPr>
      </w:pPr>
      <w:r>
        <w:rPr>
          <w:rFonts w:ascii="Aptos Narrow" w:hAnsi="Aptos Narrow"/>
          <w:lang w:val="en-US"/>
        </w:rPr>
        <w:t>Force Value RMS error and MAE</w:t>
      </w:r>
    </w:p>
    <w:p w14:paraId="7EA47258" w14:textId="40A0759F" w:rsidR="00052243" w:rsidRPr="00290875" w:rsidRDefault="00290875" w:rsidP="00290875">
      <w:pPr>
        <w:pStyle w:val="ListParagraph"/>
        <w:numPr>
          <w:ilvl w:val="0"/>
          <w:numId w:val="1"/>
        </w:numPr>
        <w:rPr>
          <w:rFonts w:ascii="Aptos Narrow" w:hAnsi="Aptos Narrow"/>
          <w:lang w:val="en-US"/>
        </w:rPr>
      </w:pPr>
      <w:r>
        <w:rPr>
          <w:rFonts w:ascii="Aptos Narrow" w:eastAsia="Times New Roman" w:hAnsi="Aptos Narrow"/>
          <w:lang w:val="en-US"/>
        </w:rPr>
        <w:t>Behavior over Time with Force</w:t>
      </w:r>
      <w:r w:rsidR="00052243" w:rsidRPr="005D266B">
        <w:rPr>
          <w:rFonts w:ascii="Aptos Narrow" w:hAnsi="Aptos Narrow"/>
          <w:lang w:val="en-US"/>
        </w:rPr>
        <w:t xml:space="preserve"> </w:t>
      </w:r>
    </w:p>
    <w:p w14:paraId="53336E85" w14:textId="77777777" w:rsidR="009A3D2B" w:rsidRDefault="009A3D2B">
      <w:pPr>
        <w:rPr>
          <w:rFonts w:ascii="Aptos Narrow" w:hAnsi="Aptos Narrow"/>
          <w:lang w:val="en-US"/>
        </w:rPr>
      </w:pPr>
    </w:p>
    <w:p w14:paraId="02D22015" w14:textId="77777777" w:rsidR="005D266B" w:rsidRPr="005D266B" w:rsidRDefault="005D266B">
      <w:pPr>
        <w:rPr>
          <w:rFonts w:ascii="Aptos Narrow" w:hAnsi="Aptos Narrow"/>
          <w:lang w:val="en-US"/>
        </w:rPr>
      </w:pPr>
    </w:p>
    <w:p w14:paraId="01FE14C3" w14:textId="2D613692" w:rsidR="009A3D2B" w:rsidRPr="005D266B" w:rsidRDefault="00D86F34" w:rsidP="00D86F34">
      <w:pPr>
        <w:pStyle w:val="Heading2"/>
        <w:rPr>
          <w:rFonts w:ascii="Aptos Narrow" w:hAnsi="Aptos Narrow"/>
          <w:b/>
          <w:bCs/>
          <w:color w:val="auto"/>
          <w:lang w:val="en-US"/>
        </w:rPr>
      </w:pPr>
      <w:r w:rsidRPr="005D266B">
        <w:rPr>
          <w:rFonts w:ascii="Aptos Narrow" w:hAnsi="Aptos Narrow"/>
          <w:b/>
          <w:bCs/>
          <w:color w:val="auto"/>
          <w:lang w:val="en-US"/>
        </w:rPr>
        <w:t xml:space="preserve">1. </w:t>
      </w:r>
      <w:r w:rsidR="00290875">
        <w:rPr>
          <w:rFonts w:ascii="Aptos Narrow" w:hAnsi="Aptos Narrow"/>
          <w:b/>
          <w:bCs/>
          <w:color w:val="auto"/>
          <w:lang w:val="en-US"/>
        </w:rPr>
        <w:t>Sensitivity Plot</w:t>
      </w:r>
    </w:p>
    <w:p w14:paraId="02DA1230" w14:textId="580A0C5F" w:rsidR="009A3D2B" w:rsidRPr="005D266B" w:rsidRDefault="001C0777" w:rsidP="009A3D2B">
      <w:pPr>
        <w:rPr>
          <w:rFonts w:ascii="Aptos Narrow" w:hAnsi="Aptos Narrow"/>
          <w:lang w:val="en-US"/>
        </w:rPr>
      </w:pPr>
      <w:r w:rsidRPr="005D266B">
        <w:rPr>
          <w:rFonts w:ascii="Aptos Narrow" w:hAnsi="Aptos Narrow"/>
          <w:lang w:val="en-US"/>
        </w:rPr>
        <w:t xml:space="preserve">The </w:t>
      </w:r>
      <w:r w:rsidR="00486ADB">
        <w:rPr>
          <w:rFonts w:ascii="Aptos Narrow" w:hAnsi="Aptos Narrow"/>
          <w:lang w:val="en-US"/>
        </w:rPr>
        <w:t>sensitivity plot</w:t>
      </w:r>
      <w:r w:rsidR="00B01E56">
        <w:rPr>
          <w:rFonts w:ascii="Aptos Narrow" w:hAnsi="Aptos Narrow"/>
          <w:lang w:val="en-US"/>
        </w:rPr>
        <w:t xml:space="preserve"> is</w:t>
      </w:r>
      <w:r w:rsidR="004855A5" w:rsidRPr="005D266B">
        <w:rPr>
          <w:rFonts w:ascii="Aptos Narrow" w:hAnsi="Aptos Narrow"/>
          <w:lang w:val="en-US"/>
        </w:rPr>
        <w:t xml:space="preserve"> shown below in </w:t>
      </w:r>
      <w:r w:rsidR="001955A0" w:rsidRPr="005D266B">
        <w:rPr>
          <w:rFonts w:ascii="Aptos Narrow" w:hAnsi="Aptos Narrow"/>
          <w:lang w:val="en-US"/>
        </w:rPr>
        <w:fldChar w:fldCharType="begin"/>
      </w:r>
      <w:r w:rsidR="001955A0" w:rsidRPr="005D266B">
        <w:rPr>
          <w:rFonts w:ascii="Aptos Narrow" w:hAnsi="Aptos Narrow"/>
          <w:lang w:val="en-US"/>
        </w:rPr>
        <w:instrText xml:space="preserve"> REF _Ref174808331 \h </w:instrText>
      </w:r>
      <w:r w:rsidR="005D266B">
        <w:rPr>
          <w:rFonts w:ascii="Aptos Narrow" w:hAnsi="Aptos Narrow"/>
          <w:lang w:val="en-US"/>
        </w:rPr>
        <w:instrText xml:space="preserve"> \* MERGEFORMAT </w:instrText>
      </w:r>
      <w:r w:rsidR="001955A0" w:rsidRPr="005D266B">
        <w:rPr>
          <w:rFonts w:ascii="Aptos Narrow" w:hAnsi="Aptos Narrow"/>
          <w:lang w:val="en-US"/>
        </w:rPr>
      </w:r>
      <w:r w:rsidR="001955A0" w:rsidRPr="005D266B">
        <w:rPr>
          <w:rFonts w:ascii="Aptos Narrow" w:hAnsi="Aptos Narrow"/>
          <w:lang w:val="en-US"/>
        </w:rPr>
        <w:fldChar w:fldCharType="separate"/>
      </w:r>
      <w:r w:rsidR="00C14C43" w:rsidRPr="005D266B">
        <w:rPr>
          <w:rFonts w:ascii="Aptos Narrow" w:hAnsi="Aptos Narrow"/>
          <w:lang w:val="en-US"/>
        </w:rPr>
        <w:t>Figure S</w:t>
      </w:r>
      <w:r w:rsidR="00C14C43">
        <w:rPr>
          <w:rFonts w:ascii="Aptos Narrow" w:hAnsi="Aptos Narrow"/>
          <w:lang w:val="en-US"/>
        </w:rPr>
        <w:t>1</w:t>
      </w:r>
      <w:r w:rsidR="001955A0" w:rsidRPr="005D266B">
        <w:rPr>
          <w:rFonts w:ascii="Aptos Narrow" w:hAnsi="Aptos Narrow"/>
          <w:lang w:val="en-US"/>
        </w:rPr>
        <w:fldChar w:fldCharType="end"/>
      </w:r>
      <w:r w:rsidR="004855A5" w:rsidRPr="005D266B">
        <w:rPr>
          <w:rFonts w:ascii="Aptos Narrow" w:hAnsi="Aptos Narrow"/>
          <w:lang w:val="en-US"/>
        </w:rPr>
        <w:t>.</w:t>
      </w:r>
      <w:r w:rsidR="00486ADB">
        <w:rPr>
          <w:rFonts w:ascii="Aptos Narrow" w:hAnsi="Aptos Narrow"/>
          <w:lang w:val="en-US"/>
        </w:rPr>
        <w:t xml:space="preserve"> It can be observed that the sensitivity reduces with cycles 1000 and 10000 being more similar. Furthermore, the range seems to increase over the cycles through this reduced sensitivity.  </w:t>
      </w:r>
      <w:r w:rsidR="004855A5" w:rsidRPr="005D266B">
        <w:rPr>
          <w:rFonts w:ascii="Aptos Narrow" w:hAnsi="Aptos Narrow"/>
          <w:lang w:val="en-US"/>
        </w:rPr>
        <w:t xml:space="preserve"> </w:t>
      </w:r>
    </w:p>
    <w:p w14:paraId="5A09EFDF" w14:textId="77777777" w:rsidR="00BC60AE" w:rsidRPr="005D266B" w:rsidRDefault="00BC60AE" w:rsidP="004855A5">
      <w:pPr>
        <w:keepNext/>
        <w:jc w:val="center"/>
        <w:rPr>
          <w:rFonts w:ascii="Aptos Narrow" w:hAnsi="Aptos Narrow"/>
        </w:rPr>
      </w:pPr>
      <w:r w:rsidRPr="005D266B">
        <w:rPr>
          <w:rFonts w:ascii="Aptos Narrow" w:hAnsi="Aptos Narrow"/>
          <w:b/>
          <w:bCs/>
          <w:noProof/>
          <w:lang w:val="en-US"/>
        </w:rPr>
        <w:drawing>
          <wp:inline distT="0" distB="0" distL="0" distR="0" wp14:anchorId="5D2A2CED" wp14:editId="22A1D1EC">
            <wp:extent cx="4326123" cy="3243943"/>
            <wp:effectExtent l="0" t="0" r="0" b="0"/>
            <wp:docPr id="142711794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7117941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0897" cy="32475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D5CB45C" w14:textId="1DB530CF" w:rsidR="009A3D2B" w:rsidRDefault="00BC60AE" w:rsidP="00BC60AE">
      <w:pPr>
        <w:pStyle w:val="Caption"/>
        <w:rPr>
          <w:rFonts w:ascii="Aptos Narrow" w:hAnsi="Aptos Narrow"/>
          <w:color w:val="auto"/>
          <w:lang w:val="en-US"/>
        </w:rPr>
      </w:pPr>
      <w:bookmarkStart w:id="0" w:name="_Ref174808331"/>
      <w:r w:rsidRPr="005D266B">
        <w:rPr>
          <w:rFonts w:ascii="Aptos Narrow" w:hAnsi="Aptos Narrow"/>
          <w:color w:val="auto"/>
          <w:lang w:val="en-US"/>
        </w:rPr>
        <w:t>Figure S</w:t>
      </w:r>
      <w:r w:rsidRPr="005D266B">
        <w:rPr>
          <w:rFonts w:ascii="Aptos Narrow" w:hAnsi="Aptos Narrow"/>
          <w:color w:val="auto"/>
        </w:rPr>
        <w:fldChar w:fldCharType="begin"/>
      </w:r>
      <w:r w:rsidRPr="005D266B">
        <w:rPr>
          <w:rFonts w:ascii="Aptos Narrow" w:hAnsi="Aptos Narrow"/>
          <w:color w:val="auto"/>
          <w:lang w:val="en-US"/>
        </w:rPr>
        <w:instrText xml:space="preserve"> SEQ Figure \* ARABIC </w:instrText>
      </w:r>
      <w:r w:rsidRPr="005D266B">
        <w:rPr>
          <w:rFonts w:ascii="Aptos Narrow" w:hAnsi="Aptos Narrow"/>
          <w:color w:val="auto"/>
        </w:rPr>
        <w:fldChar w:fldCharType="separate"/>
      </w:r>
      <w:r w:rsidR="00C14C43">
        <w:rPr>
          <w:rFonts w:ascii="Aptos Narrow" w:hAnsi="Aptos Narrow"/>
          <w:noProof/>
          <w:color w:val="auto"/>
          <w:lang w:val="en-US"/>
        </w:rPr>
        <w:t>1</w:t>
      </w:r>
      <w:r w:rsidRPr="005D266B">
        <w:rPr>
          <w:rFonts w:ascii="Aptos Narrow" w:hAnsi="Aptos Narrow"/>
          <w:color w:val="auto"/>
        </w:rPr>
        <w:fldChar w:fldCharType="end"/>
      </w:r>
      <w:bookmarkEnd w:id="0"/>
      <w:r w:rsidRPr="005D266B">
        <w:rPr>
          <w:rFonts w:ascii="Aptos Narrow" w:hAnsi="Aptos Narrow"/>
          <w:color w:val="auto"/>
          <w:lang w:val="en-US"/>
        </w:rPr>
        <w:t xml:space="preserve">: </w:t>
      </w:r>
      <w:r w:rsidR="004855A5" w:rsidRPr="005D266B">
        <w:rPr>
          <w:rFonts w:ascii="Aptos Narrow" w:hAnsi="Aptos Narrow"/>
          <w:color w:val="auto"/>
          <w:lang w:val="en-US"/>
        </w:rPr>
        <w:t xml:space="preserve">The </w:t>
      </w:r>
      <w:r w:rsidR="00486ADB">
        <w:rPr>
          <w:rFonts w:ascii="Aptos Narrow" w:hAnsi="Aptos Narrow"/>
          <w:color w:val="auto"/>
          <w:lang w:val="en-US"/>
        </w:rPr>
        <w:t>sensitivity over the force for multiple cycles in units of resistance change</w:t>
      </w:r>
      <w:r w:rsidR="004855A5" w:rsidRPr="005D266B">
        <w:rPr>
          <w:rFonts w:ascii="Aptos Narrow" w:hAnsi="Aptos Narrow"/>
          <w:color w:val="auto"/>
          <w:lang w:val="en-US"/>
        </w:rPr>
        <w:t>.</w:t>
      </w:r>
    </w:p>
    <w:p w14:paraId="5973F982" w14:textId="77777777" w:rsidR="00032D57" w:rsidRPr="00032D57" w:rsidRDefault="00032D57" w:rsidP="00032D57">
      <w:pPr>
        <w:rPr>
          <w:lang w:val="en-US"/>
        </w:rPr>
      </w:pPr>
    </w:p>
    <w:p w14:paraId="154B469B" w14:textId="3709DA2B" w:rsidR="00BC60AE" w:rsidRPr="005D266B" w:rsidRDefault="00BC60AE" w:rsidP="00BC60AE">
      <w:pPr>
        <w:pStyle w:val="Heading2"/>
        <w:rPr>
          <w:rFonts w:ascii="Aptos Narrow" w:hAnsi="Aptos Narrow"/>
          <w:b/>
          <w:bCs/>
          <w:color w:val="auto"/>
          <w:lang w:val="en-US"/>
        </w:rPr>
      </w:pPr>
      <w:r w:rsidRPr="005D266B">
        <w:rPr>
          <w:rFonts w:ascii="Aptos Narrow" w:hAnsi="Aptos Narrow"/>
          <w:b/>
          <w:bCs/>
          <w:color w:val="auto"/>
          <w:lang w:val="en-US"/>
        </w:rPr>
        <w:lastRenderedPageBreak/>
        <w:t xml:space="preserve">2. </w:t>
      </w:r>
      <w:r w:rsidR="00290875">
        <w:rPr>
          <w:rFonts w:ascii="Aptos Narrow" w:hAnsi="Aptos Narrow"/>
          <w:b/>
          <w:bCs/>
          <w:color w:val="auto"/>
          <w:lang w:val="en-US"/>
        </w:rPr>
        <w:t>Force Values of</w:t>
      </w:r>
      <w:r w:rsidR="00290875" w:rsidRPr="00290875">
        <w:rPr>
          <w:rFonts w:ascii="Aptos Narrow" w:hAnsi="Aptos Narrow"/>
          <w:lang w:val="en-US"/>
        </w:rPr>
        <w:t xml:space="preserve"> </w:t>
      </w:r>
      <w:r w:rsidR="00290875" w:rsidRPr="00290875">
        <w:rPr>
          <w:rFonts w:ascii="Aptos Narrow" w:hAnsi="Aptos Narrow"/>
          <w:b/>
          <w:bCs/>
          <w:color w:val="auto"/>
          <w:lang w:val="en-US"/>
        </w:rPr>
        <w:t>RMS error and MAE</w:t>
      </w:r>
      <w:r w:rsidR="00290875">
        <w:rPr>
          <w:rFonts w:ascii="Aptos Narrow" w:hAnsi="Aptos Narrow"/>
          <w:b/>
          <w:bCs/>
          <w:color w:val="auto"/>
          <w:lang w:val="en-US"/>
        </w:rPr>
        <w:t xml:space="preserve">  </w:t>
      </w:r>
    </w:p>
    <w:p w14:paraId="2BB35429" w14:textId="77777777" w:rsidR="00BC60AE" w:rsidRPr="004511E0" w:rsidRDefault="00BC60AE" w:rsidP="005D266B">
      <w:pPr>
        <w:keepNext/>
        <w:jc w:val="center"/>
      </w:pPr>
      <w:r w:rsidRPr="004511E0">
        <w:rPr>
          <w:noProof/>
        </w:rPr>
        <w:drawing>
          <wp:inline distT="0" distB="0" distL="0" distR="0" wp14:anchorId="6F7B82B9" wp14:editId="32A943FB">
            <wp:extent cx="4626429" cy="4306953"/>
            <wp:effectExtent l="0" t="0" r="3175" b="0"/>
            <wp:docPr id="131405017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4050179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1541" cy="4311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2EEFE6" w14:textId="342D8CCD" w:rsidR="00BC60AE" w:rsidRDefault="00BC60AE" w:rsidP="00BC60AE">
      <w:pPr>
        <w:pStyle w:val="Caption"/>
        <w:rPr>
          <w:rFonts w:ascii="Aptos Narrow" w:hAnsi="Aptos Narrow"/>
          <w:color w:val="auto"/>
          <w:lang w:val="en-US"/>
        </w:rPr>
      </w:pPr>
      <w:bookmarkStart w:id="1" w:name="_Ref174808400"/>
      <w:r w:rsidRPr="005D266B">
        <w:rPr>
          <w:rFonts w:ascii="Aptos Narrow" w:hAnsi="Aptos Narrow"/>
          <w:color w:val="auto"/>
          <w:lang w:val="en-US"/>
        </w:rPr>
        <w:t>Figure S</w:t>
      </w:r>
      <w:r w:rsidRPr="005D266B">
        <w:rPr>
          <w:rFonts w:ascii="Aptos Narrow" w:hAnsi="Aptos Narrow"/>
          <w:color w:val="auto"/>
        </w:rPr>
        <w:fldChar w:fldCharType="begin"/>
      </w:r>
      <w:r w:rsidRPr="005D266B">
        <w:rPr>
          <w:rFonts w:ascii="Aptos Narrow" w:hAnsi="Aptos Narrow"/>
          <w:color w:val="auto"/>
          <w:lang w:val="en-US"/>
        </w:rPr>
        <w:instrText xml:space="preserve"> SEQ Figure \* ARABIC </w:instrText>
      </w:r>
      <w:r w:rsidRPr="005D266B">
        <w:rPr>
          <w:rFonts w:ascii="Aptos Narrow" w:hAnsi="Aptos Narrow"/>
          <w:color w:val="auto"/>
        </w:rPr>
        <w:fldChar w:fldCharType="separate"/>
      </w:r>
      <w:r w:rsidR="00C14C43">
        <w:rPr>
          <w:rFonts w:ascii="Aptos Narrow" w:hAnsi="Aptos Narrow"/>
          <w:noProof/>
          <w:color w:val="auto"/>
          <w:lang w:val="en-US"/>
        </w:rPr>
        <w:t>2</w:t>
      </w:r>
      <w:r w:rsidRPr="005D266B">
        <w:rPr>
          <w:rFonts w:ascii="Aptos Narrow" w:hAnsi="Aptos Narrow"/>
          <w:color w:val="auto"/>
        </w:rPr>
        <w:fldChar w:fldCharType="end"/>
      </w:r>
      <w:bookmarkEnd w:id="1"/>
      <w:r w:rsidRPr="005D266B">
        <w:rPr>
          <w:rFonts w:ascii="Aptos Narrow" w:hAnsi="Aptos Narrow"/>
          <w:color w:val="auto"/>
          <w:lang w:val="en-US"/>
        </w:rPr>
        <w:t xml:space="preserve">: </w:t>
      </w:r>
      <w:proofErr w:type="spellStart"/>
      <w:r w:rsidRPr="005D266B">
        <w:rPr>
          <w:rFonts w:ascii="Aptos Narrow" w:hAnsi="Aptos Narrow"/>
          <w:color w:val="auto"/>
          <w:lang w:val="en-US"/>
        </w:rPr>
        <w:t>a</w:t>
      </w:r>
      <w:r w:rsidR="004A28AB">
        <w:rPr>
          <w:rFonts w:ascii="Aptos Narrow" w:hAnsi="Aptos Narrow"/>
          <w:color w:val="auto"/>
          <w:lang w:val="en-US"/>
        </w:rPr>
        <w:t>,b</w:t>
      </w:r>
      <w:proofErr w:type="spellEnd"/>
      <w:r w:rsidR="001955A0" w:rsidRPr="005D266B">
        <w:rPr>
          <w:rFonts w:ascii="Aptos Narrow" w:hAnsi="Aptos Narrow"/>
          <w:color w:val="auto"/>
          <w:lang w:val="en-US"/>
        </w:rPr>
        <w:t xml:space="preserve">) </w:t>
      </w:r>
      <w:r w:rsidR="004A28AB">
        <w:rPr>
          <w:rFonts w:ascii="Aptos Narrow" w:hAnsi="Aptos Narrow"/>
          <w:color w:val="auto"/>
          <w:lang w:val="en-US"/>
        </w:rPr>
        <w:t xml:space="preserve">The absolute errors of the models for the (a) vertical and (b) mediolateral and anteroposterior GRFs </w:t>
      </w:r>
    </w:p>
    <w:p w14:paraId="25EE3952" w14:textId="3D8D69D4" w:rsidR="00716670" w:rsidRDefault="00716670">
      <w:pPr>
        <w:rPr>
          <w:lang w:val="en-US"/>
        </w:rPr>
      </w:pPr>
      <w:r>
        <w:rPr>
          <w:lang w:val="en-US"/>
        </w:rPr>
        <w:br w:type="page"/>
      </w:r>
    </w:p>
    <w:p w14:paraId="54D3ACA5" w14:textId="11DC291E" w:rsidR="00637090" w:rsidRDefault="00387FCE" w:rsidP="00637090">
      <w:pPr>
        <w:pStyle w:val="Heading2"/>
        <w:rPr>
          <w:rFonts w:ascii="Aptos Narrow" w:hAnsi="Aptos Narrow"/>
          <w:b/>
          <w:bCs/>
          <w:color w:val="auto"/>
          <w:lang w:val="en-US"/>
        </w:rPr>
      </w:pPr>
      <w:r w:rsidRPr="005D266B">
        <w:rPr>
          <w:rFonts w:ascii="Aptos Narrow" w:hAnsi="Aptos Narrow"/>
          <w:b/>
          <w:bCs/>
          <w:color w:val="auto"/>
          <w:lang w:val="en-US"/>
        </w:rPr>
        <w:lastRenderedPageBreak/>
        <w:t xml:space="preserve">3. </w:t>
      </w:r>
      <w:r w:rsidR="00290875">
        <w:rPr>
          <w:rFonts w:ascii="Aptos Narrow" w:hAnsi="Aptos Narrow"/>
          <w:b/>
          <w:bCs/>
          <w:color w:val="auto"/>
          <w:lang w:val="en-US"/>
        </w:rPr>
        <w:t>Performance Degradation in Absolute Values</w:t>
      </w:r>
    </w:p>
    <w:p w14:paraId="346BF067" w14:textId="77777777" w:rsidR="00716670" w:rsidRPr="00716670" w:rsidRDefault="00716670" w:rsidP="00716670">
      <w:pPr>
        <w:rPr>
          <w:lang w:val="en-US"/>
        </w:rPr>
      </w:pPr>
    </w:p>
    <w:p w14:paraId="5F3BE5C7" w14:textId="6D715176" w:rsidR="004C5A10" w:rsidRPr="005D266B" w:rsidRDefault="00716670" w:rsidP="004C5A10">
      <w:pPr>
        <w:keepNext/>
        <w:jc w:val="center"/>
        <w:rPr>
          <w:rFonts w:ascii="Aptos Narrow" w:hAnsi="Aptos Narrow"/>
          <w:lang w:val="en-US"/>
        </w:rPr>
      </w:pPr>
      <w:r>
        <w:rPr>
          <w:rFonts w:ascii="Aptos Narrow" w:hAnsi="Aptos Narrow"/>
          <w:noProof/>
          <w:lang w:val="en-US"/>
        </w:rPr>
        <w:drawing>
          <wp:inline distT="0" distB="0" distL="0" distR="0" wp14:anchorId="2F4F07FD" wp14:editId="17D0877D">
            <wp:extent cx="4078118" cy="6781234"/>
            <wp:effectExtent l="0" t="0" r="0" b="635"/>
            <wp:docPr id="25732444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7324447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78118" cy="6781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25BE36" w14:textId="1C7DEFA2" w:rsidR="00290D25" w:rsidRPr="00290875" w:rsidRDefault="004C5A10" w:rsidP="00290875">
      <w:pPr>
        <w:pStyle w:val="Caption"/>
        <w:jc w:val="center"/>
        <w:rPr>
          <w:rFonts w:ascii="Aptos Narrow" w:hAnsi="Aptos Narrow"/>
          <w:color w:val="auto"/>
          <w:lang w:val="en-US"/>
        </w:rPr>
      </w:pPr>
      <w:bookmarkStart w:id="2" w:name="_Ref174808778"/>
      <w:r w:rsidRPr="005D266B">
        <w:rPr>
          <w:rFonts w:ascii="Aptos Narrow" w:hAnsi="Aptos Narrow"/>
          <w:color w:val="auto"/>
          <w:lang w:val="en-US"/>
        </w:rPr>
        <w:t>Figure S</w:t>
      </w:r>
      <w:r w:rsidRPr="005D266B">
        <w:rPr>
          <w:rFonts w:ascii="Aptos Narrow" w:hAnsi="Aptos Narrow"/>
          <w:color w:val="auto"/>
        </w:rPr>
        <w:fldChar w:fldCharType="begin"/>
      </w:r>
      <w:r w:rsidRPr="005D266B">
        <w:rPr>
          <w:rFonts w:ascii="Aptos Narrow" w:hAnsi="Aptos Narrow"/>
          <w:color w:val="auto"/>
          <w:lang w:val="en-US"/>
        </w:rPr>
        <w:instrText xml:space="preserve"> SEQ Figure \* ARABIC </w:instrText>
      </w:r>
      <w:r w:rsidRPr="005D266B">
        <w:rPr>
          <w:rFonts w:ascii="Aptos Narrow" w:hAnsi="Aptos Narrow"/>
          <w:color w:val="auto"/>
        </w:rPr>
        <w:fldChar w:fldCharType="separate"/>
      </w:r>
      <w:r w:rsidR="00C14C43">
        <w:rPr>
          <w:rFonts w:ascii="Aptos Narrow" w:hAnsi="Aptos Narrow"/>
          <w:noProof/>
          <w:color w:val="auto"/>
          <w:lang w:val="en-US"/>
        </w:rPr>
        <w:t>3</w:t>
      </w:r>
      <w:r w:rsidRPr="005D266B">
        <w:rPr>
          <w:rFonts w:ascii="Aptos Narrow" w:hAnsi="Aptos Narrow"/>
          <w:color w:val="auto"/>
        </w:rPr>
        <w:fldChar w:fldCharType="end"/>
      </w:r>
      <w:bookmarkEnd w:id="2"/>
      <w:r w:rsidRPr="005D266B">
        <w:rPr>
          <w:rFonts w:ascii="Aptos Narrow" w:hAnsi="Aptos Narrow"/>
          <w:color w:val="auto"/>
          <w:lang w:val="en-US"/>
        </w:rPr>
        <w:t xml:space="preserve">: </w:t>
      </w:r>
      <w:r w:rsidR="005D266B">
        <w:rPr>
          <w:rFonts w:ascii="Aptos Narrow" w:hAnsi="Aptos Narrow"/>
          <w:color w:val="auto"/>
          <w:lang w:val="en-US"/>
        </w:rPr>
        <w:t xml:space="preserve">The </w:t>
      </w:r>
      <w:r w:rsidR="00716670">
        <w:rPr>
          <w:rFonts w:ascii="Aptos Narrow" w:hAnsi="Aptos Narrow"/>
          <w:color w:val="auto"/>
          <w:lang w:val="en-US"/>
        </w:rPr>
        <w:t>estimation performance decay over time for (a-d) segmented and (e-h) timeseries data</w:t>
      </w:r>
      <w:r w:rsidR="00382066" w:rsidRPr="005D266B">
        <w:rPr>
          <w:rFonts w:ascii="Aptos Narrow" w:hAnsi="Aptos Narrow"/>
          <w:color w:val="auto"/>
          <w:lang w:val="en-US"/>
        </w:rPr>
        <w:t>.</w:t>
      </w:r>
    </w:p>
    <w:sectPr w:rsidR="00290D25" w:rsidRPr="002908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A13231"/>
    <w:multiLevelType w:val="hybridMultilevel"/>
    <w:tmpl w:val="628AE19A"/>
    <w:lvl w:ilvl="0" w:tplc="4D5C3D6A">
      <w:start w:val="6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3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A445F8"/>
    <w:multiLevelType w:val="hybridMultilevel"/>
    <w:tmpl w:val="E7F2D9B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A6631A"/>
    <w:multiLevelType w:val="hybridMultilevel"/>
    <w:tmpl w:val="5A46B0F8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5671637">
    <w:abstractNumId w:val="2"/>
  </w:num>
  <w:num w:numId="2" w16cid:durableId="75708755">
    <w:abstractNumId w:val="1"/>
  </w:num>
  <w:num w:numId="3" w16cid:durableId="6205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D2B"/>
    <w:rsid w:val="00001213"/>
    <w:rsid w:val="00014C65"/>
    <w:rsid w:val="00032D57"/>
    <w:rsid w:val="00052243"/>
    <w:rsid w:val="0006079B"/>
    <w:rsid w:val="00094F56"/>
    <w:rsid w:val="000C6999"/>
    <w:rsid w:val="00122CD3"/>
    <w:rsid w:val="001928FE"/>
    <w:rsid w:val="001955A0"/>
    <w:rsid w:val="001A297C"/>
    <w:rsid w:val="001B7360"/>
    <w:rsid w:val="001C0777"/>
    <w:rsid w:val="001F6206"/>
    <w:rsid w:val="002027CE"/>
    <w:rsid w:val="00203531"/>
    <w:rsid w:val="00215412"/>
    <w:rsid w:val="00232DD0"/>
    <w:rsid w:val="00290875"/>
    <w:rsid w:val="00290D25"/>
    <w:rsid w:val="002A395B"/>
    <w:rsid w:val="00311B0D"/>
    <w:rsid w:val="003204EA"/>
    <w:rsid w:val="003449B8"/>
    <w:rsid w:val="00375849"/>
    <w:rsid w:val="00382066"/>
    <w:rsid w:val="00387AA5"/>
    <w:rsid w:val="00387FCE"/>
    <w:rsid w:val="00395ABB"/>
    <w:rsid w:val="003A0420"/>
    <w:rsid w:val="003A4624"/>
    <w:rsid w:val="003B10EE"/>
    <w:rsid w:val="003C6358"/>
    <w:rsid w:val="003D6AC9"/>
    <w:rsid w:val="003F6F1E"/>
    <w:rsid w:val="00407153"/>
    <w:rsid w:val="00414B1C"/>
    <w:rsid w:val="004331FB"/>
    <w:rsid w:val="004511E0"/>
    <w:rsid w:val="0047276F"/>
    <w:rsid w:val="00473BCB"/>
    <w:rsid w:val="004855A5"/>
    <w:rsid w:val="00486ADB"/>
    <w:rsid w:val="004A28AB"/>
    <w:rsid w:val="004B070D"/>
    <w:rsid w:val="004C5A10"/>
    <w:rsid w:val="004F3478"/>
    <w:rsid w:val="00510B7B"/>
    <w:rsid w:val="00571584"/>
    <w:rsid w:val="0057243D"/>
    <w:rsid w:val="005D266B"/>
    <w:rsid w:val="00637090"/>
    <w:rsid w:val="0064584F"/>
    <w:rsid w:val="006C5C26"/>
    <w:rsid w:val="006D030B"/>
    <w:rsid w:val="00702451"/>
    <w:rsid w:val="00702840"/>
    <w:rsid w:val="00716670"/>
    <w:rsid w:val="0078098D"/>
    <w:rsid w:val="007A3485"/>
    <w:rsid w:val="007B6DF6"/>
    <w:rsid w:val="007D22A8"/>
    <w:rsid w:val="007F7E4D"/>
    <w:rsid w:val="00824B26"/>
    <w:rsid w:val="00873085"/>
    <w:rsid w:val="008C10E4"/>
    <w:rsid w:val="008D2596"/>
    <w:rsid w:val="008E0D0A"/>
    <w:rsid w:val="0092302E"/>
    <w:rsid w:val="0093112A"/>
    <w:rsid w:val="009624FF"/>
    <w:rsid w:val="009840A1"/>
    <w:rsid w:val="00990CD3"/>
    <w:rsid w:val="009A2022"/>
    <w:rsid w:val="009A3D2B"/>
    <w:rsid w:val="009B78E0"/>
    <w:rsid w:val="00A30CAB"/>
    <w:rsid w:val="00A85975"/>
    <w:rsid w:val="00A9705F"/>
    <w:rsid w:val="00B01E56"/>
    <w:rsid w:val="00B449C0"/>
    <w:rsid w:val="00B62F02"/>
    <w:rsid w:val="00B82C0F"/>
    <w:rsid w:val="00BC60AE"/>
    <w:rsid w:val="00BE2C72"/>
    <w:rsid w:val="00C14C43"/>
    <w:rsid w:val="00C165E3"/>
    <w:rsid w:val="00C1669B"/>
    <w:rsid w:val="00C4074C"/>
    <w:rsid w:val="00C8229B"/>
    <w:rsid w:val="00C82EF2"/>
    <w:rsid w:val="00C905F7"/>
    <w:rsid w:val="00CA21F4"/>
    <w:rsid w:val="00CA35DE"/>
    <w:rsid w:val="00CC3C38"/>
    <w:rsid w:val="00CD4609"/>
    <w:rsid w:val="00CE0A43"/>
    <w:rsid w:val="00CE3B04"/>
    <w:rsid w:val="00D15127"/>
    <w:rsid w:val="00D24339"/>
    <w:rsid w:val="00D77FE3"/>
    <w:rsid w:val="00D86F34"/>
    <w:rsid w:val="00DB0662"/>
    <w:rsid w:val="00DE164A"/>
    <w:rsid w:val="00E4626A"/>
    <w:rsid w:val="00E95121"/>
    <w:rsid w:val="00EA5E7D"/>
    <w:rsid w:val="00ED42E9"/>
    <w:rsid w:val="00F01C0E"/>
    <w:rsid w:val="00F060F2"/>
    <w:rsid w:val="00F334D9"/>
    <w:rsid w:val="00F35DCC"/>
    <w:rsid w:val="00F63DEF"/>
    <w:rsid w:val="00F72469"/>
    <w:rsid w:val="00FB0349"/>
    <w:rsid w:val="00FC2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CA358"/>
  <w15:chartTrackingRefBased/>
  <w15:docId w15:val="{00F2BDC4-CC64-40EF-BDBD-85C9B5E43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86F3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3D2B"/>
    <w:pPr>
      <w:ind w:left="720"/>
      <w:contextualSpacing/>
    </w:pPr>
  </w:style>
  <w:style w:type="table" w:styleId="TableGrid">
    <w:name w:val="Table Grid"/>
    <w:basedOn w:val="TableNormal"/>
    <w:uiPriority w:val="39"/>
    <w:rsid w:val="009A3D2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A3D2B"/>
    <w:rPr>
      <w:color w:val="666666"/>
    </w:rPr>
  </w:style>
  <w:style w:type="paragraph" w:styleId="Caption">
    <w:name w:val="caption"/>
    <w:basedOn w:val="Normal"/>
    <w:next w:val="Normal"/>
    <w:uiPriority w:val="35"/>
    <w:unhideWhenUsed/>
    <w:qFormat/>
    <w:rsid w:val="00D86F34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D86F3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F060F2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060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CommentReference">
    <w:name w:val="annotation reference"/>
    <w:basedOn w:val="DefaultParagraphFont"/>
    <w:uiPriority w:val="99"/>
    <w:semiHidden/>
    <w:unhideWhenUsed/>
    <w:rsid w:val="001B73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B736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B73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6A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6AD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A2022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F4EF3565-A222-482E-B00C-6AE1D4181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Willemstein, Nick (UT-ET)</dc:creator>
  <cp:keywords/>
  <dc:description/>
  <cp:lastModifiedBy>Sadeghi, Ali (UT-ET)</cp:lastModifiedBy>
  <cp:revision>5</cp:revision>
  <cp:lastPrinted>2024-08-29T14:31:00Z</cp:lastPrinted>
  <dcterms:created xsi:type="dcterms:W3CDTF">2024-08-29T14:13:00Z</dcterms:created>
  <dcterms:modified xsi:type="dcterms:W3CDTF">2024-08-29T14:31:00Z</dcterms:modified>
</cp:coreProperties>
</file>