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19C88" w14:textId="20D5C093" w:rsidR="0001751D" w:rsidRPr="00082A16" w:rsidRDefault="0001751D" w:rsidP="0001751D">
      <w:pPr>
        <w:spacing w:line="360" w:lineRule="auto"/>
        <w:jc w:val="both"/>
        <w:rPr>
          <w:rFonts w:ascii="Georgia" w:hAnsi="Georgia"/>
          <w:i/>
          <w:iCs/>
          <w:sz w:val="22"/>
          <w:szCs w:val="22"/>
          <w:lang w:val="en-GB"/>
        </w:rPr>
      </w:pPr>
      <w:r>
        <w:rPr>
          <w:rFonts w:ascii="Georgia" w:hAnsi="Georgia"/>
          <w:b/>
          <w:bCs/>
          <w:i/>
          <w:iCs/>
          <w:sz w:val="22"/>
          <w:szCs w:val="22"/>
          <w:lang w:val="en-GB"/>
        </w:rPr>
        <w:t>Supplementary T</w:t>
      </w:r>
      <w:r w:rsidRPr="00082A16">
        <w:rPr>
          <w:rFonts w:ascii="Georgia" w:hAnsi="Georgia"/>
          <w:b/>
          <w:bCs/>
          <w:i/>
          <w:iCs/>
          <w:sz w:val="22"/>
          <w:szCs w:val="22"/>
          <w:lang w:val="en-GB"/>
        </w:rPr>
        <w:t xml:space="preserve">able </w:t>
      </w:r>
      <w:r>
        <w:rPr>
          <w:rFonts w:ascii="Georgia" w:hAnsi="Georgia"/>
          <w:b/>
          <w:bCs/>
          <w:i/>
          <w:iCs/>
          <w:sz w:val="22"/>
          <w:szCs w:val="22"/>
          <w:lang w:val="en-GB"/>
        </w:rPr>
        <w:t>S</w:t>
      </w:r>
      <w:r w:rsidRPr="00082A16">
        <w:rPr>
          <w:rFonts w:ascii="Georgia" w:hAnsi="Georgia"/>
          <w:b/>
          <w:bCs/>
          <w:i/>
          <w:iCs/>
          <w:sz w:val="22"/>
          <w:szCs w:val="22"/>
          <w:lang w:val="en-GB"/>
        </w:rPr>
        <w:t>2: The result of the Principal Component Analysis</w:t>
      </w:r>
      <w:r w:rsidRPr="00082A16">
        <w:rPr>
          <w:rFonts w:ascii="Georgia" w:hAnsi="Georgia"/>
          <w:i/>
          <w:iCs/>
          <w:sz w:val="22"/>
          <w:szCs w:val="22"/>
          <w:lang w:val="en-GB"/>
        </w:rPr>
        <w:t>. Items (behavioural variables) and factor weights, as well as Cronbach’s Alpha values are indicated.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1751D" w:rsidRPr="00082A16" w14:paraId="23A36722" w14:textId="77777777" w:rsidTr="00981693">
        <w:tc>
          <w:tcPr>
            <w:tcW w:w="3116" w:type="dxa"/>
          </w:tcPr>
          <w:p w14:paraId="620EE213" w14:textId="77777777" w:rsidR="0001751D" w:rsidRPr="00082A16" w:rsidRDefault="0001751D" w:rsidP="00981693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en-GB"/>
              </w:rPr>
            </w:pPr>
          </w:p>
        </w:tc>
        <w:tc>
          <w:tcPr>
            <w:tcW w:w="3117" w:type="dxa"/>
          </w:tcPr>
          <w:p w14:paraId="7003E1F2" w14:textId="77777777" w:rsidR="0001751D" w:rsidRPr="00082A16" w:rsidRDefault="0001751D" w:rsidP="00981693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Component 1</w:t>
            </w:r>
          </w:p>
          <w:p w14:paraId="5FFFE218" w14:textId="77777777" w:rsidR="0001751D" w:rsidRPr="00082A16" w:rsidRDefault="0001751D" w:rsidP="00981693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b/>
                <w:bCs/>
                <w:sz w:val="22"/>
                <w:szCs w:val="22"/>
                <w:lang w:val="en-GB"/>
              </w:rPr>
              <w:t>‘Latency improvement’</w:t>
            </w:r>
          </w:p>
        </w:tc>
        <w:tc>
          <w:tcPr>
            <w:tcW w:w="3117" w:type="dxa"/>
          </w:tcPr>
          <w:p w14:paraId="7691A32F" w14:textId="77777777" w:rsidR="0001751D" w:rsidRPr="00082A16" w:rsidRDefault="0001751D" w:rsidP="00981693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Component 2</w:t>
            </w:r>
          </w:p>
          <w:p w14:paraId="4C2E3490" w14:textId="77777777" w:rsidR="0001751D" w:rsidRPr="00082A16" w:rsidRDefault="0001751D" w:rsidP="00981693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b/>
                <w:bCs/>
                <w:sz w:val="22"/>
                <w:szCs w:val="22"/>
                <w:lang w:val="en-GB"/>
              </w:rPr>
              <w:t>‘Relative demo watching’</w:t>
            </w:r>
          </w:p>
        </w:tc>
      </w:tr>
      <w:tr w:rsidR="0001751D" w:rsidRPr="00082A16" w14:paraId="2F03A0DC" w14:textId="77777777" w:rsidTr="00981693">
        <w:tc>
          <w:tcPr>
            <w:tcW w:w="3116" w:type="dxa"/>
          </w:tcPr>
          <w:p w14:paraId="4EB84FA1" w14:textId="77777777" w:rsidR="0001751D" w:rsidRPr="00082A16" w:rsidRDefault="0001751D" w:rsidP="00981693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Latency2_improvement</w:t>
            </w:r>
          </w:p>
        </w:tc>
        <w:tc>
          <w:tcPr>
            <w:tcW w:w="3117" w:type="dxa"/>
          </w:tcPr>
          <w:p w14:paraId="0FD3A9E2" w14:textId="77777777" w:rsidR="0001751D" w:rsidRPr="00082A16" w:rsidRDefault="0001751D" w:rsidP="00981693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0.893</w:t>
            </w:r>
          </w:p>
        </w:tc>
        <w:tc>
          <w:tcPr>
            <w:tcW w:w="3117" w:type="dxa"/>
          </w:tcPr>
          <w:p w14:paraId="46290723" w14:textId="77777777" w:rsidR="0001751D" w:rsidRPr="00082A16" w:rsidRDefault="0001751D" w:rsidP="00981693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en-GB"/>
              </w:rPr>
            </w:pPr>
          </w:p>
        </w:tc>
      </w:tr>
      <w:tr w:rsidR="0001751D" w:rsidRPr="00082A16" w14:paraId="133CAE59" w14:textId="77777777" w:rsidTr="00981693">
        <w:tc>
          <w:tcPr>
            <w:tcW w:w="3116" w:type="dxa"/>
          </w:tcPr>
          <w:p w14:paraId="393ED4EA" w14:textId="77777777" w:rsidR="0001751D" w:rsidRPr="00082A16" w:rsidRDefault="0001751D" w:rsidP="00981693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Latency3_improvement</w:t>
            </w:r>
          </w:p>
        </w:tc>
        <w:tc>
          <w:tcPr>
            <w:tcW w:w="3117" w:type="dxa"/>
          </w:tcPr>
          <w:p w14:paraId="3A7AE94E" w14:textId="77777777" w:rsidR="0001751D" w:rsidRPr="00082A16" w:rsidRDefault="0001751D" w:rsidP="00981693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0.892</w:t>
            </w:r>
          </w:p>
        </w:tc>
        <w:tc>
          <w:tcPr>
            <w:tcW w:w="3117" w:type="dxa"/>
          </w:tcPr>
          <w:p w14:paraId="18551614" w14:textId="77777777" w:rsidR="0001751D" w:rsidRPr="00082A16" w:rsidRDefault="0001751D" w:rsidP="00981693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en-GB"/>
              </w:rPr>
            </w:pPr>
          </w:p>
        </w:tc>
      </w:tr>
      <w:tr w:rsidR="0001751D" w:rsidRPr="00082A16" w14:paraId="32A22002" w14:textId="77777777" w:rsidTr="00981693">
        <w:tc>
          <w:tcPr>
            <w:tcW w:w="3116" w:type="dxa"/>
          </w:tcPr>
          <w:p w14:paraId="19F93ED6" w14:textId="77777777" w:rsidR="0001751D" w:rsidRPr="00082A16" w:rsidRDefault="0001751D" w:rsidP="00981693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Trial2_Demowatch</w:t>
            </w:r>
          </w:p>
        </w:tc>
        <w:tc>
          <w:tcPr>
            <w:tcW w:w="3117" w:type="dxa"/>
          </w:tcPr>
          <w:p w14:paraId="09EC5B8E" w14:textId="77777777" w:rsidR="0001751D" w:rsidRPr="00082A16" w:rsidRDefault="0001751D" w:rsidP="00981693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en-GB"/>
              </w:rPr>
            </w:pPr>
          </w:p>
        </w:tc>
        <w:tc>
          <w:tcPr>
            <w:tcW w:w="3117" w:type="dxa"/>
          </w:tcPr>
          <w:p w14:paraId="4B8118D2" w14:textId="77777777" w:rsidR="0001751D" w:rsidRPr="00082A16" w:rsidRDefault="0001751D" w:rsidP="00981693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0.875</w:t>
            </w:r>
          </w:p>
        </w:tc>
      </w:tr>
      <w:tr w:rsidR="0001751D" w:rsidRPr="00082A16" w14:paraId="24C78263" w14:textId="77777777" w:rsidTr="00981693">
        <w:tc>
          <w:tcPr>
            <w:tcW w:w="3116" w:type="dxa"/>
          </w:tcPr>
          <w:p w14:paraId="10B2BFE6" w14:textId="77777777" w:rsidR="0001751D" w:rsidRPr="00082A16" w:rsidRDefault="0001751D" w:rsidP="00981693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Trial3_Demowatch</w:t>
            </w:r>
          </w:p>
        </w:tc>
        <w:tc>
          <w:tcPr>
            <w:tcW w:w="3117" w:type="dxa"/>
          </w:tcPr>
          <w:p w14:paraId="3478A5DC" w14:textId="77777777" w:rsidR="0001751D" w:rsidRPr="00082A16" w:rsidRDefault="0001751D" w:rsidP="00981693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en-GB"/>
              </w:rPr>
            </w:pPr>
          </w:p>
        </w:tc>
        <w:tc>
          <w:tcPr>
            <w:tcW w:w="3117" w:type="dxa"/>
          </w:tcPr>
          <w:p w14:paraId="137FB175" w14:textId="77777777" w:rsidR="0001751D" w:rsidRPr="00082A16" w:rsidRDefault="0001751D" w:rsidP="00981693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sz w:val="22"/>
                <w:szCs w:val="22"/>
                <w:lang w:val="en-GB"/>
              </w:rPr>
              <w:t>0.858</w:t>
            </w:r>
          </w:p>
        </w:tc>
      </w:tr>
      <w:tr w:rsidR="0001751D" w:rsidRPr="00082A16" w14:paraId="4CEE1825" w14:textId="77777777" w:rsidTr="00981693">
        <w:tc>
          <w:tcPr>
            <w:tcW w:w="3116" w:type="dxa"/>
          </w:tcPr>
          <w:p w14:paraId="14E1E23D" w14:textId="77777777" w:rsidR="0001751D" w:rsidRPr="00082A16" w:rsidRDefault="0001751D" w:rsidP="00981693">
            <w:pPr>
              <w:spacing w:line="360" w:lineRule="auto"/>
              <w:jc w:val="both"/>
              <w:rPr>
                <w:rFonts w:ascii="Georgia" w:hAnsi="Georgia"/>
                <w:i/>
                <w:iCs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i/>
                <w:iCs/>
                <w:sz w:val="22"/>
                <w:szCs w:val="22"/>
                <w:lang w:val="en-GB"/>
              </w:rPr>
              <w:t>Cronbach’s Alpha</w:t>
            </w:r>
          </w:p>
        </w:tc>
        <w:tc>
          <w:tcPr>
            <w:tcW w:w="3117" w:type="dxa"/>
          </w:tcPr>
          <w:p w14:paraId="38B10292" w14:textId="77777777" w:rsidR="0001751D" w:rsidRPr="00082A16" w:rsidRDefault="0001751D" w:rsidP="00981693">
            <w:pPr>
              <w:spacing w:line="360" w:lineRule="auto"/>
              <w:jc w:val="center"/>
              <w:rPr>
                <w:rFonts w:ascii="Georgia" w:hAnsi="Georgia"/>
                <w:i/>
                <w:iCs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i/>
                <w:iCs/>
                <w:sz w:val="22"/>
                <w:szCs w:val="22"/>
                <w:lang w:val="en-GB"/>
              </w:rPr>
              <w:t>0.736</w:t>
            </w:r>
          </w:p>
        </w:tc>
        <w:tc>
          <w:tcPr>
            <w:tcW w:w="3117" w:type="dxa"/>
          </w:tcPr>
          <w:p w14:paraId="79BC6EA8" w14:textId="77777777" w:rsidR="0001751D" w:rsidRPr="00082A16" w:rsidRDefault="0001751D" w:rsidP="00981693">
            <w:pPr>
              <w:spacing w:line="360" w:lineRule="auto"/>
              <w:jc w:val="center"/>
              <w:rPr>
                <w:rFonts w:ascii="Georgia" w:hAnsi="Georgia"/>
                <w:i/>
                <w:iCs/>
                <w:sz w:val="22"/>
                <w:szCs w:val="22"/>
                <w:lang w:val="en-GB"/>
              </w:rPr>
            </w:pPr>
            <w:r w:rsidRPr="00082A16">
              <w:rPr>
                <w:rFonts w:ascii="Georgia" w:hAnsi="Georgia"/>
                <w:i/>
                <w:iCs/>
                <w:sz w:val="22"/>
                <w:szCs w:val="22"/>
                <w:lang w:val="en-GB"/>
              </w:rPr>
              <w:t>0.668</w:t>
            </w:r>
          </w:p>
        </w:tc>
      </w:tr>
    </w:tbl>
    <w:p w14:paraId="40682B09" w14:textId="77777777" w:rsidR="0001751D" w:rsidRDefault="0001751D"/>
    <w:sectPr w:rsidR="00017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1D"/>
    <w:rsid w:val="0001751D"/>
    <w:rsid w:val="0074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34A2B"/>
  <w15:chartTrackingRefBased/>
  <w15:docId w15:val="{8B825D69-9F43-40D7-9D0C-AC2EE6B6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51D"/>
  </w:style>
  <w:style w:type="paragraph" w:styleId="Heading1">
    <w:name w:val="heading 1"/>
    <w:basedOn w:val="Normal"/>
    <w:next w:val="Normal"/>
    <w:link w:val="Heading1Char"/>
    <w:uiPriority w:val="9"/>
    <w:qFormat/>
    <w:rsid w:val="00017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5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5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5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5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5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5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5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5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5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5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5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5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7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Pongrácz Péter</dc:creator>
  <cp:keywords/>
  <dc:description/>
  <cp:lastModifiedBy>Dr. Pongrácz Péter</cp:lastModifiedBy>
  <cp:revision>1</cp:revision>
  <dcterms:created xsi:type="dcterms:W3CDTF">2026-01-13T20:44:00Z</dcterms:created>
  <dcterms:modified xsi:type="dcterms:W3CDTF">2026-01-13T20:45:00Z</dcterms:modified>
</cp:coreProperties>
</file>