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CD2BB" w14:textId="77777777" w:rsidR="00664F66" w:rsidRDefault="00664F66">
      <w:pPr>
        <w:spacing w:after="160" w:line="259" w:lineRule="auto"/>
        <w:rPr>
          <w:rFonts w:ascii="Calibri" w:eastAsia="Calibri" w:hAnsi="Calibri" w:cs="Calibri"/>
        </w:rPr>
      </w:pPr>
    </w:p>
    <w:p w14:paraId="6BBD17A3" w14:textId="77777777" w:rsidR="00664F66" w:rsidRDefault="00E451DF">
      <w:pPr>
        <w:spacing w:after="160" w:line="259" w:lineRule="auto"/>
        <w:jc w:val="center"/>
      </w:pPr>
      <w:r>
        <w:rPr>
          <w:noProof/>
        </w:rPr>
        <w:drawing>
          <wp:inline distT="0" distB="0" distL="0" distR="0" wp14:anchorId="0930B228" wp14:editId="2C2F6B98">
            <wp:extent cx="5145751" cy="2712775"/>
            <wp:effectExtent l="0" t="0" r="0" b="0"/>
            <wp:docPr id="1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5751" cy="2712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40C1E6" w14:textId="07FC755C" w:rsidR="00664F66" w:rsidRPr="009C0B1E" w:rsidRDefault="00E451DF" w:rsidP="009C0B1E">
      <w:pPr>
        <w:spacing w:after="160" w:line="480" w:lineRule="auto"/>
        <w:jc w:val="center"/>
        <w:rPr>
          <w:rFonts w:eastAsia="Calibri"/>
          <w:sz w:val="24"/>
          <w:szCs w:val="24"/>
        </w:rPr>
      </w:pPr>
      <w:bookmarkStart w:id="0" w:name="_heading=h.3xw04h29xy9v" w:colFirst="0" w:colLast="0"/>
      <w:bookmarkEnd w:id="0"/>
      <w:r w:rsidRPr="009C0B1E">
        <w:rPr>
          <w:rFonts w:eastAsia="Calibri"/>
          <w:b/>
          <w:sz w:val="24"/>
          <w:szCs w:val="24"/>
        </w:rPr>
        <w:t xml:space="preserve">Supplementary Figure </w:t>
      </w:r>
      <w:r w:rsidR="00695720">
        <w:rPr>
          <w:rFonts w:eastAsia="Calibri"/>
          <w:b/>
          <w:sz w:val="24"/>
          <w:szCs w:val="24"/>
        </w:rPr>
        <w:t>S</w:t>
      </w:r>
      <w:r w:rsidRPr="009C0B1E">
        <w:rPr>
          <w:rFonts w:eastAsia="Calibri"/>
          <w:b/>
          <w:sz w:val="24"/>
          <w:szCs w:val="24"/>
        </w:rPr>
        <w:t xml:space="preserve">1. </w:t>
      </w:r>
      <w:r w:rsidRPr="009C0B1E">
        <w:rPr>
          <w:rFonts w:eastAsia="Calibri"/>
          <w:sz w:val="24"/>
          <w:szCs w:val="24"/>
        </w:rPr>
        <w:t>Box-and-whisker plots showing tissue loss by tooth type, separated by sex.</w:t>
      </w:r>
    </w:p>
    <w:p w14:paraId="5F5B6DCB" w14:textId="77777777" w:rsidR="00664F66" w:rsidRDefault="00664F66">
      <w:pPr>
        <w:spacing w:after="160" w:line="259" w:lineRule="auto"/>
        <w:jc w:val="center"/>
        <w:rPr>
          <w:rFonts w:ascii="Calibri" w:eastAsia="Calibri" w:hAnsi="Calibri" w:cs="Calibri"/>
        </w:rPr>
      </w:pPr>
    </w:p>
    <w:p w14:paraId="518FEB66" w14:textId="77777777" w:rsidR="00664F66" w:rsidRDefault="00664F66">
      <w:pPr>
        <w:spacing w:after="160" w:line="259" w:lineRule="auto"/>
        <w:rPr>
          <w:rFonts w:ascii="Calibri" w:eastAsia="Calibri" w:hAnsi="Calibri" w:cs="Calibri"/>
        </w:rPr>
      </w:pPr>
    </w:p>
    <w:p w14:paraId="19467C0D" w14:textId="77777777" w:rsidR="00664F66" w:rsidRDefault="00E451DF">
      <w:pPr>
        <w:spacing w:after="160" w:line="259" w:lineRule="auto"/>
        <w:jc w:val="center"/>
        <w:rPr>
          <w:highlight w:val="magenta"/>
        </w:rPr>
      </w:pPr>
      <w:r>
        <w:rPr>
          <w:noProof/>
          <w:highlight w:val="magenta"/>
        </w:rPr>
        <w:drawing>
          <wp:inline distT="0" distB="0" distL="0" distR="0" wp14:anchorId="323F6F80" wp14:editId="46A54DB4">
            <wp:extent cx="5744646" cy="2174544"/>
            <wp:effectExtent l="0" t="0" r="0" b="0"/>
            <wp:docPr id="1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1571"/>
                    <a:stretch>
                      <a:fillRect/>
                    </a:stretch>
                  </pic:blipFill>
                  <pic:spPr>
                    <a:xfrm>
                      <a:off x="0" y="0"/>
                      <a:ext cx="5744646" cy="21745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11C9F3" w14:textId="005AA0BE" w:rsidR="00664F66" w:rsidRPr="009C0B1E" w:rsidRDefault="00E451DF" w:rsidP="009C0B1E">
      <w:pPr>
        <w:spacing w:after="160" w:line="480" w:lineRule="auto"/>
        <w:jc w:val="center"/>
        <w:rPr>
          <w:rFonts w:eastAsia="Calibri"/>
          <w:sz w:val="24"/>
          <w:szCs w:val="24"/>
        </w:rPr>
      </w:pPr>
      <w:bookmarkStart w:id="1" w:name="_heading=h.nvjscal9m1uj" w:colFirst="0" w:colLast="0"/>
      <w:bookmarkEnd w:id="1"/>
      <w:r w:rsidRPr="009C0B1E">
        <w:rPr>
          <w:rFonts w:eastAsia="Calibri"/>
          <w:b/>
          <w:sz w:val="24"/>
          <w:szCs w:val="24"/>
        </w:rPr>
        <w:t xml:space="preserve">Supplementary Figure </w:t>
      </w:r>
      <w:r w:rsidR="00695720">
        <w:rPr>
          <w:rFonts w:eastAsia="Calibri"/>
          <w:b/>
          <w:sz w:val="24"/>
          <w:szCs w:val="24"/>
        </w:rPr>
        <w:t>S</w:t>
      </w:r>
      <w:r w:rsidRPr="009C0B1E">
        <w:rPr>
          <w:rFonts w:eastAsia="Calibri"/>
          <w:b/>
          <w:sz w:val="24"/>
          <w:szCs w:val="24"/>
        </w:rPr>
        <w:t>2.</w:t>
      </w:r>
      <w:r w:rsidRPr="009C0B1E">
        <w:rPr>
          <w:rFonts w:eastAsia="Calibri"/>
          <w:sz w:val="24"/>
          <w:szCs w:val="24"/>
        </w:rPr>
        <w:t xml:space="preserve"> Scatter plots illustrating the relationships between change in percent of dentine exposure (PDE) and </w:t>
      </w:r>
      <w:r w:rsidR="009C0B1E" w:rsidRPr="009C0B1E">
        <w:rPr>
          <w:rFonts w:eastAsia="Calibri"/>
          <w:sz w:val="24"/>
          <w:szCs w:val="24"/>
        </w:rPr>
        <w:t xml:space="preserve">Krueger-Scott </w:t>
      </w:r>
      <w:r w:rsidR="009C0B1E">
        <w:rPr>
          <w:rFonts w:eastAsia="Calibri"/>
          <w:sz w:val="24"/>
          <w:szCs w:val="24"/>
        </w:rPr>
        <w:t xml:space="preserve">score </w:t>
      </w:r>
      <w:r w:rsidR="009C0B1E" w:rsidRPr="009C0B1E">
        <w:rPr>
          <w:rFonts w:eastAsia="Calibri"/>
          <w:sz w:val="24"/>
          <w:szCs w:val="24"/>
        </w:rPr>
        <w:t>(KSM</w:t>
      </w:r>
      <w:r w:rsidRPr="009C0B1E">
        <w:rPr>
          <w:rFonts w:eastAsia="Calibri"/>
          <w:sz w:val="24"/>
          <w:szCs w:val="24"/>
        </w:rPr>
        <w:t xml:space="preserve"> change, with tissue loss change (mm³ per mm²). Trend lines indicate weak relationships between PDE and tissue loss, and a slightly better correlation between </w:t>
      </w:r>
      <w:r w:rsidR="009C0B1E" w:rsidRPr="009C0B1E">
        <w:rPr>
          <w:rFonts w:eastAsia="Calibri"/>
          <w:sz w:val="24"/>
          <w:szCs w:val="24"/>
        </w:rPr>
        <w:t>KSM</w:t>
      </w:r>
      <w:r w:rsidRPr="009C0B1E">
        <w:rPr>
          <w:rFonts w:eastAsia="Calibri"/>
          <w:sz w:val="24"/>
          <w:szCs w:val="24"/>
        </w:rPr>
        <w:t xml:space="preserve"> and tissue loss.</w:t>
      </w:r>
    </w:p>
    <w:p w14:paraId="057D5735" w14:textId="77777777" w:rsidR="00664F66" w:rsidRDefault="00664F66">
      <w:pPr>
        <w:spacing w:after="160" w:line="259" w:lineRule="auto"/>
        <w:jc w:val="center"/>
        <w:rPr>
          <w:rFonts w:ascii="Calibri" w:eastAsia="Calibri" w:hAnsi="Calibri" w:cs="Calibri"/>
        </w:rPr>
      </w:pPr>
    </w:p>
    <w:p w14:paraId="34873D42" w14:textId="77777777" w:rsidR="00664F66" w:rsidRDefault="00664F66">
      <w:pPr>
        <w:spacing w:after="160" w:line="259" w:lineRule="auto"/>
        <w:jc w:val="center"/>
        <w:rPr>
          <w:rFonts w:ascii="Calibri" w:eastAsia="Calibri" w:hAnsi="Calibri" w:cs="Calibri"/>
        </w:rPr>
      </w:pPr>
    </w:p>
    <w:p w14:paraId="4345DEE0" w14:textId="77777777" w:rsidR="00664F66" w:rsidRDefault="00664F66">
      <w:pPr>
        <w:spacing w:after="160" w:line="259" w:lineRule="auto"/>
        <w:jc w:val="center"/>
        <w:rPr>
          <w:rFonts w:ascii="Calibri" w:eastAsia="Calibri" w:hAnsi="Calibri" w:cs="Calibri"/>
        </w:rPr>
      </w:pPr>
    </w:p>
    <w:p w14:paraId="6A83FF4E" w14:textId="77777777" w:rsidR="00664F66" w:rsidRDefault="00E451DF">
      <w:pPr>
        <w:spacing w:after="160" w:line="259" w:lineRule="auto"/>
        <w:jc w:val="center"/>
        <w:rPr>
          <w:highlight w:val="magenta"/>
        </w:rPr>
      </w:pPr>
      <w:r>
        <w:rPr>
          <w:noProof/>
          <w:highlight w:val="magenta"/>
        </w:rPr>
        <w:drawing>
          <wp:inline distT="114300" distB="114300" distL="114300" distR="114300" wp14:anchorId="4EA2C1D0" wp14:editId="54F23715">
            <wp:extent cx="5767494" cy="1615235"/>
            <wp:effectExtent l="0" t="0" r="0" b="0"/>
            <wp:docPr id="1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905"/>
                    <a:stretch>
                      <a:fillRect/>
                    </a:stretch>
                  </pic:blipFill>
                  <pic:spPr>
                    <a:xfrm>
                      <a:off x="0" y="0"/>
                      <a:ext cx="5767494" cy="1615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44CB44" w14:textId="2FD55BB6" w:rsidR="00E451DF" w:rsidRPr="00A76795" w:rsidRDefault="00E451DF" w:rsidP="00A76795">
      <w:pPr>
        <w:spacing w:after="160" w:line="480" w:lineRule="auto"/>
        <w:jc w:val="center"/>
        <w:rPr>
          <w:rFonts w:eastAsia="Calibri"/>
          <w:sz w:val="24"/>
          <w:szCs w:val="24"/>
        </w:rPr>
      </w:pPr>
      <w:r w:rsidRPr="009C0B1E">
        <w:rPr>
          <w:rFonts w:eastAsia="Calibri"/>
          <w:b/>
          <w:sz w:val="24"/>
          <w:szCs w:val="24"/>
        </w:rPr>
        <w:t xml:space="preserve">Supplementary Figure </w:t>
      </w:r>
      <w:r w:rsidR="00695720">
        <w:rPr>
          <w:rFonts w:eastAsia="Calibri"/>
          <w:b/>
          <w:sz w:val="24"/>
          <w:szCs w:val="24"/>
        </w:rPr>
        <w:t>S</w:t>
      </w:r>
      <w:r w:rsidRPr="009C0B1E">
        <w:rPr>
          <w:rFonts w:eastAsia="Calibri"/>
          <w:b/>
          <w:sz w:val="24"/>
          <w:szCs w:val="24"/>
        </w:rPr>
        <w:t xml:space="preserve">3. </w:t>
      </w:r>
      <w:r w:rsidRPr="009C0B1E">
        <w:rPr>
          <w:rFonts w:eastAsia="Calibri"/>
          <w:sz w:val="24"/>
          <w:szCs w:val="24"/>
        </w:rPr>
        <w:t xml:space="preserve">Boxplots illustrating the distribution of change in percent of dentine exposure (PDE; A), </w:t>
      </w:r>
      <w:r w:rsidR="009C0B1E" w:rsidRPr="009C0B1E">
        <w:rPr>
          <w:rFonts w:eastAsia="Calibri"/>
          <w:sz w:val="24"/>
          <w:szCs w:val="24"/>
        </w:rPr>
        <w:t xml:space="preserve">Krueger-Scott score </w:t>
      </w:r>
      <w:r w:rsidR="009C0B1E">
        <w:rPr>
          <w:rFonts w:eastAsia="Calibri"/>
          <w:sz w:val="24"/>
          <w:szCs w:val="24"/>
        </w:rPr>
        <w:t>(</w:t>
      </w:r>
      <w:r w:rsidR="009C0B1E" w:rsidRPr="009C0B1E">
        <w:rPr>
          <w:rFonts w:eastAsia="Calibri"/>
          <w:sz w:val="24"/>
          <w:szCs w:val="24"/>
        </w:rPr>
        <w:t>KSM</w:t>
      </w:r>
      <w:r w:rsidR="009C0B1E">
        <w:rPr>
          <w:rFonts w:eastAsia="Calibri"/>
          <w:sz w:val="24"/>
          <w:szCs w:val="24"/>
        </w:rPr>
        <w:t>)</w:t>
      </w:r>
      <w:r w:rsidR="009C0B1E" w:rsidRPr="009C0B1E">
        <w:rPr>
          <w:rFonts w:eastAsia="Calibri"/>
          <w:sz w:val="24"/>
          <w:szCs w:val="24"/>
        </w:rPr>
        <w:t xml:space="preserve"> change</w:t>
      </w:r>
      <w:r w:rsidRPr="009C0B1E">
        <w:rPr>
          <w:rFonts w:eastAsia="Calibri"/>
          <w:sz w:val="24"/>
          <w:szCs w:val="24"/>
        </w:rPr>
        <w:t xml:space="preserve"> (B), and Tissue loss change (C) across the four age classes. PDE shows a clear increasing trend with age, while </w:t>
      </w:r>
      <w:r w:rsidR="009C0B1E" w:rsidRPr="009C0B1E">
        <w:rPr>
          <w:rFonts w:eastAsia="Calibri"/>
          <w:sz w:val="24"/>
          <w:szCs w:val="24"/>
        </w:rPr>
        <w:t>KSM</w:t>
      </w:r>
      <w:r w:rsidRPr="009C0B1E">
        <w:rPr>
          <w:rFonts w:eastAsia="Calibri"/>
          <w:sz w:val="24"/>
          <w:szCs w:val="24"/>
        </w:rPr>
        <w:t xml:space="preserve"> change and tissue loss change remain relatively stable.</w:t>
      </w:r>
    </w:p>
    <w:sectPr w:rsidR="00E451DF" w:rsidRPr="00A7679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F66"/>
    <w:rsid w:val="00664F66"/>
    <w:rsid w:val="00695720"/>
    <w:rsid w:val="009C0B1E"/>
    <w:rsid w:val="00A76795"/>
    <w:rsid w:val="00E4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4E781"/>
  <w15:docId w15:val="{15F5E9B8-D811-4BB1-8642-B144E855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8A4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TDWisa4Ul5G5yVZKB9lJrESblw==">CgMxLjAyDmguM3h3MDRoMjl4eTl2Mg5oLm52anNjYWw5bTF1ajIOaC51cHN2cXBpcTgyODI4AHIhMVhxa0x3M1A5cUZJX09uUWNkMEU0bGJ4TUR4aEk2dWlm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113</Words>
  <Characters>649</Characters>
  <Application>Microsoft Office Word</Application>
  <DocSecurity>0</DocSecurity>
  <Lines>5</Lines>
  <Paragraphs>1</Paragraphs>
  <ScaleCrop>false</ScaleCrop>
  <Company>Monash University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Towle</dc:creator>
  <cp:lastModifiedBy>Ian Towle</cp:lastModifiedBy>
  <cp:revision>5</cp:revision>
  <dcterms:created xsi:type="dcterms:W3CDTF">2025-05-08T00:50:00Z</dcterms:created>
  <dcterms:modified xsi:type="dcterms:W3CDTF">2025-08-13T00:57:00Z</dcterms:modified>
</cp:coreProperties>
</file>