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79.99945454545457"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Alcohol consumption, life history and extinction risk among Raute hunter-gatherers from Nepal</w:t>
      </w:r>
    </w:p>
    <w:p w:rsidR="00000000" w:rsidDel="00000000" w:rsidP="00000000" w:rsidRDefault="00000000" w:rsidRPr="00000000" w14:paraId="00000002">
      <w:pPr>
        <w:spacing w:line="479.99945454545457"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3">
      <w:pPr>
        <w:spacing w:line="479.99945454545457" w:lineRule="auto"/>
        <w:rPr>
          <w:rFonts w:ascii="Times New Roman" w:cs="Times New Roman" w:eastAsia="Times New Roman" w:hAnsi="Times New Roman"/>
          <w:sz w:val="24"/>
          <w:szCs w:val="24"/>
          <w:highlight w:val="white"/>
          <w:vertAlign w:val="superscript"/>
        </w:rPr>
      </w:pPr>
      <w:r w:rsidDel="00000000" w:rsidR="00000000" w:rsidRPr="00000000">
        <w:rPr>
          <w:rFonts w:ascii="Times New Roman" w:cs="Times New Roman" w:eastAsia="Times New Roman" w:hAnsi="Times New Roman"/>
          <w:sz w:val="24"/>
          <w:szCs w:val="24"/>
          <w:rtl w:val="0"/>
        </w:rPr>
        <w:t xml:space="preserve">Inez Derkx</w:t>
      </w:r>
      <w:r w:rsidDel="00000000" w:rsidR="00000000" w:rsidRPr="00000000">
        <w:rPr>
          <w:rFonts w:ascii="Times New Roman" w:cs="Times New Roman" w:eastAsia="Times New Roman" w:hAnsi="Times New Roman"/>
          <w:sz w:val="24"/>
          <w:szCs w:val="24"/>
          <w:highlight w:val="white"/>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Gina Menn</w:t>
      </w:r>
      <w:r w:rsidDel="00000000" w:rsidR="00000000" w:rsidRPr="00000000">
        <w:rPr>
          <w:rFonts w:ascii="Times New Roman" w:cs="Times New Roman" w:eastAsia="Times New Roman" w:hAnsi="Times New Roman"/>
          <w:sz w:val="24"/>
          <w:szCs w:val="24"/>
          <w:highlight w:val="white"/>
          <w:vertAlign w:val="superscript"/>
          <w:rtl w:val="0"/>
        </w:rPr>
        <w:t xml:space="preserve">1 </w:t>
      </w:r>
      <w:r w:rsidDel="00000000" w:rsidR="00000000" w:rsidRPr="00000000">
        <w:rPr>
          <w:rFonts w:ascii="Times New Roman" w:cs="Times New Roman" w:eastAsia="Times New Roman" w:hAnsi="Times New Roman"/>
          <w:sz w:val="24"/>
          <w:szCs w:val="24"/>
          <w:rtl w:val="0"/>
        </w:rPr>
        <w:t xml:space="preserve">, Sudarshan Subedi</w:t>
      </w:r>
      <w:r w:rsidDel="00000000" w:rsidR="00000000" w:rsidRPr="00000000">
        <w:rPr>
          <w:rFonts w:ascii="Times New Roman" w:cs="Times New Roman" w:eastAsia="Times New Roman" w:hAnsi="Times New Roman"/>
          <w:sz w:val="24"/>
          <w:szCs w:val="24"/>
          <w:highlight w:val="white"/>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Lal Bahadur Khatri</w:t>
      </w:r>
      <w:r w:rsidDel="00000000" w:rsidR="00000000" w:rsidRPr="00000000">
        <w:rPr>
          <w:rFonts w:ascii="Times New Roman" w:cs="Times New Roman" w:eastAsia="Times New Roman" w:hAnsi="Times New Roman"/>
          <w:sz w:val="24"/>
          <w:szCs w:val="24"/>
          <w:highlight w:val="white"/>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 Nagendra Upadhyaya, Prajwal Rajbhandari</w:t>
      </w:r>
      <w:r w:rsidDel="00000000" w:rsidR="00000000" w:rsidRPr="00000000">
        <w:rPr>
          <w:rFonts w:ascii="Times New Roman" w:cs="Times New Roman" w:eastAsia="Times New Roman" w:hAnsi="Times New Roman"/>
          <w:sz w:val="24"/>
          <w:szCs w:val="24"/>
          <w:highlight w:val="white"/>
          <w:vertAlign w:val="superscript"/>
          <w:rtl w:val="0"/>
        </w:rPr>
        <w:t xml:space="preserve">4</w:t>
      </w:r>
      <w:r w:rsidDel="00000000" w:rsidR="00000000" w:rsidRPr="00000000">
        <w:rPr>
          <w:rFonts w:ascii="Times New Roman" w:cs="Times New Roman" w:eastAsia="Times New Roman" w:hAnsi="Times New Roman"/>
          <w:sz w:val="24"/>
          <w:szCs w:val="24"/>
          <w:rtl w:val="0"/>
        </w:rPr>
        <w:t xml:space="preserve">, Anita Gyawali</w:t>
      </w:r>
      <w:r w:rsidDel="00000000" w:rsidR="00000000" w:rsidRPr="00000000">
        <w:rPr>
          <w:rFonts w:ascii="Times New Roman" w:cs="Times New Roman" w:eastAsia="Times New Roman" w:hAnsi="Times New Roman"/>
          <w:sz w:val="24"/>
          <w:szCs w:val="24"/>
          <w:highlight w:val="white"/>
          <w:vertAlign w:val="superscript"/>
          <w:rtl w:val="0"/>
        </w:rPr>
        <w:t xml:space="preserve">5</w:t>
      </w:r>
      <w:r w:rsidDel="00000000" w:rsidR="00000000" w:rsidRPr="00000000">
        <w:rPr>
          <w:rFonts w:ascii="Times New Roman" w:cs="Times New Roman" w:eastAsia="Times New Roman" w:hAnsi="Times New Roman"/>
          <w:sz w:val="24"/>
          <w:szCs w:val="24"/>
          <w:rtl w:val="0"/>
        </w:rPr>
        <w:t xml:space="preserve">, Ruth Mace</w:t>
      </w:r>
      <w:r w:rsidDel="00000000" w:rsidR="00000000" w:rsidRPr="00000000">
        <w:rPr>
          <w:rFonts w:ascii="Times New Roman" w:cs="Times New Roman" w:eastAsia="Times New Roman" w:hAnsi="Times New Roman"/>
          <w:sz w:val="24"/>
          <w:szCs w:val="24"/>
          <w:highlight w:val="white"/>
          <w:vertAlign w:val="superscript"/>
          <w:rtl w:val="0"/>
        </w:rPr>
        <w:t xml:space="preserve">6</w:t>
      </w:r>
      <w:r w:rsidDel="00000000" w:rsidR="00000000" w:rsidRPr="00000000">
        <w:rPr>
          <w:rFonts w:ascii="Times New Roman" w:cs="Times New Roman" w:eastAsia="Times New Roman" w:hAnsi="Times New Roman"/>
          <w:sz w:val="24"/>
          <w:szCs w:val="24"/>
          <w:rtl w:val="0"/>
        </w:rPr>
        <w:t xml:space="preserve">, Jaume Bertranpetit</w:t>
      </w:r>
      <w:r w:rsidDel="00000000" w:rsidR="00000000" w:rsidRPr="00000000">
        <w:rPr>
          <w:rFonts w:ascii="Times New Roman" w:cs="Times New Roman" w:eastAsia="Times New Roman" w:hAnsi="Times New Roman"/>
          <w:sz w:val="24"/>
          <w:szCs w:val="24"/>
          <w:highlight w:val="white"/>
          <w:vertAlign w:val="superscript"/>
          <w:rtl w:val="0"/>
        </w:rPr>
        <w:t xml:space="preserve">7</w:t>
      </w:r>
      <w:r w:rsidDel="00000000" w:rsidR="00000000" w:rsidRPr="00000000">
        <w:rPr>
          <w:rFonts w:ascii="Times New Roman" w:cs="Times New Roman" w:eastAsia="Times New Roman" w:hAnsi="Times New Roman"/>
          <w:sz w:val="24"/>
          <w:szCs w:val="24"/>
          <w:rtl w:val="0"/>
        </w:rPr>
        <w:t xml:space="preserve">, Lucio Vinicius</w:t>
      </w:r>
      <w:r w:rsidDel="00000000" w:rsidR="00000000" w:rsidRPr="00000000">
        <w:rPr>
          <w:rFonts w:ascii="Times New Roman" w:cs="Times New Roman" w:eastAsia="Times New Roman" w:hAnsi="Times New Roman"/>
          <w:sz w:val="24"/>
          <w:szCs w:val="24"/>
          <w:highlight w:val="white"/>
          <w:vertAlign w:val="superscript"/>
          <w:rtl w:val="0"/>
        </w:rPr>
        <w:t xml:space="preserve">1* </w:t>
      </w:r>
      <w:r w:rsidDel="00000000" w:rsidR="00000000" w:rsidRPr="00000000">
        <w:rPr>
          <w:rFonts w:ascii="Times New Roman" w:cs="Times New Roman" w:eastAsia="Times New Roman" w:hAnsi="Times New Roman"/>
          <w:sz w:val="24"/>
          <w:szCs w:val="24"/>
          <w:rtl w:val="0"/>
        </w:rPr>
        <w:t xml:space="preserve"> and Andrea Bamberg Migliano</w:t>
      </w:r>
      <w:r w:rsidDel="00000000" w:rsidR="00000000" w:rsidRPr="00000000">
        <w:rPr>
          <w:rFonts w:ascii="Times New Roman" w:cs="Times New Roman" w:eastAsia="Times New Roman" w:hAnsi="Times New Roman"/>
          <w:sz w:val="24"/>
          <w:szCs w:val="24"/>
          <w:highlight w:val="white"/>
          <w:vertAlign w:val="superscript"/>
          <w:rtl w:val="0"/>
        </w:rPr>
        <w:t xml:space="preserve">1</w:t>
      </w:r>
    </w:p>
    <w:p w:rsidR="00000000" w:rsidDel="00000000" w:rsidP="00000000" w:rsidRDefault="00000000" w:rsidRPr="00000000" w14:paraId="00000004">
      <w:pPr>
        <w:spacing w:line="479.99945454545457"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5">
      <w:pPr>
        <w:spacing w:line="479.99945454545457"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Supplementary file</w:t>
      </w:r>
    </w:p>
    <w:p w:rsidR="00000000" w:rsidDel="00000000" w:rsidP="00000000" w:rsidRDefault="00000000" w:rsidRPr="00000000" w14:paraId="00000006">
      <w:pPr>
        <w:spacing w:line="479.9994545454545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Supplementary Figure S1</w:t>
      </w:r>
    </w:p>
    <w:p w:rsidR="00000000" w:rsidDel="00000000" w:rsidP="00000000" w:rsidRDefault="00000000" w:rsidRPr="00000000" w14:paraId="00000007">
      <w:pPr>
        <w:spacing w:line="479.9994545454545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Supplementary Table S1</w:t>
      </w:r>
    </w:p>
    <w:p w:rsidR="00000000" w:rsidDel="00000000" w:rsidP="00000000" w:rsidRDefault="00000000" w:rsidRPr="00000000" w14:paraId="00000008">
      <w:pPr>
        <w:spacing w:line="479.9994545454545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spacing w:line="479.99945454545457" w:lineRule="auto"/>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line="479.99945454545457" w:lineRule="auto"/>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line="479.99945454545457" w:lineRule="auto"/>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line="479.99945454545457" w:lineRule="auto"/>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line="479.99945454545457" w:lineRule="auto"/>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line="479.99945454545457" w:lineRule="auto"/>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line="479.9994545454545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spacing w:line="479.9994545454545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spacing w:line="479.9994545454545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spacing w:line="479.9994545454545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spacing w:line="479.99945454545457"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4">
      <w:pPr>
        <w:spacing w:line="479.99945454545457" w:lineRule="auto"/>
        <w:rPr>
          <w:rFonts w:ascii="Times New Roman" w:cs="Times New Roman" w:eastAsia="Times New Roman" w:hAnsi="Times New Roman"/>
          <w:b w:val="1"/>
          <w:sz w:val="24"/>
          <w:szCs w:val="24"/>
        </w:rPr>
      </w:pPr>
      <w:r w:rsidDel="00000000" w:rsidR="00000000" w:rsidRPr="00000000">
        <w:rPr>
          <w:rtl w:val="0"/>
        </w:rPr>
      </w:r>
    </w:p>
    <w:tbl>
      <w:tblPr>
        <w:tblStyle w:val="Table1"/>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40"/>
        <w:gridCol w:w="2460"/>
        <w:gridCol w:w="1680"/>
        <w:gridCol w:w="1665"/>
        <w:tblGridChange w:id="0">
          <w:tblGrid>
            <w:gridCol w:w="3540"/>
            <w:gridCol w:w="2460"/>
            <w:gridCol w:w="1680"/>
            <w:gridCol w:w="1665"/>
          </w:tblGrid>
        </w:tblGridChange>
      </w:tblGrid>
      <w:tr>
        <w:trPr>
          <w:cantSplit w:val="0"/>
          <w:trHeight w:val="360" w:hRule="atLeast"/>
          <w:tblHeader w:val="0"/>
        </w:trP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15">
            <w:pPr>
              <w:ind w:left="-2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Source</w:t>
            </w:r>
          </w:p>
        </w:tc>
        <w:tc>
          <w:tcPr>
            <w:tcBorders>
              <w:top w:color="000000" w:space="0" w:sz="8" w:val="single"/>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16">
            <w:pPr>
              <w:ind w:left="-2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Number of units</w:t>
            </w:r>
          </w:p>
        </w:tc>
        <w:tc>
          <w:tcPr>
            <w:tcBorders>
              <w:top w:color="000000" w:space="0" w:sz="8" w:val="single"/>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17">
            <w:pPr>
              <w:ind w:left="-2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Size</w:t>
            </w:r>
          </w:p>
        </w:tc>
        <w:tc>
          <w:tcPr>
            <w:tcBorders>
              <w:top w:color="000000" w:space="0" w:sz="8" w:val="single"/>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18">
            <w:pPr>
              <w:ind w:left="-2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Condition</w:t>
            </w:r>
          </w:p>
        </w:tc>
      </w:tr>
      <w:tr>
        <w:trPr>
          <w:cantSplit w:val="0"/>
          <w:trHeight w:val="360" w:hRule="atLeast"/>
          <w:tblHeader w:val="0"/>
        </w:trPr>
        <w:tc>
          <w:tcPr>
            <w:tcBorders>
              <w:top w:color="000000" w:space="0" w:sz="0" w:val="nil"/>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19">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Reinhard (1974)</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1A">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35-36 huts</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1B">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105-140</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1C">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Nomadic</w:t>
            </w:r>
          </w:p>
        </w:tc>
      </w:tr>
      <w:tr>
        <w:trPr>
          <w:cantSplit w:val="0"/>
          <w:trHeight w:val="360" w:hRule="atLeast"/>
          <w:tblHeader w:val="0"/>
        </w:trPr>
        <w:tc>
          <w:tcPr>
            <w:tcBorders>
              <w:top w:color="000000" w:space="0" w:sz="0" w:val="nil"/>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1D">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Nepal 'Yatri' (1983)</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1E">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groups</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1F">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352</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20">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Nomadic</w:t>
            </w:r>
          </w:p>
        </w:tc>
      </w:tr>
      <w:tr>
        <w:trPr>
          <w:cantSplit w:val="0"/>
          <w:trHeight w:val="585" w:hRule="atLeast"/>
          <w:tblHeader w:val="0"/>
        </w:trPr>
        <w:tc>
          <w:tcPr>
            <w:tcBorders>
              <w:top w:color="000000" w:space="0" w:sz="0" w:val="nil"/>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21">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Ministry of Labour and Social welfare (1984)</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22">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settled groups, 1 nomadic group, 4 houses at Dinsi</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23">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400+125-135</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24">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Settled &amp; Nomadic</w:t>
            </w:r>
          </w:p>
        </w:tc>
      </w:tr>
      <w:tr>
        <w:trPr>
          <w:cantSplit w:val="0"/>
          <w:trHeight w:val="360" w:hRule="atLeast"/>
          <w:tblHeader w:val="0"/>
        </w:trPr>
        <w:tc>
          <w:tcPr>
            <w:tcBorders>
              <w:top w:color="000000" w:space="0" w:sz="0" w:val="nil"/>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25">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Bist (1985)</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26">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27">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200</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28">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Nomadic</w:t>
            </w:r>
          </w:p>
        </w:tc>
      </w:tr>
      <w:tr>
        <w:trPr>
          <w:cantSplit w:val="0"/>
          <w:trHeight w:val="360" w:hRule="atLeast"/>
          <w:tblHeader w:val="0"/>
        </w:trPr>
        <w:tc>
          <w:tcPr>
            <w:tcBorders>
              <w:top w:color="000000" w:space="0" w:sz="0" w:val="nil"/>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29">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National Population Census, 1991</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2A">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2B">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2878</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2C">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Raute</w:t>
            </w:r>
          </w:p>
        </w:tc>
      </w:tr>
      <w:tr>
        <w:trPr>
          <w:cantSplit w:val="0"/>
          <w:trHeight w:val="585" w:hRule="atLeast"/>
          <w:tblHeader w:val="0"/>
        </w:trPr>
        <w:tc>
          <w:tcPr>
            <w:tcBorders>
              <w:top w:color="000000" w:space="0" w:sz="0" w:val="nil"/>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2D">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CEDA (1991), A report submitted to National Planning Commission</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2E">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2F">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375</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30">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Raute</w:t>
            </w:r>
          </w:p>
        </w:tc>
      </w:tr>
      <w:tr>
        <w:trPr>
          <w:cantSplit w:val="0"/>
          <w:trHeight w:val="585" w:hRule="atLeast"/>
          <w:tblHeader w:val="0"/>
        </w:trPr>
        <w:tc>
          <w:tcPr>
            <w:tcBorders>
              <w:top w:color="000000" w:space="0" w:sz="0" w:val="nil"/>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31">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CERID (1991) Report based on National Population Census, 1991</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32">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33">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2878</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34">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Raute</w:t>
            </w:r>
          </w:p>
        </w:tc>
      </w:tr>
      <w:tr>
        <w:trPr>
          <w:cantSplit w:val="0"/>
          <w:trHeight w:val="585" w:hRule="atLeast"/>
          <w:tblHeader w:val="0"/>
        </w:trPr>
        <w:tc>
          <w:tcPr>
            <w:tcBorders>
              <w:top w:color="000000" w:space="0" w:sz="0" w:val="nil"/>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35">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 Analysis of the 1991 Population Census published by CBS (March, 1993)</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36">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37">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268</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38">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Raute</w:t>
            </w:r>
          </w:p>
        </w:tc>
      </w:tr>
      <w:tr>
        <w:trPr>
          <w:cantSplit w:val="0"/>
          <w:trHeight w:val="360" w:hRule="atLeast"/>
          <w:tblHeader w:val="0"/>
        </w:trPr>
        <w:tc>
          <w:tcPr>
            <w:tcBorders>
              <w:top w:color="000000" w:space="0" w:sz="0" w:val="nil"/>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39">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Karki (Aug. 1993)</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3A">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60 families</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3B">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350</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3C">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Nomadic</w:t>
            </w:r>
          </w:p>
        </w:tc>
      </w:tr>
      <w:tr>
        <w:trPr>
          <w:cantSplit w:val="0"/>
          <w:trHeight w:val="360" w:hRule="atLeast"/>
          <w:tblHeader w:val="0"/>
        </w:trPr>
        <w:tc>
          <w:tcPr>
            <w:tcBorders>
              <w:top w:color="000000" w:space="0" w:sz="0" w:val="nil"/>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3D">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Misra (Jan, 1993)</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3E">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Many groups</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3F">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250</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40">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Nomadic</w:t>
            </w:r>
          </w:p>
        </w:tc>
      </w:tr>
      <w:tr>
        <w:trPr>
          <w:cantSplit w:val="0"/>
          <w:trHeight w:val="360" w:hRule="atLeast"/>
          <w:tblHeader w:val="0"/>
        </w:trPr>
        <w:tc>
          <w:tcPr>
            <w:tcBorders>
              <w:top w:color="000000" w:space="0" w:sz="0" w:val="nil"/>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41">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Sanjyal (March, 1993)</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42">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43">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250</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44">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Nomadic</w:t>
            </w:r>
          </w:p>
        </w:tc>
      </w:tr>
      <w:tr>
        <w:trPr>
          <w:cantSplit w:val="0"/>
          <w:trHeight w:val="390" w:hRule="atLeast"/>
          <w:tblHeader w:val="0"/>
        </w:trPr>
        <w:tc>
          <w:tcPr>
            <w:tcBorders>
              <w:top w:color="000000" w:space="0" w:sz="0" w:val="nil"/>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45">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Nepal (July, 1993)</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46">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47">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250</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48">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Nomadic</w:t>
            </w:r>
          </w:p>
        </w:tc>
      </w:tr>
      <w:tr>
        <w:trPr>
          <w:cantSplit w:val="0"/>
          <w:trHeight w:val="360" w:hRule="atLeast"/>
          <w:tblHeader w:val="0"/>
        </w:trPr>
        <w:tc>
          <w:tcPr>
            <w:tcBorders>
              <w:top w:color="000000" w:space="0" w:sz="0" w:val="nil"/>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49">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Majhi (July, 1993)</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4A">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one group</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4B">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300</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4C">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Nomadic</w:t>
            </w:r>
          </w:p>
        </w:tc>
      </w:tr>
      <w:tr>
        <w:trPr>
          <w:cantSplit w:val="0"/>
          <w:trHeight w:val="360" w:hRule="atLeast"/>
          <w:tblHeader w:val="0"/>
        </w:trPr>
        <w:tc>
          <w:tcPr>
            <w:tcBorders>
              <w:top w:color="000000" w:space="0" w:sz="0" w:val="nil"/>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4D">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Nanda Bahadur Singh, 1997</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4E">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37 families</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4F">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130 (63M, 67F)</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50">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Nomadic</w:t>
            </w:r>
          </w:p>
        </w:tc>
      </w:tr>
      <w:tr>
        <w:trPr>
          <w:cantSplit w:val="0"/>
          <w:trHeight w:val="360" w:hRule="atLeast"/>
          <w:tblHeader w:val="0"/>
        </w:trPr>
        <w:tc>
          <w:tcPr>
            <w:tcBorders>
              <w:top w:color="000000" w:space="0" w:sz="0" w:val="nil"/>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51">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Fortier (2000)</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52">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39-43 tents</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53">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117-172, +- 150</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54">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Nomadic</w:t>
            </w:r>
          </w:p>
        </w:tc>
      </w:tr>
      <w:tr>
        <w:trPr>
          <w:cantSplit w:val="0"/>
          <w:trHeight w:val="360" w:hRule="atLeast"/>
          <w:tblHeader w:val="0"/>
        </w:trPr>
        <w:tc>
          <w:tcPr>
            <w:tcBorders>
              <w:top w:color="000000" w:space="0" w:sz="0" w:val="nil"/>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55">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Fortier (2009)</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56">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57">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150 more or less</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58">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Nomadic</w:t>
            </w:r>
          </w:p>
        </w:tc>
      </w:tr>
      <w:tr>
        <w:trPr>
          <w:cantSplit w:val="0"/>
          <w:trHeight w:val="360" w:hRule="atLeast"/>
          <w:tblHeader w:val="0"/>
        </w:trPr>
        <w:tc>
          <w:tcPr>
            <w:tcBorders>
              <w:top w:color="000000" w:space="0" w:sz="0" w:val="nil"/>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59">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Bista (1976)</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5A">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 sheds</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5B">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5C">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Nomadic</w:t>
            </w:r>
          </w:p>
        </w:tc>
      </w:tr>
      <w:tr>
        <w:trPr>
          <w:cantSplit w:val="0"/>
          <w:trHeight w:val="360" w:hRule="atLeast"/>
          <w:tblHeader w:val="0"/>
        </w:trPr>
        <w:tc>
          <w:tcPr>
            <w:tcBorders>
              <w:top w:color="000000" w:space="0" w:sz="0" w:val="nil"/>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5D">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Statistical Pocket Book Nepal, 2008</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5E">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5F">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658 (346M, 312F)</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60">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both?</w:t>
            </w:r>
          </w:p>
        </w:tc>
      </w:tr>
      <w:tr>
        <w:trPr>
          <w:cantSplit w:val="0"/>
          <w:trHeight w:val="360" w:hRule="atLeast"/>
          <w:tblHeader w:val="0"/>
        </w:trPr>
        <w:tc>
          <w:tcPr>
            <w:tcBorders>
              <w:top w:color="000000" w:space="0" w:sz="0" w:val="nil"/>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61">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Government/NGO census 2014*</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62">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63">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143</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64">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Nomadic</w:t>
            </w:r>
          </w:p>
        </w:tc>
      </w:tr>
      <w:tr>
        <w:trPr>
          <w:cantSplit w:val="0"/>
          <w:trHeight w:val="360" w:hRule="atLeast"/>
          <w:tblHeader w:val="0"/>
        </w:trPr>
        <w:tc>
          <w:tcPr>
            <w:tcBorders>
              <w:top w:color="000000" w:space="0" w:sz="0" w:val="nil"/>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65">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Paudel (2016)*</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66">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39 tents/sheds</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67">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148 (83M, 65F)</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68">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Nomadic</w:t>
            </w:r>
          </w:p>
        </w:tc>
      </w:tr>
      <w:tr>
        <w:trPr>
          <w:cantSplit w:val="0"/>
          <w:trHeight w:val="360" w:hRule="atLeast"/>
          <w:tblHeader w:val="0"/>
        </w:trPr>
        <w:tc>
          <w:tcPr>
            <w:tcBorders>
              <w:top w:color="000000" w:space="0" w:sz="0" w:val="nil"/>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69">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Yasin (2017)*</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6A">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45 households</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6B">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162 (90M, 70F)</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6C">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Nomadic</w:t>
            </w:r>
          </w:p>
        </w:tc>
      </w:tr>
      <w:tr>
        <w:trPr>
          <w:cantSplit w:val="0"/>
          <w:trHeight w:val="360" w:hRule="atLeast"/>
          <w:tblHeader w:val="0"/>
        </w:trPr>
        <w:tc>
          <w:tcPr>
            <w:tcBorders>
              <w:top w:color="000000" w:space="0" w:sz="0" w:val="nil"/>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6D">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UZH, 2022 May*</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6E">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40 houses</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6F">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142</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70">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Nomadic</w:t>
            </w:r>
          </w:p>
        </w:tc>
      </w:tr>
      <w:tr>
        <w:trPr>
          <w:cantSplit w:val="0"/>
          <w:trHeight w:val="360" w:hRule="atLeast"/>
          <w:tblHeader w:val="0"/>
        </w:trPr>
        <w:tc>
          <w:tcPr>
            <w:tcBorders>
              <w:top w:color="000000" w:space="0" w:sz="0" w:val="nil"/>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71">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UZH, 2022 December*</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72">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73">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142</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74">
            <w:pPr>
              <w:ind w:lef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Nomadic</w:t>
            </w:r>
          </w:p>
        </w:tc>
      </w:tr>
    </w:tbl>
    <w:p w:rsidR="00000000" w:rsidDel="00000000" w:rsidP="00000000" w:rsidRDefault="00000000" w:rsidRPr="00000000" w14:paraId="00000075">
      <w:pPr>
        <w:spacing w:line="479.99945454545457"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6">
      <w:pPr>
        <w:spacing w:line="479.9994545454545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Table S1</w:t>
      </w:r>
      <w:r w:rsidDel="00000000" w:rsidR="00000000" w:rsidRPr="00000000">
        <w:rPr>
          <w:rFonts w:ascii="Times New Roman" w:cs="Times New Roman" w:eastAsia="Times New Roman" w:hAnsi="Times New Roman"/>
          <w:sz w:val="24"/>
          <w:szCs w:val="24"/>
          <w:rtl w:val="0"/>
        </w:rPr>
        <w:t xml:space="preserve">. Overview of Raute population size estimates in the last 50 years. The table is adapted from Singh (1997) supplemented with new data retrieved in the last three decades (indicated with a * and where applicable cited below). The population estimates vary significantly, which may partially be explained by the lack of consensus regarding who is included in the Raute population. The population in our study is the one generally referred to as ‘Nomadic’. For some sources, it is unclear whether they inferred population sizes through direct counting or approximate estimates.</w:t>
      </w:r>
    </w:p>
    <w:p w:rsidR="00000000" w:rsidDel="00000000" w:rsidP="00000000" w:rsidRDefault="00000000" w:rsidRPr="00000000" w14:paraId="00000077">
      <w:pPr>
        <w:spacing w:line="479.99945454545457"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spacing w:line="479.9994545454545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Bibliography </w:t>
      </w:r>
      <w:r w:rsidDel="00000000" w:rsidR="00000000" w:rsidRPr="00000000">
        <w:rPr>
          <w:rtl w:val="0"/>
        </w:rPr>
      </w:r>
    </w:p>
    <w:p w:rsidR="00000000" w:rsidDel="00000000" w:rsidP="00000000" w:rsidRDefault="00000000" w:rsidRPr="00000000" w14:paraId="00000079">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Paudel, M. K. (2016). </w:t>
      </w:r>
      <w:r w:rsidDel="00000000" w:rsidR="00000000" w:rsidRPr="00000000">
        <w:rPr>
          <w:rFonts w:ascii="Times New Roman" w:cs="Times New Roman" w:eastAsia="Times New Roman" w:hAnsi="Times New Roman"/>
          <w:i w:val="1"/>
          <w:sz w:val="24"/>
          <w:szCs w:val="24"/>
          <w:rtl w:val="0"/>
        </w:rPr>
        <w:t xml:space="preserve">Resistance and change. A case study of economic changes and its effect on language, food habits and dress of the nomadic hunting-gathering Raute of Nepal</w:t>
      </w:r>
      <w:r w:rsidDel="00000000" w:rsidR="00000000" w:rsidRPr="00000000">
        <w:rPr>
          <w:rFonts w:ascii="Times New Roman" w:cs="Times New Roman" w:eastAsia="Times New Roman" w:hAnsi="Times New Roman"/>
          <w:sz w:val="24"/>
          <w:szCs w:val="24"/>
          <w:rtl w:val="0"/>
        </w:rPr>
        <w:t xml:space="preserve"> (Master's thesis, UiT Norges arktiske universitet).</w:t>
      </w:r>
    </w:p>
    <w:p w:rsidR="00000000" w:rsidDel="00000000" w:rsidP="00000000" w:rsidRDefault="00000000" w:rsidRPr="00000000" w14:paraId="0000007A">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Yasin, B. A. N. U. (2017). </w:t>
      </w:r>
      <w:r w:rsidDel="00000000" w:rsidR="00000000" w:rsidRPr="00000000">
        <w:rPr>
          <w:rFonts w:ascii="Times New Roman" w:cs="Times New Roman" w:eastAsia="Times New Roman" w:hAnsi="Times New Roman"/>
          <w:i w:val="1"/>
          <w:sz w:val="24"/>
          <w:szCs w:val="24"/>
          <w:rtl w:val="0"/>
        </w:rPr>
        <w:t xml:space="preserve">The Raute community and the challenges to maintaining their indigenous ecological knowledge and practice</w:t>
      </w:r>
      <w:r w:rsidDel="00000000" w:rsidR="00000000" w:rsidRPr="00000000">
        <w:rPr>
          <w:rFonts w:ascii="Times New Roman" w:cs="Times New Roman" w:eastAsia="Times New Roman" w:hAnsi="Times New Roman"/>
          <w:sz w:val="24"/>
          <w:szCs w:val="24"/>
          <w:rtl w:val="0"/>
        </w:rPr>
        <w:t xml:space="preserve"> (Doctoral dissertation, M. Sc. Thesis. Graduate School of Life and Environmental Sciences, University of Tsukuba, Japan).</w:t>
      </w:r>
      <w:r w:rsidDel="00000000" w:rsidR="00000000" w:rsidRPr="00000000">
        <w:rPr>
          <w:rtl w:val="0"/>
        </w:rPr>
      </w:r>
    </w:p>
    <w:sectPr>
      <w:pgSz w:h="15840" w:w="12240" w:orient="portrait"/>
      <w:pgMar w:bottom="1440" w:top="1440" w:left="1440" w:right="1440" w:header="720" w:footer="720"/>
      <w:lnNumType w:countBy="1" w:start="0" w:restart="continuous"/>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