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1268" w14:textId="77777777" w:rsidR="00880E5F" w:rsidRDefault="00880E5F" w:rsidP="00880E5F">
      <w:pPr>
        <w:pStyle w:val="Heading1"/>
      </w:pPr>
      <w:bookmarkStart w:id="0" w:name="a-treatment-effects"/>
      <w:r>
        <w:t>A Treatment effects</w:t>
      </w:r>
    </w:p>
    <w:p w14:paraId="0E861280" w14:textId="77777777" w:rsidR="00880E5F" w:rsidRDefault="00880E5F" w:rsidP="00880E5F">
      <w:pPr>
        <w:pStyle w:val="CaptionedFigure"/>
      </w:pPr>
      <w:bookmarkStart w:id="1" w:name="fig:hom_lift_heat"/>
      <w:r>
        <w:rPr>
          <w:noProof/>
        </w:rPr>
        <w:drawing>
          <wp:inline distT="0" distB="0" distL="0" distR="0" wp14:anchorId="73FCFC46" wp14:editId="4B670643">
            <wp:extent cx="5334000" cy="1689099"/>
            <wp:effectExtent l="0" t="0" r="0" b="0"/>
            <wp:docPr id="99" name="Picture" descr="Time-resolved treatment effect ΔA(t) (treatment minus control) for homogeneous populations. The heatmap reports the mean treatment effect over the full horizon t = 0, …, T (T = 150). Conformity shows no average lift at the baseline threshold, payoff-biased copying produces an early pulse that vanishes as both arms saturate, random copying preserves a stable positive lift, and prestige-biased copying yields a moderate but persistent treatment advantag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" descr="Model32b_outputs/heatmap_homogeneous_lif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9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06F7F" w14:textId="77777777" w:rsidR="00880E5F" w:rsidRDefault="00880E5F" w:rsidP="00880E5F">
      <w:pPr>
        <w:pStyle w:val="ImageCaption"/>
      </w:pPr>
      <w:r>
        <w:t xml:space="preserve">Time-resolved treatment effect </w:t>
      </w:r>
      <w:r>
        <w:rPr>
          <w:iCs/>
        </w:rPr>
        <w:t>ΔA</w:t>
      </w:r>
      <w:r>
        <w:t>(</w:t>
      </w:r>
      <w:r>
        <w:rPr>
          <w:iCs/>
        </w:rPr>
        <w:t>t</w:t>
      </w:r>
      <w:r>
        <w:t xml:space="preserve">) (treatment minus control) for homogeneous populations. The heatmap reports the mean treatment effect over the full horizon </w:t>
      </w:r>
      <w:r>
        <w:rPr>
          <w:iCs/>
        </w:rPr>
        <w:t>t</w:t>
      </w:r>
      <w:r>
        <w:t> = 0, …, </w:t>
      </w:r>
      <w:r>
        <w:rPr>
          <w:iCs/>
        </w:rPr>
        <w:t>T</w:t>
      </w:r>
      <w:r>
        <w:t xml:space="preserve"> (</w:t>
      </w:r>
      <w:r>
        <w:rPr>
          <w:iCs/>
        </w:rPr>
        <w:t>T</w:t>
      </w:r>
      <w:r>
        <w:t> = 150). Conformity shows no average lift at the baseline threshold, payoff-biased copying produces an early pulse that vanishes as both arms saturate, random copying preserves a stable positive lift, and prestige-biased copying yields a moderate but persistent treatment advantage.</w:t>
      </w:r>
    </w:p>
    <w:bookmarkEnd w:id="1"/>
    <w:p w14:paraId="0242416B" w14:textId="77777777" w:rsidR="00880E5F" w:rsidRDefault="00880E5F" w:rsidP="00880E5F">
      <w:pPr>
        <w:pStyle w:val="TableCaption"/>
      </w:pPr>
      <w:r>
        <w:t>Final treatment effects in homogeneous populations (</w:t>
      </w:r>
      <m:oMath>
        <m:r>
          <w:rPr>
            <w:rFonts w:ascii="Cambria Math" w:hAnsi="Cambria Math"/>
          </w:rPr>
          <m:t>T=150</m:t>
        </m:r>
      </m:oMath>
      <w:r>
        <w:t xml:space="preserve">). Values are means across </w:t>
      </w:r>
      <m:oMath>
        <m:r>
          <w:rPr>
            <w:rFonts w:ascii="Cambria Math" w:hAnsi="Cambria Math"/>
          </w:rPr>
          <m:t>R=100</m:t>
        </m:r>
      </m:oMath>
      <w:r>
        <w:t xml:space="preserve"> paired replications; standard deviations are shown in parentheses for </w:t>
      </w:r>
      <m:oMath>
        <m:r>
          <w:rPr>
            <w:rFonts w:ascii="Cambria Math" w:hAnsi="Cambria Math"/>
          </w:rPr>
          <m:t>ΔA(T)</m:t>
        </m:r>
      </m:oMath>
      <w:r>
        <w:t>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36"/>
        <w:gridCol w:w="1402"/>
        <w:gridCol w:w="1326"/>
        <w:gridCol w:w="1516"/>
      </w:tblGrid>
      <w:tr w:rsidR="00880E5F" w14:paraId="403AF75A" w14:textId="77777777" w:rsidTr="00845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2D45706" w14:textId="77777777" w:rsidR="00880E5F" w:rsidRDefault="00880E5F" w:rsidP="0084581E">
            <w:pPr>
              <w:pStyle w:val="Compact"/>
            </w:pPr>
            <w:r>
              <w:t>Condition</w:t>
            </w:r>
          </w:p>
        </w:tc>
        <w:tc>
          <w:tcPr>
            <w:tcW w:w="0" w:type="auto"/>
          </w:tcPr>
          <w:p w14:paraId="671B6103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nor/>
                    </m:rPr>
                    <m:t>ctrl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  <w:tc>
          <w:tcPr>
            <w:tcW w:w="0" w:type="auto"/>
          </w:tcPr>
          <w:p w14:paraId="2065AD26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nor/>
                    </m:rPr>
                    <m:t>trt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  <w:tc>
          <w:tcPr>
            <w:tcW w:w="0" w:type="auto"/>
          </w:tcPr>
          <w:p w14:paraId="77B04459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E[Δ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</w:tr>
      <w:tr w:rsidR="00880E5F" w14:paraId="423D4128" w14:textId="77777777" w:rsidTr="0084581E">
        <w:tc>
          <w:tcPr>
            <w:tcW w:w="0" w:type="auto"/>
          </w:tcPr>
          <w:p w14:paraId="31301CA0" w14:textId="77777777" w:rsidR="00880E5F" w:rsidRDefault="00880E5F" w:rsidP="0084581E">
            <w:pPr>
              <w:pStyle w:val="Compact"/>
            </w:pPr>
            <w:r>
              <w:t>Conformity</w:t>
            </w:r>
          </w:p>
        </w:tc>
        <w:tc>
          <w:tcPr>
            <w:tcW w:w="0" w:type="auto"/>
          </w:tcPr>
          <w:p w14:paraId="1DC6F34E" w14:textId="77777777" w:rsidR="00880E5F" w:rsidRDefault="00880E5F" w:rsidP="0084581E">
            <w:pPr>
              <w:pStyle w:val="Compact"/>
              <w:jc w:val="center"/>
            </w:pPr>
            <w:r>
              <w:t>0.007</w:t>
            </w:r>
          </w:p>
        </w:tc>
        <w:tc>
          <w:tcPr>
            <w:tcW w:w="0" w:type="auto"/>
          </w:tcPr>
          <w:p w14:paraId="7470AE41" w14:textId="77777777" w:rsidR="00880E5F" w:rsidRDefault="00880E5F" w:rsidP="0084581E">
            <w:pPr>
              <w:pStyle w:val="Compact"/>
              <w:jc w:val="center"/>
            </w:pPr>
            <w:r>
              <w:t>0.007</w:t>
            </w:r>
          </w:p>
        </w:tc>
        <w:tc>
          <w:tcPr>
            <w:tcW w:w="0" w:type="auto"/>
          </w:tcPr>
          <w:p w14:paraId="21D9F94A" w14:textId="77777777" w:rsidR="00880E5F" w:rsidRDefault="00880E5F" w:rsidP="0084581E">
            <w:pPr>
              <w:pStyle w:val="Compact"/>
              <w:jc w:val="center"/>
            </w:pPr>
            <w:r>
              <w:t>0.000 (0.000)</w:t>
            </w:r>
          </w:p>
        </w:tc>
      </w:tr>
      <w:tr w:rsidR="00880E5F" w14:paraId="60B572EE" w14:textId="77777777" w:rsidTr="0084581E">
        <w:tc>
          <w:tcPr>
            <w:tcW w:w="0" w:type="auto"/>
          </w:tcPr>
          <w:p w14:paraId="42F97AFD" w14:textId="77777777" w:rsidR="00880E5F" w:rsidRDefault="00880E5F" w:rsidP="0084581E">
            <w:pPr>
              <w:pStyle w:val="Compact"/>
            </w:pPr>
            <w:r>
              <w:t>Prestige</w:t>
            </w:r>
          </w:p>
        </w:tc>
        <w:tc>
          <w:tcPr>
            <w:tcW w:w="0" w:type="auto"/>
          </w:tcPr>
          <w:p w14:paraId="77F0257B" w14:textId="77777777" w:rsidR="00880E5F" w:rsidRDefault="00880E5F" w:rsidP="0084581E">
            <w:pPr>
              <w:pStyle w:val="Compact"/>
              <w:jc w:val="center"/>
            </w:pPr>
            <w:r>
              <w:t>0.062</w:t>
            </w:r>
          </w:p>
        </w:tc>
        <w:tc>
          <w:tcPr>
            <w:tcW w:w="0" w:type="auto"/>
          </w:tcPr>
          <w:p w14:paraId="52DADD43" w14:textId="77777777" w:rsidR="00880E5F" w:rsidRDefault="00880E5F" w:rsidP="0084581E">
            <w:pPr>
              <w:pStyle w:val="Compact"/>
              <w:jc w:val="center"/>
            </w:pPr>
            <w:r>
              <w:t>0.225</w:t>
            </w:r>
          </w:p>
        </w:tc>
        <w:tc>
          <w:tcPr>
            <w:tcW w:w="0" w:type="auto"/>
          </w:tcPr>
          <w:p w14:paraId="31673DAA" w14:textId="77777777" w:rsidR="00880E5F" w:rsidRDefault="00880E5F" w:rsidP="0084581E">
            <w:pPr>
              <w:pStyle w:val="Compact"/>
              <w:jc w:val="center"/>
            </w:pPr>
            <w:r>
              <w:t>0.163 (0.263)</w:t>
            </w:r>
          </w:p>
        </w:tc>
      </w:tr>
      <w:tr w:rsidR="00880E5F" w14:paraId="3A56F3B8" w14:textId="77777777" w:rsidTr="0084581E">
        <w:tc>
          <w:tcPr>
            <w:tcW w:w="0" w:type="auto"/>
          </w:tcPr>
          <w:p w14:paraId="2C06FBF0" w14:textId="77777777" w:rsidR="00880E5F" w:rsidRDefault="00880E5F" w:rsidP="0084581E">
            <w:pPr>
              <w:pStyle w:val="Compact"/>
            </w:pPr>
            <w:r>
              <w:t>Payoff</w:t>
            </w:r>
          </w:p>
        </w:tc>
        <w:tc>
          <w:tcPr>
            <w:tcW w:w="0" w:type="auto"/>
          </w:tcPr>
          <w:p w14:paraId="22FBFA1C" w14:textId="77777777" w:rsidR="00880E5F" w:rsidRDefault="00880E5F" w:rsidP="0084581E">
            <w:pPr>
              <w:pStyle w:val="Compact"/>
              <w:jc w:val="center"/>
            </w:pPr>
            <w:r>
              <w:t>1.000</w:t>
            </w:r>
          </w:p>
        </w:tc>
        <w:tc>
          <w:tcPr>
            <w:tcW w:w="0" w:type="auto"/>
          </w:tcPr>
          <w:p w14:paraId="37B6C86F" w14:textId="77777777" w:rsidR="00880E5F" w:rsidRDefault="00880E5F" w:rsidP="0084581E">
            <w:pPr>
              <w:pStyle w:val="Compact"/>
              <w:jc w:val="center"/>
            </w:pPr>
            <w:r>
              <w:t>1.000</w:t>
            </w:r>
          </w:p>
        </w:tc>
        <w:tc>
          <w:tcPr>
            <w:tcW w:w="0" w:type="auto"/>
          </w:tcPr>
          <w:p w14:paraId="7A341001" w14:textId="77777777" w:rsidR="00880E5F" w:rsidRDefault="00880E5F" w:rsidP="0084581E">
            <w:pPr>
              <w:pStyle w:val="Compact"/>
              <w:jc w:val="center"/>
            </w:pPr>
            <w:r>
              <w:t>0.000 (0.000)</w:t>
            </w:r>
          </w:p>
        </w:tc>
      </w:tr>
      <w:tr w:rsidR="00880E5F" w14:paraId="6BF19E2A" w14:textId="77777777" w:rsidTr="0084581E">
        <w:tc>
          <w:tcPr>
            <w:tcW w:w="0" w:type="auto"/>
          </w:tcPr>
          <w:p w14:paraId="34D0AF57" w14:textId="77777777" w:rsidR="00880E5F" w:rsidRDefault="00880E5F" w:rsidP="0084581E">
            <w:pPr>
              <w:pStyle w:val="Compact"/>
            </w:pPr>
            <w:r>
              <w:t>Random</w:t>
            </w:r>
          </w:p>
        </w:tc>
        <w:tc>
          <w:tcPr>
            <w:tcW w:w="0" w:type="auto"/>
          </w:tcPr>
          <w:p w14:paraId="44E359BF" w14:textId="77777777" w:rsidR="00880E5F" w:rsidRDefault="00880E5F" w:rsidP="0084581E">
            <w:pPr>
              <w:pStyle w:val="Compact"/>
              <w:jc w:val="center"/>
            </w:pPr>
            <w:r>
              <w:t>0.061</w:t>
            </w:r>
          </w:p>
        </w:tc>
        <w:tc>
          <w:tcPr>
            <w:tcW w:w="0" w:type="auto"/>
          </w:tcPr>
          <w:p w14:paraId="60F6D69E" w14:textId="77777777" w:rsidR="00880E5F" w:rsidRDefault="00880E5F" w:rsidP="0084581E">
            <w:pPr>
              <w:pStyle w:val="Compact"/>
              <w:jc w:val="center"/>
            </w:pPr>
            <w:r>
              <w:t>0.267</w:t>
            </w:r>
          </w:p>
        </w:tc>
        <w:tc>
          <w:tcPr>
            <w:tcW w:w="0" w:type="auto"/>
          </w:tcPr>
          <w:p w14:paraId="78944A41" w14:textId="77777777" w:rsidR="00880E5F" w:rsidRDefault="00880E5F" w:rsidP="0084581E">
            <w:pPr>
              <w:pStyle w:val="Compact"/>
              <w:jc w:val="center"/>
            </w:pPr>
            <w:r>
              <w:t>0.205 (0.224)</w:t>
            </w:r>
          </w:p>
        </w:tc>
      </w:tr>
    </w:tbl>
    <w:p w14:paraId="2F4DA985" w14:textId="77777777" w:rsidR="00880E5F" w:rsidRDefault="00880E5F" w:rsidP="00880E5F">
      <w:pPr>
        <w:pStyle w:val="BodyText"/>
      </w:pPr>
      <w:bookmarkStart w:id="2" w:name="tab:finalSummary"/>
      <w:bookmarkEnd w:id="2"/>
    </w:p>
    <w:p w14:paraId="516D1B52" w14:textId="77777777" w:rsidR="00880E5F" w:rsidRDefault="00880E5F" w:rsidP="00880E5F">
      <w:pPr>
        <w:pStyle w:val="CaptionedFigure"/>
      </w:pPr>
      <w:bookmarkStart w:id="3" w:name="fig:mixed_lift_heat"/>
      <w:r>
        <w:rPr>
          <w:noProof/>
        </w:rPr>
        <w:lastRenderedPageBreak/>
        <w:drawing>
          <wp:inline distT="0" distB="0" distL="0" distR="0" wp14:anchorId="4A68037E" wp14:editId="135AD9BC">
            <wp:extent cx="5334000" cy="1689099"/>
            <wp:effectExtent l="0" t="0" r="0" b="0"/>
            <wp:docPr id="105" name="Picture" descr="Time-resolved treatment effect ΔA(t) for 70/30 mixed populations over the common short comparison window 0 ≤ t ≤ 150. Over this window, random-dominant ecologies show the largest lift, prestige-dominant ecologies display gradual but modest treatment advantages, payoff-dominant ecologies show early spikes that compress as both arms saturate, and conformity-dominant ecologies remain close to zero. The random-dominant final effect reported in Table 2 uses the extended T = 500 horiz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Model32b_outputs/heatmap_mixed_lif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9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E07FB" w14:textId="77777777" w:rsidR="00880E5F" w:rsidRDefault="00880E5F" w:rsidP="00880E5F">
      <w:pPr>
        <w:pStyle w:val="ImageCaption"/>
      </w:pPr>
      <w:r>
        <w:t xml:space="preserve">Time-resolved treatment effect </w:t>
      </w:r>
      <w:r>
        <w:rPr>
          <w:iCs/>
        </w:rPr>
        <w:t>ΔA</w:t>
      </w:r>
      <w:r>
        <w:t>(</w:t>
      </w:r>
      <w:r>
        <w:rPr>
          <w:iCs/>
        </w:rPr>
        <w:t>t</w:t>
      </w:r>
      <w:r>
        <w:t>) for 70/30 mixed populations over the common short comparison window 0 ≤ </w:t>
      </w:r>
      <w:r>
        <w:rPr>
          <w:iCs/>
        </w:rPr>
        <w:t>t</w:t>
      </w:r>
      <w:r>
        <w:t> ≤ 150. Over this window, random-dominant ecologies show the largest lift, prestige-dominant ecologies display gradual but modest treatment advantages, payoff-dominant ecologies show early spikes that compress as both arms saturate, and conformity-dominant ecologies remain close to zero. The random-dominant final effect reported in Table </w:t>
      </w:r>
      <w:hyperlink w:anchor="tab:finalSummary_mixed">
        <w:r>
          <w:rPr>
            <w:rStyle w:val="Hyperlink"/>
          </w:rPr>
          <w:t>2</w:t>
        </w:r>
      </w:hyperlink>
      <w:r>
        <w:t xml:space="preserve"> uses the extended </w:t>
      </w:r>
      <w:r>
        <w:rPr>
          <w:iCs/>
        </w:rPr>
        <w:t>T</w:t>
      </w:r>
      <w:r>
        <w:t> = 500 horizon.</w:t>
      </w:r>
    </w:p>
    <w:bookmarkEnd w:id="3"/>
    <w:p w14:paraId="5245174D" w14:textId="77777777" w:rsidR="00880E5F" w:rsidRDefault="00880E5F" w:rsidP="00880E5F">
      <w:pPr>
        <w:pStyle w:val="TableCaption"/>
      </w:pPr>
      <w:r>
        <w:t xml:space="preserve">Final treatment effects in mixed (70/30) populations. Conformity- and prestige-dominant mixtures are simulated to </w:t>
      </w:r>
      <m:oMath>
        <m:r>
          <w:rPr>
            <w:rFonts w:ascii="Cambria Math" w:hAnsi="Cambria Math"/>
          </w:rPr>
          <m:t>T=1500</m:t>
        </m:r>
      </m:oMath>
      <w:r>
        <w:t xml:space="preserve">, the random-dominant mixture to </w:t>
      </w:r>
      <m:oMath>
        <m:r>
          <w:rPr>
            <w:rFonts w:ascii="Cambria Math" w:hAnsi="Cambria Math"/>
          </w:rPr>
          <m:t>T=500</m:t>
        </m:r>
      </m:oMath>
      <w:r>
        <w:t xml:space="preserve">, and the payoff-dominant mixture to </w:t>
      </w:r>
      <m:oMath>
        <m:r>
          <w:rPr>
            <w:rFonts w:ascii="Cambria Math" w:hAnsi="Cambria Math"/>
          </w:rPr>
          <m:t>T=150</m:t>
        </m:r>
      </m:oMath>
      <w:r>
        <w:t xml:space="preserve"> (</w:t>
      </w:r>
      <m:oMath>
        <m:r>
          <w:rPr>
            <w:rFonts w:ascii="Cambria Math" w:hAnsi="Cambria Math"/>
          </w:rPr>
          <m:t>N=400</m:t>
        </m:r>
      </m:oMath>
      <w:r>
        <w:t xml:space="preserve">). Values are means across </w:t>
      </w:r>
      <m:oMath>
        <m:r>
          <w:rPr>
            <w:rFonts w:ascii="Cambria Math" w:hAnsi="Cambria Math"/>
          </w:rPr>
          <m:t>R=100</m:t>
        </m:r>
      </m:oMath>
      <w:r>
        <w:t xml:space="preserve"> paired replications; standard deviations are shown in parentheses for </w:t>
      </w:r>
      <m:oMath>
        <m:r>
          <w:rPr>
            <w:rFonts w:ascii="Cambria Math" w:hAnsi="Cambria Math"/>
          </w:rPr>
          <m:t>ΔA(T)</m:t>
        </m:r>
      </m:oMath>
      <w:r>
        <w:t>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23"/>
        <w:gridCol w:w="1402"/>
        <w:gridCol w:w="1326"/>
        <w:gridCol w:w="1516"/>
      </w:tblGrid>
      <w:tr w:rsidR="00880E5F" w14:paraId="6C417610" w14:textId="77777777" w:rsidTr="00845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9BCD20" w14:textId="77777777" w:rsidR="00880E5F" w:rsidRDefault="00880E5F" w:rsidP="0084581E">
            <w:pPr>
              <w:pStyle w:val="Compact"/>
            </w:pPr>
            <w:r>
              <w:t>Dominant strategy</w:t>
            </w:r>
          </w:p>
        </w:tc>
        <w:tc>
          <w:tcPr>
            <w:tcW w:w="0" w:type="auto"/>
          </w:tcPr>
          <w:p w14:paraId="57190A88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nor/>
                    </m:rPr>
                    <m:t>ctrl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  <w:tc>
          <w:tcPr>
            <w:tcW w:w="0" w:type="auto"/>
          </w:tcPr>
          <w:p w14:paraId="76B5EF4D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nor/>
                    </m:rPr>
                    <m:t>trt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  <w:tc>
          <w:tcPr>
            <w:tcW w:w="0" w:type="auto"/>
          </w:tcPr>
          <w:p w14:paraId="3CAA4C64" w14:textId="77777777" w:rsidR="00880E5F" w:rsidRDefault="00880E5F" w:rsidP="0084581E">
            <w:pPr>
              <w:pStyle w:val="Compact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E[Δ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)]</m:t>
              </m:r>
            </m:oMath>
            <w:r>
              <w:t>​</w:t>
            </w:r>
          </w:p>
        </w:tc>
      </w:tr>
      <w:tr w:rsidR="00880E5F" w14:paraId="6562725A" w14:textId="77777777" w:rsidTr="0084581E">
        <w:tc>
          <w:tcPr>
            <w:tcW w:w="0" w:type="auto"/>
          </w:tcPr>
          <w:p w14:paraId="265B2692" w14:textId="77777777" w:rsidR="00880E5F" w:rsidRDefault="00880E5F" w:rsidP="0084581E">
            <w:pPr>
              <w:pStyle w:val="Compact"/>
            </w:pPr>
            <w:r>
              <w:t>Conformity-dominant</w:t>
            </w:r>
          </w:p>
        </w:tc>
        <w:tc>
          <w:tcPr>
            <w:tcW w:w="0" w:type="auto"/>
          </w:tcPr>
          <w:p w14:paraId="11E3721A" w14:textId="77777777" w:rsidR="00880E5F" w:rsidRDefault="00880E5F" w:rsidP="0084581E">
            <w:pPr>
              <w:pStyle w:val="Compact"/>
              <w:jc w:val="center"/>
            </w:pPr>
            <w:r>
              <w:t>0.010</w:t>
            </w:r>
          </w:p>
        </w:tc>
        <w:tc>
          <w:tcPr>
            <w:tcW w:w="0" w:type="auto"/>
          </w:tcPr>
          <w:p w14:paraId="5D9D18B9" w14:textId="77777777" w:rsidR="00880E5F" w:rsidRDefault="00880E5F" w:rsidP="0084581E">
            <w:pPr>
              <w:pStyle w:val="Compact"/>
              <w:jc w:val="center"/>
            </w:pPr>
            <w:r>
              <w:t>0.010</w:t>
            </w:r>
          </w:p>
        </w:tc>
        <w:tc>
          <w:tcPr>
            <w:tcW w:w="0" w:type="auto"/>
          </w:tcPr>
          <w:p w14:paraId="6ECA63C5" w14:textId="77777777" w:rsidR="00880E5F" w:rsidRDefault="00880E5F" w:rsidP="0084581E">
            <w:pPr>
              <w:pStyle w:val="Compact"/>
              <w:jc w:val="center"/>
            </w:pPr>
            <w:r>
              <w:t>0.000 (0.000)</w:t>
            </w:r>
          </w:p>
        </w:tc>
      </w:tr>
      <w:tr w:rsidR="00880E5F" w14:paraId="1089CF64" w14:textId="77777777" w:rsidTr="0084581E">
        <w:tc>
          <w:tcPr>
            <w:tcW w:w="0" w:type="auto"/>
          </w:tcPr>
          <w:p w14:paraId="0CC9D538" w14:textId="77777777" w:rsidR="00880E5F" w:rsidRDefault="00880E5F" w:rsidP="0084581E">
            <w:pPr>
              <w:pStyle w:val="Compact"/>
            </w:pPr>
            <w:r>
              <w:t>Prestige-dominant</w:t>
            </w:r>
          </w:p>
        </w:tc>
        <w:tc>
          <w:tcPr>
            <w:tcW w:w="0" w:type="auto"/>
          </w:tcPr>
          <w:p w14:paraId="360575C0" w14:textId="77777777" w:rsidR="00880E5F" w:rsidRDefault="00880E5F" w:rsidP="0084581E">
            <w:pPr>
              <w:pStyle w:val="Compact"/>
              <w:jc w:val="center"/>
            </w:pPr>
            <w:r>
              <w:t>0.896</w:t>
            </w:r>
          </w:p>
        </w:tc>
        <w:tc>
          <w:tcPr>
            <w:tcW w:w="0" w:type="auto"/>
          </w:tcPr>
          <w:p w14:paraId="0A830744" w14:textId="77777777" w:rsidR="00880E5F" w:rsidRDefault="00880E5F" w:rsidP="0084581E">
            <w:pPr>
              <w:pStyle w:val="Compact"/>
              <w:jc w:val="center"/>
            </w:pPr>
            <w:r>
              <w:t>0.931</w:t>
            </w:r>
          </w:p>
        </w:tc>
        <w:tc>
          <w:tcPr>
            <w:tcW w:w="0" w:type="auto"/>
          </w:tcPr>
          <w:p w14:paraId="5FBA7E3D" w14:textId="77777777" w:rsidR="00880E5F" w:rsidRDefault="00880E5F" w:rsidP="0084581E">
            <w:pPr>
              <w:pStyle w:val="Compact"/>
              <w:jc w:val="center"/>
            </w:pPr>
            <w:r>
              <w:t>0.034 (0.170)</w:t>
            </w:r>
          </w:p>
        </w:tc>
      </w:tr>
      <w:tr w:rsidR="00880E5F" w14:paraId="0D8E22C9" w14:textId="77777777" w:rsidTr="0084581E">
        <w:tc>
          <w:tcPr>
            <w:tcW w:w="0" w:type="auto"/>
          </w:tcPr>
          <w:p w14:paraId="11E5F204" w14:textId="77777777" w:rsidR="00880E5F" w:rsidRDefault="00880E5F" w:rsidP="0084581E">
            <w:pPr>
              <w:pStyle w:val="Compact"/>
            </w:pPr>
            <w:r>
              <w:t>Payoff-dominant</w:t>
            </w:r>
          </w:p>
        </w:tc>
        <w:tc>
          <w:tcPr>
            <w:tcW w:w="0" w:type="auto"/>
          </w:tcPr>
          <w:p w14:paraId="3D825041" w14:textId="77777777" w:rsidR="00880E5F" w:rsidRDefault="00880E5F" w:rsidP="0084581E">
            <w:pPr>
              <w:pStyle w:val="Compact"/>
              <w:jc w:val="center"/>
            </w:pPr>
            <w:r>
              <w:t>0.998</w:t>
            </w:r>
          </w:p>
        </w:tc>
        <w:tc>
          <w:tcPr>
            <w:tcW w:w="0" w:type="auto"/>
          </w:tcPr>
          <w:p w14:paraId="4B4DAE6C" w14:textId="77777777" w:rsidR="00880E5F" w:rsidRDefault="00880E5F" w:rsidP="0084581E">
            <w:pPr>
              <w:pStyle w:val="Compact"/>
              <w:jc w:val="center"/>
            </w:pPr>
            <w:r>
              <w:t>0.998</w:t>
            </w:r>
          </w:p>
        </w:tc>
        <w:tc>
          <w:tcPr>
            <w:tcW w:w="0" w:type="auto"/>
          </w:tcPr>
          <w:p w14:paraId="7E2932C8" w14:textId="77777777" w:rsidR="00880E5F" w:rsidRDefault="00880E5F" w:rsidP="0084581E">
            <w:pPr>
              <w:pStyle w:val="Compact"/>
              <w:jc w:val="center"/>
            </w:pPr>
            <w:r>
              <w:t>0.000 (0.002)</w:t>
            </w:r>
          </w:p>
        </w:tc>
      </w:tr>
      <w:tr w:rsidR="00880E5F" w14:paraId="1DEF3683" w14:textId="77777777" w:rsidTr="0084581E">
        <w:tc>
          <w:tcPr>
            <w:tcW w:w="0" w:type="auto"/>
          </w:tcPr>
          <w:p w14:paraId="20D943E0" w14:textId="77777777" w:rsidR="00880E5F" w:rsidRDefault="00880E5F" w:rsidP="0084581E">
            <w:pPr>
              <w:pStyle w:val="Compact"/>
            </w:pPr>
            <w:r>
              <w:t>Random-dominant</w:t>
            </w:r>
          </w:p>
        </w:tc>
        <w:tc>
          <w:tcPr>
            <w:tcW w:w="0" w:type="auto"/>
          </w:tcPr>
          <w:p w14:paraId="4A0DAD75" w14:textId="77777777" w:rsidR="00880E5F" w:rsidRDefault="00880E5F" w:rsidP="0084581E">
            <w:pPr>
              <w:pStyle w:val="Compact"/>
              <w:jc w:val="center"/>
            </w:pPr>
            <w:r>
              <w:t>0.689</w:t>
            </w:r>
          </w:p>
        </w:tc>
        <w:tc>
          <w:tcPr>
            <w:tcW w:w="0" w:type="auto"/>
          </w:tcPr>
          <w:p w14:paraId="09C44D7B" w14:textId="77777777" w:rsidR="00880E5F" w:rsidRDefault="00880E5F" w:rsidP="0084581E">
            <w:pPr>
              <w:pStyle w:val="Compact"/>
              <w:jc w:val="center"/>
            </w:pPr>
            <w:r>
              <w:t>0.780</w:t>
            </w:r>
          </w:p>
        </w:tc>
        <w:tc>
          <w:tcPr>
            <w:tcW w:w="0" w:type="auto"/>
          </w:tcPr>
          <w:p w14:paraId="4ADD1158" w14:textId="77777777" w:rsidR="00880E5F" w:rsidRDefault="00880E5F" w:rsidP="0084581E">
            <w:pPr>
              <w:pStyle w:val="Compact"/>
              <w:jc w:val="center"/>
            </w:pPr>
            <w:r>
              <w:t>0.091 (0.262)</w:t>
            </w:r>
          </w:p>
        </w:tc>
      </w:tr>
    </w:tbl>
    <w:p w14:paraId="7D0AF563" w14:textId="77777777" w:rsidR="00880E5F" w:rsidRDefault="00880E5F" w:rsidP="00880E5F">
      <w:pPr>
        <w:pStyle w:val="BodyText"/>
      </w:pPr>
      <w:bookmarkStart w:id="4" w:name="tab:finalSummary_mixed"/>
      <w:bookmarkEnd w:id="4"/>
    </w:p>
    <w:p w14:paraId="2874C0D7" w14:textId="77777777" w:rsidR="00880E5F" w:rsidRDefault="00880E5F" w:rsidP="00880E5F">
      <w:pPr>
        <w:pStyle w:val="CaptionedFigure"/>
      </w:pPr>
      <w:bookmarkStart w:id="5" w:name="fig:panel3_appendix"/>
      <w:r>
        <w:rPr>
          <w:noProof/>
        </w:rPr>
        <w:lastRenderedPageBreak/>
        <w:drawing>
          <wp:inline distT="0" distB="0" distL="0" distR="0" wp14:anchorId="1F5FB66C" wp14:editId="35E61EC2">
            <wp:extent cx="5334000" cy="1714500"/>
            <wp:effectExtent l="0" t="0" r="0" b="0"/>
            <wp:docPr id="111" name="Picture" descr="Two-strategy payoff-share sweeps: final adoption in treatment and control as the share of payoff-biased learners increases, shown separately for conformist-, prestige-, and random-based ecologies. The appendix figure decomposes the aggregate payoff-share sweep in Figure 3 into background-specific transition curv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 descr="Model32b_outputs/panel3_appendix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6C4E9" w14:textId="77777777" w:rsidR="00880E5F" w:rsidRDefault="00880E5F" w:rsidP="00880E5F">
      <w:pPr>
        <w:pStyle w:val="ImageCaption"/>
      </w:pPr>
      <w:r>
        <w:t>Two-strategy payoff-share sweeps: final adoption in treatment and control as the share of payoff-biased learners increases, shown separately for conformist-, prestige-, and random-based ecologies. The appendix figure decomposes the aggregate payoff-share sweep in Figure 3 into background-specific transition curves.</w:t>
      </w:r>
    </w:p>
    <w:p w14:paraId="5E8CD916" w14:textId="77777777" w:rsidR="00880E5F" w:rsidRDefault="00880E5F" w:rsidP="00880E5F">
      <w:pPr>
        <w:pStyle w:val="Heading1"/>
      </w:pPr>
      <w:bookmarkStart w:id="6" w:name="b-robustness-analyses"/>
      <w:bookmarkEnd w:id="0"/>
      <w:bookmarkEnd w:id="5"/>
      <w:r>
        <w:t>B Robustness analyses</w:t>
      </w:r>
    </w:p>
    <w:p w14:paraId="5C7114E8" w14:textId="77777777" w:rsidR="00880E5F" w:rsidRDefault="00880E5F" w:rsidP="00880E5F">
      <w:pPr>
        <w:pStyle w:val="CaptionedFigure"/>
      </w:pPr>
      <w:bookmarkStart w:id="7" w:name="fig:robust_payoff"/>
      <w:r>
        <w:rPr>
          <w:noProof/>
        </w:rPr>
        <w:drawing>
          <wp:inline distT="0" distB="0" distL="0" distR="0" wp14:anchorId="5836C3EE" wp14:editId="480757EE">
            <wp:extent cx="5334000" cy="3555999"/>
            <wp:effectExtent l="0" t="0" r="0" b="0"/>
            <wp:docPr id="116" name="Picture" descr="Robustness of homogeneous payoff-biased populations to the mean adoption payoff premium and payoff-noise standard deviation (R = 50, T = 300). Negative payoff premia suppress adoption in both arms; weak or noisy payoff signals can produce sizable final lift; strongly positive payoff premia push both arms to saturation and therefore erase end-of-horizon treatment lif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Model32b_outputs/robustness_payoff_mean_nois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5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BE20B" w14:textId="77777777" w:rsidR="00880E5F" w:rsidRDefault="00880E5F" w:rsidP="00880E5F">
      <w:pPr>
        <w:pStyle w:val="ImageCaption"/>
      </w:pPr>
      <w:r>
        <w:t>Robustness of homogeneous payoff-biased populations to the mean adoption payoff premium and payoff-noise standard deviation (</w:t>
      </w:r>
      <w:r>
        <w:rPr>
          <w:iCs/>
        </w:rPr>
        <w:t>R</w:t>
      </w:r>
      <w:r>
        <w:t xml:space="preserve"> = 50, </w:t>
      </w:r>
      <w:r>
        <w:rPr>
          <w:iCs/>
        </w:rPr>
        <w:t>T</w:t>
      </w:r>
      <w:r>
        <w:t xml:space="preserve"> = 300). Negative payoff premia suppress adoption in both arms; weak or noisy payoff signals can produce sizable final lift; strongly positive payoff premia push both arms to saturation and therefore </w:t>
      </w:r>
      <w:proofErr w:type="gramStart"/>
      <w:r>
        <w:t>erase</w:t>
      </w:r>
      <w:proofErr w:type="gramEnd"/>
      <w:r>
        <w:t xml:space="preserve"> end-of-horizon treatment lift.</w:t>
      </w:r>
    </w:p>
    <w:p w14:paraId="095BB111" w14:textId="77777777" w:rsidR="00880E5F" w:rsidRDefault="00880E5F" w:rsidP="00880E5F">
      <w:pPr>
        <w:pStyle w:val="CaptionedFigure"/>
      </w:pPr>
      <w:bookmarkStart w:id="8" w:name="fig:robust_prestige"/>
      <w:bookmarkEnd w:id="7"/>
      <w:r>
        <w:rPr>
          <w:noProof/>
        </w:rPr>
        <w:lastRenderedPageBreak/>
        <w:drawing>
          <wp:inline distT="0" distB="0" distL="0" distR="0" wp14:anchorId="5CC51076" wp14:editId="0F157841">
            <wp:extent cx="5334000" cy="3282461"/>
            <wp:effectExtent l="0" t="0" r="0" b="0"/>
            <wp:docPr id="120" name="Picture" descr="Robustness of homogeneous prestige-biased populations to the correlation between prestige and payoff advantage (R = 50, T = 300). Prestige becomes a directional diffusion channel only when prestige carries information about behavioural value; the resulting final lift is positive across the tested correlations but not strictly monotonic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" descr="Model32b_outputs/robustness_prestige_correlatio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2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A49066" w14:textId="77777777" w:rsidR="00880E5F" w:rsidRDefault="00880E5F" w:rsidP="00880E5F">
      <w:pPr>
        <w:pStyle w:val="ImageCaption"/>
      </w:pPr>
      <w:r>
        <w:t>Robustness of homogeneous prestige-biased populations to the correlation between prestige and payoff advantage (</w:t>
      </w:r>
      <w:r>
        <w:rPr>
          <w:iCs/>
        </w:rPr>
        <w:t>R</w:t>
      </w:r>
      <w:r>
        <w:t xml:space="preserve"> = 50, </w:t>
      </w:r>
      <w:r>
        <w:rPr>
          <w:iCs/>
        </w:rPr>
        <w:t>T</w:t>
      </w:r>
      <w:r>
        <w:t xml:space="preserve"> = 300). Prestige becomes a directional diffusion channel only when prestige carries information about </w:t>
      </w:r>
      <w:proofErr w:type="spellStart"/>
      <w:r>
        <w:t>behavioural</w:t>
      </w:r>
      <w:proofErr w:type="spellEnd"/>
      <w:r>
        <w:t xml:space="preserve"> value; the resulting final lift is positive across the tested correlations but not strictly monotonic.</w:t>
      </w:r>
    </w:p>
    <w:p w14:paraId="4D446DDF" w14:textId="77777777" w:rsidR="00880E5F" w:rsidRDefault="00880E5F" w:rsidP="00880E5F">
      <w:pPr>
        <w:pStyle w:val="CaptionedFigure"/>
      </w:pPr>
      <w:bookmarkStart w:id="9" w:name="fig:robust_conf_seed"/>
      <w:bookmarkEnd w:id="8"/>
      <w:r>
        <w:rPr>
          <w:noProof/>
        </w:rPr>
        <w:drawing>
          <wp:inline distT="0" distB="0" distL="0" distR="0" wp14:anchorId="45B312FB" wp14:editId="01EBF7F6">
            <wp:extent cx="5334000" cy="1580444"/>
            <wp:effectExtent l="0" t="0" r="0" b="0"/>
            <wp:docPr id="124" name="Picture" descr="Conformity robustness: final treatment lift as a function of baseline adoption, treatment seeding, and the conformity threshold (R = 50, T = 300). Large treatment effects occur only near threshold boundaries; most parameter combinations produce either joint stalling or joint diffus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 descr="Model32b_outputs/robustness_conformity_threshold_see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0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37F587" w14:textId="77777777" w:rsidR="00880E5F" w:rsidRDefault="00880E5F" w:rsidP="00880E5F">
      <w:pPr>
        <w:pStyle w:val="ImageCaption"/>
      </w:pPr>
      <w:r>
        <w:t>Conformity robustness: final treatment lift as a function of baseline adoption, treatment seeding, and the conformity threshold (</w:t>
      </w:r>
      <w:r>
        <w:rPr>
          <w:iCs/>
        </w:rPr>
        <w:t>R</w:t>
      </w:r>
      <w:r>
        <w:t xml:space="preserve"> = 50, </w:t>
      </w:r>
      <w:r>
        <w:rPr>
          <w:iCs/>
        </w:rPr>
        <w:t>T</w:t>
      </w:r>
      <w:r>
        <w:t> = 300). Large treatment effects occur only near threshold boundaries; most parameter combinations produce either joint stalling or joint diffusion.</w:t>
      </w:r>
    </w:p>
    <w:p w14:paraId="5ED31D00" w14:textId="77777777" w:rsidR="00880E5F" w:rsidRDefault="00880E5F" w:rsidP="00880E5F">
      <w:pPr>
        <w:pStyle w:val="CaptionedFigure"/>
      </w:pPr>
      <w:bookmarkStart w:id="10" w:name="fig:robust_conf_slope"/>
      <w:bookmarkEnd w:id="9"/>
      <w:r>
        <w:rPr>
          <w:noProof/>
        </w:rPr>
        <w:lastRenderedPageBreak/>
        <w:drawing>
          <wp:inline distT="0" distB="0" distL="0" distR="0" wp14:anchorId="54944480" wp14:editId="5714BBD1">
            <wp:extent cx="5334000" cy="3555999"/>
            <wp:effectExtent l="0" t="0" r="0" b="0"/>
            <wp:docPr id="128" name="Picture" descr="Conformity robustness: final treatment lift as a function of the conformity slope and threshold (R = 50, T = 300). Strong positive lift appears only in a narrow region combining very steep conformity with a comparatively low threshol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" descr="Model32b_outputs/robustness_conformity_slope_threshol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5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C647C" w14:textId="77777777" w:rsidR="00880E5F" w:rsidRDefault="00880E5F" w:rsidP="00880E5F">
      <w:pPr>
        <w:pStyle w:val="ImageCaption"/>
      </w:pPr>
      <w:r>
        <w:t>Conformity robustness: final treatment lift as a function of the conformity slope and threshold (</w:t>
      </w:r>
      <w:r>
        <w:rPr>
          <w:iCs/>
        </w:rPr>
        <w:t>R</w:t>
      </w:r>
      <w:r>
        <w:t xml:space="preserve"> = 50, </w:t>
      </w:r>
      <w:r>
        <w:rPr>
          <w:iCs/>
        </w:rPr>
        <w:t>T</w:t>
      </w:r>
      <w:r>
        <w:t> = 300). Strong positive lift appears only in a narrow region combining very steep conformity with a comparatively low threshold.</w:t>
      </w:r>
    </w:p>
    <w:bookmarkEnd w:id="6"/>
    <w:bookmarkEnd w:id="10"/>
    <w:p w14:paraId="4A77E0EF" w14:textId="77777777" w:rsidR="00880E5F" w:rsidRDefault="00880E5F" w:rsidP="00880E5F">
      <w:pPr>
        <w:pStyle w:val="Bibliography"/>
      </w:pPr>
    </w:p>
    <w:p w14:paraId="2BCFD931" w14:textId="77777777" w:rsidR="00D775B8" w:rsidRDefault="00D775B8"/>
    <w:sectPr w:rsidR="00D775B8" w:rsidSect="00880E5F">
      <w:footnotePr>
        <w:numRestart w:val="eachSect"/>
      </w:footnotePr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5F"/>
    <w:rsid w:val="00880E5F"/>
    <w:rsid w:val="009E423A"/>
    <w:rsid w:val="00D775B8"/>
    <w:rsid w:val="00E140A6"/>
    <w:rsid w:val="00FE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D03F"/>
  <w15:chartTrackingRefBased/>
  <w15:docId w15:val="{AA6BAC3C-8EE8-43A1-8CDC-6BB7C4B4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E5F"/>
    <w:pPr>
      <w:spacing w:after="200" w:line="360" w:lineRule="auto"/>
    </w:pPr>
    <w:rPr>
      <w:rFonts w:ascii="Times New Roman" w:eastAsia="Times New Roman" w:hAnsi="Times New Roman" w:cs="Times New Roman"/>
      <w:color w:val="000000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E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E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E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E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E5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E5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E5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E5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E5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0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E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0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E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0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E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0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E5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880E5F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880E5F"/>
    <w:rPr>
      <w:rFonts w:ascii="Times New Roman" w:eastAsia="Times New Roman" w:hAnsi="Times New Roman" w:cs="Times New Roman"/>
      <w:color w:val="000000"/>
      <w:kern w:val="0"/>
      <w:lang w:val="en-US" w:eastAsia="zh-CN"/>
      <w14:ligatures w14:val="none"/>
    </w:rPr>
  </w:style>
  <w:style w:type="paragraph" w:customStyle="1" w:styleId="Compact">
    <w:name w:val="Compact"/>
    <w:basedOn w:val="BodyText"/>
    <w:qFormat/>
    <w:rsid w:val="00880E5F"/>
    <w:pPr>
      <w:spacing w:before="36" w:after="36"/>
    </w:pPr>
  </w:style>
  <w:style w:type="paragraph" w:styleId="Bibliography">
    <w:name w:val="Bibliography"/>
    <w:basedOn w:val="Normal"/>
    <w:qFormat/>
    <w:rsid w:val="00880E5F"/>
  </w:style>
  <w:style w:type="table" w:customStyle="1" w:styleId="Table">
    <w:name w:val="Table"/>
    <w:semiHidden/>
    <w:unhideWhenUsed/>
    <w:qFormat/>
    <w:rsid w:val="00880E5F"/>
    <w:pPr>
      <w:spacing w:after="200" w:line="360" w:lineRule="auto"/>
    </w:pPr>
    <w:rPr>
      <w:rFonts w:ascii="Times New Roman" w:eastAsia="Times New Roman" w:hAnsi="Times New Roman" w:cs="Times New Roman"/>
      <w:color w:val="000000"/>
      <w:kern w:val="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880E5F"/>
    <w:pPr>
      <w:keepNext/>
      <w:spacing w:after="120" w:line="360" w:lineRule="auto"/>
    </w:pPr>
    <w:rPr>
      <w:iCs w:val="0"/>
      <w:color w:val="000000"/>
      <w:sz w:val="24"/>
      <w:szCs w:val="24"/>
    </w:rPr>
  </w:style>
  <w:style w:type="paragraph" w:customStyle="1" w:styleId="ImageCaption">
    <w:name w:val="Image Caption"/>
    <w:basedOn w:val="Caption"/>
    <w:rsid w:val="00880E5F"/>
    <w:pPr>
      <w:spacing w:after="120" w:line="360" w:lineRule="auto"/>
    </w:pPr>
    <w:rPr>
      <w:iCs w:val="0"/>
      <w:color w:val="000000"/>
      <w:sz w:val="24"/>
      <w:szCs w:val="24"/>
    </w:rPr>
  </w:style>
  <w:style w:type="paragraph" w:customStyle="1" w:styleId="CaptionedFigure">
    <w:name w:val="Captioned Figure"/>
    <w:basedOn w:val="Normal"/>
    <w:rsid w:val="00880E5F"/>
    <w:pPr>
      <w:keepNext/>
    </w:pPr>
  </w:style>
  <w:style w:type="character" w:styleId="Hyperlink">
    <w:name w:val="Hyperlink"/>
    <w:basedOn w:val="DefaultParagraphFont"/>
    <w:rsid w:val="00880E5F"/>
    <w:rPr>
      <w:rFonts w:ascii="Times New Roman" w:eastAsia="Times New Roman" w:hAnsi="Times New Roman" w:cs="Times New Roman"/>
      <w:color w:val="00000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0E5F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529</Words>
  <Characters>3018</Characters>
  <Application>Microsoft Office Word</Application>
  <DocSecurity>0</DocSecurity>
  <Lines>25</Lines>
  <Paragraphs>7</Paragraphs>
  <ScaleCrop>false</ScaleCrop>
  <Company>Cambridge University Press &amp; Assessment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Lambert</dc:creator>
  <cp:keywords/>
  <dc:description/>
  <cp:lastModifiedBy>Miles Lambert</cp:lastModifiedBy>
  <cp:revision>1</cp:revision>
  <dcterms:created xsi:type="dcterms:W3CDTF">2026-06-17T09:00:00Z</dcterms:created>
  <dcterms:modified xsi:type="dcterms:W3CDTF">2026-06-17T09:01:00Z</dcterms:modified>
</cp:coreProperties>
</file>