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AF9AB" w14:textId="168B5FFC" w:rsidR="00A5104B" w:rsidRPr="00033272" w:rsidRDefault="00A5104B" w:rsidP="00204EBA">
      <w:pPr>
        <w:rPr>
          <w:rFonts w:eastAsia="Arial Unicode MS"/>
          <w:color w:val="000000"/>
          <w:szCs w:val="22"/>
          <w:u w:color="000000"/>
          <w:bdr w:val="nil"/>
          <w:lang w:val="en-US"/>
        </w:rPr>
      </w:pPr>
    </w:p>
    <w:p w14:paraId="723832D9" w14:textId="18971352" w:rsidR="00132CC0" w:rsidRDefault="00222E55" w:rsidP="00E5114A">
      <w:pPr>
        <w:pStyle w:val="Body"/>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Supplementary Information</w:t>
      </w:r>
    </w:p>
    <w:p w14:paraId="6CE4E200" w14:textId="23BF0539" w:rsidR="00132CC0" w:rsidRPr="00132CC0" w:rsidRDefault="00132CC0" w:rsidP="00E5114A">
      <w:pPr>
        <w:pStyle w:val="Body"/>
        <w:spacing w:after="0" w:line="360" w:lineRule="auto"/>
        <w:jc w:val="center"/>
        <w:rPr>
          <w:rFonts w:ascii="Times New Roman" w:hAnsi="Times New Roman" w:cs="Times New Roman"/>
          <w:bCs/>
          <w:i/>
          <w:iCs/>
          <w:sz w:val="32"/>
          <w:szCs w:val="32"/>
          <w:lang w:val="en-US"/>
        </w:rPr>
      </w:pPr>
      <w:r w:rsidRPr="00132CC0">
        <w:rPr>
          <w:rFonts w:ascii="Times New Roman" w:hAnsi="Times New Roman" w:cs="Times New Roman"/>
          <w:bCs/>
          <w:i/>
          <w:iCs/>
          <w:sz w:val="32"/>
          <w:szCs w:val="32"/>
          <w:lang w:val="en-US"/>
        </w:rPr>
        <w:t>for</w:t>
      </w:r>
    </w:p>
    <w:p w14:paraId="6D85D5B8" w14:textId="6E37295B" w:rsidR="00355BFA" w:rsidRPr="00505EC5" w:rsidRDefault="00596A86" w:rsidP="00E5114A">
      <w:pPr>
        <w:pStyle w:val="Body"/>
        <w:spacing w:after="0" w:line="360" w:lineRule="auto"/>
        <w:jc w:val="center"/>
        <w:rPr>
          <w:rFonts w:ascii="Times New Roman" w:hAnsi="Times New Roman" w:cs="Times New Roman"/>
          <w:b/>
          <w:sz w:val="32"/>
          <w:szCs w:val="32"/>
          <w:lang w:val="en-US"/>
        </w:rPr>
      </w:pPr>
      <w:r w:rsidRPr="00596A86">
        <w:rPr>
          <w:rFonts w:ascii="Times New Roman" w:hAnsi="Times New Roman" w:cs="Times New Roman"/>
          <w:b/>
          <w:sz w:val="32"/>
          <w:szCs w:val="32"/>
          <w:lang w:val="en-US"/>
        </w:rPr>
        <w:t>Catch me if you can: Using machine learning and behavioral interventions to reduce unethical behavior</w:t>
      </w:r>
    </w:p>
    <w:p w14:paraId="57C0D95F" w14:textId="77777777" w:rsidR="00BB5CB6" w:rsidRDefault="00BB5CB6" w:rsidP="008E04E9">
      <w:pPr>
        <w:pStyle w:val="Body"/>
        <w:spacing w:after="0"/>
        <w:jc w:val="center"/>
        <w:outlineLvl w:val="0"/>
        <w:rPr>
          <w:rFonts w:ascii="Times New Roman" w:hAnsi="Times New Roman" w:cs="Times New Roman"/>
          <w:bCs/>
          <w:sz w:val="22"/>
          <w:szCs w:val="22"/>
          <w:lang w:val="en-US"/>
        </w:rPr>
      </w:pPr>
    </w:p>
    <w:p w14:paraId="0AC38567" w14:textId="7D483FB4" w:rsidR="008E04E9" w:rsidRDefault="008E04E9" w:rsidP="008E04E9">
      <w:pPr>
        <w:pStyle w:val="Body"/>
        <w:spacing w:after="0"/>
        <w:jc w:val="center"/>
        <w:outlineLvl w:val="0"/>
        <w:rPr>
          <w:rFonts w:ascii="Times New Roman" w:hAnsi="Times New Roman" w:cs="Times New Roman"/>
          <w:bCs/>
          <w:sz w:val="22"/>
          <w:szCs w:val="22"/>
          <w:lang w:val="en-US"/>
        </w:rPr>
      </w:pPr>
      <w:r w:rsidRPr="008E04E9">
        <w:rPr>
          <w:rFonts w:ascii="Times New Roman" w:hAnsi="Times New Roman" w:cs="Times New Roman"/>
          <w:bCs/>
          <w:sz w:val="22"/>
          <w:szCs w:val="22"/>
          <w:lang w:val="en-US"/>
        </w:rPr>
        <w:t>Oliver P. Hauser, Michael Greene</w:t>
      </w:r>
      <w:r w:rsidR="00DB58BD">
        <w:rPr>
          <w:rFonts w:ascii="Times New Roman" w:hAnsi="Times New Roman" w:cs="Times New Roman"/>
          <w:bCs/>
          <w:sz w:val="22"/>
          <w:szCs w:val="22"/>
          <w:lang w:val="en-US"/>
        </w:rPr>
        <w:t>, and</w:t>
      </w:r>
      <w:r w:rsidRPr="008E04E9">
        <w:rPr>
          <w:rFonts w:ascii="Times New Roman" w:hAnsi="Times New Roman" w:cs="Times New Roman"/>
          <w:bCs/>
          <w:sz w:val="22"/>
          <w:szCs w:val="22"/>
          <w:lang w:val="en-US"/>
        </w:rPr>
        <w:t xml:space="preserve"> Katherine DeCelles</w:t>
      </w:r>
    </w:p>
    <w:p w14:paraId="04AE8409" w14:textId="77777777" w:rsidR="008E04E9" w:rsidRDefault="008E04E9" w:rsidP="008E04E9">
      <w:pPr>
        <w:pStyle w:val="Body"/>
        <w:spacing w:after="0"/>
        <w:jc w:val="center"/>
        <w:outlineLvl w:val="0"/>
        <w:rPr>
          <w:rFonts w:ascii="Times New Roman" w:hAnsi="Times New Roman" w:cs="Times New Roman"/>
          <w:b/>
          <w:sz w:val="22"/>
          <w:szCs w:val="22"/>
          <w:lang w:val="en-US"/>
        </w:rPr>
      </w:pPr>
    </w:p>
    <w:p w14:paraId="3A326277" w14:textId="196C2900" w:rsidR="00222E55" w:rsidRPr="00222E55" w:rsidRDefault="00222E55" w:rsidP="00222E55">
      <w:pPr>
        <w:pStyle w:val="Body"/>
        <w:spacing w:after="0"/>
        <w:jc w:val="both"/>
        <w:rPr>
          <w:rFonts w:ascii="Times New Roman" w:eastAsia="Times New Roman Bold" w:hAnsi="Times New Roman" w:cs="Times New Roman"/>
          <w:b/>
          <w:bCs/>
          <w:sz w:val="22"/>
          <w:szCs w:val="22"/>
          <w:lang w:val="en-US"/>
        </w:rPr>
      </w:pPr>
      <w:r w:rsidRPr="00222E55">
        <w:rPr>
          <w:rFonts w:ascii="Times New Roman" w:eastAsia="Times New Roman Bold" w:hAnsi="Times New Roman" w:cs="Times New Roman"/>
          <w:b/>
          <w:bCs/>
          <w:sz w:val="22"/>
          <w:szCs w:val="22"/>
          <w:lang w:val="en-US"/>
        </w:rPr>
        <w:t xml:space="preserve">1. </w:t>
      </w:r>
      <w:r>
        <w:rPr>
          <w:rFonts w:ascii="Times New Roman" w:eastAsia="Times New Roman Bold" w:hAnsi="Times New Roman" w:cs="Times New Roman"/>
          <w:b/>
          <w:bCs/>
          <w:sz w:val="22"/>
          <w:szCs w:val="22"/>
          <w:lang w:val="en-US"/>
        </w:rPr>
        <w:t>Previous Work on Behavioral Interventions</w:t>
      </w:r>
    </w:p>
    <w:p w14:paraId="01D38ED9" w14:textId="05C01267" w:rsidR="00222E55" w:rsidRPr="00261A82" w:rsidRDefault="00222E55" w:rsidP="00261A82">
      <w:pPr>
        <w:pStyle w:val="Body"/>
        <w:spacing w:after="0"/>
        <w:ind w:firstLine="720"/>
        <w:jc w:val="both"/>
        <w:rPr>
          <w:rFonts w:ascii="Times New Roman" w:eastAsia="Times New Roman Bold" w:hAnsi="Times New Roman" w:cs="Times New Roman"/>
          <w:sz w:val="22"/>
          <w:szCs w:val="22"/>
          <w:lang w:val="en-US"/>
        </w:rPr>
      </w:pPr>
      <w:r>
        <w:rPr>
          <w:rFonts w:ascii="Times New Roman" w:eastAsia="Times New Roman Bold" w:hAnsi="Times New Roman" w:cs="Times New Roman"/>
          <w:sz w:val="22"/>
          <w:szCs w:val="22"/>
          <w:lang w:val="en-US"/>
        </w:rPr>
        <w:t xml:space="preserve">Many types of messages have been tested across the marketing, nudge, and tax compliance literatures, but not always found to be successful. We review the literature below, summarizing lab and field evidence for these messages which we use in our field experiment. </w:t>
      </w:r>
    </w:p>
    <w:p w14:paraId="43338DF3" w14:textId="3A4FC1D6" w:rsidR="00222E55" w:rsidRDefault="00261A82" w:rsidP="00261A82">
      <w:pPr>
        <w:pStyle w:val="Body"/>
        <w:spacing w:after="0"/>
        <w:ind w:firstLine="720"/>
        <w:jc w:val="both"/>
        <w:rPr>
          <w:rFonts w:ascii="Times New Roman" w:hAnsi="Times New Roman" w:cs="Times New Roman"/>
          <w:sz w:val="22"/>
          <w:szCs w:val="22"/>
          <w:lang w:val="en-US"/>
        </w:rPr>
      </w:pPr>
      <w:r w:rsidRPr="00261A82">
        <w:rPr>
          <w:rFonts w:ascii="Times New Roman" w:eastAsia="Times New Roman Bold" w:hAnsi="Times New Roman" w:cs="Times New Roman"/>
          <w:b/>
          <w:bCs/>
          <w:sz w:val="22"/>
          <w:szCs w:val="22"/>
          <w:lang w:val="en-US"/>
        </w:rPr>
        <w:t>Social Norms.</w:t>
      </w:r>
      <w:r>
        <w:rPr>
          <w:rFonts w:ascii="Times New Roman" w:eastAsia="Times New Roman Bold" w:hAnsi="Times New Roman" w:cs="Times New Roman"/>
          <w:sz w:val="22"/>
          <w:szCs w:val="22"/>
          <w:lang w:val="en-US"/>
        </w:rPr>
        <w:t xml:space="preserve"> </w:t>
      </w:r>
      <w:r w:rsidR="00222E55">
        <w:rPr>
          <w:rFonts w:ascii="Times New Roman" w:eastAsia="Times New Roman Bold" w:hAnsi="Times New Roman" w:cs="Times New Roman"/>
          <w:sz w:val="22"/>
          <w:szCs w:val="22"/>
          <w:lang w:val="en-US"/>
        </w:rPr>
        <w:t xml:space="preserve">Social norms are a widely used intervention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{"citationID":"SxTIFxRJ","properties":{"formattedCitation":"(Benartzi et al. 2017)","plainCitation":"(Benartzi et al. 2017)","noteIndex":0},"citationItems":[{"id":460,"uris":["http://zotero.org/users/local/BO2ghboK/items/UTULIGBY"],"uri":["http://zotero.org/users/local/BO2ghboK/items/UTULIGBY"],"itemData":{"id":460,"type":"article-journal","abstract":"Governments are increasingly adopting behavioral science techniques for changing individual behavior in pursuit of policy objectives. The types of “nudge” interventions that governments are now adopting alter people’s decisions without coercion or significant changes to economic incentives. We calculated ratios of impact to cost for nudge interventions and for traditional policy tools, such as tax incentives and other financial inducements, and we found that nudge interventions often compare favorably with traditional interventions. We conclude that nudging is a valuable approach that should be used more often in conjunction with traditional policies, but more calculations are needed to determine the relative effectiveness of nudging.","container-title":"Psychological Science","issue":"8","language":"en","page":"1041-1055","source":"Zotero","title":"Should Governments Invest More in Nudging?","volume":"28","author":[{"family":"Benartzi","given":"Shlomo"},{"family":"Beshears","given":"John"},{"family":"Milkman","given":"Katherine L"},{"family":"Sunstein","given":"Cass R"},{"family":"Thaler","given":"Richard H"},{"family":"Shankar","given":"Maya"},{"family":"Tucker-Ray","given":"Will"},{"family":"Congdon","given":"William J"},{"family":"Galing","given":"Steven"}],"issued":{"date-parts":[["2017"]]}}}],"schema":"https://github.com/citation-style-language/schema/raw/master/csl-citation.json"}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(Benartzi et al. 2017)</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w:t>
      </w:r>
      <w:r w:rsidR="00222E55" w:rsidRPr="00FF302C">
        <w:rPr>
          <w:rFonts w:ascii="Times New Roman" w:hAnsi="Times New Roman" w:cs="Times New Roman"/>
          <w:sz w:val="22"/>
          <w:szCs w:val="22"/>
          <w:lang w:val="en-US"/>
        </w:rPr>
        <w:t xml:space="preserve">Based on </w:t>
      </w:r>
      <w:r w:rsidR="00222E55">
        <w:rPr>
          <w:rFonts w:ascii="Times New Roman" w:hAnsi="Times New Roman" w:cs="Times New Roman"/>
          <w:sz w:val="22"/>
          <w:szCs w:val="22"/>
          <w:lang w:val="en-US"/>
        </w:rPr>
        <w:t xml:space="preserve">several decades of controlled lab studies </w:t>
      </w:r>
      <w:r w:rsidR="00222E55">
        <w:rPr>
          <w:rFonts w:ascii="Times New Roman" w:hAnsi="Times New Roman" w:cs="Times New Roman"/>
          <w:sz w:val="22"/>
          <w:szCs w:val="22"/>
          <w:lang w:val="en-US"/>
        </w:rPr>
        <w:fldChar w:fldCharType="begin"/>
      </w:r>
      <w:r w:rsidR="00222E55">
        <w:rPr>
          <w:rFonts w:ascii="Times New Roman" w:hAnsi="Times New Roman" w:cs="Times New Roman"/>
          <w:sz w:val="22"/>
          <w:szCs w:val="22"/>
          <w:lang w:val="en-US"/>
        </w:rPr>
        <w:instrText xml:space="preserve"> ADDIN ZOTERO_ITEM CSL_CITATION {"citationID":"EaNSwIaJ","properties":{"formattedCitation":"(Cialdini 1987, Schultz et al. 2007)","plainCitation":"(Cialdini 1987, Schultz et al. 2007)","noteIndex":0},"citationItems":[{"id":473,"uris":["http://zotero.org/users/local/BO2ghboK/items/CUUKTS2S"],"uri":["http://zotero.org/users/local/BO2ghboK/items/CUUKTS2S"],"itemData":{"id":473,"type":"book","publisher":"A. Michel Port Harcourt","source":"Google Scholar","title":"Influence","volume":"3","author":[{"family":"Cialdini","given":"Robert B."}],"issued":{"date-parts":[["1987"]]}}},{"id":614,"uris":["http://zotero.org/users/local/BO2ghboK/items/QS8EJXBC"],"uri":["http://zotero.org/users/local/BO2ghboK/items/QS8EJXBC"],"itemData":{"id":614,"type":"article-journal","abstract":"Despite a long tradition of effectiveness in laboratory tests, normative messages have had mixed success in changing behavior in ﬁeld contexts, with some studies showing boomerang effects. To test a theoretical account of this inconsistency, we conducted a ﬁeld experiment in which normative messages were used to promote household energy conservation. As predicted, a descriptive normative message detailing average neighborhood usage produced either desirable energy savings or the undesirable boomerang effect, depending on whether households were already consuming at a low or high rate. Also as predicted, adding an injunctive message (conveying social approval or disapproval) eliminated the boomerang effect. The results offer an explanation for the mixed success of persuasive appeals based on social norms and suggest how such appeals should be properly crafted.","container-title":"Psychological Science","DOI":"10.1111/j.1467-9280.2007.01917.x","ISSN":"0956-7976, 1467-9280","issue":"5","journalAbbreviation":"Psychol Sci","language":"en","page":"429-434","source":"DOI.org (Crossref)","title":"The Constructive, Destructive, and Reconstructive Power of Social Norms","volume":"18","author":[{"family":"Schultz","given":"P. Wesley"},{"family":"Nolan","given":"Jessica M."},{"family":"Cialdini","given":"Robert B."},{"family":"Goldstein","given":"Noah J."},{"family":"Griskevicius","given":"Vladas"}],"issued":{"date-parts":[["2007",5]]}}}],"schema":"https://github.com/citation-style-language/schema/raw/master/csl-citation.json"} </w:instrText>
      </w:r>
      <w:r w:rsidR="00222E55">
        <w:rPr>
          <w:rFonts w:ascii="Times New Roman" w:hAnsi="Times New Roman" w:cs="Times New Roman"/>
          <w:sz w:val="22"/>
          <w:szCs w:val="22"/>
          <w:lang w:val="en-US"/>
        </w:rPr>
        <w:fldChar w:fldCharType="separate"/>
      </w:r>
      <w:r w:rsidR="00222E55">
        <w:rPr>
          <w:rFonts w:ascii="Times New Roman" w:hAnsi="Times New Roman" w:cs="Times New Roman"/>
          <w:noProof/>
          <w:sz w:val="22"/>
          <w:szCs w:val="22"/>
          <w:lang w:val="en-US"/>
        </w:rPr>
        <w:t>(e.g., Schultz et al. 2007)</w:t>
      </w:r>
      <w:r w:rsidR="00222E55">
        <w:rPr>
          <w:rFonts w:ascii="Times New Roman" w:hAnsi="Times New Roman" w:cs="Times New Roman"/>
          <w:sz w:val="22"/>
          <w:szCs w:val="22"/>
          <w:lang w:val="en-US"/>
        </w:rPr>
        <w:fldChar w:fldCharType="end"/>
      </w:r>
      <w:r w:rsidR="00222E55">
        <w:rPr>
          <w:rFonts w:ascii="Times New Roman" w:hAnsi="Times New Roman" w:cs="Times New Roman"/>
          <w:sz w:val="22"/>
          <w:szCs w:val="22"/>
          <w:lang w:val="en-US"/>
        </w:rPr>
        <w:t xml:space="preserve">, social norms have recently been used in applied settings, affecting behavior in domains ranging from energy savings </w:t>
      </w:r>
      <w:r w:rsidR="00222E55">
        <w:rPr>
          <w:rFonts w:ascii="Times New Roman" w:hAnsi="Times New Roman" w:cs="Times New Roman"/>
          <w:sz w:val="22"/>
          <w:szCs w:val="22"/>
          <w:lang w:val="en-US"/>
        </w:rPr>
        <w:fldChar w:fldCharType="begin"/>
      </w:r>
      <w:r w:rsidR="00222E55">
        <w:rPr>
          <w:rFonts w:ascii="Times New Roman" w:hAnsi="Times New Roman" w:cs="Times New Roman"/>
          <w:sz w:val="22"/>
          <w:szCs w:val="22"/>
          <w:lang w:val="en-US"/>
        </w:rPr>
        <w:instrText xml:space="preserve"> ADDIN ZOTERO_ITEM CSL_CITATION {"citationID":"UwjfMC4j","properties":{"formattedCitation":"(Allcott 2011, Jachimowicz et al. 2018)","plainCitation":"(Allcott 2011, Jachimowicz et al. 2018)","noteIndex":0},"citationItems":[{"id":660,"uris":["http://zotero.org/users/local/BO2ghboK/items/DETUMM9Q"],"uri":["http://zotero.org/users/local/BO2ghboK/items/DETUMM9Q"],"itemData":{"id":660,"type":"article-journal","abstract":"This paper evaluates a series of programs run by a company called OPOWER to send Home Energy Report letters to residential utility customers comparing their electricity use to that of their neighbors. Using data from randomized natural ﬁeld experiments at 600,000 treatment and control households across the United States, I estimate that the average program reduces energy consumption by 2.0%. The program provides additional evidence that non-price interventions can substantially and cost effectively change consumer behavior: the effect is equivalent to that of a short-run electricity price increase of 11 to 20%, and the cost effectiveness compares favorably to that of traditional energy conservation programs. Perhaps because the treatment included descriptive social norms, effects are heterogeneous: households in the highest decile of pre-treatment consumption decrease usage by 6.3%, while consumption by the lowest decile decreases by only 0.3%. A regression discontinuity design shows that different categories of “injunctive norms” played an insigniﬁcant role in encouraging relatively low users not to increase usage.","container-title":"Journal of Public Economics","DOI":"10.1016/j.jpubeco.2011.03.003","ISSN":"00472727","issue":"9-10","journalAbbreviation":"Journal of Public Economics","language":"en","page":"1082-1095","source":"DOI.org (Crossref)","title":"Social norms and energy conservation","volume":"95","author":[{"family":"Allcott","given":"Hunt"}],"issued":{"date-parts":[["2011",10]]}}},{"id":518,"uris":["http://zotero.org/users/local/BO2ghboK/items/KQNER2U5"],"uri":["http://zotero.org/users/local/BO2ghboK/items/KQNER2U5"],"itemData":{"id":518,"type":"article-journal","container-title":"Nature Human Behaviour","DOI":"10.1038/s41562-018-0434-0","ISSN":"2397-3374","issue":"10","journalAbbreviation":"Nat Hum Behav","language":"en","page":"757-764","source":"DOI.org (Crossref)","title":"The critical role of second-order normative beliefs in predicting energy conservation","volume":"2","author":[{"family":"Jachimowicz","given":"Jon M."},{"family":"Hauser","given":"Oliver P."},{"family":"O’Brien","given":"Julia D."},{"family":"Sherman","given":"Erin"},{"family":"Galinsky","given":"Adam D."}],"issued":{"date-parts":[["2018",10]]}}}],"schema":"https://github.com/citation-style-language/schema/raw/master/csl-citation.json"} </w:instrText>
      </w:r>
      <w:r w:rsidR="00222E55">
        <w:rPr>
          <w:rFonts w:ascii="Times New Roman" w:hAnsi="Times New Roman" w:cs="Times New Roman"/>
          <w:sz w:val="22"/>
          <w:szCs w:val="22"/>
          <w:lang w:val="en-US"/>
        </w:rPr>
        <w:fldChar w:fldCharType="separate"/>
      </w:r>
      <w:r w:rsidR="00222E55">
        <w:rPr>
          <w:rFonts w:ascii="Times New Roman" w:hAnsi="Times New Roman" w:cs="Times New Roman"/>
          <w:noProof/>
          <w:sz w:val="22"/>
          <w:szCs w:val="22"/>
          <w:lang w:val="en-US"/>
        </w:rPr>
        <w:t>(Allcott 2011, Jachimowicz et al. 2018)</w:t>
      </w:r>
      <w:r w:rsidR="00222E55">
        <w:rPr>
          <w:rFonts w:ascii="Times New Roman" w:hAnsi="Times New Roman" w:cs="Times New Roman"/>
          <w:sz w:val="22"/>
          <w:szCs w:val="22"/>
          <w:lang w:val="en-US"/>
        </w:rPr>
        <w:fldChar w:fldCharType="end"/>
      </w:r>
      <w:r w:rsidR="00222E55">
        <w:rPr>
          <w:rFonts w:ascii="Times New Roman" w:hAnsi="Times New Roman" w:cs="Times New Roman"/>
          <w:sz w:val="22"/>
          <w:szCs w:val="22"/>
          <w:lang w:val="en-US"/>
        </w:rPr>
        <w:t xml:space="preserve"> to water conservation </w:t>
      </w:r>
      <w:r w:rsidR="00222E55">
        <w:rPr>
          <w:rFonts w:ascii="Times New Roman" w:hAnsi="Times New Roman" w:cs="Times New Roman"/>
          <w:sz w:val="22"/>
          <w:szCs w:val="22"/>
          <w:lang w:val="en-US"/>
        </w:rPr>
        <w:fldChar w:fldCharType="begin"/>
      </w:r>
      <w:r w:rsidR="00222E55">
        <w:rPr>
          <w:rFonts w:ascii="Times New Roman" w:hAnsi="Times New Roman" w:cs="Times New Roman"/>
          <w:sz w:val="22"/>
          <w:szCs w:val="22"/>
          <w:lang w:val="en-US"/>
        </w:rPr>
        <w:instrText xml:space="preserve"> ADDIN ZOTERO_ITEM CSL_CITATION {"citationID":"e1fX91qx","properties":{"formattedCitation":"(Ferraro and Price 2013)","plainCitation":"(Ferraro and Price 2013)","noteIndex":0},"citationItems":[{"id":1819,"uris":["http://zotero.org/users/local/BO2ghboK/items/4PCSWCKI"],"uri":["http://zotero.org/users/local/BO2ghboK/items/4PCSWCKI"],"itemData":{"id":1819,"type":"article-journal","container-title":"Review of Economics and Statistics","DOI":"10.1162/REST_a_00344","ISSN":"0034-6535, 1530-9142","issue":"1","journalAbbreviation":"Review of Economics and Statistics","language":"en","page":"64-73","source":"DOI.org (Crossref)","title":"Using Nonpecuniary Strategies to Influence Behavior: Evidence from a Large-Scale Field Experiment","title-short":"Using Nonpecuniary Strategies to Influence Behavior","volume":"95","author":[{"family":"Ferraro","given":"Paul J."},{"family":"Price","given":"Michael K."}],"issued":{"date-parts":[["2013",3]]}}}],"schema":"https://github.com/citation-style-language/schema/raw/master/csl-citation.json"} </w:instrText>
      </w:r>
      <w:r w:rsidR="00222E55">
        <w:rPr>
          <w:rFonts w:ascii="Times New Roman" w:hAnsi="Times New Roman" w:cs="Times New Roman"/>
          <w:sz w:val="22"/>
          <w:szCs w:val="22"/>
          <w:lang w:val="en-US"/>
        </w:rPr>
        <w:fldChar w:fldCharType="separate"/>
      </w:r>
      <w:r w:rsidR="00222E55">
        <w:rPr>
          <w:rFonts w:ascii="Times New Roman" w:hAnsi="Times New Roman" w:cs="Times New Roman"/>
          <w:noProof/>
          <w:sz w:val="22"/>
          <w:szCs w:val="22"/>
          <w:lang w:val="en-US"/>
        </w:rPr>
        <w:t>(Ferraro and Price 2013)</w:t>
      </w:r>
      <w:r w:rsidR="00222E55">
        <w:rPr>
          <w:rFonts w:ascii="Times New Roman" w:hAnsi="Times New Roman" w:cs="Times New Roman"/>
          <w:sz w:val="22"/>
          <w:szCs w:val="22"/>
          <w:lang w:val="en-US"/>
        </w:rPr>
        <w:fldChar w:fldCharType="end"/>
      </w:r>
      <w:r w:rsidR="00222E55">
        <w:rPr>
          <w:rFonts w:ascii="Times New Roman" w:hAnsi="Times New Roman" w:cs="Times New Roman"/>
          <w:sz w:val="22"/>
          <w:szCs w:val="22"/>
          <w:lang w:val="en-US"/>
        </w:rPr>
        <w:t xml:space="preserve"> to voting </w:t>
      </w:r>
      <w:r w:rsidR="00222E55">
        <w:rPr>
          <w:rFonts w:ascii="Times New Roman" w:hAnsi="Times New Roman" w:cs="Times New Roman"/>
          <w:sz w:val="22"/>
          <w:szCs w:val="22"/>
          <w:lang w:val="en-US"/>
        </w:rPr>
        <w:fldChar w:fldCharType="begin"/>
      </w:r>
      <w:r w:rsidR="00222E55">
        <w:rPr>
          <w:rFonts w:ascii="Times New Roman" w:hAnsi="Times New Roman" w:cs="Times New Roman"/>
          <w:sz w:val="22"/>
          <w:szCs w:val="22"/>
          <w:lang w:val="en-US"/>
        </w:rPr>
        <w:instrText xml:space="preserve"> ADDIN ZOTERO_ITEM CSL_CITATION {"citationID":"NyWgvGwe","properties":{"formattedCitation":"(Gerber and Rogers 2009)","plainCitation":"(Gerber and Rogers 2009)","noteIndex":0},"citationItems":[{"id":1822,"uris":["http://zotero.org/users/local/BO2ghboK/items/IIJZTBTF"],"uri":["http://zotero.org/users/local/BO2ghboK/items/IIJZTBTF"],"itemData":{"id":1822,"type":"article-journal","container-title":"The Journal of Politics","DOI":"10.1017/S0022381608090117","ISSN":"0022-3816, 1468-2508","issue":"1","journalAbbreviation":"The Journal of Politics","language":"en","page":"178-191","source":"DOI.org (Crossref)","title":"Descriptive Social Norms and Motivation to Vote: Everybody's Voting and so Should You","title-short":"Descriptive Social Norms and Motivation to Vote","volume":"71","author":[{"family":"Gerber","given":"Alan S."},{"family":"Rogers","given":"Todd"}],"issued":{"date-parts":[["2009",1]]}}}],"schema":"https://github.com/citation-style-language/schema/raw/master/csl-citation.json"} </w:instrText>
      </w:r>
      <w:r w:rsidR="00222E55">
        <w:rPr>
          <w:rFonts w:ascii="Times New Roman" w:hAnsi="Times New Roman" w:cs="Times New Roman"/>
          <w:sz w:val="22"/>
          <w:szCs w:val="22"/>
          <w:lang w:val="en-US"/>
        </w:rPr>
        <w:fldChar w:fldCharType="separate"/>
      </w:r>
      <w:r w:rsidR="00222E55">
        <w:rPr>
          <w:rFonts w:ascii="Times New Roman" w:hAnsi="Times New Roman" w:cs="Times New Roman"/>
          <w:noProof/>
          <w:sz w:val="22"/>
          <w:szCs w:val="22"/>
          <w:lang w:val="en-US"/>
        </w:rPr>
        <w:t>(Gerber and Rogers 2009)</w:t>
      </w:r>
      <w:r w:rsidR="00222E55">
        <w:rPr>
          <w:rFonts w:ascii="Times New Roman" w:hAnsi="Times New Roman" w:cs="Times New Roman"/>
          <w:sz w:val="22"/>
          <w:szCs w:val="22"/>
          <w:lang w:val="en-US"/>
        </w:rPr>
        <w:fldChar w:fldCharType="end"/>
      </w:r>
      <w:r w:rsidR="00222E55">
        <w:rPr>
          <w:rFonts w:ascii="Times New Roman" w:hAnsi="Times New Roman" w:cs="Times New Roman"/>
          <w:sz w:val="22"/>
          <w:szCs w:val="22"/>
          <w:lang w:val="en-US"/>
        </w:rPr>
        <w:t>.</w:t>
      </w:r>
      <w:r w:rsidR="00222E55">
        <w:rPr>
          <w:rFonts w:ascii="Times New Roman" w:eastAsia="Times New Roman Bold" w:hAnsi="Times New Roman" w:cs="Times New Roman"/>
          <w:sz w:val="22"/>
          <w:szCs w:val="22"/>
          <w:lang w:val="en-US"/>
        </w:rPr>
        <w:t xml:space="preserve"> In particular, social norms have been shown to be successful to increase compliance and disclosure behavior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{"citationID":"ePo4gXAg","properties":{"formattedCitation":"(Chirico et al. 2016, Del Carpio 2013, Perez-Truglia and Troiano 2018)","plainCitation":"(Chirico et al. 2016, Del Carpio 2013, Perez-Truglia and Troiano 2018)","noteIndex":0},"citationItems":[{"id":1825,"uris":["http://zotero.org/users/local/BO2ghboK/items/R74NFKEE"],"uri":["http://zotero.org/users/local/BO2ghboK/items/R74NFKEE"],"itemData":{"id":1825,"type":"article-journal","container-title":"NBER Tax Policy and the Economy","DOI":"10.1086/685595","ISSN":"0892-8649, 1537-2650","issue":"1","journalAbbreviation":"Tax Policy and the Economy","language":"en","page":"129-161","source":"DOI.org (Crossref)","title":"An Experimental Evaluation of Notification Strategies to Increase Property Tax Compliance: Free-Riding in the City of Brotherly Love","title-short":"An Experimental Evaluation of Notification Strategies to Increase Property Tax Compliance","volume":"30","author":[{"family":"Chirico","given":"Michael"},{"family":"Inman","given":"Robert P."},{"family":"Loeffler","given":"Charles"},{"family":"MacDonald","given":"John"},{"family":"Sieg","given":"Holger"}],"issued":{"date-parts":[["2016",1]]}}},{"id":1826,"uris":["http://zotero.org/users/local/BO2ghboK/items/YUQD7EEV"],"uri":["http://zotero.org/users/local/BO2ghboK/items/YUQD7EEV"],"itemData":{"id":1826,"type":"article-journal","container-title":"Working Paper","title":"Are the Neighbors Cheating? Evidence from a Social Norm Experiment on Property Taxes in Peru","author":[{"family":"Del Carpio","given":"Lucia"}],"issued":{"date-parts":[["2013"]]}}},{"id":1828,"uris":["http://zotero.org/users/local/BO2ghboK/items/6NA2XWJR"],"uri":["http://zotero.org/users/local/BO2ghboK/items/6NA2XWJR"],"itemData":{"id":1828,"type":"article-journal","abstract":"Many federal and local governments rely on shaming penalties to achieve policy goals, but little is known about how shaming works. Such penalties may be ineffective, or even backﬁre by crowding out intrinsic motivation. In this paper, we study shaming in the context of the collection of tax delinquencies. We sent letters to 34,334 tax delinquents who owed a total of half a billion dollars in three U.S. states. We randomized some of the information contained in the letter to vary the salience of ﬁnancial penalties, shaming penalties, and peer comparisons. We then measured the effects of this information on subsequent payment rates. We found that increasing the visibility of delinquency status increased compliance by individuals who have debts below $2500, but had no signiﬁcant effect on individuals with larger debt amounts. Financial reminders had a positive effect on payment rates independent of the size of the debt, while information about the delinquency of neighbors had no effect on payment rates.","container-title":"Journal of Public Economics","DOI":"10.1016/j.jpubeco.2018.09.008","ISSN":"00472727","journalAbbreviation":"Journal of Public Economics","language":"en","page":"120-137","source":"DOI.org (Crossref)","title":"Shaming tax delinquents","volume":"167","author":[{"family":"Perez-Truglia","given":"Ricardo"},{"family":"Troiano","given":"Ugo"}],"issued":{"date-parts":[["2018",11]]}}}],"schema":"https://github.com/citation-style-language/schema/raw/master/csl-citation.json"}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(e.g. Chirico et al. 2016, Del Carpio 2013, Perez-Truglia and Troiano 2018)</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For example,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{"citationID":"BtnZVzrJ","properties":{"formattedCitation":"(Hallsworth et al. 2017)","plainCitation":"(Hallsworth et al. 2017)","noteIndex":0},"citationItems":[{"id":468,"uris":["http://zotero.org/users/local/BO2ghboK/items/HFSY6LZ8"],"uri":["http://zotero.org/users/local/BO2ghboK/items/HFSY6LZ8"],"itemData":{"id":468,"type":"article-journal","abstract":"This paper presents results from two large-scale natural ﬁeld experiments that tested the effect of social norm messages on tax compliance. Using administrative data from N200,000 individuals in the United Kingdom, we show that including social norm messages in standard reminder letters increases payment rates for overdue tax. This result offers a rare example of social norm messages affecting tax compliance behavior in a real world setting. We ﬁnd no evidence that loss framing is more effective than gain framing. Descriptive norms appear to be more effective than injunctive norms. Messages referring to public services or ﬁnancial information also signiﬁcantly increased payment rates. The ﬁeld experiments accelerated the collection of tax revenue at little cost. © 2017 Elsevier B.V. All rights reserved.","container-title":"Journal of Public Economics","DOI":"10.1016/j.jpubeco.2017.02.003","ISSN":"00472727","journalAbbreviation":"Journal of Public Economics","language":"en","page":"14-31","source":"DOI.org (Crossref)","title":"The behavioralist as tax collector: Using natural field experiments to enhance tax compliance","title-short":"The behavioralist as tax collector","volume":"148","author":[{"family":"Hallsworth","given":"Michael"},{"family":"List","given":"John A."},{"family":"Metcalfe","given":"Robert D."},{"family":"Vlaev","given":"Ivo"}],"issued":{"date-parts":[["2017",4]]}}}],"schema":"https://github.com/citation-style-language/schema/raw/master/csl-citation.json"}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Hallsworth et al. (2017)</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w:t>
      </w:r>
      <w:r w:rsidR="00222E55">
        <w:rPr>
          <w:rFonts w:ascii="Times New Roman" w:hAnsi="Times New Roman" w:cs="Times New Roman"/>
          <w:sz w:val="22"/>
          <w:szCs w:val="22"/>
          <w:lang w:val="en-US"/>
        </w:rPr>
        <w:t>sent letters to c</w:t>
      </w:r>
      <w:r w:rsidR="00222E55" w:rsidRPr="009B5BEE">
        <w:rPr>
          <w:rFonts w:ascii="Times New Roman" w:hAnsi="Times New Roman" w:cs="Times New Roman"/>
          <w:sz w:val="22"/>
          <w:szCs w:val="22"/>
          <w:lang w:val="en-US"/>
        </w:rPr>
        <w:t>itizens who were late on their tax payments</w:t>
      </w:r>
      <w:r w:rsidR="00222E55">
        <w:rPr>
          <w:rFonts w:ascii="Times New Roman" w:hAnsi="Times New Roman" w:cs="Times New Roman"/>
          <w:sz w:val="22"/>
          <w:szCs w:val="22"/>
          <w:lang w:val="en-US"/>
        </w:rPr>
        <w:t xml:space="preserve">, finding that making salient the tax </w:t>
      </w:r>
      <w:r w:rsidR="00222E55" w:rsidRPr="009B5BEE">
        <w:rPr>
          <w:rFonts w:ascii="Times New Roman" w:hAnsi="Times New Roman" w:cs="Times New Roman"/>
          <w:sz w:val="22"/>
          <w:szCs w:val="22"/>
          <w:lang w:val="en-US"/>
        </w:rPr>
        <w:t xml:space="preserve">payment behavior </w:t>
      </w:r>
      <w:r w:rsidR="00222E55">
        <w:rPr>
          <w:rFonts w:ascii="Times New Roman" w:hAnsi="Times New Roman" w:cs="Times New Roman"/>
          <w:sz w:val="22"/>
          <w:szCs w:val="22"/>
          <w:lang w:val="en-US"/>
        </w:rPr>
        <w:t xml:space="preserve">of peer groups </w:t>
      </w:r>
      <w:r w:rsidR="00222E55" w:rsidRPr="009B5BEE">
        <w:rPr>
          <w:rFonts w:ascii="Times New Roman" w:hAnsi="Times New Roman" w:cs="Times New Roman"/>
          <w:sz w:val="22"/>
          <w:szCs w:val="22"/>
          <w:lang w:val="en-US"/>
        </w:rPr>
        <w:t>lead</w:t>
      </w:r>
      <w:r w:rsidR="00222E55">
        <w:rPr>
          <w:rFonts w:ascii="Times New Roman" w:hAnsi="Times New Roman" w:cs="Times New Roman"/>
          <w:sz w:val="22"/>
          <w:szCs w:val="22"/>
          <w:lang w:val="en-US"/>
        </w:rPr>
        <w:t>s</w:t>
      </w:r>
      <w:r w:rsidR="00222E55" w:rsidRPr="009B5BEE">
        <w:rPr>
          <w:rFonts w:ascii="Times New Roman" w:hAnsi="Times New Roman" w:cs="Times New Roman"/>
          <w:sz w:val="22"/>
          <w:szCs w:val="22"/>
          <w:lang w:val="en-US"/>
        </w:rPr>
        <w:t xml:space="preserve"> to more timely disclosure of tax returns</w:t>
      </w:r>
      <w:r w:rsidR="00222E55">
        <w:rPr>
          <w:rFonts w:ascii="Times New Roman" w:hAnsi="Times New Roman" w:cs="Times New Roman"/>
          <w:sz w:val="22"/>
          <w:szCs w:val="22"/>
          <w:lang w:val="en-US"/>
        </w:rPr>
        <w:t xml:space="preserve">, bringing forward </w:t>
      </w:r>
      <w:r w:rsidR="00222E55" w:rsidRPr="009B5BEE">
        <w:rPr>
          <w:rFonts w:ascii="Times New Roman" w:hAnsi="Times New Roman" w:cs="Times New Roman"/>
          <w:sz w:val="22"/>
          <w:szCs w:val="22"/>
          <w:lang w:val="en-US"/>
        </w:rPr>
        <w:t>tax payments</w:t>
      </w:r>
      <w:r w:rsidR="00222E55">
        <w:rPr>
          <w:rFonts w:ascii="Times New Roman" w:hAnsi="Times New Roman" w:cs="Times New Roman"/>
          <w:sz w:val="22"/>
          <w:szCs w:val="22"/>
          <w:lang w:val="en-US"/>
        </w:rPr>
        <w:t xml:space="preserve"> and reducing administrative costs</w:t>
      </w:r>
      <w:r w:rsidR="00222E55" w:rsidRPr="009B5BEE">
        <w:rPr>
          <w:rFonts w:ascii="Times New Roman" w:hAnsi="Times New Roman" w:cs="Times New Roman"/>
          <w:sz w:val="22"/>
          <w:szCs w:val="22"/>
          <w:lang w:val="en-US"/>
        </w:rPr>
        <w:t>.</w:t>
      </w:r>
      <w:r w:rsidR="00222E55">
        <w:rPr>
          <w:rFonts w:ascii="Times New Roman" w:hAnsi="Times New Roman" w:cs="Times New Roman"/>
          <w:sz w:val="22"/>
          <w:szCs w:val="22"/>
          <w:lang w:val="en-US"/>
        </w:rPr>
        <w:t xml:space="preserve"> </w:t>
      </w:r>
    </w:p>
    <w:p w14:paraId="51513D31" w14:textId="45360FB6" w:rsidR="00222E55" w:rsidRPr="00261A82" w:rsidRDefault="00222E55" w:rsidP="00261A82">
      <w:pPr>
        <w:pStyle w:val="Body"/>
        <w:spacing w:after="0"/>
        <w:ind w:firstLine="720"/>
        <w:jc w:val="both"/>
        <w:rPr>
          <w:rFonts w:ascii="Times New Roman" w:eastAsia="Times New Roman Bold" w:hAnsi="Times New Roman" w:cs="Times New Roman"/>
          <w:sz w:val="22"/>
          <w:szCs w:val="22"/>
          <w:lang w:val="en-US"/>
        </w:rPr>
      </w:pPr>
      <w:r>
        <w:rPr>
          <w:rFonts w:ascii="Times New Roman" w:hAnsi="Times New Roman" w:cs="Times New Roman"/>
          <w:sz w:val="22"/>
          <w:szCs w:val="22"/>
          <w:lang w:val="en-US"/>
        </w:rPr>
        <w:t xml:space="preserve">But social norm messages are not consistently effective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{"citationID":"kT2NR8mz","properties":{"formattedCitation":"(Blumenthal et al. 2001, Cranor et al. 2020, De Neve et al. 2021, John and Blume 2018)","plainCitation":"(Blumenthal et al. 2001, Cranor et al. 2020, De Neve et al. 2021, John and Blume 2018)","noteIndex":0},"citationItems":[{"id":616,"uris":["http://zotero.org/users/local/BO2ghboK/items/EJGCN26A"],"uri":["http://zotero.org/users/local/BO2ghboK/items/EJGCN26A"],"itemData":{"id":616,"type":"article-journal","abstract":"This paper explores one part of a 1994 Minnesota Department of Revenue field experiment designed to study the effectiveness of alternative enforcement strategies. Two letters containing different normative appeals were sent to two large groups of taxpayers; a control group received no letter. The impact of the letters on voluntary compliance is measured by comparing the change (for tax years 1994–93) in reported income and in taxes paid for treated versus control taxpayers (a difference–in–difference approach). We find little evidence of an overall treatment effect. However, the letters do appear to impact the compliance behavior of some groups of taxpayers.","container-title":"National Tax Journal","DOI":"10.17310/ntj.2001.1.06","ISSN":"00280283","issue":"1","journalAbbreviation":"NTJ","language":"en","page":"125-138","source":"DOI.org (Crossref)","title":"Do Normative Appeals Affect Tax Compliance? Evidence from a Controlled Experiment in Minnesota","title-short":"Do Normative Appeals Affect Tax Compliance?","volume":"54","author":[{"family":"Blumenthal","given":"Marsha"},{"family":"Christian","given":"Charles"},{"family":"Slemrod","given":"Joel"},{"family":"Smith","given":"Matthew G."}],"issued":{"date-parts":[["2001",3]]}}},{"id":1832,"uris":["http://zotero.org/users/local/BO2ghboK/items/36XZULH6"],"uri":["http://zotero.org/users/local/BO2ghboK/items/36XZULH6"],"itemData":{"id":1832,"type":"article-journal","container-title":"National Tax Journal","DOI":"10.17310/ntj.2020.2.02","ISSN":"0028-0283, 1944-7477","issue":"2","journalAbbreviation":"National Tax Journal","language":"en","page":"331-360","source":"DOI.org (Crossref)","title":"Communicating Tax Penalties to Delinquent Taxpayers: Evidence from a Field Experiment","title-short":"COMMUNICATING TAX PENALTIES TO DELINQUENT TAXPAYERS","volume":"73","author":[{"family":"Cranor","given":"Taylor"},{"family":"Goldin","given":"Jacob"},{"family":"Homonoff","given":"Tatiana"},{"family":"Moore","given":"Lindsay"}],"issued":{"date-parts":[["2020",6,1]]}}},{"id":1808,"uris":["http://zotero.org/users/local/BO2ghboK/items/EZ3ML6MZ"],"uri":["http://zotero.org/users/local/BO2ghboK/items/EZ3ML6MZ"],"itemData":{"id":1808,"type":"article-journal","container-title":"Journal of Political Economy","DOI":"10.1086/713096","ISSN":"0022-3808, 1537-534X","journalAbbreviation":"Journal of Political Economy","language":"en","page":"000-000","source":"DOI.org (Crossref)","title":"How to Improve Tax Compliance? Evidence from Population-Wide Experiments in Belgium","title-short":"How to Improve Tax Compliance?","author":[{"family":"De Neve","given":"Jan-Emmanuel"},{"family":"Imbert","given":"Clément"},{"family":"Spinnewijn","given":"Johannes"},{"family":"Tsankova","given":"Teodora"},{"family":"Luts","given":"Maarten"}],"issued":{"date-parts":[["2021",3,18]]}}},{"id":1731,"uris":["http://zotero.org/users/local/BO2ghboK/items/27G5DTRK"],"uri":["http://zotero.org/users/local/BO2ghboK/items/27G5DTRK"],"itemData":{"id":1731,"type":"article-journal","container-title":"Journal of Behavioral Public Administration","issue":"1","page":"1-11","title":"How best to nudge taxpayers? The impact of message simplification and descriptive social norms on payment rates in a central London local authority","volume":"1","author":[{"family":"John","given":"Peter"},{"family":"Blume","given":"Toby"}],"issued":{"date-parts":[["2018"]]}}}],"schema":"https://github.com/citation-style-language/schema/raw/master/csl-citation.json"}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(e.g., Blumenthal et al. 2001, Cranor et al. 2020, De Neve et al. 2021, John and Blume 2018)</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For example, in an effort to reduce evasion of public broadcasting taxes,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{"citationID":"5qdXDYvz","properties":{"formattedCitation":"(Fellner et al. 2013)","plainCitation":"(Fellner et al. 2013)","noteIndex":0},"citationItems":[{"id":1834,"uris":["http://zotero.org/users/local/BO2ghboK/items/2QFTWD8W"],"uri":["http://zotero.org/users/local/BO2ghboK/items/2QFTWD8W"],"itemData":{"id":1834,"type":"article-journal","container-title":"Journal of the European Economic Association","DOI":"10.1111/jeea.12013","ISSN":"15424766","issue":"3","journalAbbreviation":"Journal of the European Economic Association","language":"en","page":"634-660","source":"DOI.org (Crossref)","title":"Testing Enforcement Strategies in the Field: Threat, Moral Appeal and Social Information","title-short":"Testing Enforcement Strategies in the Field","volume":"11","author":[{"family":"Fellner","given":"Gerlinde"},{"family":"Sausgruber","given":"Rupert"},{"family":"Traxler","given":"Christian"}],"issued":{"date-parts":[["2013",6]]}}}],"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Fellner et al. (2013)</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show that a social norm nudge had a positive effect on compliance when compliance is believed to be common but a negative effect when rare and, in some cases, social norms only led to more compliance when combined with a penalty message.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{"citationID":"7CZTaPTE","properties":{"formattedCitation":"(Larkin et al. 2019)","plainCitation":"(Larkin et al. 2019)","noteIndex":0},"citationItems":[{"id":1810,"uris":["http://zotero.org/users/local/BO2ghboK/items/2K6MUH86"],"uri":["http://zotero.org/users/local/BO2ghboK/items/2K6MUH86"],"itemData":{"id":1810,"type":"article-journal","container-title":"Journal of Behavioral Public Administration","DOI":"10.30636/jbpa.21.54","ISSN":"2576-6465","issue":"1","journalAbbreviation":"JBPA","language":"en","source":"DOI.org (Crossref)","title":"Testing local descriptive norms and salience of enforcement action: A field experiment to increase tax collection","title-short":"Testing local descriptive norms and salience of enforcement action","URL":"http://www.journal-bpa.org/index.php/jbpa/article/view/54","volume":"2","author":[{"family":"Larkin","given":"Christopher"},{"family":"Sanders","given":"Michael"},{"family":"Andresen","given":"Isabelle"},{"family":"Algate","given":"Felicity"}],"accessed":{"date-parts":[["2021",4,10]]},"issued":{"date-parts":[["2019",4,17]]}}}],"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xml:space="preserve">Larkin et al. </w:t>
      </w:r>
      <w:r>
        <w:rPr>
          <w:rFonts w:ascii="Times New Roman" w:hAnsi="Times New Roman" w:cs="Times New Roman"/>
          <w:noProof/>
          <w:sz w:val="22"/>
          <w:szCs w:val="22"/>
          <w:lang w:val="en-US"/>
        </w:rPr>
        <w:lastRenderedPageBreak/>
        <w:t>(2019)</w:t>
      </w:r>
      <w:r>
        <w:rPr>
          <w:rFonts w:ascii="Times New Roman" w:hAnsi="Times New Roman" w:cs="Times New Roman"/>
          <w:sz w:val="22"/>
          <w:szCs w:val="22"/>
          <w:lang w:val="en-US"/>
        </w:rPr>
        <w:fldChar w:fldCharType="end"/>
      </w:r>
      <w:r>
        <w:rPr>
          <w:rFonts w:ascii="Times New Roman" w:eastAsia="Times New Roman Bold" w:hAnsi="Times New Roman" w:cs="Times New Roman"/>
          <w:sz w:val="22"/>
          <w:szCs w:val="22"/>
          <w:lang w:val="en-US"/>
        </w:rPr>
        <w:t xml:space="preserve"> sent nudge variations of letters to increase tax compliance of council tax in the UK, finding that social norms do better than a sanctioning threat message in driving compliance.</w:t>
      </w:r>
      <w:r>
        <w:rPr>
          <w:rStyle w:val="FootnoteReference"/>
          <w:rFonts w:ascii="Times New Roman" w:eastAsia="Times New Roman Bold" w:hAnsi="Times New Roman" w:cs="Times New Roman"/>
          <w:sz w:val="22"/>
          <w:szCs w:val="22"/>
          <w:lang w:val="en-US"/>
        </w:rPr>
        <w:footnoteReference w:id="1"/>
      </w:r>
    </w:p>
    <w:p w14:paraId="468D5782" w14:textId="544A63DD" w:rsidR="00222E55" w:rsidRDefault="00222E55" w:rsidP="00261A82">
      <w:pPr>
        <w:pStyle w:val="Body"/>
        <w:spacing w:after="0"/>
        <w:ind w:firstLine="720"/>
        <w:jc w:val="both"/>
        <w:rPr>
          <w:rFonts w:ascii="Times New Roman" w:hAnsi="Times New Roman" w:cs="Times New Roman"/>
          <w:sz w:val="22"/>
          <w:szCs w:val="22"/>
          <w:lang w:val="en-US"/>
        </w:rPr>
      </w:pPr>
      <w:r w:rsidRPr="00261A82">
        <w:rPr>
          <w:rFonts w:ascii="Times New Roman" w:eastAsia="Times New Roman Bold" w:hAnsi="Times New Roman" w:cs="Times New Roman"/>
          <w:b/>
          <w:bCs/>
          <w:sz w:val="22"/>
          <w:szCs w:val="22"/>
          <w:lang w:val="en-US"/>
        </w:rPr>
        <w:t>Impact Others</w:t>
      </w:r>
      <w:r w:rsidR="00261A82" w:rsidRPr="00261A82">
        <w:rPr>
          <w:rFonts w:ascii="Times New Roman" w:eastAsia="Times New Roman Bold" w:hAnsi="Times New Roman" w:cs="Times New Roman"/>
          <w:b/>
          <w:bCs/>
          <w:sz w:val="22"/>
          <w:szCs w:val="22"/>
          <w:lang w:val="en-US"/>
        </w:rPr>
        <w:t>.</w:t>
      </w:r>
      <w:r w:rsidR="00261A82">
        <w:rPr>
          <w:rFonts w:ascii="Times New Roman" w:eastAsia="Times New Roman Bold" w:hAnsi="Times New Roman" w:cs="Times New Roman"/>
          <w:i/>
          <w:iCs/>
          <w:sz w:val="22"/>
          <w:szCs w:val="22"/>
          <w:lang w:val="en-US"/>
        </w:rPr>
        <w:t xml:space="preserve"> </w:t>
      </w:r>
      <w:r>
        <w:rPr>
          <w:rFonts w:ascii="Times New Roman" w:hAnsi="Times New Roman" w:cs="Times New Roman"/>
          <w:sz w:val="22"/>
          <w:szCs w:val="22"/>
          <w:lang w:val="en-US"/>
        </w:rPr>
        <w:t xml:space="preserve">Several moral appeals to behave in accordance with the law and for the benefit of the greater good have been tested in the literature on compliance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{"citationID":"rswS1VhS","properties":{"formattedCitation":"(Blumenthal et al. 2001, Bott et al. 2019, Chirico et al. 2016)","plainCitation":"(Blumenthal et al. 2001, Bott et al. 2019, Chirico et al. 2016)","noteIndex":0},"citationItems":[{"id":616,"uris":["http://zotero.org/users/local/BO2ghboK/items/EJGCN26A"],"uri":["http://zotero.org/users/local/BO2ghboK/items/EJGCN26A"],"itemData":{"id":616,"type":"article-journal","abstract":"This paper explores one part of a 1994 Minnesota Department of Revenue field experiment designed to study the effectiveness of alternative enforcement strategies. Two letters containing different normative appeals were sent to two large groups of taxpayers; a control group received no letter. The impact of the letters on voluntary compliance is measured by comparing the change (for tax years 1994–93) in reported income and in taxes paid for treated versus control taxpayers (a difference–in–difference approach). We find little evidence of an overall treatment effect. However, the letters do appear to impact the compliance behavior of some groups of taxpayers.","container-title":"National Tax Journal","DOI":"10.17310/ntj.2001.1.06","ISSN":"00280283","issue":"1","journalAbbreviation":"NTJ","language":"en","page":"125-138","source":"DOI.org (Crossref)","title":"Do Normative Appeals Affect Tax Compliance? Evidence from a Controlled Experiment in Minnesota","title-short":"Do Normative Appeals Affect Tax Compliance?","volume":"54","author":[{"family":"Blumenthal","given":"Marsha"},{"family":"Christian","given":"Charles"},{"family":"Slemrod","given":"Joel"},{"family":"Smith","given":"Matthew G."}],"issued":{"date-parts":[["2001",3]]}}},{"id":1048,"uris":["http://zotero.org/users/local/BO2ghboK/items/I5LTGVQK"],"uri":["http://zotero.org/users/local/BO2ghboK/items/I5LTGVQK"],"itemData":{"id":1048,"type":"article-journal","abstract":"We report from a large-scale randomized ﬁeld experiment conducted on a unique sample of more than 15,000 taxpayers in Norway who were likely to have misreported their foreign income. By randomly manipulating a letter from the tax authorities, we cleanly identify that moral suasion and the perceived detection probability play a crucial role in shaping taxpayer behavior. The moral letter mainly works on the intensive margin, while the detection letter has a strong effect on the extensive margin. We further show that only the detection letter has long-term effects on tax compliance.","container-title":"Management Science","DOI":"10.1287/mnsc.2019.3390","ISSN":"0025-1909, 1526-5501","journalAbbreviation":"Management Science","language":"en","page":"mnsc.2019.3390","source":"DOI.org (Crossref)","title":"You’ve Got Mail: A Randomized Field Experiment on Tax Evasion","title-short":"You’ve Got Mail","author":[{"family":"Bott","given":"Kristina M."},{"family":"Cappelen","given":"Alexander W."},{"family":"Sørensen","given":"Erik Ø."},{"family":"Tungodden","given":"Bertil"}],"issued":{"date-parts":[["2019",10,22]]}}},{"id":1825,"uris":["http://zotero.org/users/local/BO2ghboK/items/R74NFKEE"],"uri":["http://zotero.org/users/local/BO2ghboK/items/R74NFKEE"],"itemData":{"id":1825,"type":"article-journal","container-title":"NBER Tax Policy and the Economy","DOI":"10.1086/685595","ISSN":"0892-8649, 1537-2650","issue":"1","journalAbbreviation":"Tax Policy and the Economy","language":"en","page":"129-161","source":"DOI.org (Crossref)","title":"An Experimental Evaluation of Notification Strategies to Increase Property Tax Compliance: Free-Riding in the City of Brotherly Love","title-short":"An Experimental Evaluation of Notification Strategies to Increase Property Tax Compliance","volume":"30","author":[{"family":"Chirico","given":"Michael"},{"family":"Inman","given":"Robert P."},{"family":"Loeffler","given":"Charles"},{"family":"MacDonald","given":"John"},{"family":"Sieg","given":"Holger"}],"issued":{"date-parts":[["2016",1]]}}}],"schema":"https://github.com/citation-style-language/schema/raw/master/csl-citation.json"}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(e.g., Blumenthal et al. 2001, Bott et al. 2019, Chirico et al. 2016)</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While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{"citationID":"2eldIRdf","properties":{"formattedCitation":"(Blumenthal et al. 2001, Kettle et al. 2017)","plainCitation":"(Blumenthal et al. 2001, Kettle et al. 2017)","noteIndex":0},"citationItems":[{"id":616,"uris":["http://zotero.org/users/local/BO2ghboK/items/EJGCN26A"],"uri":["http://zotero.org/users/local/BO2ghboK/items/EJGCN26A"],"itemData":{"id":616,"type":"article-journal","abstract":"This paper explores one part of a 1994 Minnesota Department of Revenue field experiment designed to study the effectiveness of alternative enforcement strategies. Two letters containing different normative appeals were sent to two large groups of taxpayers; a control group received no letter. The impact of the letters on voluntary compliance is measured by comparing the change (for tax years 1994–93) in reported income and in taxes paid for treated versus control taxpayers (a difference–in–difference approach). We find little evidence of an overall treatment effect. However, the letters do appear to impact the compliance behavior of some groups of taxpayers.","container-title":"National Tax Journal","DOI":"10.17310/ntj.2001.1.06","ISSN":"00280283","issue":"1","journalAbbreviation":"NTJ","language":"en","page":"125-138","source":"DOI.org (Crossref)","title":"Do Normative Appeals Affect Tax Compliance? Evidence from a Controlled Experiment in Minnesota","title-short":"Do Normative Appeals Affect Tax Compliance?","volume":"54","author":[{"family":"Blumenthal","given":"Marsha"},{"family":"Christian","given":"Charles"},{"family":"Slemrod","given":"Joel"},{"family":"Smith","given":"Matthew G."}],"issued":{"date-parts":[["2001",3]]}}},{"id":502,"uris":["http://zotero.org/users/local/BO2ghboK/items/SHJPAJE7"],"uri":["http://zotero.org/users/local/BO2ghboK/items/SHJPAJE7"],"itemData":{"id":502,"type":"article-journal","abstract":"We report results from a large online randomised tax experiment in Guatemala. The trial involves short messages and choices presented to taxpayers as part of a CAPTCHA pop-up window immediately before they ﬁle a tax return, with the aim of priming honest declarations. In total our sample includes 627,242 taxpayers and 3,232,430 tax declarations made over four months. Treatments include: honesty declaration; information about public goods; information about penalties for dishonesty, questions allowing a taxpayer to choose which public good they think tax money should be spent on; or questions allowing a taxpayer to state a view on the penalty for not declaring honestly. We ﬁnd no impact of any of these treatments on the average amount of tax declared. We discuss potential causes for this null effect and implications for ‘online nudges’ around honesty priming.","container-title":"Behavioral Sciences","DOI":"10.3390/bs7020028","ISSN":"2076-328X","issue":"4","journalAbbreviation":"Behavioral Sciences","language":"en","page":"28","source":"DOI.org (Crossref)","title":"Failure to CAPTCHA Attention: Null Results from an Honesty Priming Experiment in Guatemala","title-short":"Failure to CAPTCHA Attention","volume":"7","author":[{"family":"Kettle","given":"Stewart"},{"family":"Hernandez","given":"Marco"},{"family":"Sanders","given":"Michael"},{"family":"Hauser","given":"Oliver"},{"family":"Ruda","given":"Simon"}],"issued":{"date-parts":[["2017",4,28]]}}}],"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Blumenthal et al. (2001) and Kettle et al. (2017)</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find limited effects of their moral appeals and public goods letters,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{"citationID":"PrKDE5oO","properties":{"formattedCitation":"(Bott et al. 2019)","plainCitation":"(Bott et al. 2019)","noteIndex":0},"citationItems":[{"id":1048,"uris":["http://zotero.org/users/local/BO2ghboK/items/I5LTGVQK"],"uri":["http://zotero.org/users/local/BO2ghboK/items/I5LTGVQK"],"itemData":{"id":1048,"type":"article-journal","abstract":"We report from a large-scale randomized ﬁeld experiment conducted on a unique sample of more than 15,000 taxpayers in Norway who were likely to have misreported their foreign income. By randomly manipulating a letter from the tax authorities, we cleanly identify that moral suasion and the perceived detection probability play a crucial role in shaping taxpayer behavior. The moral letter mainly works on the intensive margin, while the detection letter has a strong effect on the extensive margin. We further show that only the detection letter has long-term effects on tax compliance.","container-title":"Management Science","DOI":"10.1287/mnsc.2019.3390","ISSN":"0025-1909, 1526-5501","journalAbbreviation":"Management Science","language":"en","page":"mnsc.2019.3390","source":"DOI.org (Crossref)","title":"You’ve Got Mail: A Randomized Field Experiment on Tax Evasion","title-short":"You’ve Got Mail","author":[{"family":"Bott","given":"Kristina M."},{"family":"Cappelen","given":"Alexander W."},{"family":"Sørensen","given":"Erik Ø."},{"family":"Tungodden","given":"Bertil"}],"issued":{"date-parts":[["2019",10,22]]}}}],"schema":"https://github.com/citation-style-language/schema/raw/master/csl-citation.json"}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Bott et al. (2019)</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find that moral suasion had a positive effect on taxpayer’s disclosure of foreign income. Bott et al.’s treatment made salient the benefits of truthfully disclosing earnings on publicly funded institutions (e.g. education and health), which is theorized to trigger a reciprocity motive, where paying your fair share is recognized in exchange for receiving benefits from the government. </w:t>
      </w:r>
    </w:p>
    <w:p w14:paraId="37ACC918" w14:textId="61915881" w:rsidR="00222E55" w:rsidRDefault="00222E55" w:rsidP="00261A82">
      <w:pPr>
        <w:pStyle w:val="Body"/>
        <w:spacing w:after="0"/>
        <w:ind w:firstLine="720"/>
        <w:jc w:val="both"/>
        <w:rPr>
          <w:rFonts w:ascii="Times New Roman" w:eastAsia="Times New Roman Bold" w:hAnsi="Times New Roman" w:cs="Times New Roman"/>
          <w:i/>
          <w:iCs/>
          <w:sz w:val="22"/>
          <w:szCs w:val="22"/>
          <w:lang w:val="en-US"/>
        </w:rPr>
      </w:pPr>
      <w:r w:rsidRPr="00261A82">
        <w:rPr>
          <w:rFonts w:ascii="Times New Roman" w:eastAsia="Times New Roman Bold" w:hAnsi="Times New Roman" w:cs="Times New Roman"/>
          <w:b/>
          <w:bCs/>
          <w:sz w:val="22"/>
          <w:szCs w:val="22"/>
          <w:lang w:val="en-US"/>
        </w:rPr>
        <w:t>Audits &amp; Verification</w:t>
      </w:r>
      <w:r w:rsidR="00261A82" w:rsidRPr="00261A82">
        <w:rPr>
          <w:rFonts w:ascii="Times New Roman" w:eastAsia="Times New Roman Bold" w:hAnsi="Times New Roman" w:cs="Times New Roman"/>
          <w:b/>
          <w:bCs/>
          <w:sz w:val="22"/>
          <w:szCs w:val="22"/>
          <w:lang w:val="en-US"/>
        </w:rPr>
        <w:t>.</w:t>
      </w:r>
      <w:r w:rsidR="00261A82">
        <w:rPr>
          <w:rFonts w:ascii="Times New Roman" w:eastAsia="Times New Roman Bold" w:hAnsi="Times New Roman" w:cs="Times New Roman"/>
          <w:i/>
          <w:iCs/>
          <w:sz w:val="22"/>
          <w:szCs w:val="22"/>
          <w:lang w:val="en-US"/>
        </w:rPr>
        <w:t xml:space="preserve"> </w:t>
      </w:r>
      <w:r>
        <w:rPr>
          <w:rFonts w:ascii="Times New Roman" w:hAnsi="Times New Roman" w:cs="Times New Roman"/>
          <w:noProof/>
          <w:sz w:val="22"/>
          <w:szCs w:val="22"/>
          <w:lang w:val="en-US"/>
        </w:rPr>
        <w:fldChar w:fldCharType="begin"/>
      </w:r>
      <w:r>
        <w:rPr>
          <w:rFonts w:ascii="Times New Roman" w:hAnsi="Times New Roman" w:cs="Times New Roman"/>
          <w:noProof/>
          <w:sz w:val="22"/>
          <w:szCs w:val="22"/>
          <w:lang w:val="en-US"/>
        </w:rPr>
        <w:instrText xml:space="preserve"> ADDIN ZOTERO_ITEM CSL_CITATION {"citationID":"8LGZjVue","properties":{"formattedCitation":"(Slemrod et al. 2001)","plainCitation":"(Slemrod et al. 2001)","noteIndex":0},"citationItems":[{"id":478,"uris":["http://zotero.org/users/local/BO2ghboK/items/V898AUBL"],"uri":["http://zotero.org/users/local/BO2ghboK/items/V898AUBL"],"itemData":{"id":478,"type":"article-journal","abstract":"In 1995 a group of 1724 randomly selected Minnesota taxpayers was informed by letter that the returns they were about to ﬁle would be ‘closely examined’. Compared to a control group that did not receive this letter, low and middle-income taxpayers in the treatment group on average increased tax payments compared to the previous year, which we interpret as indicating the presence of noncompliance. The effect was much stronger for those with more opportunity to evade; in fact, the difference in differences is not statistically signiﬁcant for those who do not have self-employment or farm income, and do not pay estimated tax. Surprisingly, however, the reported tax liability of the high income treatment group fell sharply relative to the control group. © 2001 Elsevier Science B.V. All rights reserved.","container-title":"Journal of Public Economics","DOI":"10.1016/S0047-2727(99)00107-3","ISSN":"00472727","issue":"3","journalAbbreviation":"Journal of Public Economics","language":"en","page":"455-483","source":"DOI.org (Crossref)","title":"Taxpayer response to an increased probability of audit: evidence from a controlled experiment in Minnesota","title-short":"Taxpayer response to an increased probability of audit","volume":"79","author":[{"family":"Slemrod","given":"Joel"},{"family":"Blumenthal","given":"Marsha"},{"family":"Christian","given":"Charles"}],"issued":{"date-parts":[["2001",3]]}}}],"schema":"https://github.com/citation-style-language/schema/raw/master/csl-citation.json"} </w:instrText>
      </w:r>
      <w:r>
        <w:rPr>
          <w:rFonts w:ascii="Times New Roman" w:hAnsi="Times New Roman" w:cs="Times New Roman"/>
          <w:noProof/>
          <w:sz w:val="22"/>
          <w:szCs w:val="22"/>
          <w:lang w:val="en-US"/>
        </w:rPr>
        <w:fldChar w:fldCharType="separate"/>
      </w:r>
      <w:r>
        <w:rPr>
          <w:rFonts w:ascii="Times New Roman" w:hAnsi="Times New Roman" w:cs="Times New Roman"/>
          <w:noProof/>
          <w:sz w:val="22"/>
          <w:szCs w:val="22"/>
          <w:lang w:val="en-US"/>
        </w:rPr>
        <w:t>Slemrod et al. (2001)</w:t>
      </w:r>
      <w:r>
        <w:rPr>
          <w:rFonts w:ascii="Times New Roman" w:hAnsi="Times New Roman" w:cs="Times New Roman"/>
          <w:noProof/>
          <w:sz w:val="22"/>
          <w:szCs w:val="22"/>
          <w:lang w:val="en-US"/>
        </w:rPr>
        <w:fldChar w:fldCharType="end"/>
      </w:r>
      <w:r>
        <w:rPr>
          <w:rFonts w:ascii="Times New Roman" w:hAnsi="Times New Roman" w:cs="Times New Roman"/>
          <w:noProof/>
          <w:sz w:val="22"/>
          <w:szCs w:val="22"/>
          <w:lang w:val="en-US"/>
        </w:rPr>
        <w:t xml:space="preserve"> </w:t>
      </w:r>
      <w:r>
        <w:rPr>
          <w:rFonts w:ascii="Times New Roman" w:hAnsi="Times New Roman" w:cs="Times New Roman"/>
          <w:sz w:val="22"/>
          <w:szCs w:val="22"/>
          <w:lang w:val="en-US"/>
        </w:rPr>
        <w:t xml:space="preserve">demonstrate that making salient that the government conducts regular audits and monitors tax contributions carefully led to more disclosure, which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{"citationID":"Sb2UtXhb","properties":{"formattedCitation":"(B\\uc0\\u233{}rgolo et al. 2017)","plainCitation":"(Bérgolo et al. 2017)","noteIndex":0},"citationItems":[{"id":1836,"uris":["http://zotero.org/users/local/BO2ghboK/items/285SG2QU"],"uri":["http://zotero.org/users/local/BO2ghboK/items/285SG2QU"],"itemData":{"id":1836,"type":"article-journal","container-title":"Working Paper","language":"en","source":"Zotero","title":"Tax Audits as Scarecrows: Evidence from a Large-Scale Field Experiment","author":[{"family":"Bérgolo","given":"Marcelo L"},{"family":"Ceni","given":"Rodrigo"},{"family":"Cruces","given":"Guillermo"},{"family":"Giaccobasso","given":"Matias"},{"family":"Perez-Truglia","given":"Ricardo"}],"issued":{"date-parts":[["2017"]]}}}],"schema":"https://github.com/citation-style-language/schema/raw/master/csl-citation.json"} </w:instrText>
      </w:r>
      <w:r>
        <w:rPr>
          <w:rFonts w:ascii="Times New Roman" w:hAnsi="Times New Roman" w:cs="Times New Roman"/>
          <w:sz w:val="22"/>
          <w:szCs w:val="22"/>
          <w:lang w:val="en-US"/>
        </w:rPr>
        <w:fldChar w:fldCharType="separate"/>
      </w:r>
      <w:r w:rsidRPr="0063239B">
        <w:rPr>
          <w:rFonts w:ascii="Times New Roman" w:hAnsi="Times New Roman" w:cs="Times New Roman"/>
          <w:sz w:val="22"/>
        </w:rPr>
        <w:t xml:space="preserve">Bérgolo et al. </w:t>
      </w:r>
      <w:r>
        <w:rPr>
          <w:rFonts w:ascii="Times New Roman" w:hAnsi="Times New Roman" w:cs="Times New Roman"/>
          <w:sz w:val="22"/>
        </w:rPr>
        <w:t>(</w:t>
      </w:r>
      <w:r w:rsidRPr="0063239B">
        <w:rPr>
          <w:rFonts w:ascii="Times New Roman" w:hAnsi="Times New Roman" w:cs="Times New Roman"/>
          <w:sz w:val="22"/>
        </w:rPr>
        <w:t>2017)</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suggest can be explained by tax filers’ fear of being caught out even when the audit probabilities are small. In addition,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{"citationID":"FfDnCdos","properties":{"formattedCitation":"(Kleven et al. 2014)","plainCitation":"(Kleven et al. 2014)","noteIndex":0},"citationItems":[{"id":1611,"uris":["http://zotero.org/users/local/BO2ghboK/items/ET8XNA8X"],"uri":["http://zotero.org/users/local/BO2ghboK/items/ET8XNA8X"],"itemData":{"id":1611,"type":"article-journal","abstract":"Abstract\n            This article analyzes the effects of income taxation on the international migration and earnings of top earners using a Danish preferential foreigner tax scheme and population-wide Danish administrative data. This scheme, introduced in 1991, allows new immigrants with high earnings to be taxed at a preferential flat rate for a duration of three years. We obtain two main results. First, the scheme has doubled the number of highly paid foreigners in Denmark relative to slightly less paid—and therefore ineligible—foreigners. This translates into a very large elasticity of migration with respect to 1 minus the average tax rate on foreigners, between 1.5 and 2. Second, we find compelling evidence of a negative effect of the scheme-induced reduction in the average tax rate on pretax earnings of foreign migrants at the individual level. This finding can be rationalized by a matching frictions model with wage bargaining where there is a gap between pay and marginal productivity.","container-title":"The Quarterly Journal of Economics","DOI":"10.1093/qje/qjt033","ISSN":"0033-5533, 1531-4650","issue":"1","language":"en","page":"333-378","source":"DOI.org (Crossref)","title":"Migration and Wage Effects of Taxing Top Earners: Evidence from the Foreigners’ Tax Scheme in Denmark*","title-short":"Migration and Wage Effects of Taxing Top Earners","volume":"129","author":[{"family":"Kleven","given":"Henrik Jacobsen"},{"family":"Landais","given":"Camille"},{"family":"Saez","given":"Emmanuel"},{"family":"Schultz","given":"Esben"}],"issued":{"date-parts":[["2014",2,1]]}}}],"schema":"https://github.com/citation-style-language/schema/raw/master/csl-citation.json"}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Kleven et al. (201</w:t>
      </w:r>
      <w:r w:rsidR="00AC69E9">
        <w:rPr>
          <w:rFonts w:ascii="Times New Roman" w:hAnsi="Times New Roman" w:cs="Times New Roman"/>
          <w:noProof/>
          <w:sz w:val="22"/>
          <w:szCs w:val="22"/>
          <w:lang w:val="en-US"/>
        </w:rPr>
        <w:t>1</w:t>
      </w:r>
      <w:r>
        <w:rPr>
          <w:rFonts w:ascii="Times New Roman" w:hAnsi="Times New Roman" w:cs="Times New Roman"/>
          <w:noProof/>
          <w:sz w:val="22"/>
          <w:szCs w:val="22"/>
          <w:lang w:val="en-US"/>
        </w:rPr>
        <w:t>)</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find that disclosure rates increased when the probability of a known audit increased. Taken together, these papers suggest that audit threats can increase disclosure.</w:t>
      </w:r>
    </w:p>
    <w:p w14:paraId="20A048E8" w14:textId="3F6D7D27" w:rsidR="00222E55" w:rsidRDefault="00222E55" w:rsidP="00261A82">
      <w:pPr>
        <w:pStyle w:val="Body"/>
        <w:spacing w:after="0"/>
        <w:ind w:firstLine="720"/>
        <w:jc w:val="both"/>
        <w:rPr>
          <w:rFonts w:ascii="Times New Roman" w:hAnsi="Times New Roman" w:cs="Times New Roman"/>
          <w:noProof/>
          <w:sz w:val="22"/>
          <w:szCs w:val="22"/>
          <w:lang w:val="en-US"/>
        </w:rPr>
      </w:pPr>
      <w:r w:rsidRPr="00261A82">
        <w:rPr>
          <w:rFonts w:ascii="Times New Roman" w:eastAsia="Times New Roman Bold" w:hAnsi="Times New Roman" w:cs="Times New Roman"/>
          <w:b/>
          <w:bCs/>
          <w:sz w:val="22"/>
          <w:szCs w:val="22"/>
          <w:lang w:val="en-US"/>
        </w:rPr>
        <w:t>Penalties</w:t>
      </w:r>
      <w:r w:rsidR="00261A82" w:rsidRPr="00261A82">
        <w:rPr>
          <w:rFonts w:ascii="Times New Roman" w:eastAsia="Times New Roman Bold" w:hAnsi="Times New Roman" w:cs="Times New Roman"/>
          <w:b/>
          <w:bCs/>
          <w:sz w:val="22"/>
          <w:szCs w:val="22"/>
          <w:lang w:val="en-US"/>
        </w:rPr>
        <w:t>.</w:t>
      </w:r>
      <w:r w:rsidR="00261A82">
        <w:rPr>
          <w:rFonts w:ascii="Times New Roman" w:eastAsia="Times New Roman Bold" w:hAnsi="Times New Roman" w:cs="Times New Roman"/>
          <w:i/>
          <w:iCs/>
          <w:sz w:val="22"/>
          <w:szCs w:val="22"/>
          <w:lang w:val="en-US"/>
        </w:rPr>
        <w:t xml:space="preserve"> </w:t>
      </w:r>
      <w:r>
        <w:rPr>
          <w:rFonts w:ascii="Times New Roman" w:hAnsi="Times New Roman" w:cs="Times New Roman"/>
          <w:noProof/>
          <w:sz w:val="22"/>
          <w:szCs w:val="22"/>
          <w:lang w:val="en-US"/>
        </w:rPr>
        <w:fldChar w:fldCharType="begin"/>
      </w:r>
      <w:r>
        <w:rPr>
          <w:rFonts w:ascii="Times New Roman" w:hAnsi="Times New Roman" w:cs="Times New Roman"/>
          <w:noProof/>
          <w:sz w:val="22"/>
          <w:szCs w:val="22"/>
          <w:lang w:val="en-US"/>
        </w:rPr>
        <w:instrText xml:space="preserve"> ADDIN ZOTERO_ITEM CSL_CITATION {"citationID":"22je7cFh","properties":{"formattedCitation":"(Becker 1968)","plainCitation":"(Becker 1968)","noteIndex":0},"citationItems":[{"id":619,"uris":["http://zotero.org/users/local/BO2ghboK/items/RTJR89JJ"],"uri":["http://zotero.org/users/local/BO2ghboK/items/RTJR89JJ"],"itemData":{"id":619,"type":"chapter","container-title":"The economic dimensions of crime","page":"13–68","publisher":"Springer","source":"Google Scholar","title":"Crime and punishment: An economic approach","title-short":"Crime and punishment","author":[{"family":"Becker","given":"Gary S."}],"issued":{"date-parts":[["1968"]]}}}],"schema":"https://github.com/citation-style-language/schema/raw/master/csl-citation.json"} </w:instrText>
      </w:r>
      <w:r>
        <w:rPr>
          <w:rFonts w:ascii="Times New Roman" w:hAnsi="Times New Roman" w:cs="Times New Roman"/>
          <w:noProof/>
          <w:sz w:val="22"/>
          <w:szCs w:val="22"/>
          <w:lang w:val="en-US"/>
        </w:rPr>
        <w:fldChar w:fldCharType="separate"/>
      </w:r>
      <w:r>
        <w:rPr>
          <w:rFonts w:ascii="Times New Roman" w:hAnsi="Times New Roman" w:cs="Times New Roman"/>
          <w:noProof/>
          <w:sz w:val="22"/>
          <w:szCs w:val="22"/>
          <w:lang w:val="en-US"/>
        </w:rPr>
        <w:t>Becker (1968)</w:t>
      </w:r>
      <w:r>
        <w:rPr>
          <w:rFonts w:ascii="Times New Roman" w:hAnsi="Times New Roman" w:cs="Times New Roman"/>
          <w:noProof/>
          <w:sz w:val="22"/>
          <w:szCs w:val="22"/>
          <w:lang w:val="en-US"/>
        </w:rPr>
        <w:fldChar w:fldCharType="end"/>
      </w:r>
      <w:r>
        <w:rPr>
          <w:rFonts w:ascii="Times New Roman" w:hAnsi="Times New Roman" w:cs="Times New Roman"/>
          <w:noProof/>
          <w:sz w:val="22"/>
          <w:szCs w:val="22"/>
          <w:lang w:val="en-US"/>
        </w:rPr>
        <w:t xml:space="preserve"> theorized that the decision to engage in fraudulent or criminal activity can be viewed as a rational trade-off between the benefits of enaging in that activity (e.g., not having to pay taxes or gaining social benefits despite earning income) and costs (e.g., the probability of getting caught and the fine one would have to pay if caught). Several studies have since tested this theory by varying the perceptions of the probabilities and severity of penalty threats. </w:t>
      </w:r>
    </w:p>
    <w:p w14:paraId="60AE7DFF" w14:textId="77777777" w:rsidR="00261A82" w:rsidRDefault="00222E55" w:rsidP="00222E55">
      <w:pPr>
        <w:pStyle w:val="Body"/>
        <w:spacing w:after="0"/>
        <w:jc w:val="both"/>
        <w:rPr>
          <w:rFonts w:ascii="Times New Roman" w:eastAsia="Times New Roman Bold" w:hAnsi="Times New Roman" w:cs="Times New Roman"/>
          <w:sz w:val="22"/>
          <w:szCs w:val="22"/>
          <w:lang w:val="en-US"/>
        </w:rPr>
      </w:pPr>
      <w:r>
        <w:rPr>
          <w:rFonts w:ascii="Times New Roman" w:hAnsi="Times New Roman" w:cs="Times New Roman"/>
          <w:noProof/>
          <w:sz w:val="22"/>
          <w:szCs w:val="22"/>
          <w:lang w:val="en-US"/>
        </w:rPr>
        <w:tab/>
      </w:r>
      <w:r>
        <w:rPr>
          <w:rFonts w:ascii="Times New Roman" w:hAnsi="Times New Roman" w:cs="Times New Roman"/>
          <w:noProof/>
          <w:sz w:val="22"/>
          <w:szCs w:val="22"/>
          <w:lang w:val="en-US"/>
        </w:rPr>
        <w:fldChar w:fldCharType="begin"/>
      </w:r>
      <w:r>
        <w:rPr>
          <w:rFonts w:ascii="Times New Roman" w:hAnsi="Times New Roman" w:cs="Times New Roman"/>
          <w:noProof/>
          <w:sz w:val="22"/>
          <w:szCs w:val="22"/>
          <w:lang w:val="en-US"/>
        </w:rPr>
        <w:instrText xml:space="preserve"> ADDIN ZOTERO_ITEM CSL_CITATION {"citationID":"98i59m4c","properties":{"formattedCitation":"(Schwartz and Orleans 1967)","plainCitation":"(Schwartz and Orleans 1967)","noteIndex":0},"citationItems":[{"id":624,"uris":["http://zotero.org/users/local/BO2ghboK/items/XWRCFDXK"],"uri":["http://zotero.org/users/local/BO2ghboK/items/XWRCFDXK"],"itemData":{"id":624,"type":"article-journal","container-title":"The University of Chicago Law Review","DOI":"10.2307/1598934","ISSN":"00419494","issue":"2","journalAbbreviation":"The University of Chicago Law Review","language":"en","page":"274","source":"DOI.org (Crossref)","title":"On Legal Sanctions","volume":"34","author":[{"family":"Schwartz","given":"Richard D."},{"family":"Orleans","given":"Sonya"}],"issued":{"date-parts":[["1967"]]}}}],"schema":"https://github.com/citation-style-language/schema/raw/master/csl-citation.json"} </w:instrText>
      </w:r>
      <w:r>
        <w:rPr>
          <w:rFonts w:ascii="Times New Roman" w:hAnsi="Times New Roman" w:cs="Times New Roman"/>
          <w:noProof/>
          <w:sz w:val="22"/>
          <w:szCs w:val="22"/>
          <w:lang w:val="en-US"/>
        </w:rPr>
        <w:fldChar w:fldCharType="separate"/>
      </w:r>
      <w:r>
        <w:rPr>
          <w:rFonts w:ascii="Times New Roman" w:hAnsi="Times New Roman" w:cs="Times New Roman"/>
          <w:noProof/>
          <w:sz w:val="22"/>
          <w:szCs w:val="22"/>
          <w:lang w:val="en-US"/>
        </w:rPr>
        <w:t>Schwartz and Orleans (1967)</w:t>
      </w:r>
      <w:r>
        <w:rPr>
          <w:rFonts w:ascii="Times New Roman" w:hAnsi="Times New Roman" w:cs="Times New Roman"/>
          <w:noProof/>
          <w:sz w:val="22"/>
          <w:szCs w:val="22"/>
          <w:lang w:val="en-US"/>
        </w:rPr>
        <w:fldChar w:fldCharType="end"/>
      </w:r>
      <w:r>
        <w:rPr>
          <w:rFonts w:ascii="Times New Roman" w:hAnsi="Times New Roman" w:cs="Times New Roman"/>
          <w:noProof/>
          <w:sz w:val="22"/>
          <w:szCs w:val="22"/>
          <w:lang w:val="en-US"/>
        </w:rPr>
        <w:t xml:space="preserve"> </w:t>
      </w:r>
      <w:r>
        <w:rPr>
          <w:rFonts w:ascii="Times New Roman" w:hAnsi="Times New Roman" w:cs="Times New Roman"/>
          <w:sz w:val="22"/>
          <w:szCs w:val="22"/>
          <w:lang w:val="en-US"/>
        </w:rPr>
        <w:t xml:space="preserve">provide some of the earliest evidence that penalties messages can affect tax disclosure behavior.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{"citationID":"nXt7ilmh","properties":{"formattedCitation":"(De Neve et al. 2021)","plainCitation":"(De Neve et al. 2021)","noteIndex":0},"citationItems":[{"id":1808,"uris":["http://zotero.org/users/local/BO2ghboK/items/EZ3ML6MZ"],"uri":["http://zotero.org/users/local/BO2ghboK/items/EZ3ML6MZ"],"itemData":{"id":1808,"type":"article-journal","container-title":"Journal of Political Economy","DOI":"10.1086/713096","ISSN":"0022-3808, 1537-534X","journalAbbreviation":"Journal of Political Economy","language":"en","page":"000-000","source":"DOI.org (Crossref)","title":"How to Improve Tax Compliance? Evidence from Population-Wide Experiments in Belgium","title-short":"How to Improve Tax Compliance?","author":[{"family":"De Neve","given":"Jan-Emmanuel"},{"family":"Imbert","given":"Clément"},{"family":"Spinnewijn","given":"Johannes"},{"family":"Tsankova","given":"Teodora"},{"family":"Luts","given":"Maarten"}],"issued":{"date-parts":[["2021",3,18]]}}}],"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De Neve et al. (2021)</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offer evidence from four large-scale experiments in Belgium that deterrence interventions can have a positive and sustained effect on tax disclosure, with the mention of escalating sanctions in follow-up letters having had larger treatment effects.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{"citationID":"YXyOM08M","properties":{"formattedCitation":"(Cranor et al. 2020)","plainCitation":"(Cranor et al. 2020)","noteIndex":0},"citationItems":[{"id":1832,"uris":["http://zotero.org/users/local/BO2ghboK/items/36XZULH6"],"uri":["http://zotero.org/users/local/BO2ghboK/items/36XZULH6"],"itemData":{"id":1832,"type":"article-journal","container-title":"National Tax Journal","DOI":"10.17310/ntj.2020.2.02","ISSN":"0028-0283, 1944-7477","issue":"2","journalAbbreviation":"National Tax Journal","language":"en","page":"331-360","source":"DOI.org (Crossref)","title":"Communicating Tax Penalties to Delinquent Taxpayers: Evidence from a Field Experiment","title-short":"COMMUNICATING TAX PENALTIES TO DELINQUENT TAXPAYERS","volume":"73","author":[{"family":"Cranor","given":"Taylor"},{"family":"Goldin","given":"Jacob"},{"family":"Homonoff","given":"Tatiana"},{"family":"Moore","given":"Lindsay"}],"issued":{"date-parts":[["2020",6,1]]}}}],"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 xml:space="preserve">Cranor et </w:t>
      </w:r>
      <w:r>
        <w:rPr>
          <w:rFonts w:ascii="Times New Roman" w:hAnsi="Times New Roman" w:cs="Times New Roman"/>
          <w:noProof/>
          <w:sz w:val="22"/>
          <w:szCs w:val="22"/>
          <w:lang w:val="en-US"/>
        </w:rPr>
        <w:lastRenderedPageBreak/>
        <w:t>al. (2020)</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find that more details about the exact nature of the penalties yielded larger effects than generic penalty threats. However, not all deterrence messages have shown success: For example,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ZOTERO_ITEM CSL_CITATION {"citationID":"KkqQB8Lt","properties":{"formattedCitation":"(Kettle et al. 2017)","plainCitation":"(Kettle et al. 2017)","noteIndex":0},"citationItems":[{"id":502,"uris":["http://zotero.org/users/local/BO2ghboK/items/SHJPAJE7"],"uri":["http://zotero.org/users/local/BO2ghboK/items/SHJPAJE7"],"itemData":{"id":502,"type":"article-journal","abstract":"We report results from a large online randomised tax experiment in Guatemala. The trial involves short messages and choices presented to taxpayers as part of a CAPTCHA pop-up window immediately before they ﬁle a tax return, with the aim of priming honest declarations. In total our sample includes 627,242 taxpayers and 3,232,430 tax declarations made over four months. Treatments include: honesty declaration; information about public goods; information about penalties for dishonesty, questions allowing a taxpayer to choose which public good they think tax money should be spent on; or questions allowing a taxpayer to state a view on the penalty for not declaring honestly. We ﬁnd no impact of any of these treatments on the average amount of tax declared. We discuss potential causes for this null effect and implications for ‘online nudges’ around honesty priming.","container-title":"Behavioral Sciences","DOI":"10.3390/bs7020028","ISSN":"2076-328X","issue":"4","journalAbbreviation":"Behavioral Sciences","language":"en","page":"28","source":"DOI.org (Crossref)","title":"Failure to CAPTCHA Attention: Null Results from an Honesty Priming Experiment in Guatemala","title-short":"Failure to CAPTCHA Attention","volume":"7","author":[{"family":"Kettle","given":"Stewart"},{"family":"Hernandez","given":"Marco"},{"family":"Sanders","given":"Michael"},{"family":"Hauser","given":"Oliver"},{"family":"Ruda","given":"Simon"}],"issued":{"date-parts":[["2017",4,28]]}}}],"schema":"https://github.com/citation-style-language/schema/raw/master/csl-citation.json"} </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Kettle et al. (2017)</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find that two variants of compliance messages—including one that required that tax filers actively acknowledged they understood the potential penalties they faced if they behaved unethically—did not lead to more tax compliance. </w:t>
      </w:r>
    </w:p>
    <w:p w14:paraId="2E1EC6C7" w14:textId="13D7CE71" w:rsidR="00222E55" w:rsidRDefault="00261A82" w:rsidP="00261A82">
      <w:pPr>
        <w:pStyle w:val="Body"/>
        <w:spacing w:after="0"/>
        <w:ind w:firstLine="720"/>
        <w:jc w:val="both"/>
        <w:rPr>
          <w:rFonts w:ascii="Times New Roman" w:eastAsia="Times New Roman Bold" w:hAnsi="Times New Roman" w:cs="Times New Roman"/>
          <w:sz w:val="22"/>
          <w:szCs w:val="22"/>
          <w:lang w:val="en-US"/>
        </w:rPr>
      </w:pPr>
      <w:r w:rsidRPr="00261A82">
        <w:rPr>
          <w:rFonts w:ascii="Times New Roman" w:eastAsia="Times New Roman Bold" w:hAnsi="Times New Roman" w:cs="Times New Roman"/>
          <w:b/>
          <w:bCs/>
          <w:sz w:val="22"/>
          <w:szCs w:val="22"/>
          <w:lang w:val="en-US"/>
        </w:rPr>
        <w:t>Remind</w:t>
      </w:r>
      <w:r>
        <w:rPr>
          <w:rFonts w:ascii="Times New Roman" w:eastAsia="Times New Roman Bold" w:hAnsi="Times New Roman" w:cs="Times New Roman"/>
          <w:b/>
          <w:bCs/>
          <w:sz w:val="22"/>
          <w:szCs w:val="22"/>
          <w:lang w:val="en-US"/>
        </w:rPr>
        <w:t>e</w:t>
      </w:r>
      <w:r w:rsidRPr="00261A82">
        <w:rPr>
          <w:rFonts w:ascii="Times New Roman" w:eastAsia="Times New Roman Bold" w:hAnsi="Times New Roman" w:cs="Times New Roman"/>
          <w:b/>
          <w:bCs/>
          <w:sz w:val="22"/>
          <w:szCs w:val="22"/>
          <w:lang w:val="en-US"/>
        </w:rPr>
        <w:t>rs.</w:t>
      </w:r>
      <w:r>
        <w:rPr>
          <w:rFonts w:ascii="Times New Roman" w:eastAsia="Times New Roman Bold" w:hAnsi="Times New Roman" w:cs="Times New Roman"/>
          <w:sz w:val="22"/>
          <w:szCs w:val="22"/>
          <w:lang w:val="en-US"/>
        </w:rPr>
        <w:t xml:space="preserve"> </w:t>
      </w:r>
      <w:r w:rsidR="00222E55">
        <w:rPr>
          <w:rFonts w:ascii="Times New Roman" w:eastAsia="Times New Roman Bold" w:hAnsi="Times New Roman" w:cs="Times New Roman"/>
          <w:sz w:val="22"/>
          <w:szCs w:val="22"/>
          <w:lang w:val="en-US"/>
        </w:rPr>
        <w:t xml:space="preserve">Finally, since many claimants are busy and pre-occupied during unemployment, dealing with short-term needs (e.g. working to find income during this period) and long-term plans (e.g. job search), it is possible that some claimants simply forget to disclose earnings from the prior week. A reminder message may therefore be sufficient to prompt disclosure. Reminder messages have been used to encourage medication adherence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{"citationID":"zGUj9Q4U","properties":{"formattedCitation":"(Dai et al. 2017)","plainCitation":"(Dai et al. 2017)","noteIndex":0},"citationItems":[{"id":668,"uris":["http://zotero.org/users/local/BO2ghboK/items/7TIIKXPG"],"uri":["http://zotero.org/users/local/BO2ghboK/items/7TIIKXPG"],"itemData":{"id":668,"type":"article-journal","container-title":"JAMA Cardiology","DOI":"10.1001/jamacardio.2016.5794","ISSN":"2380-6583","issue":"4","journalAbbreviation":"JAMA Cardiol","language":"en","page":"453","source":"DOI.org (Crossref)","title":"Effectiveness of Medication Adherence Reminders Tied to “Fresh Start” Dates: A Randomized Clinical Trial","title-short":"Effectiveness of Medication Adherence Reminders Tied to “Fresh Start” Dates","volume":"2","author":[{"family":"Dai","given":"Hengchen"},{"family":"Mao","given":"David"},{"family":"Riis","given":"Jason"},{"family":"Volpp","given":"Kevin G."},{"family":"Relish","given":"Michael J."},{"family":"Lawnicki","given":"Victor F."},{"family":"Milkman","given":"Katherine L."}],"issued":{"date-parts":[["2017",4,1]]}}}],"schema":"https://github.com/citation-style-language/schema/raw/master/csl-citation.json"}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(Dai et al. 2017)</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patient show-ups for appointments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{"citationID":"Z63nK3hz","properties":{"formattedCitation":"(Prasad and Anand 2012)","plainCitation":"(Prasad and Anand 2012)","noteIndex":0},"citationItems":[{"id":1719,"uris":["http://zotero.org/users/local/BO2ghboK/items/IKBGE7GJ"],"uri":["http://zotero.org/users/local/BO2ghboK/items/IKBGE7GJ"],"itemData":{"id":1719,"type":"article-journal","abstract":"Background: Nonattendance for hospital outpatient appointments is a major burden on healthcare systems and the estimated ﬁnancial loss can be high. Various reasons for patients not attending have been reported, including the patient ⁄ carer forgetting the appointment and confusion over the date and time of the appointment. Various reminder systems have been trialled across a variety of clinical settings. More recently, short message service (SMS) text messaging has emerged as a viable approach for delivering reminders to outpatients at a relatively low cost. Aims and objectives: To evaluate the effect of appointment reminders, sent as SMS text messages to patients’ mobile telephones, on attendance at outpatient clinics at the ITS Centre for Dental Studies and Research (ITS-CDSR), Muradnagar, Ghaziabad, Uttar Pradesh, India. Materials and methods: The study was conducted at ITS-CDSR in the Departments of Prosthodontics, Endodontics, Orthodontics and Paedodontics. Patients attending these departments for a period of 4 months and those who had provided a contact mobile number were sent an SMS reminder. Results: In this study, 206 subjects (male, 124; female, 82) participated, 96 (male, 57; female, 39) of whom were in the test group and 110 (male, 67; female, 43) of whom were in the control group. The rate of attendance on time was found to be signiﬁcantly higher in the test group (79.2%) than in the control group (35.5%). Conclusion: The study results indicate that sending appointment reminders as text messages to patients is an effective strategy to reduce nonattendance rates.","container-title":"International Dental Journal","DOI":"10.1111/j.1875-595X.2011.00081.x","ISSN":"00206539","issue":"1","journalAbbreviation":"International Dental Journal","language":"en","page":"21-26","source":"DOI.org (Crossref)","title":"Use of mobile telephone short message service as a reminder: the effect on patient attendance","title-short":"Use of mobile telephone short message service as a reminder","volume":"62","author":[{"family":"Prasad","given":"Sumanth"},{"family":"Anand","given":"Richa"}],"issued":{"date-parts":[["2012",2]]}}}],"schema":"https://github.com/citation-style-language/schema/raw/master/csl-citation.json"}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(Prasad and Anand 2012)</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and savings commitments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{"citationID":"7jVWIZu5","properties":{"formattedCitation":"(Karlan et al. 2016)","plainCitation":"(Karlan et al. 2016)","noteIndex":0},"citationItems":[{"id":538,"uris":["http://zotero.org/users/local/BO2ghboK/items/9QRD76B7"],"uri":["http://zotero.org/users/local/BO2ghboK/items/9QRD76B7"],"itemData":{"id":538,"type":"article-journal","container-title":"Management Science","DOI":"10.1287/mnsc.2015.2296","ISSN":"0025-1909, 1526-5501","issue":"12","journalAbbreviation":"Management Science","language":"en","page":"3393-3411","source":"DOI.org (Crossref)","title":"Getting to the Top of Mind: How Reminders Increase Saving","title-short":"Getting to the Top of Mind","volume":"62","author":[{"family":"Karlan","given":"Dean"},{"family":"McConnell","given":"Margaret"},{"family":"Mullainathan","given":"Sendhil"},{"family":"Zinman","given":"Jonathan"}],"issued":{"date-parts":[["2016",12]]}}}],"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(Karlan et al. 2016)</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In the context of disclosure, </w:t>
      </w:r>
      <w:r w:rsidR="00222E55">
        <w:rPr>
          <w:rFonts w:ascii="Times New Roman" w:eastAsia="Times New Roman Bold" w:hAnsi="Times New Roman" w:cs="Times New Roman"/>
          <w:sz w:val="22"/>
          <w:szCs w:val="22"/>
          <w:lang w:val="en-US"/>
        </w:rPr>
        <w:fldChar w:fldCharType="begin"/>
      </w:r>
      <w:r w:rsidR="00222E55">
        <w:rPr>
          <w:rFonts w:ascii="Times New Roman" w:eastAsia="Times New Roman Bold" w:hAnsi="Times New Roman" w:cs="Times New Roman"/>
          <w:sz w:val="22"/>
          <w:szCs w:val="22"/>
          <w:lang w:val="en-US"/>
        </w:rPr>
        <w:instrText xml:space="preserve"> ADDIN ZOTERO_ITEM CSL_CITATION {"citationID":"t4hBPMdX","properties":{"formattedCitation":"(Bott et al. 2019)","plainCitation":"(Bott et al. 2019)","noteIndex":0},"citationItems":[{"id":1048,"uris":["http://zotero.org/users/local/BO2ghboK/items/I5LTGVQK"],"uri":["http://zotero.org/users/local/BO2ghboK/items/I5LTGVQK"],"itemData":{"id":1048,"type":"article-journal","abstract":"We report from a large-scale randomized ﬁeld experiment conducted on a unique sample of more than 15,000 taxpayers in Norway who were likely to have misreported their foreign income. By randomly manipulating a letter from the tax authorities, we cleanly identify that moral suasion and the perceived detection probability play a crucial role in shaping taxpayer behavior. The moral letter mainly works on the intensive margin, while the detection letter has a strong effect on the extensive margin. We further show that only the detection letter has long-term effects on tax compliance.","container-title":"Management Science","DOI":"10.1287/mnsc.2019.3390","ISSN":"0025-1909, 1526-5501","journalAbbreviation":"Management Science","language":"en","page":"mnsc.2019.3390","source":"DOI.org (Crossref)","title":"You’ve Got Mail: A Randomized Field Experiment on Tax Evasion","title-short":"You’ve Got Mail","author":[{"family":"Bott","given":"Kristina M."},{"family":"Cappelen","given":"Alexander W."},{"family":"Sørensen","given":"Erik Ø."},{"family":"Tungodden","given":"Bertil"}],"issued":{"date-parts":[["2019",10,22]]}}}],"schema":"https://github.com/citation-style-language/schema/raw/master/csl-citation.json"} </w:instrText>
      </w:r>
      <w:r w:rsidR="00222E55">
        <w:rPr>
          <w:rFonts w:ascii="Times New Roman" w:eastAsia="Times New Roman Bold" w:hAnsi="Times New Roman" w:cs="Times New Roman"/>
          <w:sz w:val="22"/>
          <w:szCs w:val="22"/>
          <w:lang w:val="en-US"/>
        </w:rPr>
        <w:fldChar w:fldCharType="separate"/>
      </w:r>
      <w:r w:rsidR="00222E55">
        <w:rPr>
          <w:rFonts w:ascii="Times New Roman" w:eastAsia="Times New Roman Bold" w:hAnsi="Times New Roman" w:cs="Times New Roman"/>
          <w:noProof/>
          <w:sz w:val="22"/>
          <w:szCs w:val="22"/>
          <w:lang w:val="en-US"/>
        </w:rPr>
        <w:t>Bott et al. (2019)</w:t>
      </w:r>
      <w:r w:rsidR="00222E55">
        <w:rPr>
          <w:rFonts w:ascii="Times New Roman" w:eastAsia="Times New Roman Bold" w:hAnsi="Times New Roman" w:cs="Times New Roman"/>
          <w:sz w:val="22"/>
          <w:szCs w:val="22"/>
          <w:lang w:val="en-US"/>
        </w:rPr>
        <w:fldChar w:fldCharType="end"/>
      </w:r>
      <w:r w:rsidR="00222E55">
        <w:rPr>
          <w:rFonts w:ascii="Times New Roman" w:eastAsia="Times New Roman Bold" w:hAnsi="Times New Roman" w:cs="Times New Roman"/>
          <w:sz w:val="22"/>
          <w:szCs w:val="22"/>
          <w:lang w:val="en-US"/>
        </w:rPr>
        <w:t xml:space="preserve"> show that a message that included general information and reminders about disclosing foreign income led to a modest but significant increase in disclosure rates and disclosed amount.</w:t>
      </w:r>
    </w:p>
    <w:p w14:paraId="07D7142D" w14:textId="77777777" w:rsidR="00275FEE" w:rsidRDefault="00275FEE" w:rsidP="00261A82">
      <w:pPr>
        <w:pStyle w:val="Body"/>
        <w:spacing w:after="0"/>
        <w:ind w:firstLine="720"/>
        <w:jc w:val="both"/>
        <w:rPr>
          <w:rFonts w:ascii="Times New Roman" w:eastAsia="Times New Roman Bold" w:hAnsi="Times New Roman" w:cs="Times New Roman"/>
          <w:sz w:val="22"/>
          <w:szCs w:val="22"/>
          <w:lang w:val="en-US"/>
        </w:rPr>
      </w:pPr>
    </w:p>
    <w:p w14:paraId="6DBC91BD" w14:textId="5F7DD1F0" w:rsidR="00222E55" w:rsidRPr="00275FEE" w:rsidRDefault="00275FEE" w:rsidP="00222E55">
      <w:pPr>
        <w:pStyle w:val="Body"/>
        <w:spacing w:after="0"/>
        <w:jc w:val="both"/>
        <w:rPr>
          <w:rFonts w:ascii="Times New Roman" w:eastAsia="Times New Roman Bold" w:hAnsi="Times New Roman" w:cs="Times New Roman"/>
          <w:b/>
          <w:bCs/>
          <w:sz w:val="22"/>
          <w:szCs w:val="22"/>
          <w:lang w:val="en-US"/>
        </w:rPr>
      </w:pPr>
      <w:r w:rsidRPr="00275FEE">
        <w:rPr>
          <w:rFonts w:ascii="Times New Roman" w:eastAsia="Times New Roman Bold" w:hAnsi="Times New Roman" w:cs="Times New Roman"/>
          <w:b/>
          <w:bCs/>
          <w:sz w:val="22"/>
          <w:szCs w:val="22"/>
          <w:lang w:val="en-US"/>
        </w:rPr>
        <w:t xml:space="preserve">2. Additional information on </w:t>
      </w:r>
      <w:r>
        <w:rPr>
          <w:rFonts w:ascii="Times New Roman" w:eastAsia="Times New Roman Bold" w:hAnsi="Times New Roman" w:cs="Times New Roman"/>
          <w:b/>
          <w:bCs/>
          <w:sz w:val="22"/>
          <w:szCs w:val="22"/>
          <w:lang w:val="en-US"/>
        </w:rPr>
        <w:t>algorithm training</w:t>
      </w:r>
    </w:p>
    <w:p w14:paraId="3523E7C5" w14:textId="77777777" w:rsidR="00275FEE" w:rsidRPr="00E76568" w:rsidRDefault="00275FEE" w:rsidP="00275FEE">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b/>
          <w:bCs/>
          <w:sz w:val="22"/>
          <w:szCs w:val="22"/>
          <w:lang w:val="en-US"/>
        </w:rPr>
        <w:t>Algorithm overview for predicting unethical behavior.</w:t>
      </w:r>
      <w:r w:rsidRPr="00E76568">
        <w:rPr>
          <w:rFonts w:ascii="Times New Roman" w:hAnsi="Times New Roman" w:cs="Times New Roman"/>
          <w:sz w:val="22"/>
          <w:szCs w:val="22"/>
          <w:lang w:val="en-US"/>
        </w:rPr>
        <w:t xml:space="preserve"> The algorithm was first developed, trained, and validated using historical data before applying it to the current study. To do so, we used an optimization procedure to create a predictive analytics model, using claimants’ behavior on the online platform to predict which claimants were most likely to be flagged for misreporting income by an adjudicator and determined to be fraudulent. The algorithm took in 122,755 prior claimants who submitted 527,854 claims which did not overlap with the study period. There was no overlap between the claimants used in the training phase of the algorithm and those used for the experiment </w:t>
      </w:r>
      <w:proofErr w:type="gramStart"/>
      <w:r w:rsidRPr="00E76568">
        <w:rPr>
          <w:rFonts w:ascii="Times New Roman" w:hAnsi="Times New Roman" w:cs="Times New Roman"/>
          <w:sz w:val="22"/>
          <w:szCs w:val="22"/>
          <w:lang w:val="en-US"/>
        </w:rPr>
        <w:t>later on</w:t>
      </w:r>
      <w:proofErr w:type="gramEnd"/>
      <w:r w:rsidRPr="00E76568">
        <w:rPr>
          <w:rFonts w:ascii="Times New Roman" w:hAnsi="Times New Roman" w:cs="Times New Roman"/>
          <w:sz w:val="22"/>
          <w:szCs w:val="22"/>
          <w:lang w:val="en-US"/>
        </w:rPr>
        <w:t xml:space="preserve">, ensuring that predictions are unbiased and “honest” (Athey and </w:t>
      </w:r>
      <w:proofErr w:type="spellStart"/>
      <w:r w:rsidRPr="00E76568">
        <w:rPr>
          <w:rFonts w:ascii="Times New Roman" w:hAnsi="Times New Roman" w:cs="Times New Roman"/>
          <w:sz w:val="22"/>
          <w:szCs w:val="22"/>
          <w:lang w:val="en-US"/>
        </w:rPr>
        <w:t>Imbens</w:t>
      </w:r>
      <w:proofErr w:type="spellEnd"/>
      <w:r w:rsidRPr="00E76568">
        <w:rPr>
          <w:rFonts w:ascii="Times New Roman" w:hAnsi="Times New Roman" w:cs="Times New Roman"/>
          <w:sz w:val="22"/>
          <w:szCs w:val="22"/>
          <w:lang w:val="en-US"/>
        </w:rPr>
        <w:t>, 2016).</w:t>
      </w:r>
      <w:r w:rsidRPr="00E76568">
        <w:rPr>
          <w:rStyle w:val="FootnoteReference"/>
          <w:lang w:val="en-US"/>
        </w:rPr>
        <w:t xml:space="preserve"> </w:t>
      </w:r>
    </w:p>
    <w:p w14:paraId="57000D55" w14:textId="3EEF9495" w:rsidR="00275FEE" w:rsidRPr="00E76568" w:rsidRDefault="0080447D" w:rsidP="0080447D">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sz w:val="22"/>
          <w:szCs w:val="22"/>
          <w:lang w:val="en-US"/>
        </w:rPr>
        <w:t xml:space="preserve">Due to </w:t>
      </w:r>
      <w:r>
        <w:rPr>
          <w:rFonts w:ascii="Times New Roman" w:hAnsi="Times New Roman" w:cs="Times New Roman"/>
          <w:sz w:val="22"/>
          <w:szCs w:val="22"/>
          <w:lang w:val="en-US"/>
        </w:rPr>
        <w:t xml:space="preserve">confidentiality </w:t>
      </w:r>
      <w:r w:rsidRPr="00E76568">
        <w:rPr>
          <w:rFonts w:ascii="Times New Roman" w:hAnsi="Times New Roman" w:cs="Times New Roman"/>
          <w:sz w:val="22"/>
          <w:szCs w:val="22"/>
          <w:lang w:val="en-US"/>
        </w:rPr>
        <w:t xml:space="preserve">concerns </w:t>
      </w:r>
      <w:r>
        <w:rPr>
          <w:rFonts w:ascii="Times New Roman" w:hAnsi="Times New Roman" w:cs="Times New Roman"/>
          <w:sz w:val="22"/>
          <w:szCs w:val="22"/>
          <w:lang w:val="en-US"/>
        </w:rPr>
        <w:t xml:space="preserve">and the sensitive data used for training, we cannot disclose </w:t>
      </w:r>
      <w:r w:rsidR="00227A4A">
        <w:rPr>
          <w:rFonts w:ascii="Times New Roman" w:hAnsi="Times New Roman" w:cs="Times New Roman"/>
          <w:sz w:val="22"/>
          <w:szCs w:val="22"/>
          <w:lang w:val="en-US"/>
        </w:rPr>
        <w:t xml:space="preserve">some </w:t>
      </w:r>
      <w:r>
        <w:rPr>
          <w:rFonts w:ascii="Times New Roman" w:hAnsi="Times New Roman" w:cs="Times New Roman"/>
          <w:sz w:val="22"/>
          <w:szCs w:val="22"/>
          <w:lang w:val="en-US"/>
        </w:rPr>
        <w:t xml:space="preserve">specific details about the </w:t>
      </w:r>
      <w:r w:rsidR="00275FEE" w:rsidRPr="00E76568">
        <w:rPr>
          <w:rFonts w:ascii="Times New Roman" w:hAnsi="Times New Roman" w:cs="Times New Roman"/>
          <w:sz w:val="22"/>
          <w:szCs w:val="22"/>
          <w:lang w:val="en-US"/>
        </w:rPr>
        <w:t xml:space="preserve">algorithm and </w:t>
      </w:r>
      <w:r>
        <w:rPr>
          <w:rFonts w:ascii="Times New Roman" w:hAnsi="Times New Roman" w:cs="Times New Roman"/>
          <w:sz w:val="22"/>
          <w:szCs w:val="22"/>
          <w:lang w:val="en-US"/>
        </w:rPr>
        <w:t xml:space="preserve">the </w:t>
      </w:r>
      <w:r w:rsidR="00275FEE" w:rsidRPr="00E76568">
        <w:rPr>
          <w:rFonts w:ascii="Times New Roman" w:hAnsi="Times New Roman" w:cs="Times New Roman"/>
          <w:sz w:val="22"/>
          <w:szCs w:val="22"/>
          <w:lang w:val="en-US"/>
        </w:rPr>
        <w:t xml:space="preserve">data used in the predictive analytics </w:t>
      </w:r>
      <w:r>
        <w:rPr>
          <w:rFonts w:ascii="Times New Roman" w:hAnsi="Times New Roman" w:cs="Times New Roman"/>
          <w:sz w:val="22"/>
          <w:szCs w:val="22"/>
          <w:lang w:val="en-US"/>
        </w:rPr>
        <w:t xml:space="preserve">training </w:t>
      </w:r>
      <w:r w:rsidR="00275FEE" w:rsidRPr="00E76568">
        <w:rPr>
          <w:rFonts w:ascii="Times New Roman" w:hAnsi="Times New Roman" w:cs="Times New Roman"/>
          <w:sz w:val="22"/>
          <w:szCs w:val="22"/>
          <w:lang w:val="en-US"/>
        </w:rPr>
        <w:t>stage of the project</w:t>
      </w:r>
      <w:r>
        <w:rPr>
          <w:rFonts w:ascii="Times New Roman" w:hAnsi="Times New Roman" w:cs="Times New Roman"/>
          <w:sz w:val="22"/>
          <w:szCs w:val="22"/>
          <w:lang w:val="en-US"/>
        </w:rPr>
        <w:t xml:space="preserve">. </w:t>
      </w:r>
      <w:r w:rsidR="00275FEE" w:rsidRPr="00E76568">
        <w:rPr>
          <w:rFonts w:ascii="Times New Roman" w:hAnsi="Times New Roman" w:cs="Times New Roman"/>
          <w:sz w:val="22"/>
          <w:szCs w:val="22"/>
          <w:lang w:val="en-US"/>
        </w:rPr>
        <w:t xml:space="preserve">However, </w:t>
      </w:r>
      <w:r w:rsidR="00EA4FB6">
        <w:rPr>
          <w:rFonts w:ascii="Times New Roman" w:hAnsi="Times New Roman" w:cs="Times New Roman"/>
          <w:sz w:val="22"/>
          <w:szCs w:val="22"/>
          <w:lang w:val="en-US"/>
        </w:rPr>
        <w:t xml:space="preserve">there are several procedural steps that we </w:t>
      </w:r>
      <w:proofErr w:type="gramStart"/>
      <w:r w:rsidR="00EA4FB6">
        <w:rPr>
          <w:rFonts w:ascii="Times New Roman" w:hAnsi="Times New Roman" w:cs="Times New Roman"/>
          <w:sz w:val="22"/>
          <w:szCs w:val="22"/>
          <w:lang w:val="en-US"/>
        </w:rPr>
        <w:t>are able to</w:t>
      </w:r>
      <w:proofErr w:type="gramEnd"/>
      <w:r w:rsidR="00EA4FB6">
        <w:rPr>
          <w:rFonts w:ascii="Times New Roman" w:hAnsi="Times New Roman" w:cs="Times New Roman"/>
          <w:sz w:val="22"/>
          <w:szCs w:val="22"/>
          <w:lang w:val="en-US"/>
        </w:rPr>
        <w:t xml:space="preserve"> </w:t>
      </w:r>
      <w:r w:rsidR="00275FEE" w:rsidRPr="00E76568">
        <w:rPr>
          <w:rFonts w:ascii="Times New Roman" w:hAnsi="Times New Roman" w:cs="Times New Roman"/>
          <w:sz w:val="22"/>
          <w:szCs w:val="22"/>
          <w:lang w:val="en-US"/>
        </w:rPr>
        <w:t xml:space="preserve">share. The algorithm we used was constructed using a logistic regression with a modified backward variable selection approach (e.g., Abe 2005). While standard random forest can achieve decent accuracy (Liu et al. 2015, Sahin and </w:t>
      </w:r>
      <w:r w:rsidR="00275FEE" w:rsidRPr="00E76568">
        <w:rPr>
          <w:rFonts w:ascii="Times New Roman" w:hAnsi="Times New Roman" w:cs="Times New Roman"/>
          <w:sz w:val="22"/>
          <w:szCs w:val="22"/>
          <w:lang w:val="en-US"/>
        </w:rPr>
        <w:lastRenderedPageBreak/>
        <w:t xml:space="preserve">Duman 2011), one challenge for these types of algorithms with fraud detection is that the number of actual (detected) fraud cases, relative to all observations, is extremely low (Dal </w:t>
      </w:r>
      <w:proofErr w:type="spellStart"/>
      <w:r w:rsidR="00275FEE" w:rsidRPr="00E76568">
        <w:rPr>
          <w:rFonts w:ascii="Times New Roman" w:hAnsi="Times New Roman" w:cs="Times New Roman"/>
          <w:sz w:val="22"/>
          <w:szCs w:val="22"/>
          <w:lang w:val="en-US"/>
        </w:rPr>
        <w:t>Pozzolo</w:t>
      </w:r>
      <w:proofErr w:type="spellEnd"/>
      <w:r w:rsidR="00275FEE" w:rsidRPr="00E76568">
        <w:rPr>
          <w:rFonts w:ascii="Times New Roman" w:hAnsi="Times New Roman" w:cs="Times New Roman"/>
          <w:sz w:val="22"/>
          <w:szCs w:val="22"/>
          <w:lang w:val="en-US"/>
        </w:rPr>
        <w:t xml:space="preserve"> et al. 2015). We therefore opted for logistic regressions that do not suffer from the same issue and can be used for imbalanced datasets (e.g., Cartus et al. 2020; Oommen, Baise and Vogel 2011; Ruiz-</w:t>
      </w:r>
      <w:proofErr w:type="spellStart"/>
      <w:r w:rsidR="00275FEE" w:rsidRPr="00E76568">
        <w:rPr>
          <w:rFonts w:ascii="Times New Roman" w:hAnsi="Times New Roman" w:cs="Times New Roman"/>
          <w:sz w:val="22"/>
          <w:szCs w:val="22"/>
          <w:lang w:val="en-US"/>
        </w:rPr>
        <w:t>Gazen</w:t>
      </w:r>
      <w:proofErr w:type="spellEnd"/>
      <w:r w:rsidR="00275FEE" w:rsidRPr="00E76568">
        <w:rPr>
          <w:rFonts w:ascii="Times New Roman" w:hAnsi="Times New Roman" w:cs="Times New Roman"/>
          <w:sz w:val="22"/>
          <w:szCs w:val="22"/>
          <w:lang w:val="en-US"/>
        </w:rPr>
        <w:t xml:space="preserve"> and Villa 2008). </w:t>
      </w:r>
      <w:r w:rsidR="00ED71C3">
        <w:rPr>
          <w:rFonts w:ascii="Times New Roman" w:hAnsi="Times New Roman" w:cs="Times New Roman"/>
          <w:sz w:val="22"/>
          <w:szCs w:val="22"/>
          <w:lang w:val="en-US"/>
        </w:rPr>
        <w:t>T</w:t>
      </w:r>
      <w:r w:rsidR="00275FEE" w:rsidRPr="00E76568">
        <w:rPr>
          <w:rFonts w:ascii="Times New Roman" w:hAnsi="Times New Roman" w:cs="Times New Roman"/>
          <w:sz w:val="22"/>
          <w:szCs w:val="22"/>
          <w:lang w:val="en-US"/>
        </w:rPr>
        <w:t xml:space="preserve">he backward variable selection approach is a commonly used selection algorithm which reduces the dimensionality of a dataset with many predictors. </w:t>
      </w:r>
    </w:p>
    <w:p w14:paraId="380C57D0" w14:textId="117E790F" w:rsidR="00275FEE" w:rsidRPr="00E76568" w:rsidRDefault="00275FEE" w:rsidP="00275FEE">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sz w:val="22"/>
          <w:szCs w:val="22"/>
          <w:lang w:val="en-US"/>
        </w:rPr>
        <w:t>Over 300 potential predictor variables were generated to be tested for inclusion in the algorithm; variables were selected based on predictive power, completeness, stability, and reasonability. While we are not at liberty to disclose the exact variables used in the algorithm (so as to not give away information that could be used to “game” the public service system), we are able to share high-level information about the categories of variables that were used to initially train the algorithm and how many of them were retained in the final algorithm (see SI Table S</w:t>
      </w:r>
      <w:r w:rsidR="00112D14">
        <w:rPr>
          <w:rFonts w:ascii="Times New Roman" w:hAnsi="Times New Roman" w:cs="Times New Roman"/>
          <w:sz w:val="22"/>
          <w:szCs w:val="22"/>
          <w:lang w:val="en-US"/>
        </w:rPr>
        <w:t>5</w:t>
      </w:r>
      <w:r w:rsidRPr="00E76568">
        <w:rPr>
          <w:rFonts w:ascii="Times New Roman" w:hAnsi="Times New Roman" w:cs="Times New Roman"/>
          <w:sz w:val="22"/>
          <w:szCs w:val="22"/>
          <w:lang w:val="en-US"/>
        </w:rPr>
        <w:t xml:space="preserve">). On the one hand, the model used as input factors “obvious” predictors of unethical behavior such prior incidences of misreporting, past claim submissions, </w:t>
      </w:r>
      <w:r w:rsidR="002F6EDB">
        <w:rPr>
          <w:rFonts w:ascii="Times New Roman" w:hAnsi="Times New Roman" w:cs="Times New Roman"/>
          <w:sz w:val="22"/>
          <w:szCs w:val="22"/>
          <w:lang w:val="en-US"/>
        </w:rPr>
        <w:t xml:space="preserve">and </w:t>
      </w:r>
      <w:r w:rsidRPr="00E76568">
        <w:rPr>
          <w:rFonts w:ascii="Times New Roman" w:hAnsi="Times New Roman" w:cs="Times New Roman"/>
          <w:sz w:val="22"/>
          <w:szCs w:val="22"/>
          <w:lang w:val="en-US"/>
        </w:rPr>
        <w:t xml:space="preserve">job and industry information. On the other hand, the model also scored seemingly unrelated factors on their predictability, including the day of the week and the time of day of claim submission, which other information claimants provide during the submission process (e.g., how often they claim to have looked for employment in the past week), and any deviations from previously established habits using the online platform, as well as the interactions between all of these variables. </w:t>
      </w:r>
    </w:p>
    <w:p w14:paraId="4C91898C" w14:textId="77777777" w:rsidR="00275FEE" w:rsidRPr="00E76568" w:rsidRDefault="00275FEE" w:rsidP="00275FEE">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b/>
          <w:bCs/>
          <w:sz w:val="22"/>
          <w:szCs w:val="22"/>
          <w:lang w:val="en-US"/>
        </w:rPr>
        <w:t>Algorithm training and validation.</w:t>
      </w:r>
      <w:r w:rsidRPr="00E76568">
        <w:rPr>
          <w:rFonts w:ascii="Times New Roman" w:hAnsi="Times New Roman" w:cs="Times New Roman"/>
          <w:sz w:val="22"/>
          <w:szCs w:val="22"/>
          <w:lang w:val="en-US"/>
        </w:rPr>
        <w:t xml:space="preserve"> The outcome variable for the algorithm training and validation phase were “adjudication” outcomes, which were concluded from an adjudication process conducted by (human) government specialists. The government department has a regulated process for adjudicating and determining whether a claim is fraudulent. First, computer systems for the state routinely match each claim against new hire and wage databases reported by employers. If a claim is identified as potentially misreporting earnings the claim is passed to a human adjudicator for review and determination. In addition, adjudicators conduct stratified, random audits across different subpopulations in the state (e.g., industries, geographical counties). Once a case has been opened by an adjudicator, the process of reviewing all relevant materials, including searching employment databases and contacting employers, can take several months to years. If a claimant has been found to have </w:t>
      </w:r>
      <w:r w:rsidRPr="00E76568">
        <w:rPr>
          <w:rFonts w:ascii="Times New Roman" w:hAnsi="Times New Roman" w:cs="Times New Roman"/>
          <w:sz w:val="22"/>
          <w:szCs w:val="22"/>
          <w:lang w:val="en-US"/>
        </w:rPr>
        <w:lastRenderedPageBreak/>
        <w:t xml:space="preserve">committed fraud, this information is stored in the database with the claimant’s other information in the weeks where fraud was determined. </w:t>
      </w:r>
    </w:p>
    <w:p w14:paraId="0656A88A" w14:textId="77777777" w:rsidR="00275FEE" w:rsidRDefault="00275FEE" w:rsidP="00275FEE">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sz w:val="22"/>
          <w:szCs w:val="22"/>
          <w:lang w:val="en-US"/>
        </w:rPr>
        <w:t>A standard three-part training/test/validation random split procedure was used (40%-30%-30%). The algorithm was iteratively trained and tested on the earliest 70% of the data (randomly divided into 40% for training and 30% for testing) with the most recent 30% of the data reserved for a hold-out validation dataset – which the algorithm had not previously seen. The results about the algorithm that we report below are on the 30% hold-out validation dataset. In the hold-out validation step, we calculated the Area Under the Curve (AUC) using the Receiver Operating Characteristic (ROC) curve (e.g. Bradely 1997; Horton 2016). We utilized the AUC statistic in evaluating model performance at multiple classification thresholds. One reason ROC is a useful choice to evaluate the performance of the algorithm (relative to a standard accuracy statistic) is because it is insensitive to class imbalance (Horton 2016). Using the ROC, the AUC for our algorithm in the hold-out sample is 0.779. Analyses of this holdout procedure show that the algorithm was able to accurately separate claimants with a greater probability of committing fraud from claimants with a lower probability (Figure S1 shows the hold-out predictions graphically).</w:t>
      </w:r>
    </w:p>
    <w:p w14:paraId="120AF1E7" w14:textId="77777777" w:rsidR="009609A6" w:rsidRDefault="009609A6" w:rsidP="009609A6">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sz w:val="22"/>
          <w:szCs w:val="22"/>
          <w:lang w:val="en-US"/>
        </w:rPr>
        <w:t xml:space="preserve">Finally, in addition to the AUC, another way to verify that our algorithm correctly distinguished between low and high-RAR claimants, we ran a logistic regression using the algorithmically generated RAR value, grouped into bins of 10 points on the RAR scale, as the predictor variable and the human-determined fraud indicator as the dependent variable. The algorithm reliably assigned those with a greater-than-average likelihood to commit fraud to the highest RAR bins (comparing relative rates of RAR values between 80-89 and 90-100 with average fraud rate, all </w:t>
      </w:r>
      <w:proofErr w:type="spellStart"/>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s</w:t>
      </w:r>
      <w:proofErr w:type="spellEnd"/>
      <w:r w:rsidRPr="00E76568">
        <w:rPr>
          <w:rFonts w:ascii="Times New Roman" w:hAnsi="Times New Roman" w:cs="Times New Roman"/>
          <w:sz w:val="22"/>
          <w:szCs w:val="22"/>
          <w:lang w:val="en-US"/>
        </w:rPr>
        <w:t xml:space="preserve"> &lt; 0.001), while those with lower likelihood to commit fraud were in lower-risk bins and, conversely, claimants who were less likely to do so to lower bins (comparing each of the lower RAR buckets below a RAR of 70 and average fraud rate, all </w:t>
      </w:r>
      <w:proofErr w:type="spellStart"/>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s</w:t>
      </w:r>
      <w:proofErr w:type="spellEnd"/>
      <w:r w:rsidRPr="00E76568">
        <w:rPr>
          <w:rFonts w:ascii="Times New Roman" w:hAnsi="Times New Roman" w:cs="Times New Roman"/>
          <w:sz w:val="22"/>
          <w:szCs w:val="22"/>
          <w:lang w:val="en-US"/>
        </w:rPr>
        <w:t xml:space="preserve"> &lt; 0.001). In other words, claimants in the lowest bucket of RAR values between 1 and 10 were 89% less likely to behave unethically than the average claimant. Conversely, claimants with a RAR between 80 and 89, and claimants with a RAR between 90 and 100, behaved unethically at 74% and 256% higher rates than average. </w:t>
      </w:r>
    </w:p>
    <w:p w14:paraId="6B04C684" w14:textId="77777777" w:rsidR="00275FEE" w:rsidRDefault="00275FEE" w:rsidP="00222E55">
      <w:pPr>
        <w:pStyle w:val="Body"/>
        <w:spacing w:after="0"/>
        <w:jc w:val="both"/>
        <w:rPr>
          <w:rFonts w:ascii="Times New Roman" w:eastAsia="Times New Roman Bold" w:hAnsi="Times New Roman" w:cs="Times New Roman"/>
          <w:i/>
          <w:iCs/>
          <w:sz w:val="22"/>
          <w:szCs w:val="22"/>
          <w:lang w:val="en-US"/>
        </w:rPr>
      </w:pPr>
    </w:p>
    <w:p w14:paraId="6BE38BFA" w14:textId="19320FCA" w:rsidR="00261A82" w:rsidRPr="00261A82" w:rsidRDefault="00420A39" w:rsidP="00222E55">
      <w:pPr>
        <w:pStyle w:val="Body"/>
        <w:spacing w:after="0"/>
        <w:jc w:val="both"/>
        <w:rPr>
          <w:rFonts w:ascii="Times New Roman" w:eastAsia="Times New Roman Bold" w:hAnsi="Times New Roman" w:cs="Times New Roman"/>
          <w:b/>
          <w:bCs/>
          <w:sz w:val="22"/>
          <w:szCs w:val="22"/>
          <w:lang w:val="en-US"/>
        </w:rPr>
      </w:pPr>
      <w:r>
        <w:rPr>
          <w:rFonts w:ascii="Times New Roman" w:eastAsia="Times New Roman Bold" w:hAnsi="Times New Roman" w:cs="Times New Roman"/>
          <w:b/>
          <w:bCs/>
          <w:sz w:val="22"/>
          <w:szCs w:val="22"/>
          <w:lang w:val="en-US"/>
        </w:rPr>
        <w:lastRenderedPageBreak/>
        <w:t>3</w:t>
      </w:r>
      <w:r w:rsidR="00261A82" w:rsidRPr="00261A82">
        <w:rPr>
          <w:rFonts w:ascii="Times New Roman" w:eastAsia="Times New Roman Bold" w:hAnsi="Times New Roman" w:cs="Times New Roman"/>
          <w:b/>
          <w:bCs/>
          <w:sz w:val="22"/>
          <w:szCs w:val="22"/>
          <w:lang w:val="en-US"/>
        </w:rPr>
        <w:t>. Additional</w:t>
      </w:r>
      <w:r w:rsidR="00952382">
        <w:rPr>
          <w:rFonts w:ascii="Times New Roman" w:eastAsia="Times New Roman Bold" w:hAnsi="Times New Roman" w:cs="Times New Roman"/>
          <w:b/>
          <w:bCs/>
          <w:sz w:val="22"/>
          <w:szCs w:val="22"/>
          <w:lang w:val="en-US"/>
        </w:rPr>
        <w:t xml:space="preserve"> </w:t>
      </w:r>
      <w:r w:rsidR="00D346EE">
        <w:rPr>
          <w:rFonts w:ascii="Times New Roman" w:eastAsia="Times New Roman Bold" w:hAnsi="Times New Roman" w:cs="Times New Roman"/>
          <w:b/>
          <w:bCs/>
          <w:sz w:val="22"/>
          <w:szCs w:val="22"/>
          <w:lang w:val="en-US"/>
        </w:rPr>
        <w:t>S</w:t>
      </w:r>
      <w:r>
        <w:rPr>
          <w:rFonts w:ascii="Times New Roman" w:eastAsia="Times New Roman Bold" w:hAnsi="Times New Roman" w:cs="Times New Roman"/>
          <w:b/>
          <w:bCs/>
          <w:sz w:val="22"/>
          <w:szCs w:val="22"/>
          <w:lang w:val="en-US"/>
        </w:rPr>
        <w:t xml:space="preserve">tatistical </w:t>
      </w:r>
      <w:r w:rsidR="00261A82" w:rsidRPr="00261A82">
        <w:rPr>
          <w:rFonts w:ascii="Times New Roman" w:eastAsia="Times New Roman Bold" w:hAnsi="Times New Roman" w:cs="Times New Roman"/>
          <w:b/>
          <w:bCs/>
          <w:sz w:val="22"/>
          <w:szCs w:val="22"/>
          <w:lang w:val="en-US"/>
        </w:rPr>
        <w:t>analyses</w:t>
      </w:r>
    </w:p>
    <w:p w14:paraId="40EE9263" w14:textId="58DD99E3" w:rsidR="00261A82" w:rsidRPr="00146B13" w:rsidRDefault="00261A82" w:rsidP="00261A82">
      <w:pPr>
        <w:pStyle w:val="Body"/>
        <w:spacing w:after="0"/>
        <w:ind w:firstLine="720"/>
        <w:jc w:val="both"/>
        <w:rPr>
          <w:rFonts w:ascii="Times New Roman" w:eastAsia="Times New Roman" w:hAnsi="Times New Roman" w:cs="Times New Roman"/>
          <w:bCs/>
          <w:i/>
          <w:sz w:val="22"/>
          <w:szCs w:val="22"/>
          <w:lang w:val="en-US"/>
        </w:rPr>
      </w:pPr>
      <w:r w:rsidRPr="00E76568">
        <w:rPr>
          <w:rFonts w:ascii="Times New Roman" w:hAnsi="Times New Roman" w:cs="Times New Roman"/>
          <w:sz w:val="22"/>
          <w:szCs w:val="22"/>
          <w:lang w:val="en-US"/>
        </w:rPr>
        <w:t xml:space="preserve">Among the messages we tested, several of them were alike, which we grouped in the analysis above (see Table </w:t>
      </w:r>
      <w:r>
        <w:rPr>
          <w:rFonts w:ascii="Times New Roman" w:hAnsi="Times New Roman" w:cs="Times New Roman"/>
          <w:sz w:val="22"/>
          <w:szCs w:val="22"/>
          <w:lang w:val="en-US"/>
        </w:rPr>
        <w:t>S</w:t>
      </w:r>
      <w:r w:rsidRPr="00E76568">
        <w:rPr>
          <w:rFonts w:ascii="Times New Roman" w:hAnsi="Times New Roman" w:cs="Times New Roman"/>
          <w:sz w:val="22"/>
          <w:szCs w:val="22"/>
          <w:lang w:val="en-US"/>
        </w:rPr>
        <w:t>1 for all messages). Specifically, the Audits &amp; Verification treatment contains two similar messages, while the Penalties treatment is made up of five similar messages. When we regress disclosure on the interaction of RAR and each of the two messages</w:t>
      </w:r>
      <w:r w:rsidRPr="00E76568">
        <w:rPr>
          <w:rStyle w:val="FootnoteReference"/>
          <w:rFonts w:ascii="Times New Roman" w:hAnsi="Times New Roman" w:cs="Times New Roman"/>
          <w:sz w:val="22"/>
          <w:szCs w:val="22"/>
          <w:lang w:val="en-US"/>
        </w:rPr>
        <w:footnoteReference w:id="2"/>
      </w:r>
      <w:r w:rsidRPr="00E76568">
        <w:rPr>
          <w:rFonts w:ascii="Times New Roman" w:hAnsi="Times New Roman" w:cs="Times New Roman"/>
          <w:sz w:val="22"/>
          <w:szCs w:val="22"/>
          <w:lang w:val="en-US"/>
        </w:rPr>
        <w:t xml:space="preserve"> in the Audits &amp; Verification treatment, compared to the control condition, we find that both the Audits message and the Verification message are independently significant for high-RAR claimants (interaction between message and RAR; Audits: </w:t>
      </w:r>
      <w:r w:rsidRPr="00E76568">
        <w:rPr>
          <w:rFonts w:ascii="Times New Roman" w:hAnsi="Times New Roman" w:cs="Times New Roman"/>
          <w:i/>
          <w:iCs/>
          <w:sz w:val="22"/>
          <w:szCs w:val="22"/>
          <w:lang w:val="en-US"/>
        </w:rPr>
        <w:t>b</w:t>
      </w:r>
      <w:r w:rsidRPr="00E76568">
        <w:rPr>
          <w:rFonts w:ascii="Times New Roman" w:hAnsi="Times New Roman" w:cs="Times New Roman"/>
          <w:sz w:val="22"/>
          <w:szCs w:val="22"/>
          <w:lang w:val="en-US"/>
        </w:rPr>
        <w:t xml:space="preserve"> = 0.096, </w:t>
      </w:r>
      <w:r w:rsidRPr="00E76568">
        <w:rPr>
          <w:rFonts w:ascii="Times New Roman" w:hAnsi="Times New Roman" w:cs="Times New Roman"/>
          <w:i/>
          <w:iCs/>
          <w:sz w:val="22"/>
          <w:szCs w:val="22"/>
          <w:lang w:val="en-US"/>
        </w:rPr>
        <w:t>SE</w:t>
      </w:r>
      <w:r w:rsidRPr="00E76568">
        <w:rPr>
          <w:rFonts w:ascii="Times New Roman" w:hAnsi="Times New Roman" w:cs="Times New Roman"/>
          <w:sz w:val="22"/>
          <w:szCs w:val="22"/>
          <w:lang w:val="en-US"/>
        </w:rPr>
        <w:t xml:space="preserve"> = 0.036, FDR-adjusted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0.014; Verification: </w:t>
      </w:r>
      <w:r w:rsidRPr="00E76568">
        <w:rPr>
          <w:rFonts w:ascii="Times New Roman" w:hAnsi="Times New Roman" w:cs="Times New Roman"/>
          <w:i/>
          <w:iCs/>
          <w:sz w:val="22"/>
          <w:szCs w:val="22"/>
          <w:lang w:val="en-US"/>
        </w:rPr>
        <w:t>b</w:t>
      </w:r>
      <w:r w:rsidRPr="00E76568">
        <w:rPr>
          <w:rFonts w:ascii="Times New Roman" w:hAnsi="Times New Roman" w:cs="Times New Roman"/>
          <w:sz w:val="22"/>
          <w:szCs w:val="22"/>
          <w:lang w:val="en-US"/>
        </w:rPr>
        <w:t xml:space="preserve"> = 0.081, </w:t>
      </w:r>
      <w:r w:rsidRPr="00E76568">
        <w:rPr>
          <w:rFonts w:ascii="Times New Roman" w:hAnsi="Times New Roman" w:cs="Times New Roman"/>
          <w:i/>
          <w:iCs/>
          <w:sz w:val="22"/>
          <w:szCs w:val="22"/>
          <w:lang w:val="en-US"/>
        </w:rPr>
        <w:t>SE</w:t>
      </w:r>
      <w:r w:rsidRPr="00E76568">
        <w:rPr>
          <w:rFonts w:ascii="Times New Roman" w:hAnsi="Times New Roman" w:cs="Times New Roman"/>
          <w:sz w:val="22"/>
          <w:szCs w:val="22"/>
          <w:lang w:val="en-US"/>
        </w:rPr>
        <w:t xml:space="preserve"> = 0.036, FDR-adjusted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0.038). This suggests both variations of the message are effective in increasing disclosure rates among high-RAR claimants.</w:t>
      </w:r>
    </w:p>
    <w:p w14:paraId="1B72A4D4" w14:textId="77777777" w:rsidR="00261A82" w:rsidRPr="00E76568" w:rsidRDefault="00261A82" w:rsidP="00261A82">
      <w:pPr>
        <w:pStyle w:val="Body"/>
        <w:spacing w:after="0"/>
        <w:ind w:firstLine="720"/>
        <w:jc w:val="both"/>
        <w:rPr>
          <w:rFonts w:ascii="Times New Roman" w:hAnsi="Times New Roman" w:cs="Times New Roman"/>
          <w:sz w:val="22"/>
          <w:szCs w:val="22"/>
          <w:lang w:val="en-US"/>
        </w:rPr>
      </w:pPr>
      <w:r w:rsidRPr="00E76568">
        <w:rPr>
          <w:rFonts w:ascii="Times New Roman" w:hAnsi="Times New Roman" w:cs="Times New Roman"/>
          <w:sz w:val="22"/>
          <w:szCs w:val="22"/>
          <w:lang w:val="en-US"/>
        </w:rPr>
        <w:t xml:space="preserve">The Penalties treatment, however, presents a less clear picture. While some messages seem more effective than others, when we regress disclosure rate on RAR interacted with each of the five Penalties interventions relative to the control group, only three reach significance without FDR-adjustments (interaction between message and RAR; Fraud: </w:t>
      </w:r>
      <w:r w:rsidRPr="00E76568">
        <w:rPr>
          <w:rFonts w:ascii="Times New Roman" w:hAnsi="Times New Roman" w:cs="Times New Roman"/>
          <w:i/>
          <w:iCs/>
          <w:sz w:val="22"/>
          <w:szCs w:val="22"/>
          <w:lang w:val="en-US"/>
        </w:rPr>
        <w:t>b</w:t>
      </w:r>
      <w:r w:rsidRPr="00E76568">
        <w:rPr>
          <w:rFonts w:ascii="Times New Roman" w:hAnsi="Times New Roman" w:cs="Times New Roman"/>
          <w:sz w:val="22"/>
          <w:szCs w:val="22"/>
          <w:lang w:val="en-US"/>
        </w:rPr>
        <w:t xml:space="preserve"> = 0.082, </w:t>
      </w:r>
      <w:r w:rsidRPr="00E76568">
        <w:rPr>
          <w:rFonts w:ascii="Times New Roman" w:hAnsi="Times New Roman" w:cs="Times New Roman"/>
          <w:i/>
          <w:iCs/>
          <w:sz w:val="22"/>
          <w:szCs w:val="22"/>
          <w:lang w:val="en-US"/>
        </w:rPr>
        <w:t>SE</w:t>
      </w:r>
      <w:r w:rsidRPr="00E76568">
        <w:rPr>
          <w:rFonts w:ascii="Times New Roman" w:hAnsi="Times New Roman" w:cs="Times New Roman"/>
          <w:sz w:val="22"/>
          <w:szCs w:val="22"/>
          <w:lang w:val="en-US"/>
        </w:rPr>
        <w:t xml:space="preserve"> = 0.037,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0.029; Take Action: </w:t>
      </w:r>
      <w:r w:rsidRPr="00E76568">
        <w:rPr>
          <w:rFonts w:ascii="Times New Roman" w:hAnsi="Times New Roman" w:cs="Times New Roman"/>
          <w:i/>
          <w:iCs/>
          <w:sz w:val="22"/>
          <w:szCs w:val="22"/>
          <w:lang w:val="en-US"/>
        </w:rPr>
        <w:t>b</w:t>
      </w:r>
      <w:r w:rsidRPr="00E76568">
        <w:rPr>
          <w:rFonts w:ascii="Times New Roman" w:hAnsi="Times New Roman" w:cs="Times New Roman"/>
          <w:sz w:val="22"/>
          <w:szCs w:val="22"/>
          <w:lang w:val="en-US"/>
        </w:rPr>
        <w:t xml:space="preserve"> = 0.078, </w:t>
      </w:r>
      <w:r w:rsidRPr="00E76568">
        <w:rPr>
          <w:rFonts w:ascii="Times New Roman" w:hAnsi="Times New Roman" w:cs="Times New Roman"/>
          <w:i/>
          <w:iCs/>
          <w:sz w:val="22"/>
          <w:szCs w:val="22"/>
          <w:lang w:val="en-US"/>
        </w:rPr>
        <w:t>SE</w:t>
      </w:r>
      <w:r w:rsidRPr="00E76568">
        <w:rPr>
          <w:rFonts w:ascii="Times New Roman" w:hAnsi="Times New Roman" w:cs="Times New Roman"/>
          <w:sz w:val="22"/>
          <w:szCs w:val="22"/>
          <w:lang w:val="en-US"/>
        </w:rPr>
        <w:t xml:space="preserve"> = 0.0257,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0.002; Lose Benefits: </w:t>
      </w:r>
      <w:r w:rsidRPr="00E76568">
        <w:rPr>
          <w:rFonts w:ascii="Times New Roman" w:hAnsi="Times New Roman" w:cs="Times New Roman"/>
          <w:i/>
          <w:iCs/>
          <w:sz w:val="22"/>
          <w:szCs w:val="22"/>
          <w:lang w:val="en-US"/>
        </w:rPr>
        <w:t>b</w:t>
      </w:r>
      <w:r w:rsidRPr="00E76568">
        <w:rPr>
          <w:rFonts w:ascii="Times New Roman" w:hAnsi="Times New Roman" w:cs="Times New Roman"/>
          <w:sz w:val="22"/>
          <w:szCs w:val="22"/>
          <w:lang w:val="en-US"/>
        </w:rPr>
        <w:t xml:space="preserve"> = 0.102, </w:t>
      </w:r>
      <w:r w:rsidRPr="00E76568">
        <w:rPr>
          <w:rFonts w:ascii="Times New Roman" w:hAnsi="Times New Roman" w:cs="Times New Roman"/>
          <w:i/>
          <w:iCs/>
          <w:sz w:val="22"/>
          <w:szCs w:val="22"/>
          <w:lang w:val="en-US"/>
        </w:rPr>
        <w:t>SE</w:t>
      </w:r>
      <w:r w:rsidRPr="00E76568">
        <w:rPr>
          <w:rFonts w:ascii="Times New Roman" w:hAnsi="Times New Roman" w:cs="Times New Roman"/>
          <w:sz w:val="22"/>
          <w:szCs w:val="22"/>
          <w:lang w:val="en-US"/>
        </w:rPr>
        <w:t xml:space="preserve"> = 0.051,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0.047) and only one after adjusting for multiple comparisons (Take Action message: FDR-adjusted </w:t>
      </w:r>
      <w:r w:rsidRPr="00E76568">
        <w:rPr>
          <w:rFonts w:ascii="Times New Roman" w:hAnsi="Times New Roman" w:cs="Times New Roman"/>
          <w:i/>
          <w:iCs/>
          <w:sz w:val="22"/>
          <w:szCs w:val="22"/>
          <w:lang w:val="en-US"/>
        </w:rPr>
        <w:t>p</w:t>
      </w:r>
      <w:r w:rsidRPr="00E76568">
        <w:rPr>
          <w:rFonts w:ascii="Times New Roman" w:hAnsi="Times New Roman" w:cs="Times New Roman"/>
          <w:sz w:val="22"/>
          <w:szCs w:val="22"/>
          <w:lang w:val="en-US"/>
        </w:rPr>
        <w:t xml:space="preserve"> = 0.007). We therefore conservatively conclude that only the </w:t>
      </w:r>
      <w:proofErr w:type="gramStart"/>
      <w:r w:rsidRPr="00E76568">
        <w:rPr>
          <w:rFonts w:ascii="Times New Roman" w:hAnsi="Times New Roman" w:cs="Times New Roman"/>
          <w:sz w:val="22"/>
          <w:szCs w:val="22"/>
          <w:lang w:val="en-US"/>
        </w:rPr>
        <w:t>Take Action</w:t>
      </w:r>
      <w:proofErr w:type="gramEnd"/>
      <w:r w:rsidRPr="00E76568">
        <w:rPr>
          <w:rFonts w:ascii="Times New Roman" w:hAnsi="Times New Roman" w:cs="Times New Roman"/>
          <w:sz w:val="22"/>
          <w:szCs w:val="22"/>
          <w:lang w:val="en-US"/>
        </w:rPr>
        <w:t xml:space="preserve"> message</w:t>
      </w:r>
      <w:r w:rsidRPr="00E76568">
        <w:rPr>
          <w:rStyle w:val="FootnoteReference"/>
          <w:rFonts w:ascii="Times New Roman" w:hAnsi="Times New Roman" w:cs="Times New Roman"/>
          <w:sz w:val="22"/>
          <w:szCs w:val="22"/>
          <w:lang w:val="en-US"/>
        </w:rPr>
        <w:footnoteReference w:id="3"/>
      </w:r>
      <w:r w:rsidRPr="00E76568">
        <w:rPr>
          <w:rFonts w:ascii="Times New Roman" w:hAnsi="Times New Roman" w:cs="Times New Roman"/>
          <w:sz w:val="22"/>
          <w:szCs w:val="22"/>
          <w:lang w:val="en-US"/>
        </w:rPr>
        <w:t xml:space="preserve"> leads to significantly increased disclosure among high-RAR claimants.</w:t>
      </w:r>
    </w:p>
    <w:p w14:paraId="06677BDA" w14:textId="4B06FB9D" w:rsidR="00261A82" w:rsidRDefault="00261A82" w:rsidP="00222E55">
      <w:pPr>
        <w:pStyle w:val="Body"/>
        <w:spacing w:after="0"/>
        <w:jc w:val="both"/>
        <w:rPr>
          <w:rFonts w:ascii="Times New Roman" w:eastAsia="Times New Roman Bold" w:hAnsi="Times New Roman" w:cs="Times New Roman"/>
          <w:sz w:val="22"/>
          <w:szCs w:val="22"/>
          <w:lang w:val="en-US"/>
        </w:rPr>
      </w:pPr>
    </w:p>
    <w:p w14:paraId="7AABCA29" w14:textId="77777777" w:rsidR="00D04786" w:rsidRDefault="00D04786">
      <w:pPr>
        <w:rPr>
          <w:rFonts w:eastAsia="Arial Unicode MS"/>
          <w:b/>
          <w:color w:val="000000"/>
          <w:sz w:val="22"/>
          <w:szCs w:val="22"/>
          <w:u w:color="000000"/>
          <w:bdr w:val="nil"/>
          <w:lang w:val="en-US" w:eastAsia="en-US"/>
        </w:rPr>
      </w:pPr>
      <w:r>
        <w:rPr>
          <w:b/>
          <w:sz w:val="22"/>
          <w:szCs w:val="22"/>
          <w:lang w:val="en-US"/>
        </w:rPr>
        <w:br w:type="page"/>
      </w:r>
    </w:p>
    <w:p w14:paraId="561EDFFB" w14:textId="1DF5D2FC" w:rsidR="00E86A81" w:rsidRPr="009B5BEE" w:rsidRDefault="00E86A81" w:rsidP="00BB373D">
      <w:pPr>
        <w:pStyle w:val="Body"/>
        <w:spacing w:after="0" w:line="360" w:lineRule="auto"/>
        <w:outlineLvl w:val="0"/>
        <w:rPr>
          <w:rFonts w:ascii="Times New Roman" w:eastAsia="Times New Roman Bold" w:hAnsi="Times New Roman" w:cs="Times New Roman"/>
          <w:sz w:val="22"/>
          <w:szCs w:val="22"/>
          <w:lang w:val="en-US"/>
        </w:rPr>
      </w:pPr>
      <w:r w:rsidRPr="001701E5">
        <w:rPr>
          <w:rFonts w:ascii="Times New Roman" w:hAnsi="Times New Roman" w:cs="Times New Roman"/>
          <w:b/>
          <w:sz w:val="22"/>
          <w:szCs w:val="22"/>
          <w:lang w:val="en-US"/>
        </w:rPr>
        <w:lastRenderedPageBreak/>
        <w:t xml:space="preserve">Figure </w:t>
      </w:r>
      <w:r w:rsidR="002C6A97">
        <w:rPr>
          <w:rFonts w:ascii="Times New Roman" w:hAnsi="Times New Roman" w:cs="Times New Roman"/>
          <w:b/>
          <w:sz w:val="22"/>
          <w:szCs w:val="22"/>
          <w:lang w:val="en-US"/>
        </w:rPr>
        <w:t>S</w:t>
      </w:r>
      <w:r w:rsidRPr="001701E5">
        <w:rPr>
          <w:rFonts w:ascii="Times New Roman" w:hAnsi="Times New Roman" w:cs="Times New Roman"/>
          <w:b/>
          <w:sz w:val="22"/>
          <w:szCs w:val="22"/>
          <w:lang w:val="en-US"/>
        </w:rPr>
        <w:t>1</w:t>
      </w:r>
      <w:r>
        <w:rPr>
          <w:rFonts w:ascii="Times New Roman" w:eastAsia="Times New Roman Bold" w:hAnsi="Times New Roman" w:cs="Times New Roman"/>
          <w:sz w:val="22"/>
          <w:szCs w:val="22"/>
          <w:lang w:val="en-US"/>
        </w:rPr>
        <w:t xml:space="preserve">. </w:t>
      </w:r>
      <w:r w:rsidR="000E1A87">
        <w:rPr>
          <w:rFonts w:ascii="Times New Roman" w:eastAsia="Times New Roman Bold" w:hAnsi="Times New Roman" w:cs="Times New Roman"/>
          <w:sz w:val="22"/>
          <w:szCs w:val="22"/>
          <w:lang w:val="en-US"/>
        </w:rPr>
        <w:t xml:space="preserve">Graphical Illustration of the </w:t>
      </w:r>
      <w:r w:rsidRPr="009B5BEE">
        <w:rPr>
          <w:rFonts w:ascii="Times New Roman" w:hAnsi="Times New Roman" w:cs="Times New Roman"/>
          <w:sz w:val="22"/>
          <w:szCs w:val="22"/>
          <w:lang w:val="en-US"/>
        </w:rPr>
        <w:t xml:space="preserve">Effectiveness of </w:t>
      </w:r>
      <w:r w:rsidR="000E1A87">
        <w:rPr>
          <w:rFonts w:ascii="Times New Roman" w:hAnsi="Times New Roman" w:cs="Times New Roman"/>
          <w:sz w:val="22"/>
          <w:szCs w:val="22"/>
          <w:lang w:val="en-US"/>
        </w:rPr>
        <w:t xml:space="preserve">the </w:t>
      </w:r>
      <w:r w:rsidRPr="009B5BEE">
        <w:rPr>
          <w:rFonts w:ascii="Times New Roman" w:hAnsi="Times New Roman" w:cs="Times New Roman"/>
          <w:sz w:val="22"/>
          <w:szCs w:val="22"/>
          <w:lang w:val="en-US"/>
        </w:rPr>
        <w:t>Machine Learning Algorithm in Identifying Claimants Most Likely to Commit Fraud</w:t>
      </w:r>
    </w:p>
    <w:p w14:paraId="7983942B" w14:textId="77777777" w:rsidR="00E86A81" w:rsidRPr="009B5BEE" w:rsidRDefault="00E86A81" w:rsidP="00E86A81">
      <w:pPr>
        <w:pStyle w:val="Body"/>
        <w:spacing w:after="0"/>
        <w:rPr>
          <w:rFonts w:ascii="Times New Roman" w:eastAsia="Times New Roman" w:hAnsi="Times New Roman" w:cs="Times New Roman"/>
          <w:sz w:val="22"/>
          <w:szCs w:val="22"/>
          <w:lang w:val="en-US"/>
        </w:rPr>
      </w:pPr>
      <w:r>
        <w:rPr>
          <w:rFonts w:ascii="Times New Roman" w:eastAsia="Times New Roman" w:hAnsi="Times New Roman" w:cs="Times New Roman"/>
          <w:noProof/>
          <w:sz w:val="22"/>
          <w:szCs w:val="22"/>
          <w:lang w:val="en-US"/>
        </w:rPr>
        <w:drawing>
          <wp:inline distT="0" distB="0" distL="0" distR="0" wp14:anchorId="060F5D45" wp14:editId="1679DB1D">
            <wp:extent cx="5854700" cy="302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1.pdf"/>
                    <pic:cNvPicPr/>
                  </pic:nvPicPr>
                  <pic:blipFill>
                    <a:blip r:embed="rId7">
                      <a:extLst>
                        <a:ext uri="{28A0092B-C50C-407E-A947-70E740481C1C}">
                          <a14:useLocalDpi xmlns:a14="http://schemas.microsoft.com/office/drawing/2010/main" val="0"/>
                        </a:ext>
                      </a:extLst>
                    </a:blip>
                    <a:stretch>
                      <a:fillRect/>
                    </a:stretch>
                  </pic:blipFill>
                  <pic:spPr>
                    <a:xfrm>
                      <a:off x="0" y="0"/>
                      <a:ext cx="5854700" cy="3022600"/>
                    </a:xfrm>
                    <a:prstGeom prst="rect">
                      <a:avLst/>
                    </a:prstGeom>
                  </pic:spPr>
                </pic:pic>
              </a:graphicData>
            </a:graphic>
          </wp:inline>
        </w:drawing>
      </w:r>
    </w:p>
    <w:p w14:paraId="47D83CB7" w14:textId="77777777" w:rsidR="00E86A81" w:rsidRPr="00673430" w:rsidRDefault="00E86A81" w:rsidP="00E86A81">
      <w:pPr>
        <w:pStyle w:val="Body"/>
        <w:spacing w:after="0" w:line="240" w:lineRule="auto"/>
        <w:rPr>
          <w:rFonts w:ascii="Times New Roman" w:hAnsi="Times New Roman" w:cs="Times New Roman"/>
          <w:sz w:val="20"/>
          <w:szCs w:val="20"/>
          <w:lang w:val="en-US"/>
        </w:rPr>
      </w:pPr>
      <w:r w:rsidRPr="00673430">
        <w:rPr>
          <w:rFonts w:ascii="Times New Roman" w:hAnsi="Times New Roman" w:cs="Times New Roman"/>
          <w:i/>
          <w:sz w:val="20"/>
          <w:szCs w:val="20"/>
          <w:lang w:val="en-US"/>
        </w:rPr>
        <w:t>Note</w:t>
      </w:r>
      <w:r w:rsidRPr="00673430">
        <w:rPr>
          <w:rFonts w:ascii="Times New Roman" w:hAnsi="Times New Roman" w:cs="Times New Roman"/>
          <w:sz w:val="20"/>
          <w:szCs w:val="20"/>
          <w:lang w:val="en-US"/>
        </w:rPr>
        <w:t xml:space="preserve">. The algorithm was tested in an independent test dataset: claimants who were predicted to behave unethically (higher RAR values, on the right-hand side of the graph) were significantly more likely to have </w:t>
      </w:r>
      <w:proofErr w:type="spellStart"/>
      <w:r w:rsidRPr="00673430">
        <w:rPr>
          <w:rFonts w:ascii="Times New Roman" w:hAnsi="Times New Roman" w:cs="Times New Roman"/>
          <w:sz w:val="20"/>
          <w:szCs w:val="20"/>
          <w:lang w:val="en-US"/>
        </w:rPr>
        <w:t>commsitted</w:t>
      </w:r>
      <w:proofErr w:type="spellEnd"/>
      <w:r w:rsidRPr="00673430">
        <w:rPr>
          <w:rFonts w:ascii="Times New Roman" w:hAnsi="Times New Roman" w:cs="Times New Roman"/>
          <w:sz w:val="20"/>
          <w:szCs w:val="20"/>
          <w:lang w:val="en-US"/>
        </w:rPr>
        <w:t xml:space="preserve"> fraud, as determined by a (human) adjudicator. Conversely, those claimants predicted to behave ethically received lower RAR values (left-hand side of the graph) and were less likely to have committed fraud.</w:t>
      </w:r>
    </w:p>
    <w:p w14:paraId="4D9E2580" w14:textId="7B436D95" w:rsidR="00E86A81" w:rsidRDefault="00E86A81" w:rsidP="00E86A81">
      <w:pPr>
        <w:pStyle w:val="Body"/>
        <w:spacing w:after="0" w:line="240" w:lineRule="auto"/>
        <w:rPr>
          <w:rFonts w:ascii="Times New Roman" w:eastAsia="Times New Roman" w:hAnsi="Times New Roman" w:cs="Times New Roman"/>
          <w:sz w:val="22"/>
          <w:szCs w:val="22"/>
          <w:lang w:val="en-US"/>
        </w:rPr>
      </w:pPr>
    </w:p>
    <w:p w14:paraId="64CFD9D9" w14:textId="77777777" w:rsidR="00BB373D" w:rsidRDefault="00BB373D" w:rsidP="00E86A81">
      <w:pPr>
        <w:pStyle w:val="Body"/>
        <w:spacing w:after="0" w:line="240" w:lineRule="auto"/>
        <w:rPr>
          <w:rFonts w:ascii="Times New Roman" w:eastAsia="Times New Roman" w:hAnsi="Times New Roman" w:cs="Times New Roman"/>
          <w:sz w:val="22"/>
          <w:szCs w:val="22"/>
          <w:lang w:val="en-US"/>
        </w:rPr>
      </w:pPr>
    </w:p>
    <w:p w14:paraId="70A123AA" w14:textId="77777777" w:rsidR="006F62FE" w:rsidRDefault="006F62FE">
      <w:pPr>
        <w:rPr>
          <w:rFonts w:eastAsia="Arial Unicode MS"/>
          <w:b/>
          <w:color w:val="000000"/>
          <w:sz w:val="22"/>
          <w:szCs w:val="22"/>
          <w:u w:color="000000"/>
          <w:bdr w:val="nil"/>
          <w:lang w:val="en-US" w:eastAsia="en-US"/>
        </w:rPr>
      </w:pPr>
      <w:r>
        <w:rPr>
          <w:b/>
          <w:sz w:val="22"/>
          <w:szCs w:val="22"/>
          <w:lang w:val="en-US"/>
        </w:rPr>
        <w:br w:type="page"/>
      </w:r>
    </w:p>
    <w:p w14:paraId="30C54348" w14:textId="49C9B419" w:rsidR="0036030B" w:rsidRPr="00033272" w:rsidRDefault="0036030B" w:rsidP="0036030B">
      <w:pPr>
        <w:pStyle w:val="Body"/>
        <w:spacing w:after="0"/>
        <w:outlineLvl w:val="0"/>
        <w:rPr>
          <w:rFonts w:ascii="Times New Roman" w:eastAsia="Times New Roman Bold" w:hAnsi="Times New Roman" w:cs="Times New Roman"/>
          <w:sz w:val="22"/>
          <w:szCs w:val="22"/>
          <w:lang w:val="en-US"/>
        </w:rPr>
      </w:pPr>
      <w:r>
        <w:rPr>
          <w:rFonts w:ascii="Times New Roman" w:hAnsi="Times New Roman" w:cs="Times New Roman"/>
          <w:b/>
          <w:sz w:val="22"/>
          <w:szCs w:val="22"/>
          <w:lang w:val="en-US"/>
        </w:rPr>
        <w:lastRenderedPageBreak/>
        <w:t>Figure</w:t>
      </w:r>
      <w:r w:rsidRPr="00033272">
        <w:rPr>
          <w:rFonts w:ascii="Times New Roman" w:hAnsi="Times New Roman" w:cs="Times New Roman"/>
          <w:b/>
          <w:sz w:val="22"/>
          <w:szCs w:val="22"/>
          <w:lang w:val="en-US"/>
        </w:rPr>
        <w:t xml:space="preserve"> </w:t>
      </w:r>
      <w:r w:rsidR="00E667A6">
        <w:rPr>
          <w:rFonts w:ascii="Times New Roman" w:hAnsi="Times New Roman" w:cs="Times New Roman"/>
          <w:b/>
          <w:sz w:val="22"/>
          <w:szCs w:val="22"/>
          <w:lang w:val="en-US"/>
        </w:rPr>
        <w:t>S</w:t>
      </w:r>
      <w:r w:rsidR="00BD17DA">
        <w:rPr>
          <w:rFonts w:ascii="Times New Roman" w:hAnsi="Times New Roman" w:cs="Times New Roman"/>
          <w:b/>
          <w:sz w:val="22"/>
          <w:szCs w:val="22"/>
          <w:lang w:val="en-US"/>
        </w:rPr>
        <w:t>2</w:t>
      </w:r>
      <w:r w:rsidRPr="00033272">
        <w:rPr>
          <w:rFonts w:ascii="Times New Roman" w:hAnsi="Times New Roman" w:cs="Times New Roman"/>
          <w:b/>
          <w:sz w:val="22"/>
          <w:szCs w:val="22"/>
          <w:lang w:val="en-US"/>
        </w:rPr>
        <w:t>.</w:t>
      </w:r>
      <w:r w:rsidRPr="00033272">
        <w:rPr>
          <w:rFonts w:ascii="Times New Roman" w:eastAsia="Times New Roman Bold" w:hAnsi="Times New Roman" w:cs="Times New Roman"/>
          <w:sz w:val="22"/>
          <w:szCs w:val="22"/>
          <w:lang w:val="en-US"/>
        </w:rPr>
        <w:t xml:space="preserve"> </w:t>
      </w:r>
      <w:r>
        <w:rPr>
          <w:rFonts w:ascii="Times New Roman" w:eastAsia="Times New Roman Bold" w:hAnsi="Times New Roman" w:cs="Times New Roman"/>
          <w:sz w:val="22"/>
          <w:szCs w:val="22"/>
          <w:lang w:val="en-US"/>
        </w:rPr>
        <w:t>Screenshot from the Reporting Screen and a Treatment Message in the Experiment</w:t>
      </w:r>
    </w:p>
    <w:p w14:paraId="58F185C8" w14:textId="7258B9FC" w:rsidR="00D47D70" w:rsidRDefault="004553BA" w:rsidP="00BB373D">
      <w:pPr>
        <w:jc w:val="center"/>
      </w:pPr>
      <w:r>
        <w:rPr>
          <w:noProof/>
        </w:rPr>
        <w:drawing>
          <wp:inline distT="0" distB="0" distL="0" distR="0" wp14:anchorId="50E3DC20" wp14:editId="3BE92BD5">
            <wp:extent cx="5183559" cy="3355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187948" cy="3358362"/>
                    </a:xfrm>
                    <a:prstGeom prst="rect">
                      <a:avLst/>
                    </a:prstGeom>
                  </pic:spPr>
                </pic:pic>
              </a:graphicData>
            </a:graphic>
          </wp:inline>
        </w:drawing>
      </w:r>
    </w:p>
    <w:p w14:paraId="49967152" w14:textId="77777777" w:rsidR="0036030B" w:rsidRPr="00033272" w:rsidRDefault="0036030B" w:rsidP="00482167"/>
    <w:p w14:paraId="3B37F9E9" w14:textId="77777777" w:rsidR="00BB373D" w:rsidRDefault="00BB373D" w:rsidP="00D47D70">
      <w:pPr>
        <w:pStyle w:val="Body"/>
        <w:spacing w:after="0"/>
        <w:outlineLvl w:val="0"/>
        <w:rPr>
          <w:rFonts w:ascii="Times New Roman" w:hAnsi="Times New Roman" w:cs="Times New Roman"/>
          <w:b/>
          <w:sz w:val="22"/>
          <w:szCs w:val="22"/>
          <w:lang w:val="en-US"/>
        </w:rPr>
      </w:pPr>
    </w:p>
    <w:p w14:paraId="2E49B877" w14:textId="77777777" w:rsidR="006F62FE" w:rsidRDefault="006F62FE">
      <w:pPr>
        <w:rPr>
          <w:rFonts w:eastAsia="Arial Unicode MS"/>
          <w:b/>
          <w:color w:val="000000"/>
          <w:sz w:val="22"/>
          <w:szCs w:val="22"/>
          <w:u w:color="000000"/>
          <w:bdr w:val="nil"/>
          <w:lang w:val="en-US" w:eastAsia="en-US"/>
        </w:rPr>
      </w:pPr>
      <w:r>
        <w:rPr>
          <w:b/>
          <w:sz w:val="22"/>
          <w:szCs w:val="22"/>
          <w:lang w:val="en-US"/>
        </w:rPr>
        <w:br w:type="page"/>
      </w:r>
    </w:p>
    <w:p w14:paraId="6AEFC386" w14:textId="7AE557F0" w:rsidR="00D47D70" w:rsidRPr="00033272" w:rsidRDefault="00D47D70" w:rsidP="00D47D70">
      <w:pPr>
        <w:pStyle w:val="Body"/>
        <w:spacing w:after="0"/>
        <w:outlineLvl w:val="0"/>
        <w:rPr>
          <w:rFonts w:ascii="Times New Roman" w:eastAsia="Times New Roman Bold" w:hAnsi="Times New Roman" w:cs="Times New Roman"/>
          <w:sz w:val="22"/>
          <w:szCs w:val="22"/>
          <w:lang w:val="en-US"/>
        </w:rPr>
      </w:pPr>
      <w:r w:rsidRPr="00033272">
        <w:rPr>
          <w:rFonts w:ascii="Times New Roman" w:hAnsi="Times New Roman" w:cs="Times New Roman"/>
          <w:b/>
          <w:sz w:val="22"/>
          <w:szCs w:val="22"/>
          <w:lang w:val="en-US"/>
        </w:rPr>
        <w:lastRenderedPageBreak/>
        <w:t xml:space="preserve">Table </w:t>
      </w:r>
      <w:r w:rsidR="002C6A97">
        <w:rPr>
          <w:rFonts w:ascii="Times New Roman" w:hAnsi="Times New Roman" w:cs="Times New Roman"/>
          <w:b/>
          <w:sz w:val="22"/>
          <w:szCs w:val="22"/>
          <w:lang w:val="en-US"/>
        </w:rPr>
        <w:t>S</w:t>
      </w:r>
      <w:r w:rsidRPr="00033272">
        <w:rPr>
          <w:rFonts w:ascii="Times New Roman" w:hAnsi="Times New Roman" w:cs="Times New Roman"/>
          <w:b/>
          <w:sz w:val="22"/>
          <w:szCs w:val="22"/>
          <w:lang w:val="en-US"/>
        </w:rPr>
        <w:t>1.</w:t>
      </w:r>
      <w:r w:rsidRPr="00033272">
        <w:rPr>
          <w:rFonts w:ascii="Times New Roman" w:eastAsia="Times New Roman Bold" w:hAnsi="Times New Roman" w:cs="Times New Roman"/>
          <w:sz w:val="22"/>
          <w:szCs w:val="22"/>
          <w:lang w:val="en-US"/>
        </w:rPr>
        <w:t xml:space="preserve"> </w:t>
      </w:r>
      <w:r w:rsidR="00A05D88" w:rsidRPr="00033272">
        <w:rPr>
          <w:rFonts w:ascii="Times New Roman" w:eastAsia="Times New Roman Bold" w:hAnsi="Times New Roman" w:cs="Times New Roman"/>
          <w:sz w:val="22"/>
          <w:szCs w:val="22"/>
          <w:lang w:val="en-US"/>
        </w:rPr>
        <w:t xml:space="preserve">All </w:t>
      </w:r>
      <w:r w:rsidRPr="00033272">
        <w:rPr>
          <w:rFonts w:ascii="Times New Roman" w:hAnsi="Times New Roman" w:cs="Times New Roman"/>
          <w:sz w:val="22"/>
          <w:szCs w:val="22"/>
          <w:lang w:val="en-US"/>
        </w:rPr>
        <w:t>Behavioral Messages Used in the Field Experiment</w:t>
      </w:r>
    </w:p>
    <w:tbl>
      <w:tblPr>
        <w:tblW w:w="4956"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1701"/>
        <w:gridCol w:w="5817"/>
      </w:tblGrid>
      <w:tr w:rsidR="00B16610" w:rsidRPr="002974F4" w14:paraId="0CBC31AD" w14:textId="77777777" w:rsidTr="00CE7B85">
        <w:trPr>
          <w:trHeight w:val="47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6F0B6" w14:textId="77777777" w:rsidR="00B16610" w:rsidRPr="002974F4" w:rsidRDefault="00B16610" w:rsidP="00C47D84">
            <w:pPr>
              <w:pStyle w:val="Body"/>
              <w:spacing w:after="0"/>
              <w:rPr>
                <w:rFonts w:ascii="Times New Roman" w:hAnsi="Times New Roman" w:cs="Times New Roman"/>
                <w:b/>
                <w:sz w:val="20"/>
                <w:szCs w:val="20"/>
                <w:lang w:val="en-US"/>
              </w:rPr>
            </w:pPr>
            <w:r w:rsidRPr="002974F4">
              <w:rPr>
                <w:rFonts w:ascii="Times New Roman" w:hAnsi="Times New Roman" w:cs="Times New Roman"/>
                <w:b/>
                <w:sz w:val="20"/>
                <w:szCs w:val="20"/>
                <w:lang w:val="en-US"/>
              </w:rPr>
              <w:t>Name</w:t>
            </w:r>
          </w:p>
        </w:tc>
        <w:tc>
          <w:tcPr>
            <w:tcW w:w="1701" w:type="dxa"/>
            <w:tcBorders>
              <w:top w:val="single" w:sz="4" w:space="0" w:color="000000"/>
              <w:left w:val="single" w:sz="4" w:space="0" w:color="000000"/>
              <w:bottom w:val="single" w:sz="4" w:space="0" w:color="000000"/>
              <w:right w:val="single" w:sz="4" w:space="0" w:color="000000"/>
            </w:tcBorders>
          </w:tcPr>
          <w:p w14:paraId="0D1A9842" w14:textId="6DA9D86B" w:rsidR="00B16610" w:rsidRPr="002974F4" w:rsidRDefault="00B16610" w:rsidP="00C47D84">
            <w:pPr>
              <w:pStyle w:val="Body"/>
              <w:spacing w:after="0"/>
              <w:rPr>
                <w:rFonts w:ascii="Times New Roman" w:hAnsi="Times New Roman" w:cs="Times New Roman"/>
                <w:b/>
                <w:iCs/>
                <w:sz w:val="20"/>
                <w:szCs w:val="20"/>
                <w:lang w:val="en-US"/>
              </w:rPr>
            </w:pPr>
            <w:r w:rsidRPr="002974F4">
              <w:rPr>
                <w:rFonts w:ascii="Times New Roman" w:hAnsi="Times New Roman" w:cs="Times New Roman"/>
                <w:b/>
                <w:iCs/>
                <w:sz w:val="20"/>
                <w:szCs w:val="20"/>
                <w:lang w:val="en-US"/>
              </w:rPr>
              <w:t>Pooled</w:t>
            </w:r>
            <w:r w:rsidR="005F085B">
              <w:rPr>
                <w:rFonts w:ascii="Times New Roman" w:hAnsi="Times New Roman" w:cs="Times New Roman"/>
                <w:b/>
                <w:iCs/>
                <w:sz w:val="20"/>
                <w:szCs w:val="20"/>
                <w:lang w:val="en-US"/>
              </w:rPr>
              <w:t>?</w:t>
            </w: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D66F6" w14:textId="17A41732" w:rsidR="00B16610" w:rsidRPr="002974F4" w:rsidRDefault="00B16610" w:rsidP="00C47D84">
            <w:pPr>
              <w:pStyle w:val="Body"/>
              <w:spacing w:after="0"/>
              <w:rPr>
                <w:rFonts w:ascii="Times New Roman" w:hAnsi="Times New Roman" w:cs="Times New Roman"/>
                <w:b/>
                <w:iCs/>
                <w:sz w:val="20"/>
                <w:szCs w:val="20"/>
                <w:lang w:val="en-US"/>
              </w:rPr>
            </w:pPr>
            <w:r w:rsidRPr="002974F4">
              <w:rPr>
                <w:rFonts w:ascii="Times New Roman" w:hAnsi="Times New Roman" w:cs="Times New Roman"/>
                <w:b/>
                <w:iCs/>
                <w:sz w:val="20"/>
                <w:szCs w:val="20"/>
                <w:lang w:val="en-US"/>
              </w:rPr>
              <w:t>Message</w:t>
            </w:r>
          </w:p>
        </w:tc>
      </w:tr>
      <w:tr w:rsidR="00B16610" w:rsidRPr="00033272" w14:paraId="15BF640B" w14:textId="77777777" w:rsidTr="00CE7B85">
        <w:trPr>
          <w:trHeight w:val="7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0D42"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Social Norm</w:t>
            </w:r>
          </w:p>
        </w:tc>
        <w:tc>
          <w:tcPr>
            <w:tcW w:w="1701" w:type="dxa"/>
            <w:tcBorders>
              <w:top w:val="single" w:sz="4" w:space="0" w:color="000000"/>
              <w:left w:val="single" w:sz="4" w:space="0" w:color="000000"/>
              <w:bottom w:val="single" w:sz="4" w:space="0" w:color="000000"/>
              <w:right w:val="single" w:sz="4" w:space="0" w:color="000000"/>
            </w:tcBorders>
          </w:tcPr>
          <w:p w14:paraId="4B7982C8" w14:textId="77777777" w:rsidR="00B16610" w:rsidRPr="00033272" w:rsidRDefault="00B16610" w:rsidP="00C47D84">
            <w:pPr>
              <w:pStyle w:val="Body"/>
              <w:spacing w:after="0" w:line="240" w:lineRule="auto"/>
              <w:rPr>
                <w:rFonts w:ascii="Times New Roman" w:hAnsi="Times New Roman" w:cs="Times New Roman"/>
                <w:i/>
                <w:iCs/>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6237" w14:textId="6FF2AA3B" w:rsidR="00B16610" w:rsidRPr="00033272" w:rsidRDefault="00B16610" w:rsidP="00C47D84">
            <w:pPr>
              <w:pStyle w:val="Body"/>
              <w:spacing w:after="0" w:line="240" w:lineRule="auto"/>
              <w:rPr>
                <w:rFonts w:ascii="Times New Roman" w:hAnsi="Times New Roman" w:cs="Times New Roman"/>
                <w:sz w:val="22"/>
                <w:szCs w:val="22"/>
                <w:lang w:val="en-US"/>
              </w:rPr>
            </w:pPr>
            <w:r w:rsidRPr="00033272">
              <w:rPr>
                <w:rFonts w:ascii="Times New Roman" w:hAnsi="Times New Roman" w:cs="Times New Roman"/>
                <w:i/>
                <w:iCs/>
                <w:sz w:val="22"/>
                <w:szCs w:val="22"/>
                <w:lang w:val="en-US"/>
              </w:rPr>
              <w:t xml:space="preserve">98 [or 99] out of 100 people in </w:t>
            </w: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ClaimantCounty</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xml:space="preserve"> County report their earnings accurately. If you worked between </w:t>
            </w: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ReportingPeriod</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please ensure you report these earnings.</w:t>
            </w:r>
          </w:p>
        </w:tc>
      </w:tr>
      <w:tr w:rsidR="00B16610" w:rsidRPr="00033272" w14:paraId="100FA9B3" w14:textId="77777777" w:rsidTr="00CE7B85">
        <w:trPr>
          <w:trHeight w:val="7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0BDB"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Impact Others</w:t>
            </w:r>
          </w:p>
        </w:tc>
        <w:tc>
          <w:tcPr>
            <w:tcW w:w="1701" w:type="dxa"/>
            <w:tcBorders>
              <w:top w:val="single" w:sz="4" w:space="0" w:color="000000"/>
              <w:left w:val="single" w:sz="4" w:space="0" w:color="000000"/>
              <w:bottom w:val="single" w:sz="4" w:space="0" w:color="000000"/>
              <w:right w:val="single" w:sz="4" w:space="0" w:color="000000"/>
            </w:tcBorders>
          </w:tcPr>
          <w:p w14:paraId="4C7A1BF1" w14:textId="77777777" w:rsidR="00B16610" w:rsidRPr="00033272" w:rsidRDefault="00B16610" w:rsidP="00C47D84">
            <w:pPr>
              <w:pStyle w:val="Body"/>
              <w:spacing w:after="0" w:line="240" w:lineRule="auto"/>
              <w:rPr>
                <w:rFonts w:ascii="Times New Roman" w:hAnsi="Times New Roman" w:cs="Times New Roman"/>
                <w:i/>
                <w:iCs/>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9139" w14:textId="121DC275" w:rsidR="00B16610" w:rsidRPr="00033272" w:rsidRDefault="00B16610" w:rsidP="00C47D84">
            <w:pPr>
              <w:pStyle w:val="Body"/>
              <w:spacing w:after="0" w:line="240" w:lineRule="auto"/>
              <w:rPr>
                <w:rFonts w:ascii="Times New Roman" w:hAnsi="Times New Roman" w:cs="Times New Roman"/>
                <w:sz w:val="22"/>
                <w:szCs w:val="22"/>
                <w:lang w:val="en-US"/>
              </w:rPr>
            </w:pPr>
            <w:r w:rsidRPr="00033272">
              <w:rPr>
                <w:rFonts w:ascii="Times New Roman" w:hAnsi="Times New Roman" w:cs="Times New Roman"/>
                <w:i/>
                <w:iCs/>
                <w:sz w:val="22"/>
                <w:szCs w:val="22"/>
                <w:lang w:val="en-US"/>
              </w:rPr>
              <w:t xml:space="preserve">If you misreport your earnings, you may impact other unemployed people in </w:t>
            </w:r>
            <w:r w:rsidR="00A108EE" w:rsidRPr="00303D79">
              <w:rPr>
                <w:rFonts w:ascii="Times New Roman" w:hAnsi="Times New Roman" w:cs="Times New Roman"/>
                <w:sz w:val="22"/>
                <w:szCs w:val="22"/>
                <w:lang w:val="en-US"/>
              </w:rPr>
              <w:t>[</w:t>
            </w:r>
            <w:r w:rsidR="00A108EE">
              <w:rPr>
                <w:rFonts w:ascii="Times New Roman" w:hAnsi="Times New Roman" w:cs="Times New Roman"/>
                <w:sz w:val="22"/>
                <w:szCs w:val="22"/>
                <w:lang w:val="en-US"/>
              </w:rPr>
              <w:t>U.S. State</w:t>
            </w:r>
            <w:r w:rsidR="00A108EE" w:rsidRPr="00303D79">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xml:space="preserve">. If you worked between </w:t>
            </w: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ReportingPeriod</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please ensure you report these earnings.</w:t>
            </w:r>
          </w:p>
        </w:tc>
      </w:tr>
      <w:tr w:rsidR="00B16610" w:rsidRPr="00033272" w14:paraId="1BC5AB9D" w14:textId="77777777" w:rsidTr="00CE7B85">
        <w:trPr>
          <w:trHeight w:val="7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C9FE"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Audits</w:t>
            </w:r>
          </w:p>
        </w:tc>
        <w:tc>
          <w:tcPr>
            <w:tcW w:w="1701" w:type="dxa"/>
            <w:vMerge w:val="restart"/>
            <w:tcBorders>
              <w:top w:val="single" w:sz="4" w:space="0" w:color="000000"/>
              <w:left w:val="single" w:sz="4" w:space="0" w:color="000000"/>
              <w:right w:val="single" w:sz="4" w:space="0" w:color="000000"/>
            </w:tcBorders>
            <w:vAlign w:val="center"/>
          </w:tcPr>
          <w:p w14:paraId="1A435AA3" w14:textId="3433CA9F" w:rsidR="00B16610" w:rsidRPr="00033272" w:rsidRDefault="00B16610" w:rsidP="00B16610">
            <w:pPr>
              <w:pStyle w:val="Body"/>
              <w:spacing w:after="0" w:line="240" w:lineRule="auto"/>
              <w:jc w:val="center"/>
              <w:rPr>
                <w:rFonts w:ascii="Times New Roman" w:hAnsi="Times New Roman" w:cs="Times New Roman"/>
                <w:sz w:val="22"/>
                <w:szCs w:val="22"/>
                <w:lang w:val="en-US"/>
              </w:rPr>
            </w:pPr>
            <w:r w:rsidRPr="00033272">
              <w:rPr>
                <w:rFonts w:ascii="Times New Roman" w:hAnsi="Times New Roman" w:cs="Times New Roman"/>
                <w:sz w:val="22"/>
                <w:szCs w:val="22"/>
                <w:lang w:val="en-US"/>
              </w:rPr>
              <w:t xml:space="preserve">Audits &amp; Verification </w:t>
            </w:r>
            <w:r w:rsidR="004808AE">
              <w:rPr>
                <w:rFonts w:ascii="Times New Roman" w:hAnsi="Times New Roman" w:cs="Times New Roman"/>
                <w:sz w:val="22"/>
                <w:szCs w:val="22"/>
                <w:lang w:val="en-US"/>
              </w:rPr>
              <w:br/>
            </w:r>
            <w:r w:rsidRPr="00033272">
              <w:rPr>
                <w:rFonts w:ascii="Times New Roman" w:hAnsi="Times New Roman" w:cs="Times New Roman"/>
                <w:sz w:val="22"/>
                <w:szCs w:val="22"/>
                <w:lang w:val="en-US"/>
              </w:rPr>
              <w:t>(2 variations)</w:t>
            </w: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5CCDF" w14:textId="038ED9BA" w:rsidR="00B16610" w:rsidRPr="00033272" w:rsidRDefault="00B16610" w:rsidP="00C47D84">
            <w:pPr>
              <w:pStyle w:val="Body"/>
              <w:spacing w:after="0" w:line="240" w:lineRule="auto"/>
              <w:rPr>
                <w:rFonts w:ascii="Times New Roman" w:hAnsi="Times New Roman" w:cs="Times New Roman"/>
                <w:sz w:val="22"/>
                <w:szCs w:val="22"/>
                <w:lang w:val="en-US"/>
              </w:rPr>
            </w:pPr>
            <w:r w:rsidRPr="00033272">
              <w:rPr>
                <w:rFonts w:ascii="Times New Roman" w:hAnsi="Times New Roman" w:cs="Times New Roman"/>
                <w:sz w:val="22"/>
                <w:szCs w:val="22"/>
                <w:lang w:val="en-US"/>
              </w:rPr>
              <w:t>[Claimant name]</w:t>
            </w:r>
            <w:r w:rsidRPr="00033272">
              <w:rPr>
                <w:rFonts w:ascii="Times New Roman" w:hAnsi="Times New Roman" w:cs="Times New Roman"/>
                <w:i/>
                <w:iCs/>
                <w:sz w:val="22"/>
                <w:szCs w:val="22"/>
                <w:lang w:val="en-US"/>
              </w:rPr>
              <w:t>: The Department of Workforce Solutions performs audits every week to verify claim accuracy. If you worked between [</w:t>
            </w:r>
            <w:proofErr w:type="spellStart"/>
            <w:r w:rsidRPr="00033272">
              <w:rPr>
                <w:rFonts w:ascii="Times New Roman" w:hAnsi="Times New Roman" w:cs="Times New Roman"/>
                <w:i/>
                <w:iCs/>
                <w:sz w:val="22"/>
                <w:szCs w:val="22"/>
                <w:lang w:val="en-US"/>
              </w:rPr>
              <w:t>ReportingPeriod</w:t>
            </w:r>
            <w:proofErr w:type="spellEnd"/>
            <w:r w:rsidRPr="00033272">
              <w:rPr>
                <w:rFonts w:ascii="Times New Roman" w:hAnsi="Times New Roman" w:cs="Times New Roman"/>
                <w:i/>
                <w:iCs/>
                <w:sz w:val="22"/>
                <w:szCs w:val="22"/>
                <w:lang w:val="en-US"/>
              </w:rPr>
              <w:t>], please ensure you report these earnings.</w:t>
            </w:r>
          </w:p>
        </w:tc>
      </w:tr>
      <w:tr w:rsidR="00B16610" w:rsidRPr="00033272" w14:paraId="6B4B0BED" w14:textId="77777777" w:rsidTr="00CE7B85">
        <w:trPr>
          <w:trHeight w:val="7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0B8BF"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Verification</w:t>
            </w:r>
          </w:p>
        </w:tc>
        <w:tc>
          <w:tcPr>
            <w:tcW w:w="1701" w:type="dxa"/>
            <w:vMerge/>
            <w:tcBorders>
              <w:left w:val="single" w:sz="4" w:space="0" w:color="000000"/>
              <w:bottom w:val="single" w:sz="4" w:space="0" w:color="000000"/>
              <w:right w:val="single" w:sz="4" w:space="0" w:color="000000"/>
            </w:tcBorders>
          </w:tcPr>
          <w:p w14:paraId="7A4A0FDD" w14:textId="43D2B1C0" w:rsidR="00B16610" w:rsidRPr="00033272" w:rsidRDefault="00B16610" w:rsidP="00C47D84">
            <w:pPr>
              <w:pStyle w:val="Body"/>
              <w:spacing w:after="0" w:line="240" w:lineRule="auto"/>
              <w:rPr>
                <w:rFonts w:ascii="Times New Roman" w:hAnsi="Times New Roman" w:cs="Times New Roman"/>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2E9C" w14:textId="24F8DD2F" w:rsidR="00B16610" w:rsidRPr="00033272" w:rsidRDefault="00B16610" w:rsidP="00C47D84">
            <w:pPr>
              <w:pStyle w:val="Body"/>
              <w:spacing w:after="0" w:line="240" w:lineRule="auto"/>
              <w:rPr>
                <w:rFonts w:ascii="Times New Roman" w:hAnsi="Times New Roman" w:cs="Times New Roman"/>
                <w:sz w:val="22"/>
                <w:szCs w:val="22"/>
                <w:lang w:val="en-US"/>
              </w:rPr>
            </w:pPr>
            <w:r w:rsidRPr="00033272">
              <w:rPr>
                <w:rFonts w:ascii="Times New Roman" w:hAnsi="Times New Roman" w:cs="Times New Roman"/>
                <w:i/>
                <w:iCs/>
                <w:sz w:val="22"/>
                <w:szCs w:val="22"/>
                <w:lang w:val="en-US"/>
              </w:rPr>
              <w:t xml:space="preserve">We verify your employment and earnings information. The Department of Workforce Solutions has a right to recover any overpaid benefits you receive </w:t>
            </w:r>
            <w:proofErr w:type="gramStart"/>
            <w:r w:rsidRPr="00033272">
              <w:rPr>
                <w:rFonts w:ascii="Times New Roman" w:hAnsi="Times New Roman" w:cs="Times New Roman"/>
                <w:i/>
                <w:iCs/>
                <w:sz w:val="22"/>
                <w:szCs w:val="22"/>
                <w:lang w:val="en-US"/>
              </w:rPr>
              <w:t>as a result of</w:t>
            </w:r>
            <w:proofErr w:type="gramEnd"/>
            <w:r w:rsidRPr="00033272">
              <w:rPr>
                <w:rFonts w:ascii="Times New Roman" w:hAnsi="Times New Roman" w:cs="Times New Roman"/>
                <w:i/>
                <w:iCs/>
                <w:sz w:val="22"/>
                <w:szCs w:val="22"/>
                <w:lang w:val="en-US"/>
              </w:rPr>
              <w:t xml:space="preserve"> inaccurately reporting your earnings.</w:t>
            </w:r>
          </w:p>
        </w:tc>
      </w:tr>
      <w:tr w:rsidR="00B16610" w:rsidRPr="00033272" w14:paraId="5959893F" w14:textId="77777777" w:rsidTr="00CE7B85">
        <w:trPr>
          <w:trHeight w:val="148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48BA"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Fraud</w:t>
            </w:r>
          </w:p>
        </w:tc>
        <w:tc>
          <w:tcPr>
            <w:tcW w:w="1701" w:type="dxa"/>
            <w:vMerge w:val="restart"/>
            <w:tcBorders>
              <w:top w:val="single" w:sz="4" w:space="0" w:color="000000"/>
              <w:left w:val="single" w:sz="4" w:space="0" w:color="000000"/>
              <w:right w:val="single" w:sz="4" w:space="0" w:color="000000"/>
            </w:tcBorders>
            <w:vAlign w:val="center"/>
          </w:tcPr>
          <w:p w14:paraId="35427D85" w14:textId="670133F9" w:rsidR="00B16610" w:rsidRPr="00033272" w:rsidRDefault="00B16610" w:rsidP="00B16610">
            <w:pPr>
              <w:pStyle w:val="Body"/>
              <w:spacing w:after="0" w:line="240" w:lineRule="auto"/>
              <w:jc w:val="center"/>
              <w:rPr>
                <w:rFonts w:ascii="Times New Roman" w:hAnsi="Times New Roman" w:cs="Times New Roman"/>
                <w:sz w:val="22"/>
                <w:szCs w:val="22"/>
                <w:lang w:val="en-US"/>
              </w:rPr>
            </w:pPr>
            <w:r w:rsidRPr="00033272">
              <w:rPr>
                <w:rFonts w:ascii="Times New Roman" w:hAnsi="Times New Roman" w:cs="Times New Roman"/>
                <w:sz w:val="22"/>
                <w:szCs w:val="22"/>
                <w:lang w:val="en-US"/>
              </w:rPr>
              <w:t xml:space="preserve">Penalties </w:t>
            </w:r>
            <w:r w:rsidR="004808AE">
              <w:rPr>
                <w:rFonts w:ascii="Times New Roman" w:hAnsi="Times New Roman" w:cs="Times New Roman"/>
                <w:sz w:val="22"/>
                <w:szCs w:val="22"/>
                <w:lang w:val="en-US"/>
              </w:rPr>
              <w:br/>
            </w:r>
            <w:r w:rsidRPr="00033272">
              <w:rPr>
                <w:rFonts w:ascii="Times New Roman" w:hAnsi="Times New Roman" w:cs="Times New Roman"/>
                <w:sz w:val="22"/>
                <w:szCs w:val="22"/>
                <w:lang w:val="en-US"/>
              </w:rPr>
              <w:t>(</w:t>
            </w:r>
            <w:r w:rsidR="004808AE">
              <w:rPr>
                <w:rFonts w:ascii="Times New Roman" w:hAnsi="Times New Roman" w:cs="Times New Roman"/>
                <w:sz w:val="22"/>
                <w:szCs w:val="22"/>
                <w:lang w:val="en-US"/>
              </w:rPr>
              <w:t>5</w:t>
            </w:r>
            <w:r w:rsidRPr="00033272">
              <w:rPr>
                <w:rFonts w:ascii="Times New Roman" w:hAnsi="Times New Roman" w:cs="Times New Roman"/>
                <w:sz w:val="22"/>
                <w:szCs w:val="22"/>
                <w:lang w:val="en-US"/>
              </w:rPr>
              <w:t xml:space="preserve"> variations)</w:t>
            </w: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EC0AA" w14:textId="064F8F8B"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ClaimantFirstName</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xml:space="preserve">: Unemployment Insurance fraud is a serious offense.  Penalties for fraud include: </w:t>
            </w:r>
          </w:p>
          <w:p w14:paraId="13E22356"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Repayment of overpaid benefits plus penalty</w:t>
            </w:r>
          </w:p>
          <w:p w14:paraId="65724B18"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Inability to draw benefits for up to one year</w:t>
            </w:r>
          </w:p>
          <w:p w14:paraId="6CB7C20A"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Loss of income, including liens, garnished wages, or other collections actions</w:t>
            </w:r>
          </w:p>
        </w:tc>
      </w:tr>
      <w:tr w:rsidR="00B16610" w:rsidRPr="00033272" w14:paraId="5848246F" w14:textId="77777777" w:rsidTr="00CE7B85">
        <w:trPr>
          <w:trHeight w:val="19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B668"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Penalty</w:t>
            </w:r>
          </w:p>
        </w:tc>
        <w:tc>
          <w:tcPr>
            <w:tcW w:w="1701" w:type="dxa"/>
            <w:vMerge/>
            <w:tcBorders>
              <w:left w:val="single" w:sz="4" w:space="0" w:color="000000"/>
              <w:right w:val="single" w:sz="4" w:space="0" w:color="000000"/>
            </w:tcBorders>
          </w:tcPr>
          <w:p w14:paraId="7DF1FFA8" w14:textId="77777777" w:rsidR="00B16610" w:rsidRPr="00033272" w:rsidRDefault="00B16610" w:rsidP="00C47D84">
            <w:pPr>
              <w:pStyle w:val="Body"/>
              <w:spacing w:after="0" w:line="240" w:lineRule="auto"/>
              <w:rPr>
                <w:rFonts w:ascii="Times New Roman" w:hAnsi="Times New Roman" w:cs="Times New Roman"/>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C7A37" w14:textId="52D62FBB"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ClaimantFirstName</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xml:space="preserve"> Unemployment Insurance fraud is a serious offense.  If it is determined that you received overpaid benefits </w:t>
            </w:r>
            <w:proofErr w:type="gramStart"/>
            <w:r w:rsidRPr="00033272">
              <w:rPr>
                <w:rFonts w:ascii="Times New Roman" w:hAnsi="Times New Roman" w:cs="Times New Roman"/>
                <w:i/>
                <w:iCs/>
                <w:sz w:val="22"/>
                <w:szCs w:val="22"/>
                <w:lang w:val="en-US"/>
              </w:rPr>
              <w:t>as a result of</w:t>
            </w:r>
            <w:proofErr w:type="gramEnd"/>
            <w:r w:rsidRPr="00033272">
              <w:rPr>
                <w:rFonts w:ascii="Times New Roman" w:hAnsi="Times New Roman" w:cs="Times New Roman"/>
                <w:i/>
                <w:iCs/>
                <w:sz w:val="22"/>
                <w:szCs w:val="22"/>
                <w:lang w:val="en-US"/>
              </w:rPr>
              <w:t xml:space="preserve"> fraud, you may be required to:</w:t>
            </w:r>
          </w:p>
          <w:p w14:paraId="10695FEF"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xml:space="preserve">•    Repay any overpaid benefits in full </w:t>
            </w:r>
          </w:p>
          <w:p w14:paraId="35920008"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Pay an additional fraud penalty of 25% of the overpayment</w:t>
            </w:r>
            <w:r w:rsidRPr="00033272">
              <w:rPr>
                <w:rFonts w:ascii="Times New Roman" w:eastAsia="Times New Roman" w:hAnsi="Times New Roman" w:cs="Times New Roman"/>
                <w:i/>
                <w:iCs/>
                <w:sz w:val="22"/>
                <w:szCs w:val="22"/>
                <w:lang w:val="en-US"/>
              </w:rPr>
              <w:t xml:space="preserve"> </w:t>
            </w:r>
            <w:r w:rsidRPr="00033272">
              <w:rPr>
                <w:rFonts w:ascii="Times New Roman" w:hAnsi="Times New Roman" w:cs="Times New Roman"/>
                <w:i/>
                <w:iCs/>
                <w:sz w:val="22"/>
                <w:szCs w:val="22"/>
                <w:lang w:val="en-US"/>
              </w:rPr>
              <w:t>amount</w:t>
            </w:r>
          </w:p>
          <w:p w14:paraId="3D181331" w14:textId="77777777" w:rsidR="00B16610" w:rsidRPr="00033272" w:rsidRDefault="00B16610" w:rsidP="00C47D84">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xml:space="preserve">•    Serve a </w:t>
            </w:r>
            <w:proofErr w:type="gramStart"/>
            <w:r w:rsidRPr="00033272">
              <w:rPr>
                <w:rFonts w:ascii="Times New Roman" w:hAnsi="Times New Roman" w:cs="Times New Roman"/>
                <w:i/>
                <w:iCs/>
                <w:sz w:val="22"/>
                <w:szCs w:val="22"/>
                <w:lang w:val="en-US"/>
              </w:rPr>
              <w:t>four week</w:t>
            </w:r>
            <w:proofErr w:type="gramEnd"/>
            <w:r w:rsidRPr="00033272">
              <w:rPr>
                <w:rFonts w:ascii="Times New Roman" w:hAnsi="Times New Roman" w:cs="Times New Roman"/>
                <w:i/>
                <w:iCs/>
                <w:sz w:val="22"/>
                <w:szCs w:val="22"/>
                <w:lang w:val="en-US"/>
              </w:rPr>
              <w:t xml:space="preserve"> compensable week penalty for each week</w:t>
            </w:r>
            <w:r w:rsidRPr="00033272">
              <w:rPr>
                <w:rFonts w:ascii="Times New Roman" w:eastAsia="Times New Roman" w:hAnsi="Times New Roman" w:cs="Times New Roman"/>
                <w:i/>
                <w:iCs/>
                <w:sz w:val="22"/>
                <w:szCs w:val="22"/>
                <w:lang w:val="en-US"/>
              </w:rPr>
              <w:t xml:space="preserve"> </w:t>
            </w:r>
            <w:r w:rsidRPr="00033272">
              <w:rPr>
                <w:rFonts w:ascii="Times New Roman" w:hAnsi="Times New Roman" w:cs="Times New Roman"/>
                <w:i/>
                <w:iCs/>
                <w:sz w:val="22"/>
                <w:szCs w:val="22"/>
                <w:lang w:val="en-US"/>
              </w:rPr>
              <w:t>that is determined to have been fraud</w:t>
            </w:r>
          </w:p>
        </w:tc>
      </w:tr>
      <w:tr w:rsidR="00B16610" w:rsidRPr="00033272" w14:paraId="769C4175" w14:textId="77777777" w:rsidTr="00CE7B85">
        <w:trPr>
          <w:trHeight w:val="61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FE95D"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Repay</w:t>
            </w:r>
          </w:p>
        </w:tc>
        <w:tc>
          <w:tcPr>
            <w:tcW w:w="1701" w:type="dxa"/>
            <w:vMerge/>
            <w:tcBorders>
              <w:left w:val="single" w:sz="4" w:space="0" w:color="000000"/>
              <w:right w:val="single" w:sz="4" w:space="0" w:color="000000"/>
            </w:tcBorders>
          </w:tcPr>
          <w:p w14:paraId="70117DAD" w14:textId="77777777" w:rsidR="00B16610" w:rsidRPr="00033272" w:rsidRDefault="00B16610" w:rsidP="00C47D84">
            <w:pPr>
              <w:pStyle w:val="Body"/>
              <w:spacing w:after="0" w:line="240" w:lineRule="auto"/>
              <w:rPr>
                <w:rFonts w:ascii="Times New Roman" w:hAnsi="Times New Roman" w:cs="Times New Roman"/>
                <w:i/>
                <w:iCs/>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87FC9" w14:textId="47E9D15B" w:rsidR="00B16610" w:rsidRPr="00033272" w:rsidRDefault="00B16610" w:rsidP="00C47D84">
            <w:pPr>
              <w:pStyle w:val="Body"/>
              <w:spacing w:after="0" w:line="240" w:lineRule="auto"/>
              <w:rPr>
                <w:rFonts w:ascii="Times New Roman" w:hAnsi="Times New Roman" w:cs="Times New Roman"/>
                <w:i/>
                <w:iCs/>
                <w:sz w:val="22"/>
                <w:szCs w:val="22"/>
                <w:lang w:val="en-US"/>
              </w:rPr>
            </w:pPr>
            <w:r w:rsidRPr="00033272">
              <w:rPr>
                <w:rFonts w:ascii="Times New Roman" w:hAnsi="Times New Roman" w:cs="Times New Roman"/>
                <w:i/>
                <w:iCs/>
                <w:sz w:val="22"/>
                <w:szCs w:val="22"/>
                <w:lang w:val="en-US"/>
              </w:rPr>
              <w:t>If you commit fraud, you will be required to repay all benefits plus you will receive substantial penalties.</w:t>
            </w:r>
          </w:p>
        </w:tc>
      </w:tr>
      <w:tr w:rsidR="004808AE" w:rsidRPr="00033272" w14:paraId="4D781267" w14:textId="77777777" w:rsidTr="00CE7B85">
        <w:trPr>
          <w:trHeight w:val="61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A0DE1" w14:textId="70F94F63" w:rsidR="004808AE" w:rsidRPr="00033272" w:rsidRDefault="004808AE" w:rsidP="00C47D84">
            <w:pPr>
              <w:pStyle w:val="Body"/>
              <w:spacing w:after="0"/>
              <w:rPr>
                <w:rFonts w:ascii="Times New Roman" w:hAnsi="Times New Roman" w:cs="Times New Roman"/>
                <w:sz w:val="22"/>
                <w:szCs w:val="22"/>
                <w:lang w:val="en-US"/>
              </w:rPr>
            </w:pPr>
            <w:proofErr w:type="gramStart"/>
            <w:r>
              <w:rPr>
                <w:rFonts w:ascii="Times New Roman" w:hAnsi="Times New Roman" w:cs="Times New Roman"/>
                <w:sz w:val="22"/>
                <w:szCs w:val="22"/>
                <w:lang w:val="en-US"/>
              </w:rPr>
              <w:t>Take Action</w:t>
            </w:r>
            <w:proofErr w:type="gramEnd"/>
          </w:p>
        </w:tc>
        <w:tc>
          <w:tcPr>
            <w:tcW w:w="1701" w:type="dxa"/>
            <w:vMerge/>
            <w:tcBorders>
              <w:left w:val="single" w:sz="4" w:space="0" w:color="000000"/>
              <w:right w:val="single" w:sz="4" w:space="0" w:color="000000"/>
            </w:tcBorders>
          </w:tcPr>
          <w:p w14:paraId="27C324AA" w14:textId="77777777" w:rsidR="004808AE" w:rsidRPr="00033272" w:rsidRDefault="004808AE" w:rsidP="00C47D84">
            <w:pPr>
              <w:pStyle w:val="Body"/>
              <w:spacing w:after="0" w:line="240" w:lineRule="auto"/>
              <w:rPr>
                <w:rFonts w:ascii="Times New Roman" w:hAnsi="Times New Roman" w:cs="Times New Roman"/>
                <w:i/>
                <w:iCs/>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7CA7" w14:textId="77777777" w:rsidR="004808AE" w:rsidRPr="00033272" w:rsidRDefault="004808AE" w:rsidP="004808AE">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If any balance owed is not recovered in full within 30 days, the Department of Workforce Solutions has the right to take the following actions:</w:t>
            </w:r>
          </w:p>
          <w:p w14:paraId="6238CD09" w14:textId="77777777" w:rsidR="004808AE" w:rsidRPr="00033272" w:rsidRDefault="004808AE" w:rsidP="004808AE">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File a Warrant of Levy and Lien</w:t>
            </w:r>
          </w:p>
          <w:p w14:paraId="381EBF38" w14:textId="77777777" w:rsidR="004808AE" w:rsidRPr="00033272" w:rsidRDefault="004808AE" w:rsidP="004808AE">
            <w:pPr>
              <w:pStyle w:val="Body"/>
              <w:spacing w:after="0" w:line="240" w:lineRule="auto"/>
              <w:rPr>
                <w:rFonts w:ascii="Times New Roman" w:eastAsia="Times New Roman" w:hAnsi="Times New Roman" w:cs="Times New Roman"/>
                <w:i/>
                <w:iCs/>
                <w:sz w:val="22"/>
                <w:szCs w:val="22"/>
                <w:lang w:val="en-US"/>
              </w:rPr>
            </w:pPr>
            <w:r w:rsidRPr="00033272">
              <w:rPr>
                <w:rFonts w:ascii="Times New Roman" w:hAnsi="Times New Roman" w:cs="Times New Roman"/>
                <w:i/>
                <w:iCs/>
                <w:sz w:val="22"/>
                <w:szCs w:val="22"/>
                <w:lang w:val="en-US"/>
              </w:rPr>
              <w:t>•    Intercept any state tax refund you are owed or take other collections actions</w:t>
            </w:r>
          </w:p>
          <w:p w14:paraId="046262E1" w14:textId="0E9A95DF" w:rsidR="004808AE" w:rsidRPr="00033272" w:rsidRDefault="004808AE" w:rsidP="004808AE">
            <w:pPr>
              <w:pStyle w:val="Body"/>
              <w:spacing w:after="0" w:line="240" w:lineRule="auto"/>
              <w:rPr>
                <w:rFonts w:ascii="Times New Roman" w:hAnsi="Times New Roman" w:cs="Times New Roman"/>
                <w:i/>
                <w:iCs/>
                <w:sz w:val="22"/>
                <w:szCs w:val="22"/>
                <w:lang w:val="en-US"/>
              </w:rPr>
            </w:pPr>
            <w:r w:rsidRPr="00033272">
              <w:rPr>
                <w:rFonts w:ascii="Times New Roman" w:hAnsi="Times New Roman" w:cs="Times New Roman"/>
                <w:i/>
                <w:iCs/>
                <w:sz w:val="22"/>
                <w:szCs w:val="22"/>
                <w:lang w:val="en-US"/>
              </w:rPr>
              <w:t>•    Garnish wages and take other legal actions</w:t>
            </w:r>
          </w:p>
        </w:tc>
      </w:tr>
      <w:tr w:rsidR="00B16610" w:rsidRPr="00033272" w14:paraId="5A982A6E" w14:textId="77777777" w:rsidTr="00CE7B85">
        <w:trPr>
          <w:trHeight w:val="61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E3200" w14:textId="77777777" w:rsidR="00B16610" w:rsidRPr="00033272" w:rsidRDefault="00B16610" w:rsidP="00C47D84">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Lose Benefits</w:t>
            </w:r>
          </w:p>
        </w:tc>
        <w:tc>
          <w:tcPr>
            <w:tcW w:w="1701" w:type="dxa"/>
            <w:vMerge/>
            <w:tcBorders>
              <w:left w:val="single" w:sz="4" w:space="0" w:color="000000"/>
              <w:bottom w:val="single" w:sz="4" w:space="0" w:color="000000"/>
              <w:right w:val="single" w:sz="4" w:space="0" w:color="000000"/>
            </w:tcBorders>
          </w:tcPr>
          <w:p w14:paraId="40E0FF45" w14:textId="77777777" w:rsidR="00B16610" w:rsidRPr="00033272" w:rsidRDefault="00B16610" w:rsidP="00C47D84">
            <w:pPr>
              <w:pStyle w:val="Body"/>
              <w:spacing w:after="0" w:line="240" w:lineRule="auto"/>
              <w:rPr>
                <w:rFonts w:ascii="Times New Roman" w:hAnsi="Times New Roman" w:cs="Times New Roman"/>
                <w:i/>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DC8AB" w14:textId="77777777" w:rsidR="00B16610" w:rsidRPr="00033272" w:rsidRDefault="00B16610" w:rsidP="00C47D84">
            <w:pPr>
              <w:pStyle w:val="Body"/>
              <w:spacing w:after="0" w:line="240" w:lineRule="auto"/>
              <w:rPr>
                <w:rFonts w:ascii="Times New Roman" w:hAnsi="Times New Roman" w:cs="Times New Roman"/>
                <w:i/>
                <w:sz w:val="22"/>
                <w:szCs w:val="22"/>
                <w:lang w:val="en-US"/>
              </w:rPr>
            </w:pPr>
            <w:r w:rsidRPr="00033272">
              <w:rPr>
                <w:rFonts w:ascii="Times New Roman" w:hAnsi="Times New Roman" w:cs="Times New Roman"/>
                <w:i/>
                <w:sz w:val="22"/>
                <w:szCs w:val="22"/>
                <w:lang w:val="en-US"/>
              </w:rPr>
              <w:t>If you earned money last week and intentionally do not report it, you can possibly lose unemployment benefits for up to a year.</w:t>
            </w:r>
          </w:p>
        </w:tc>
      </w:tr>
      <w:tr w:rsidR="00B16610" w:rsidRPr="00033272" w14:paraId="1FEC5EBD" w14:textId="77777777" w:rsidTr="00CE7B85">
        <w:trPr>
          <w:trHeight w:val="47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EA848" w14:textId="77777777" w:rsidR="00B16610" w:rsidRPr="00033272" w:rsidRDefault="00B16610" w:rsidP="00C279C5">
            <w:pPr>
              <w:pStyle w:val="Body"/>
              <w:spacing w:after="0"/>
              <w:rPr>
                <w:rFonts w:ascii="Times New Roman" w:hAnsi="Times New Roman" w:cs="Times New Roman"/>
                <w:sz w:val="22"/>
                <w:szCs w:val="22"/>
                <w:lang w:val="en-US"/>
              </w:rPr>
            </w:pPr>
            <w:r w:rsidRPr="00033272">
              <w:rPr>
                <w:rFonts w:ascii="Times New Roman" w:hAnsi="Times New Roman" w:cs="Times New Roman"/>
                <w:sz w:val="22"/>
                <w:szCs w:val="22"/>
                <w:lang w:val="en-US"/>
              </w:rPr>
              <w:t>Reminder</w:t>
            </w:r>
          </w:p>
        </w:tc>
        <w:tc>
          <w:tcPr>
            <w:tcW w:w="1701" w:type="dxa"/>
            <w:tcBorders>
              <w:top w:val="single" w:sz="4" w:space="0" w:color="000000"/>
              <w:left w:val="single" w:sz="4" w:space="0" w:color="000000"/>
              <w:bottom w:val="single" w:sz="4" w:space="0" w:color="000000"/>
              <w:right w:val="single" w:sz="4" w:space="0" w:color="000000"/>
            </w:tcBorders>
          </w:tcPr>
          <w:p w14:paraId="523A7C44" w14:textId="77777777" w:rsidR="00B16610" w:rsidRPr="00033272" w:rsidRDefault="00B16610" w:rsidP="00C279C5">
            <w:pPr>
              <w:pStyle w:val="Body"/>
              <w:spacing w:after="0" w:line="240" w:lineRule="auto"/>
              <w:rPr>
                <w:rFonts w:ascii="Times New Roman" w:hAnsi="Times New Roman" w:cs="Times New Roman"/>
                <w:i/>
                <w:iCs/>
                <w:sz w:val="22"/>
                <w:szCs w:val="22"/>
                <w:lang w:val="en-US"/>
              </w:rPr>
            </w:pPr>
          </w:p>
        </w:tc>
        <w:tc>
          <w:tcPr>
            <w:tcW w:w="5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19B1" w14:textId="77777777" w:rsidR="00B16610" w:rsidRPr="00033272" w:rsidRDefault="00B16610" w:rsidP="00C279C5">
            <w:pPr>
              <w:pStyle w:val="Body"/>
              <w:spacing w:after="0" w:line="240" w:lineRule="auto"/>
              <w:rPr>
                <w:rFonts w:ascii="Times New Roman" w:hAnsi="Times New Roman" w:cs="Times New Roman"/>
                <w:sz w:val="22"/>
                <w:szCs w:val="22"/>
                <w:lang w:val="en-US"/>
              </w:rPr>
            </w:pPr>
            <w:r w:rsidRPr="00033272">
              <w:rPr>
                <w:rFonts w:ascii="Times New Roman" w:hAnsi="Times New Roman" w:cs="Times New Roman"/>
                <w:i/>
                <w:iCs/>
                <w:sz w:val="22"/>
                <w:szCs w:val="22"/>
                <w:lang w:val="en-US"/>
              </w:rPr>
              <w:t xml:space="preserve">Reminder: If you worked between </w:t>
            </w:r>
            <w:r w:rsidRPr="00033272">
              <w:rPr>
                <w:rFonts w:ascii="Times New Roman" w:hAnsi="Times New Roman" w:cs="Times New Roman"/>
                <w:sz w:val="22"/>
                <w:szCs w:val="22"/>
                <w:lang w:val="en-US"/>
              </w:rPr>
              <w:t>[</w:t>
            </w:r>
            <w:proofErr w:type="spellStart"/>
            <w:r w:rsidRPr="00033272">
              <w:rPr>
                <w:rFonts w:ascii="Times New Roman" w:hAnsi="Times New Roman" w:cs="Times New Roman"/>
                <w:sz w:val="22"/>
                <w:szCs w:val="22"/>
                <w:lang w:val="en-US"/>
              </w:rPr>
              <w:t>ReportingPeriod</w:t>
            </w:r>
            <w:proofErr w:type="spellEnd"/>
            <w:r w:rsidRPr="00033272">
              <w:rPr>
                <w:rFonts w:ascii="Times New Roman" w:hAnsi="Times New Roman" w:cs="Times New Roman"/>
                <w:sz w:val="22"/>
                <w:szCs w:val="22"/>
                <w:lang w:val="en-US"/>
              </w:rPr>
              <w:t>]</w:t>
            </w:r>
            <w:r w:rsidRPr="00033272">
              <w:rPr>
                <w:rFonts w:ascii="Times New Roman" w:hAnsi="Times New Roman" w:cs="Times New Roman"/>
                <w:i/>
                <w:iCs/>
                <w:sz w:val="22"/>
                <w:szCs w:val="22"/>
                <w:lang w:val="en-US"/>
              </w:rPr>
              <w:t>, you are required to report these earnings even if you have not yet been paid.</w:t>
            </w:r>
          </w:p>
        </w:tc>
      </w:tr>
    </w:tbl>
    <w:p w14:paraId="77EB5F6C" w14:textId="77777777" w:rsidR="002C6A97" w:rsidRDefault="002C6A97" w:rsidP="008E7537">
      <w:pPr>
        <w:pBdr>
          <w:top w:val="nil"/>
          <w:left w:val="nil"/>
          <w:bottom w:val="nil"/>
          <w:right w:val="nil"/>
          <w:between w:val="nil"/>
          <w:bar w:val="nil"/>
        </w:pBdr>
        <w:outlineLvl w:val="0"/>
        <w:rPr>
          <w:rFonts w:eastAsia="Arial Unicode MS"/>
          <w:b/>
          <w:color w:val="000000"/>
          <w:sz w:val="22"/>
          <w:szCs w:val="22"/>
          <w:u w:color="000000"/>
          <w:bdr w:val="nil"/>
          <w:lang w:val="en-US"/>
        </w:rPr>
      </w:pPr>
    </w:p>
    <w:p w14:paraId="4C54F7DD" w14:textId="5E06ECFC" w:rsidR="008E7537" w:rsidRPr="00F928F8" w:rsidRDefault="008E7537" w:rsidP="008E7537">
      <w:pPr>
        <w:pBdr>
          <w:top w:val="nil"/>
          <w:left w:val="nil"/>
          <w:bottom w:val="nil"/>
          <w:right w:val="nil"/>
          <w:between w:val="nil"/>
          <w:bar w:val="nil"/>
        </w:pBdr>
        <w:outlineLvl w:val="0"/>
        <w:rPr>
          <w:rFonts w:eastAsia="Arial Unicode MS"/>
          <w:color w:val="000000"/>
          <w:sz w:val="22"/>
          <w:szCs w:val="22"/>
          <w:u w:color="000000"/>
          <w:bdr w:val="nil"/>
          <w:lang w:val="en-US"/>
        </w:rPr>
      </w:pPr>
      <w:r w:rsidRPr="00F928F8">
        <w:rPr>
          <w:rFonts w:eastAsia="Arial Unicode MS"/>
          <w:b/>
          <w:color w:val="000000"/>
          <w:sz w:val="22"/>
          <w:szCs w:val="22"/>
          <w:u w:color="000000"/>
          <w:bdr w:val="nil"/>
          <w:lang w:val="en-US"/>
        </w:rPr>
        <w:t xml:space="preserve">Table </w:t>
      </w:r>
      <w:r w:rsidR="00844007">
        <w:rPr>
          <w:rFonts w:eastAsia="Arial Unicode MS"/>
          <w:b/>
          <w:color w:val="000000"/>
          <w:sz w:val="22"/>
          <w:szCs w:val="22"/>
          <w:u w:color="000000"/>
          <w:bdr w:val="nil"/>
          <w:lang w:val="en-US"/>
        </w:rPr>
        <w:t>S</w:t>
      </w:r>
      <w:r w:rsidRPr="00F928F8">
        <w:rPr>
          <w:rFonts w:eastAsia="Arial Unicode MS"/>
          <w:b/>
          <w:color w:val="000000"/>
          <w:sz w:val="22"/>
          <w:szCs w:val="22"/>
          <w:u w:color="000000"/>
          <w:bdr w:val="nil"/>
          <w:lang w:val="en-US"/>
        </w:rPr>
        <w:t>2.</w:t>
      </w:r>
      <w:r w:rsidRPr="00F928F8">
        <w:rPr>
          <w:rFonts w:eastAsia="Arial Unicode MS"/>
          <w:color w:val="000000"/>
          <w:sz w:val="22"/>
          <w:szCs w:val="22"/>
          <w:u w:color="000000"/>
          <w:bdr w:val="nil"/>
          <w:lang w:val="en-US"/>
        </w:rPr>
        <w:t xml:space="preserve"> Robustness Check</w:t>
      </w:r>
      <w:r w:rsidR="007159A4" w:rsidRPr="00F928F8">
        <w:rPr>
          <w:rFonts w:eastAsia="Arial Unicode MS"/>
          <w:color w:val="000000"/>
          <w:sz w:val="22"/>
          <w:szCs w:val="22"/>
          <w:u w:color="000000"/>
          <w:bdr w:val="nil"/>
          <w:lang w:val="en-US"/>
        </w:rPr>
        <w:t>: Logistic Regression</w:t>
      </w:r>
    </w:p>
    <w:p w14:paraId="5C54E9B5" w14:textId="77777777" w:rsidR="002974F4" w:rsidRPr="00033272" w:rsidRDefault="002974F4" w:rsidP="008E7537">
      <w:pPr>
        <w:pBdr>
          <w:top w:val="nil"/>
          <w:left w:val="nil"/>
          <w:bottom w:val="nil"/>
          <w:right w:val="nil"/>
          <w:between w:val="nil"/>
          <w:bar w:val="nil"/>
        </w:pBdr>
        <w:outlineLvl w:val="0"/>
        <w:rPr>
          <w:rFonts w:eastAsia="Times New Roman Bold"/>
          <w:color w:val="000000"/>
          <w:szCs w:val="22"/>
          <w:u w:color="000000"/>
          <w:bdr w:val="nil"/>
          <w:lang w:val="en-U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42"/>
        <w:gridCol w:w="1106"/>
        <w:gridCol w:w="1121"/>
      </w:tblGrid>
      <w:tr w:rsidR="008E7537" w:rsidRPr="0020183B" w14:paraId="428B42EE" w14:textId="77777777" w:rsidTr="00C47D84">
        <w:trPr>
          <w:tblCellSpacing w:w="15" w:type="dxa"/>
          <w:jc w:val="center"/>
        </w:trPr>
        <w:tc>
          <w:tcPr>
            <w:tcW w:w="0" w:type="auto"/>
            <w:gridSpan w:val="3"/>
            <w:tcBorders>
              <w:bottom w:val="single" w:sz="6" w:space="0" w:color="000000"/>
            </w:tcBorders>
            <w:vAlign w:val="center"/>
            <w:hideMark/>
          </w:tcPr>
          <w:p w14:paraId="72B5C674" w14:textId="5953AB19" w:rsidR="008E7537" w:rsidRPr="0020183B" w:rsidRDefault="009103D7" w:rsidP="009103D7">
            <w:pPr>
              <w:rPr>
                <w:sz w:val="22"/>
                <w:szCs w:val="22"/>
              </w:rPr>
            </w:pPr>
            <w:r>
              <w:rPr>
                <w:sz w:val="22"/>
                <w:szCs w:val="22"/>
              </w:rPr>
              <w:t xml:space="preserve"> </w:t>
            </w:r>
          </w:p>
        </w:tc>
      </w:tr>
      <w:tr w:rsidR="008E7537" w:rsidRPr="0020183B" w14:paraId="03D6792D" w14:textId="77777777" w:rsidTr="00C47D84">
        <w:trPr>
          <w:tblCellSpacing w:w="15" w:type="dxa"/>
          <w:jc w:val="center"/>
        </w:trPr>
        <w:tc>
          <w:tcPr>
            <w:tcW w:w="0" w:type="auto"/>
            <w:vAlign w:val="center"/>
            <w:hideMark/>
          </w:tcPr>
          <w:p w14:paraId="739388C9" w14:textId="77777777" w:rsidR="008E7537" w:rsidRPr="0020183B" w:rsidRDefault="008E7537" w:rsidP="009103D7">
            <w:pPr>
              <w:jc w:val="center"/>
              <w:rPr>
                <w:sz w:val="22"/>
                <w:szCs w:val="22"/>
              </w:rPr>
            </w:pPr>
          </w:p>
        </w:tc>
        <w:tc>
          <w:tcPr>
            <w:tcW w:w="0" w:type="auto"/>
            <w:gridSpan w:val="2"/>
            <w:vAlign w:val="center"/>
            <w:hideMark/>
          </w:tcPr>
          <w:p w14:paraId="7DF38F89" w14:textId="77777777" w:rsidR="008E7537" w:rsidRPr="0020183B" w:rsidRDefault="008E7537" w:rsidP="009103D7">
            <w:pPr>
              <w:jc w:val="center"/>
              <w:rPr>
                <w:sz w:val="22"/>
                <w:szCs w:val="22"/>
              </w:rPr>
            </w:pPr>
            <w:r w:rsidRPr="0020183B">
              <w:rPr>
                <w:i/>
                <w:iCs/>
                <w:sz w:val="22"/>
                <w:szCs w:val="22"/>
              </w:rPr>
              <w:t>Dependent variable:</w:t>
            </w:r>
          </w:p>
        </w:tc>
      </w:tr>
      <w:tr w:rsidR="008E7537" w:rsidRPr="0020183B" w14:paraId="1FCA0F7D" w14:textId="77777777" w:rsidTr="00C47D84">
        <w:trPr>
          <w:tblCellSpacing w:w="15" w:type="dxa"/>
          <w:jc w:val="center"/>
        </w:trPr>
        <w:tc>
          <w:tcPr>
            <w:tcW w:w="0" w:type="auto"/>
            <w:vAlign w:val="center"/>
            <w:hideMark/>
          </w:tcPr>
          <w:p w14:paraId="55F3774E" w14:textId="77777777" w:rsidR="008E7537" w:rsidRPr="0020183B" w:rsidRDefault="008E7537" w:rsidP="009103D7">
            <w:pPr>
              <w:jc w:val="center"/>
              <w:rPr>
                <w:sz w:val="22"/>
                <w:szCs w:val="22"/>
              </w:rPr>
            </w:pPr>
          </w:p>
        </w:tc>
        <w:tc>
          <w:tcPr>
            <w:tcW w:w="0" w:type="auto"/>
            <w:gridSpan w:val="2"/>
            <w:tcBorders>
              <w:bottom w:val="single" w:sz="6" w:space="0" w:color="000000"/>
            </w:tcBorders>
            <w:vAlign w:val="center"/>
            <w:hideMark/>
          </w:tcPr>
          <w:p w14:paraId="7834E1DF" w14:textId="77777777" w:rsidR="008E7537" w:rsidRPr="0020183B" w:rsidRDefault="008E7537" w:rsidP="009103D7">
            <w:pPr>
              <w:jc w:val="center"/>
              <w:rPr>
                <w:sz w:val="22"/>
                <w:szCs w:val="22"/>
              </w:rPr>
            </w:pPr>
          </w:p>
        </w:tc>
      </w:tr>
      <w:tr w:rsidR="008E7537" w:rsidRPr="0020183B" w14:paraId="4BC703A7" w14:textId="77777777" w:rsidTr="00C47D84">
        <w:trPr>
          <w:tblCellSpacing w:w="15" w:type="dxa"/>
          <w:jc w:val="center"/>
        </w:trPr>
        <w:tc>
          <w:tcPr>
            <w:tcW w:w="0" w:type="auto"/>
            <w:vAlign w:val="center"/>
            <w:hideMark/>
          </w:tcPr>
          <w:p w14:paraId="25C10268" w14:textId="77777777" w:rsidR="008E7537" w:rsidRPr="0020183B" w:rsidRDefault="008E7537" w:rsidP="009103D7">
            <w:pPr>
              <w:jc w:val="center"/>
              <w:rPr>
                <w:sz w:val="22"/>
                <w:szCs w:val="22"/>
              </w:rPr>
            </w:pPr>
          </w:p>
        </w:tc>
        <w:tc>
          <w:tcPr>
            <w:tcW w:w="0" w:type="auto"/>
            <w:gridSpan w:val="2"/>
            <w:vAlign w:val="center"/>
            <w:hideMark/>
          </w:tcPr>
          <w:p w14:paraId="78861B02" w14:textId="77777777" w:rsidR="008E7537" w:rsidRPr="0020183B" w:rsidRDefault="008E7537" w:rsidP="009103D7">
            <w:pPr>
              <w:jc w:val="center"/>
              <w:rPr>
                <w:sz w:val="22"/>
                <w:szCs w:val="22"/>
              </w:rPr>
            </w:pPr>
            <w:r w:rsidRPr="0020183B">
              <w:rPr>
                <w:sz w:val="22"/>
                <w:szCs w:val="22"/>
              </w:rPr>
              <w:t>Likelihood of disclosure</w:t>
            </w:r>
          </w:p>
        </w:tc>
      </w:tr>
      <w:tr w:rsidR="008E7537" w:rsidRPr="0020183B" w14:paraId="7E9A9AA6" w14:textId="77777777" w:rsidTr="00C47D84">
        <w:trPr>
          <w:tblCellSpacing w:w="15" w:type="dxa"/>
          <w:jc w:val="center"/>
        </w:trPr>
        <w:tc>
          <w:tcPr>
            <w:tcW w:w="0" w:type="auto"/>
            <w:vAlign w:val="center"/>
            <w:hideMark/>
          </w:tcPr>
          <w:p w14:paraId="2CE3F51C" w14:textId="77777777" w:rsidR="008E7537" w:rsidRPr="0020183B" w:rsidRDefault="008E7537" w:rsidP="009103D7">
            <w:pPr>
              <w:jc w:val="center"/>
              <w:rPr>
                <w:sz w:val="22"/>
                <w:szCs w:val="22"/>
              </w:rPr>
            </w:pPr>
          </w:p>
        </w:tc>
        <w:tc>
          <w:tcPr>
            <w:tcW w:w="0" w:type="auto"/>
            <w:vAlign w:val="center"/>
            <w:hideMark/>
          </w:tcPr>
          <w:p w14:paraId="403F0C0A" w14:textId="77777777" w:rsidR="008E7537" w:rsidRPr="0020183B" w:rsidRDefault="008E7537" w:rsidP="009103D7">
            <w:pPr>
              <w:jc w:val="center"/>
              <w:rPr>
                <w:sz w:val="22"/>
                <w:szCs w:val="22"/>
              </w:rPr>
            </w:pPr>
            <w:r w:rsidRPr="0020183B">
              <w:rPr>
                <w:sz w:val="22"/>
                <w:szCs w:val="22"/>
              </w:rPr>
              <w:t>(1)</w:t>
            </w:r>
          </w:p>
        </w:tc>
        <w:tc>
          <w:tcPr>
            <w:tcW w:w="0" w:type="auto"/>
            <w:vAlign w:val="center"/>
            <w:hideMark/>
          </w:tcPr>
          <w:p w14:paraId="4DBD9F71" w14:textId="77777777" w:rsidR="008E7537" w:rsidRPr="0020183B" w:rsidRDefault="008E7537" w:rsidP="009103D7">
            <w:pPr>
              <w:jc w:val="center"/>
              <w:rPr>
                <w:sz w:val="22"/>
                <w:szCs w:val="22"/>
              </w:rPr>
            </w:pPr>
            <w:r w:rsidRPr="0020183B">
              <w:rPr>
                <w:sz w:val="22"/>
                <w:szCs w:val="22"/>
              </w:rPr>
              <w:t>(2)</w:t>
            </w:r>
          </w:p>
        </w:tc>
      </w:tr>
      <w:tr w:rsidR="008E7537" w:rsidRPr="0020183B" w14:paraId="05BF336E" w14:textId="77777777" w:rsidTr="00C47D84">
        <w:trPr>
          <w:tblCellSpacing w:w="15" w:type="dxa"/>
          <w:jc w:val="center"/>
        </w:trPr>
        <w:tc>
          <w:tcPr>
            <w:tcW w:w="0" w:type="auto"/>
            <w:gridSpan w:val="3"/>
            <w:tcBorders>
              <w:bottom w:val="single" w:sz="6" w:space="0" w:color="000000"/>
            </w:tcBorders>
            <w:vAlign w:val="center"/>
            <w:hideMark/>
          </w:tcPr>
          <w:p w14:paraId="0C2BC207" w14:textId="77777777" w:rsidR="008E7537" w:rsidRPr="0020183B" w:rsidRDefault="008E7537" w:rsidP="009103D7">
            <w:pPr>
              <w:jc w:val="center"/>
              <w:rPr>
                <w:sz w:val="22"/>
                <w:szCs w:val="22"/>
              </w:rPr>
            </w:pPr>
          </w:p>
        </w:tc>
      </w:tr>
      <w:tr w:rsidR="008E7537" w:rsidRPr="0020183B" w14:paraId="35A0A74F" w14:textId="77777777" w:rsidTr="00C47D84">
        <w:trPr>
          <w:tblCellSpacing w:w="15" w:type="dxa"/>
          <w:jc w:val="center"/>
        </w:trPr>
        <w:tc>
          <w:tcPr>
            <w:tcW w:w="0" w:type="auto"/>
            <w:vAlign w:val="center"/>
            <w:hideMark/>
          </w:tcPr>
          <w:p w14:paraId="1324AEDF" w14:textId="77777777" w:rsidR="008E7537" w:rsidRPr="0020183B" w:rsidRDefault="008E7537" w:rsidP="009103D7">
            <w:pPr>
              <w:rPr>
                <w:sz w:val="22"/>
                <w:szCs w:val="22"/>
              </w:rPr>
            </w:pPr>
            <w:r w:rsidRPr="0020183B">
              <w:rPr>
                <w:sz w:val="22"/>
                <w:szCs w:val="22"/>
              </w:rPr>
              <w:t>Baseline</w:t>
            </w:r>
          </w:p>
        </w:tc>
        <w:tc>
          <w:tcPr>
            <w:tcW w:w="0" w:type="auto"/>
            <w:vAlign w:val="center"/>
            <w:hideMark/>
          </w:tcPr>
          <w:p w14:paraId="0155656D" w14:textId="05A6B453" w:rsidR="008E7537" w:rsidRPr="0020183B" w:rsidRDefault="008E7537" w:rsidP="009103D7">
            <w:pPr>
              <w:jc w:val="center"/>
              <w:rPr>
                <w:sz w:val="22"/>
                <w:szCs w:val="22"/>
              </w:rPr>
            </w:pPr>
            <w:r w:rsidRPr="0020183B">
              <w:rPr>
                <w:sz w:val="22"/>
                <w:szCs w:val="22"/>
              </w:rPr>
              <w:t>-3.0</w:t>
            </w:r>
            <w:r w:rsidR="00D35DB7" w:rsidRPr="0020183B">
              <w:rPr>
                <w:sz w:val="22"/>
                <w:szCs w:val="22"/>
              </w:rPr>
              <w:t>70</w:t>
            </w:r>
            <w:r w:rsidRPr="0020183B">
              <w:rPr>
                <w:sz w:val="22"/>
                <w:szCs w:val="22"/>
                <w:vertAlign w:val="superscript"/>
              </w:rPr>
              <w:t>***</w:t>
            </w:r>
          </w:p>
        </w:tc>
        <w:tc>
          <w:tcPr>
            <w:tcW w:w="0" w:type="auto"/>
            <w:vAlign w:val="center"/>
            <w:hideMark/>
          </w:tcPr>
          <w:p w14:paraId="4420B3DB" w14:textId="77777777" w:rsidR="008E7537" w:rsidRPr="0020183B" w:rsidRDefault="008E7537" w:rsidP="009103D7">
            <w:pPr>
              <w:jc w:val="center"/>
              <w:rPr>
                <w:sz w:val="22"/>
                <w:szCs w:val="22"/>
              </w:rPr>
            </w:pPr>
            <w:r w:rsidRPr="0020183B">
              <w:rPr>
                <w:sz w:val="22"/>
                <w:szCs w:val="22"/>
              </w:rPr>
              <w:t>-3.001</w:t>
            </w:r>
            <w:r w:rsidRPr="0020183B">
              <w:rPr>
                <w:sz w:val="22"/>
                <w:szCs w:val="22"/>
                <w:vertAlign w:val="superscript"/>
              </w:rPr>
              <w:t>***</w:t>
            </w:r>
          </w:p>
        </w:tc>
      </w:tr>
      <w:tr w:rsidR="008E7537" w:rsidRPr="0020183B" w14:paraId="43B22A33" w14:textId="77777777" w:rsidTr="00C47D84">
        <w:trPr>
          <w:tblCellSpacing w:w="15" w:type="dxa"/>
          <w:jc w:val="center"/>
        </w:trPr>
        <w:tc>
          <w:tcPr>
            <w:tcW w:w="0" w:type="auto"/>
            <w:vAlign w:val="center"/>
            <w:hideMark/>
          </w:tcPr>
          <w:p w14:paraId="6F3F6354" w14:textId="77777777" w:rsidR="008E7537" w:rsidRPr="0020183B" w:rsidRDefault="008E7537" w:rsidP="009103D7">
            <w:pPr>
              <w:jc w:val="center"/>
              <w:rPr>
                <w:sz w:val="22"/>
                <w:szCs w:val="22"/>
              </w:rPr>
            </w:pPr>
          </w:p>
        </w:tc>
        <w:tc>
          <w:tcPr>
            <w:tcW w:w="0" w:type="auto"/>
            <w:vAlign w:val="center"/>
            <w:hideMark/>
          </w:tcPr>
          <w:p w14:paraId="6DD2815A" w14:textId="77777777" w:rsidR="008E7537" w:rsidRPr="0020183B" w:rsidRDefault="008E7537" w:rsidP="009103D7">
            <w:pPr>
              <w:jc w:val="center"/>
              <w:rPr>
                <w:sz w:val="22"/>
                <w:szCs w:val="22"/>
              </w:rPr>
            </w:pPr>
            <w:r w:rsidRPr="0020183B">
              <w:rPr>
                <w:sz w:val="22"/>
                <w:szCs w:val="22"/>
              </w:rPr>
              <w:t>(0.072)</w:t>
            </w:r>
          </w:p>
        </w:tc>
        <w:tc>
          <w:tcPr>
            <w:tcW w:w="0" w:type="auto"/>
            <w:vAlign w:val="center"/>
            <w:hideMark/>
          </w:tcPr>
          <w:p w14:paraId="3FB95301" w14:textId="77777777" w:rsidR="008E7537" w:rsidRPr="0020183B" w:rsidRDefault="008E7537" w:rsidP="009103D7">
            <w:pPr>
              <w:jc w:val="center"/>
              <w:rPr>
                <w:sz w:val="22"/>
                <w:szCs w:val="22"/>
              </w:rPr>
            </w:pPr>
            <w:r w:rsidRPr="0020183B">
              <w:rPr>
                <w:sz w:val="22"/>
                <w:szCs w:val="22"/>
              </w:rPr>
              <w:t>(0.146)</w:t>
            </w:r>
          </w:p>
        </w:tc>
      </w:tr>
      <w:tr w:rsidR="008E7537" w:rsidRPr="0020183B" w14:paraId="7C2DE2E9" w14:textId="77777777" w:rsidTr="00C47D84">
        <w:trPr>
          <w:tblCellSpacing w:w="15" w:type="dxa"/>
          <w:jc w:val="center"/>
        </w:trPr>
        <w:tc>
          <w:tcPr>
            <w:tcW w:w="0" w:type="auto"/>
            <w:vAlign w:val="center"/>
            <w:hideMark/>
          </w:tcPr>
          <w:p w14:paraId="2509C264" w14:textId="77777777" w:rsidR="008E7537" w:rsidRPr="0020183B" w:rsidRDefault="008E7537" w:rsidP="009103D7">
            <w:pPr>
              <w:jc w:val="center"/>
              <w:rPr>
                <w:sz w:val="22"/>
                <w:szCs w:val="22"/>
              </w:rPr>
            </w:pPr>
          </w:p>
        </w:tc>
        <w:tc>
          <w:tcPr>
            <w:tcW w:w="0" w:type="auto"/>
            <w:vAlign w:val="center"/>
            <w:hideMark/>
          </w:tcPr>
          <w:p w14:paraId="02734455" w14:textId="77777777" w:rsidR="008E7537" w:rsidRPr="0020183B" w:rsidRDefault="008E7537" w:rsidP="009103D7">
            <w:pPr>
              <w:rPr>
                <w:sz w:val="22"/>
                <w:szCs w:val="22"/>
              </w:rPr>
            </w:pPr>
          </w:p>
        </w:tc>
        <w:tc>
          <w:tcPr>
            <w:tcW w:w="0" w:type="auto"/>
            <w:vAlign w:val="center"/>
            <w:hideMark/>
          </w:tcPr>
          <w:p w14:paraId="1B1127BB" w14:textId="77777777" w:rsidR="008E7537" w:rsidRPr="0020183B" w:rsidRDefault="008E7537" w:rsidP="009103D7">
            <w:pPr>
              <w:jc w:val="center"/>
              <w:rPr>
                <w:sz w:val="22"/>
                <w:szCs w:val="22"/>
              </w:rPr>
            </w:pPr>
          </w:p>
        </w:tc>
      </w:tr>
      <w:tr w:rsidR="008E7537" w:rsidRPr="0020183B" w14:paraId="708BCC2E" w14:textId="77777777" w:rsidTr="00C47D84">
        <w:trPr>
          <w:tblCellSpacing w:w="15" w:type="dxa"/>
          <w:jc w:val="center"/>
        </w:trPr>
        <w:tc>
          <w:tcPr>
            <w:tcW w:w="0" w:type="auto"/>
            <w:vAlign w:val="center"/>
            <w:hideMark/>
          </w:tcPr>
          <w:p w14:paraId="0766FB69" w14:textId="77777777" w:rsidR="008E7537" w:rsidRPr="0020183B" w:rsidRDefault="008E7537" w:rsidP="009103D7">
            <w:pPr>
              <w:jc w:val="center"/>
              <w:rPr>
                <w:sz w:val="22"/>
                <w:szCs w:val="22"/>
              </w:rPr>
            </w:pPr>
          </w:p>
        </w:tc>
        <w:tc>
          <w:tcPr>
            <w:tcW w:w="0" w:type="auto"/>
            <w:vAlign w:val="center"/>
            <w:hideMark/>
          </w:tcPr>
          <w:p w14:paraId="14C79AE0" w14:textId="77777777" w:rsidR="008E7537" w:rsidRPr="0020183B" w:rsidRDefault="008E7537" w:rsidP="009103D7">
            <w:pPr>
              <w:rPr>
                <w:sz w:val="22"/>
                <w:szCs w:val="22"/>
              </w:rPr>
            </w:pPr>
          </w:p>
        </w:tc>
        <w:tc>
          <w:tcPr>
            <w:tcW w:w="0" w:type="auto"/>
            <w:vAlign w:val="center"/>
            <w:hideMark/>
          </w:tcPr>
          <w:p w14:paraId="488D51E6" w14:textId="77777777" w:rsidR="008E7537" w:rsidRPr="0020183B" w:rsidRDefault="008E7537" w:rsidP="009103D7">
            <w:pPr>
              <w:jc w:val="center"/>
              <w:rPr>
                <w:sz w:val="22"/>
                <w:szCs w:val="22"/>
              </w:rPr>
            </w:pPr>
          </w:p>
        </w:tc>
      </w:tr>
      <w:tr w:rsidR="008E7537" w:rsidRPr="0020183B" w14:paraId="534D01D5" w14:textId="77777777" w:rsidTr="00C47D84">
        <w:trPr>
          <w:tblCellSpacing w:w="15" w:type="dxa"/>
          <w:jc w:val="center"/>
        </w:trPr>
        <w:tc>
          <w:tcPr>
            <w:tcW w:w="0" w:type="auto"/>
            <w:vAlign w:val="center"/>
            <w:hideMark/>
          </w:tcPr>
          <w:p w14:paraId="3E24E291" w14:textId="77777777" w:rsidR="008E7537" w:rsidRPr="0020183B" w:rsidRDefault="008E7537" w:rsidP="009103D7">
            <w:pPr>
              <w:rPr>
                <w:sz w:val="22"/>
                <w:szCs w:val="22"/>
              </w:rPr>
            </w:pPr>
            <w:r w:rsidRPr="0020183B">
              <w:rPr>
                <w:sz w:val="22"/>
                <w:szCs w:val="22"/>
              </w:rPr>
              <w:t>Treatment (relative to baseline)</w:t>
            </w:r>
          </w:p>
        </w:tc>
        <w:tc>
          <w:tcPr>
            <w:tcW w:w="0" w:type="auto"/>
            <w:vAlign w:val="center"/>
            <w:hideMark/>
          </w:tcPr>
          <w:p w14:paraId="2814B735" w14:textId="77777777" w:rsidR="008E7537" w:rsidRPr="0020183B" w:rsidRDefault="008E7537" w:rsidP="009103D7">
            <w:pPr>
              <w:jc w:val="center"/>
              <w:rPr>
                <w:sz w:val="22"/>
                <w:szCs w:val="22"/>
              </w:rPr>
            </w:pPr>
            <w:r w:rsidRPr="0020183B">
              <w:rPr>
                <w:sz w:val="22"/>
                <w:szCs w:val="22"/>
              </w:rPr>
              <w:t>0.110</w:t>
            </w:r>
          </w:p>
        </w:tc>
        <w:tc>
          <w:tcPr>
            <w:tcW w:w="0" w:type="auto"/>
            <w:vAlign w:val="center"/>
            <w:hideMark/>
          </w:tcPr>
          <w:p w14:paraId="3DC540A0" w14:textId="77777777" w:rsidR="008E7537" w:rsidRPr="0020183B" w:rsidRDefault="008E7537" w:rsidP="009103D7">
            <w:pPr>
              <w:jc w:val="center"/>
              <w:rPr>
                <w:sz w:val="22"/>
                <w:szCs w:val="22"/>
              </w:rPr>
            </w:pPr>
            <w:r w:rsidRPr="0020183B">
              <w:rPr>
                <w:sz w:val="22"/>
                <w:szCs w:val="22"/>
              </w:rPr>
              <w:t>-0.737</w:t>
            </w:r>
          </w:p>
        </w:tc>
      </w:tr>
      <w:tr w:rsidR="008E7537" w:rsidRPr="0020183B" w14:paraId="039E650F" w14:textId="77777777" w:rsidTr="00C47D84">
        <w:trPr>
          <w:tblCellSpacing w:w="15" w:type="dxa"/>
          <w:jc w:val="center"/>
        </w:trPr>
        <w:tc>
          <w:tcPr>
            <w:tcW w:w="0" w:type="auto"/>
            <w:vAlign w:val="center"/>
            <w:hideMark/>
          </w:tcPr>
          <w:p w14:paraId="4C4C1BB3" w14:textId="77777777" w:rsidR="008E7537" w:rsidRPr="0020183B" w:rsidRDefault="008E7537" w:rsidP="009103D7">
            <w:pPr>
              <w:jc w:val="center"/>
              <w:rPr>
                <w:sz w:val="22"/>
                <w:szCs w:val="22"/>
              </w:rPr>
            </w:pPr>
          </w:p>
        </w:tc>
        <w:tc>
          <w:tcPr>
            <w:tcW w:w="0" w:type="auto"/>
            <w:vAlign w:val="center"/>
            <w:hideMark/>
          </w:tcPr>
          <w:p w14:paraId="1ECF7B45" w14:textId="77777777" w:rsidR="008E7537" w:rsidRPr="0020183B" w:rsidRDefault="008E7537" w:rsidP="009103D7">
            <w:pPr>
              <w:jc w:val="center"/>
              <w:rPr>
                <w:sz w:val="22"/>
                <w:szCs w:val="22"/>
              </w:rPr>
            </w:pPr>
            <w:r w:rsidRPr="0020183B">
              <w:rPr>
                <w:sz w:val="22"/>
                <w:szCs w:val="22"/>
              </w:rPr>
              <w:t>(0.077)</w:t>
            </w:r>
          </w:p>
        </w:tc>
        <w:tc>
          <w:tcPr>
            <w:tcW w:w="0" w:type="auto"/>
            <w:vAlign w:val="center"/>
            <w:hideMark/>
          </w:tcPr>
          <w:p w14:paraId="18B8C65C" w14:textId="77777777" w:rsidR="008E7537" w:rsidRPr="0020183B" w:rsidRDefault="008E7537" w:rsidP="009103D7">
            <w:pPr>
              <w:jc w:val="center"/>
              <w:rPr>
                <w:sz w:val="22"/>
                <w:szCs w:val="22"/>
              </w:rPr>
            </w:pPr>
            <w:r w:rsidRPr="0020183B">
              <w:rPr>
                <w:sz w:val="22"/>
                <w:szCs w:val="22"/>
              </w:rPr>
              <w:t>(0.181)</w:t>
            </w:r>
          </w:p>
        </w:tc>
      </w:tr>
      <w:tr w:rsidR="008E7537" w:rsidRPr="0020183B" w14:paraId="2C6D5F90" w14:textId="77777777" w:rsidTr="00C47D84">
        <w:trPr>
          <w:tblCellSpacing w:w="15" w:type="dxa"/>
          <w:jc w:val="center"/>
        </w:trPr>
        <w:tc>
          <w:tcPr>
            <w:tcW w:w="0" w:type="auto"/>
            <w:vAlign w:val="center"/>
            <w:hideMark/>
          </w:tcPr>
          <w:p w14:paraId="6E979550" w14:textId="77777777" w:rsidR="008E7537" w:rsidRPr="0020183B" w:rsidRDefault="008E7537" w:rsidP="009103D7">
            <w:pPr>
              <w:jc w:val="center"/>
              <w:rPr>
                <w:sz w:val="22"/>
                <w:szCs w:val="22"/>
              </w:rPr>
            </w:pPr>
          </w:p>
        </w:tc>
        <w:tc>
          <w:tcPr>
            <w:tcW w:w="0" w:type="auto"/>
            <w:vAlign w:val="center"/>
            <w:hideMark/>
          </w:tcPr>
          <w:p w14:paraId="484805FD" w14:textId="77777777" w:rsidR="008E7537" w:rsidRPr="0020183B" w:rsidRDefault="008E7537" w:rsidP="009103D7">
            <w:pPr>
              <w:rPr>
                <w:sz w:val="22"/>
                <w:szCs w:val="22"/>
              </w:rPr>
            </w:pPr>
          </w:p>
        </w:tc>
        <w:tc>
          <w:tcPr>
            <w:tcW w:w="0" w:type="auto"/>
            <w:vAlign w:val="center"/>
            <w:hideMark/>
          </w:tcPr>
          <w:p w14:paraId="0E1A925B" w14:textId="77777777" w:rsidR="008E7537" w:rsidRPr="0020183B" w:rsidRDefault="008E7537" w:rsidP="009103D7">
            <w:pPr>
              <w:jc w:val="center"/>
              <w:rPr>
                <w:sz w:val="22"/>
                <w:szCs w:val="22"/>
              </w:rPr>
            </w:pPr>
          </w:p>
        </w:tc>
      </w:tr>
      <w:tr w:rsidR="008E7537" w:rsidRPr="0020183B" w14:paraId="3EEC4DC0" w14:textId="77777777" w:rsidTr="00C47D84">
        <w:trPr>
          <w:tblCellSpacing w:w="15" w:type="dxa"/>
          <w:jc w:val="center"/>
        </w:trPr>
        <w:tc>
          <w:tcPr>
            <w:tcW w:w="0" w:type="auto"/>
            <w:vAlign w:val="center"/>
            <w:hideMark/>
          </w:tcPr>
          <w:p w14:paraId="7AF7DB1F" w14:textId="77777777" w:rsidR="008E7537" w:rsidRPr="0020183B" w:rsidRDefault="008E7537" w:rsidP="009103D7">
            <w:pPr>
              <w:rPr>
                <w:sz w:val="22"/>
                <w:szCs w:val="22"/>
              </w:rPr>
            </w:pPr>
            <w:r w:rsidRPr="0020183B">
              <w:rPr>
                <w:sz w:val="22"/>
                <w:szCs w:val="22"/>
              </w:rPr>
              <w:t>RAR</w:t>
            </w:r>
          </w:p>
        </w:tc>
        <w:tc>
          <w:tcPr>
            <w:tcW w:w="0" w:type="auto"/>
            <w:vAlign w:val="center"/>
            <w:hideMark/>
          </w:tcPr>
          <w:p w14:paraId="119E1CDD" w14:textId="77777777" w:rsidR="008E7537" w:rsidRPr="0020183B" w:rsidRDefault="008E7537" w:rsidP="009103D7">
            <w:pPr>
              <w:rPr>
                <w:sz w:val="22"/>
                <w:szCs w:val="22"/>
              </w:rPr>
            </w:pPr>
          </w:p>
        </w:tc>
        <w:tc>
          <w:tcPr>
            <w:tcW w:w="0" w:type="auto"/>
            <w:vAlign w:val="center"/>
            <w:hideMark/>
          </w:tcPr>
          <w:p w14:paraId="79C613A3" w14:textId="77777777" w:rsidR="008E7537" w:rsidRPr="0020183B" w:rsidRDefault="008E7537" w:rsidP="009103D7">
            <w:pPr>
              <w:jc w:val="center"/>
              <w:rPr>
                <w:sz w:val="22"/>
                <w:szCs w:val="22"/>
              </w:rPr>
            </w:pPr>
            <w:r w:rsidRPr="0020183B">
              <w:rPr>
                <w:sz w:val="22"/>
                <w:szCs w:val="22"/>
              </w:rPr>
              <w:t>-0.001</w:t>
            </w:r>
          </w:p>
        </w:tc>
      </w:tr>
      <w:tr w:rsidR="008E7537" w:rsidRPr="0020183B" w14:paraId="18CA07B2" w14:textId="77777777" w:rsidTr="00C47D84">
        <w:trPr>
          <w:tblCellSpacing w:w="15" w:type="dxa"/>
          <w:jc w:val="center"/>
        </w:trPr>
        <w:tc>
          <w:tcPr>
            <w:tcW w:w="0" w:type="auto"/>
            <w:vAlign w:val="center"/>
            <w:hideMark/>
          </w:tcPr>
          <w:p w14:paraId="0A6F8A35" w14:textId="77777777" w:rsidR="008E7537" w:rsidRPr="0020183B" w:rsidRDefault="008E7537" w:rsidP="009103D7">
            <w:pPr>
              <w:jc w:val="center"/>
              <w:rPr>
                <w:sz w:val="22"/>
                <w:szCs w:val="22"/>
              </w:rPr>
            </w:pPr>
          </w:p>
        </w:tc>
        <w:tc>
          <w:tcPr>
            <w:tcW w:w="0" w:type="auto"/>
            <w:vAlign w:val="center"/>
            <w:hideMark/>
          </w:tcPr>
          <w:p w14:paraId="7415C35B" w14:textId="77777777" w:rsidR="008E7537" w:rsidRPr="0020183B" w:rsidRDefault="008E7537" w:rsidP="009103D7">
            <w:pPr>
              <w:rPr>
                <w:sz w:val="22"/>
                <w:szCs w:val="22"/>
              </w:rPr>
            </w:pPr>
          </w:p>
        </w:tc>
        <w:tc>
          <w:tcPr>
            <w:tcW w:w="0" w:type="auto"/>
            <w:vAlign w:val="center"/>
            <w:hideMark/>
          </w:tcPr>
          <w:p w14:paraId="01F46B6E" w14:textId="77777777" w:rsidR="008E7537" w:rsidRPr="0020183B" w:rsidRDefault="008E7537" w:rsidP="009103D7">
            <w:pPr>
              <w:jc w:val="center"/>
              <w:rPr>
                <w:sz w:val="22"/>
                <w:szCs w:val="22"/>
              </w:rPr>
            </w:pPr>
            <w:r w:rsidRPr="0020183B">
              <w:rPr>
                <w:sz w:val="22"/>
                <w:szCs w:val="22"/>
              </w:rPr>
              <w:t>(0.003)</w:t>
            </w:r>
          </w:p>
        </w:tc>
      </w:tr>
      <w:tr w:rsidR="009257B4" w:rsidRPr="0020183B" w14:paraId="03C75355" w14:textId="77777777" w:rsidTr="00563327">
        <w:trPr>
          <w:tblCellSpacing w:w="15" w:type="dxa"/>
          <w:jc w:val="center"/>
        </w:trPr>
        <w:tc>
          <w:tcPr>
            <w:tcW w:w="0" w:type="auto"/>
            <w:vAlign w:val="center"/>
            <w:hideMark/>
          </w:tcPr>
          <w:p w14:paraId="77B79C7A" w14:textId="77777777" w:rsidR="009257B4" w:rsidRPr="0020183B" w:rsidRDefault="009257B4" w:rsidP="00563327">
            <w:pPr>
              <w:jc w:val="center"/>
              <w:rPr>
                <w:sz w:val="22"/>
                <w:szCs w:val="22"/>
              </w:rPr>
            </w:pPr>
          </w:p>
        </w:tc>
        <w:tc>
          <w:tcPr>
            <w:tcW w:w="0" w:type="auto"/>
            <w:vAlign w:val="center"/>
            <w:hideMark/>
          </w:tcPr>
          <w:p w14:paraId="59FAECBB" w14:textId="77777777" w:rsidR="009257B4" w:rsidRPr="0020183B" w:rsidRDefault="009257B4" w:rsidP="00563327">
            <w:pPr>
              <w:rPr>
                <w:sz w:val="22"/>
                <w:szCs w:val="22"/>
              </w:rPr>
            </w:pPr>
          </w:p>
        </w:tc>
        <w:tc>
          <w:tcPr>
            <w:tcW w:w="0" w:type="auto"/>
            <w:vAlign w:val="center"/>
            <w:hideMark/>
          </w:tcPr>
          <w:p w14:paraId="0A5897E1" w14:textId="77777777" w:rsidR="009257B4" w:rsidRPr="0020183B" w:rsidRDefault="009257B4" w:rsidP="00563327">
            <w:pPr>
              <w:jc w:val="center"/>
              <w:rPr>
                <w:sz w:val="22"/>
                <w:szCs w:val="22"/>
              </w:rPr>
            </w:pPr>
          </w:p>
        </w:tc>
      </w:tr>
      <w:tr w:rsidR="008E7537" w:rsidRPr="0020183B" w14:paraId="18FE6D5D" w14:textId="77777777" w:rsidTr="00C47D84">
        <w:trPr>
          <w:tblCellSpacing w:w="15" w:type="dxa"/>
          <w:jc w:val="center"/>
        </w:trPr>
        <w:tc>
          <w:tcPr>
            <w:tcW w:w="0" w:type="auto"/>
            <w:vAlign w:val="center"/>
            <w:hideMark/>
          </w:tcPr>
          <w:p w14:paraId="1995FC01" w14:textId="77777777" w:rsidR="008E7537" w:rsidRPr="0020183B" w:rsidRDefault="008E7537" w:rsidP="009103D7">
            <w:pPr>
              <w:rPr>
                <w:sz w:val="22"/>
                <w:szCs w:val="22"/>
              </w:rPr>
            </w:pPr>
            <w:r w:rsidRPr="0020183B">
              <w:rPr>
                <w:sz w:val="22"/>
                <w:szCs w:val="22"/>
              </w:rPr>
              <w:t>Treatment * RAR</w:t>
            </w:r>
          </w:p>
        </w:tc>
        <w:tc>
          <w:tcPr>
            <w:tcW w:w="0" w:type="auto"/>
            <w:vAlign w:val="center"/>
            <w:hideMark/>
          </w:tcPr>
          <w:p w14:paraId="29F16FA8" w14:textId="77777777" w:rsidR="008E7537" w:rsidRPr="0020183B" w:rsidRDefault="008E7537" w:rsidP="009103D7">
            <w:pPr>
              <w:rPr>
                <w:sz w:val="22"/>
                <w:szCs w:val="22"/>
              </w:rPr>
            </w:pPr>
          </w:p>
        </w:tc>
        <w:tc>
          <w:tcPr>
            <w:tcW w:w="0" w:type="auto"/>
            <w:vAlign w:val="center"/>
            <w:hideMark/>
          </w:tcPr>
          <w:p w14:paraId="2E5549D6" w14:textId="77777777" w:rsidR="008E7537" w:rsidRPr="0020183B" w:rsidRDefault="008E7537" w:rsidP="009103D7">
            <w:pPr>
              <w:jc w:val="center"/>
              <w:rPr>
                <w:sz w:val="22"/>
                <w:szCs w:val="22"/>
              </w:rPr>
            </w:pPr>
            <w:r w:rsidRPr="0020183B">
              <w:rPr>
                <w:sz w:val="22"/>
                <w:szCs w:val="22"/>
              </w:rPr>
              <w:t>0.013</w:t>
            </w:r>
            <w:r w:rsidRPr="0020183B">
              <w:rPr>
                <w:sz w:val="22"/>
                <w:szCs w:val="22"/>
                <w:vertAlign w:val="superscript"/>
              </w:rPr>
              <w:t>***</w:t>
            </w:r>
          </w:p>
        </w:tc>
      </w:tr>
      <w:tr w:rsidR="008E7537" w:rsidRPr="0020183B" w14:paraId="1F7BBE38" w14:textId="77777777" w:rsidTr="00C47D84">
        <w:trPr>
          <w:tblCellSpacing w:w="15" w:type="dxa"/>
          <w:jc w:val="center"/>
        </w:trPr>
        <w:tc>
          <w:tcPr>
            <w:tcW w:w="0" w:type="auto"/>
            <w:vAlign w:val="center"/>
            <w:hideMark/>
          </w:tcPr>
          <w:p w14:paraId="73B63B5C" w14:textId="77777777" w:rsidR="008E7537" w:rsidRPr="0020183B" w:rsidRDefault="008E7537" w:rsidP="009103D7">
            <w:pPr>
              <w:jc w:val="center"/>
              <w:rPr>
                <w:sz w:val="22"/>
                <w:szCs w:val="22"/>
              </w:rPr>
            </w:pPr>
          </w:p>
        </w:tc>
        <w:tc>
          <w:tcPr>
            <w:tcW w:w="0" w:type="auto"/>
            <w:vAlign w:val="center"/>
            <w:hideMark/>
          </w:tcPr>
          <w:p w14:paraId="31102991" w14:textId="77777777" w:rsidR="008E7537" w:rsidRPr="0020183B" w:rsidRDefault="008E7537" w:rsidP="009103D7">
            <w:pPr>
              <w:rPr>
                <w:sz w:val="22"/>
                <w:szCs w:val="22"/>
              </w:rPr>
            </w:pPr>
          </w:p>
        </w:tc>
        <w:tc>
          <w:tcPr>
            <w:tcW w:w="0" w:type="auto"/>
            <w:vAlign w:val="center"/>
            <w:hideMark/>
          </w:tcPr>
          <w:p w14:paraId="54175DF1" w14:textId="77777777" w:rsidR="008E7537" w:rsidRPr="0020183B" w:rsidRDefault="008E7537" w:rsidP="009103D7">
            <w:pPr>
              <w:jc w:val="center"/>
              <w:rPr>
                <w:sz w:val="22"/>
                <w:szCs w:val="22"/>
              </w:rPr>
            </w:pPr>
            <w:r w:rsidRPr="0020183B">
              <w:rPr>
                <w:sz w:val="22"/>
                <w:szCs w:val="22"/>
              </w:rPr>
              <w:t>(0.003)</w:t>
            </w:r>
          </w:p>
        </w:tc>
      </w:tr>
      <w:tr w:rsidR="008E7537" w:rsidRPr="0020183B" w14:paraId="7D0C36B6" w14:textId="77777777" w:rsidTr="00C47D84">
        <w:trPr>
          <w:tblCellSpacing w:w="15" w:type="dxa"/>
          <w:jc w:val="center"/>
        </w:trPr>
        <w:tc>
          <w:tcPr>
            <w:tcW w:w="0" w:type="auto"/>
            <w:vAlign w:val="center"/>
            <w:hideMark/>
          </w:tcPr>
          <w:p w14:paraId="693D31C0" w14:textId="77777777" w:rsidR="008E7537" w:rsidRPr="0020183B" w:rsidRDefault="008E7537" w:rsidP="009103D7">
            <w:pPr>
              <w:jc w:val="center"/>
              <w:rPr>
                <w:sz w:val="22"/>
                <w:szCs w:val="22"/>
              </w:rPr>
            </w:pPr>
          </w:p>
        </w:tc>
        <w:tc>
          <w:tcPr>
            <w:tcW w:w="0" w:type="auto"/>
            <w:vAlign w:val="center"/>
            <w:hideMark/>
          </w:tcPr>
          <w:p w14:paraId="6BAA708F" w14:textId="77777777" w:rsidR="008E7537" w:rsidRPr="0020183B" w:rsidRDefault="008E7537" w:rsidP="009103D7">
            <w:pPr>
              <w:rPr>
                <w:sz w:val="22"/>
                <w:szCs w:val="22"/>
              </w:rPr>
            </w:pPr>
          </w:p>
        </w:tc>
        <w:tc>
          <w:tcPr>
            <w:tcW w:w="0" w:type="auto"/>
            <w:vAlign w:val="center"/>
            <w:hideMark/>
          </w:tcPr>
          <w:p w14:paraId="04AD07AD" w14:textId="77777777" w:rsidR="008E7537" w:rsidRPr="0020183B" w:rsidRDefault="008E7537" w:rsidP="009103D7">
            <w:pPr>
              <w:jc w:val="center"/>
              <w:rPr>
                <w:sz w:val="22"/>
                <w:szCs w:val="22"/>
              </w:rPr>
            </w:pPr>
          </w:p>
        </w:tc>
      </w:tr>
      <w:tr w:rsidR="008E7537" w:rsidRPr="0020183B" w14:paraId="449EC67A" w14:textId="77777777" w:rsidTr="00C47D84">
        <w:trPr>
          <w:tblCellSpacing w:w="15" w:type="dxa"/>
          <w:jc w:val="center"/>
        </w:trPr>
        <w:tc>
          <w:tcPr>
            <w:tcW w:w="0" w:type="auto"/>
            <w:vAlign w:val="center"/>
            <w:hideMark/>
          </w:tcPr>
          <w:p w14:paraId="589BCD2A" w14:textId="77777777" w:rsidR="008E7537" w:rsidRPr="0020183B" w:rsidRDefault="008E7537" w:rsidP="009103D7">
            <w:pPr>
              <w:jc w:val="center"/>
              <w:rPr>
                <w:sz w:val="22"/>
                <w:szCs w:val="22"/>
              </w:rPr>
            </w:pPr>
          </w:p>
        </w:tc>
        <w:tc>
          <w:tcPr>
            <w:tcW w:w="0" w:type="auto"/>
            <w:vAlign w:val="center"/>
            <w:hideMark/>
          </w:tcPr>
          <w:p w14:paraId="6C1AB792" w14:textId="77777777" w:rsidR="008E7537" w:rsidRPr="0020183B" w:rsidRDefault="008E7537" w:rsidP="009103D7">
            <w:pPr>
              <w:rPr>
                <w:sz w:val="22"/>
                <w:szCs w:val="22"/>
              </w:rPr>
            </w:pPr>
          </w:p>
        </w:tc>
        <w:tc>
          <w:tcPr>
            <w:tcW w:w="0" w:type="auto"/>
            <w:vAlign w:val="center"/>
            <w:hideMark/>
          </w:tcPr>
          <w:p w14:paraId="58014AC8" w14:textId="77777777" w:rsidR="008E7537" w:rsidRPr="0020183B" w:rsidRDefault="008E7537" w:rsidP="009103D7">
            <w:pPr>
              <w:jc w:val="center"/>
              <w:rPr>
                <w:sz w:val="22"/>
                <w:szCs w:val="22"/>
              </w:rPr>
            </w:pPr>
          </w:p>
        </w:tc>
      </w:tr>
      <w:tr w:rsidR="008E7537" w:rsidRPr="0020183B" w14:paraId="69764D58" w14:textId="77777777" w:rsidTr="00C47D84">
        <w:trPr>
          <w:tblCellSpacing w:w="15" w:type="dxa"/>
          <w:jc w:val="center"/>
        </w:trPr>
        <w:tc>
          <w:tcPr>
            <w:tcW w:w="0" w:type="auto"/>
            <w:gridSpan w:val="3"/>
            <w:tcBorders>
              <w:bottom w:val="single" w:sz="6" w:space="0" w:color="000000"/>
            </w:tcBorders>
            <w:vAlign w:val="center"/>
            <w:hideMark/>
          </w:tcPr>
          <w:p w14:paraId="1A311EC6" w14:textId="77777777" w:rsidR="008E7537" w:rsidRPr="0020183B" w:rsidRDefault="008E7537" w:rsidP="009103D7">
            <w:pPr>
              <w:jc w:val="center"/>
              <w:rPr>
                <w:sz w:val="22"/>
                <w:szCs w:val="22"/>
              </w:rPr>
            </w:pPr>
          </w:p>
        </w:tc>
      </w:tr>
      <w:tr w:rsidR="008E7537" w:rsidRPr="0020183B" w14:paraId="2F6BDDAA" w14:textId="77777777" w:rsidTr="00C47D84">
        <w:trPr>
          <w:tblCellSpacing w:w="15" w:type="dxa"/>
          <w:jc w:val="center"/>
        </w:trPr>
        <w:tc>
          <w:tcPr>
            <w:tcW w:w="0" w:type="auto"/>
            <w:vAlign w:val="center"/>
            <w:hideMark/>
          </w:tcPr>
          <w:p w14:paraId="7A822ABE" w14:textId="77777777" w:rsidR="008E7537" w:rsidRPr="0020183B" w:rsidRDefault="008E7537" w:rsidP="009103D7">
            <w:pPr>
              <w:rPr>
                <w:sz w:val="22"/>
                <w:szCs w:val="22"/>
              </w:rPr>
            </w:pPr>
            <w:r w:rsidRPr="0020183B">
              <w:rPr>
                <w:sz w:val="22"/>
                <w:szCs w:val="22"/>
              </w:rPr>
              <w:t>Observations</w:t>
            </w:r>
          </w:p>
        </w:tc>
        <w:tc>
          <w:tcPr>
            <w:tcW w:w="0" w:type="auto"/>
            <w:vAlign w:val="center"/>
            <w:hideMark/>
          </w:tcPr>
          <w:p w14:paraId="6EAEABF0" w14:textId="77777777" w:rsidR="008E7537" w:rsidRPr="0020183B" w:rsidRDefault="008E7537" w:rsidP="009103D7">
            <w:pPr>
              <w:jc w:val="center"/>
              <w:rPr>
                <w:sz w:val="22"/>
                <w:szCs w:val="22"/>
              </w:rPr>
            </w:pPr>
            <w:r w:rsidRPr="0020183B">
              <w:rPr>
                <w:sz w:val="22"/>
                <w:szCs w:val="22"/>
              </w:rPr>
              <w:t>22,457</w:t>
            </w:r>
          </w:p>
        </w:tc>
        <w:tc>
          <w:tcPr>
            <w:tcW w:w="0" w:type="auto"/>
            <w:vAlign w:val="center"/>
            <w:hideMark/>
          </w:tcPr>
          <w:p w14:paraId="3E070C33" w14:textId="77777777" w:rsidR="008E7537" w:rsidRPr="0020183B" w:rsidRDefault="008E7537" w:rsidP="009103D7">
            <w:pPr>
              <w:jc w:val="center"/>
              <w:rPr>
                <w:sz w:val="22"/>
                <w:szCs w:val="22"/>
              </w:rPr>
            </w:pPr>
            <w:r w:rsidRPr="0020183B">
              <w:rPr>
                <w:sz w:val="22"/>
                <w:szCs w:val="22"/>
              </w:rPr>
              <w:t>22,457</w:t>
            </w:r>
          </w:p>
        </w:tc>
      </w:tr>
      <w:tr w:rsidR="008E7537" w:rsidRPr="0020183B" w14:paraId="2AA26BAD" w14:textId="77777777" w:rsidTr="00C47D84">
        <w:trPr>
          <w:tblCellSpacing w:w="15" w:type="dxa"/>
          <w:jc w:val="center"/>
        </w:trPr>
        <w:tc>
          <w:tcPr>
            <w:tcW w:w="0" w:type="auto"/>
            <w:vAlign w:val="center"/>
            <w:hideMark/>
          </w:tcPr>
          <w:p w14:paraId="58239421" w14:textId="77777777" w:rsidR="008E7537" w:rsidRPr="0020183B" w:rsidRDefault="008E7537" w:rsidP="009103D7">
            <w:pPr>
              <w:rPr>
                <w:sz w:val="22"/>
                <w:szCs w:val="22"/>
              </w:rPr>
            </w:pPr>
            <w:r w:rsidRPr="0020183B">
              <w:rPr>
                <w:sz w:val="22"/>
                <w:szCs w:val="22"/>
              </w:rPr>
              <w:t>AIC</w:t>
            </w:r>
          </w:p>
        </w:tc>
        <w:tc>
          <w:tcPr>
            <w:tcW w:w="0" w:type="auto"/>
            <w:vAlign w:val="center"/>
            <w:hideMark/>
          </w:tcPr>
          <w:p w14:paraId="67F699DE" w14:textId="77777777" w:rsidR="008E7537" w:rsidRPr="0020183B" w:rsidRDefault="008E7537" w:rsidP="009103D7">
            <w:pPr>
              <w:jc w:val="center"/>
              <w:rPr>
                <w:sz w:val="22"/>
                <w:szCs w:val="22"/>
              </w:rPr>
            </w:pPr>
            <w:r w:rsidRPr="0020183B">
              <w:rPr>
                <w:sz w:val="22"/>
                <w:szCs w:val="22"/>
              </w:rPr>
              <w:t>8,628</w:t>
            </w:r>
          </w:p>
        </w:tc>
        <w:tc>
          <w:tcPr>
            <w:tcW w:w="0" w:type="auto"/>
            <w:vAlign w:val="center"/>
            <w:hideMark/>
          </w:tcPr>
          <w:p w14:paraId="7A79B85B" w14:textId="77777777" w:rsidR="008E7537" w:rsidRPr="0020183B" w:rsidRDefault="008E7537" w:rsidP="009103D7">
            <w:pPr>
              <w:jc w:val="center"/>
              <w:rPr>
                <w:sz w:val="22"/>
                <w:szCs w:val="22"/>
              </w:rPr>
            </w:pPr>
            <w:r w:rsidRPr="0020183B">
              <w:rPr>
                <w:sz w:val="22"/>
                <w:szCs w:val="22"/>
              </w:rPr>
              <w:t>8,565</w:t>
            </w:r>
          </w:p>
        </w:tc>
      </w:tr>
      <w:tr w:rsidR="008E7537" w:rsidRPr="0020183B" w14:paraId="7131A217" w14:textId="77777777" w:rsidTr="00C47D84">
        <w:trPr>
          <w:tblCellSpacing w:w="15" w:type="dxa"/>
          <w:jc w:val="center"/>
        </w:trPr>
        <w:tc>
          <w:tcPr>
            <w:tcW w:w="0" w:type="auto"/>
            <w:gridSpan w:val="3"/>
            <w:tcBorders>
              <w:bottom w:val="single" w:sz="6" w:space="0" w:color="000000"/>
            </w:tcBorders>
            <w:vAlign w:val="center"/>
            <w:hideMark/>
          </w:tcPr>
          <w:p w14:paraId="3409A5FD" w14:textId="77777777" w:rsidR="008E7537" w:rsidRPr="0020183B" w:rsidRDefault="008E7537" w:rsidP="009103D7">
            <w:pPr>
              <w:jc w:val="center"/>
              <w:rPr>
                <w:sz w:val="22"/>
                <w:szCs w:val="22"/>
              </w:rPr>
            </w:pPr>
          </w:p>
        </w:tc>
      </w:tr>
    </w:tbl>
    <w:p w14:paraId="5B728741" w14:textId="77777777" w:rsidR="008E7537" w:rsidRPr="00033272" w:rsidRDefault="008E7537" w:rsidP="008E7537">
      <w:pPr>
        <w:rPr>
          <w:i/>
          <w:sz w:val="20"/>
          <w:szCs w:val="20"/>
          <w:lang w:val="en-US"/>
        </w:rPr>
      </w:pPr>
    </w:p>
    <w:p w14:paraId="18243BA0" w14:textId="049DFC64" w:rsidR="008E7537" w:rsidRPr="00033272" w:rsidRDefault="008E7537" w:rsidP="008E7537">
      <w:pPr>
        <w:rPr>
          <w:sz w:val="20"/>
          <w:szCs w:val="20"/>
          <w:lang w:val="en-US"/>
        </w:rPr>
      </w:pPr>
      <w:r w:rsidRPr="00033272">
        <w:rPr>
          <w:i/>
          <w:sz w:val="20"/>
          <w:szCs w:val="20"/>
          <w:lang w:val="en-US"/>
        </w:rPr>
        <w:t>Note</w:t>
      </w:r>
      <w:r w:rsidRPr="00033272">
        <w:rPr>
          <w:sz w:val="20"/>
          <w:szCs w:val="20"/>
          <w:lang w:val="en-US"/>
        </w:rPr>
        <w:t xml:space="preserve">. Unit of analysis is claimants’ weekly submissions. All results are robust to changing the model: This model uses a logistic regression (instead of LPM). Standard errors are clustered at the claimant level. </w:t>
      </w:r>
      <w:r w:rsidRPr="00033272">
        <w:rPr>
          <w:i/>
          <w:iCs/>
          <w:sz w:val="20"/>
          <w:szCs w:val="20"/>
          <w:lang w:val="en-US"/>
        </w:rPr>
        <w:t>P</w:t>
      </w:r>
      <w:r w:rsidRPr="00033272">
        <w:rPr>
          <w:sz w:val="20"/>
          <w:szCs w:val="20"/>
          <w:lang w:val="en-US"/>
        </w:rPr>
        <w:t xml:space="preserve">-values are adjusted for multiple comparisons using FDR. * </w:t>
      </w:r>
      <w:r w:rsidRPr="00033272">
        <w:rPr>
          <w:i/>
          <w:iCs/>
          <w:sz w:val="20"/>
          <w:szCs w:val="20"/>
          <w:lang w:val="en-US"/>
        </w:rPr>
        <w:t>p</w:t>
      </w:r>
      <w:r w:rsidRPr="00033272">
        <w:rPr>
          <w:sz w:val="20"/>
          <w:szCs w:val="20"/>
          <w:lang w:val="en-US"/>
        </w:rPr>
        <w:t xml:space="preserve"> &lt; .05; ** </w:t>
      </w:r>
      <w:r w:rsidRPr="00033272">
        <w:rPr>
          <w:i/>
          <w:iCs/>
          <w:sz w:val="20"/>
          <w:szCs w:val="20"/>
          <w:lang w:val="en-US"/>
        </w:rPr>
        <w:t>p</w:t>
      </w:r>
      <w:r w:rsidRPr="00033272">
        <w:rPr>
          <w:sz w:val="20"/>
          <w:szCs w:val="20"/>
          <w:lang w:val="en-US"/>
        </w:rPr>
        <w:t xml:space="preserve"> &lt; .01; *** </w:t>
      </w:r>
      <w:r w:rsidRPr="00033272">
        <w:rPr>
          <w:i/>
          <w:iCs/>
          <w:sz w:val="20"/>
          <w:szCs w:val="20"/>
          <w:lang w:val="en-US"/>
        </w:rPr>
        <w:t>p</w:t>
      </w:r>
      <w:r w:rsidRPr="00033272">
        <w:rPr>
          <w:sz w:val="20"/>
          <w:szCs w:val="20"/>
          <w:lang w:val="en-US"/>
        </w:rPr>
        <w:t xml:space="preserve"> &lt; .001.</w:t>
      </w:r>
    </w:p>
    <w:p w14:paraId="3ED60170" w14:textId="77777777" w:rsidR="00253043" w:rsidRDefault="00253043"/>
    <w:p w14:paraId="70E8165D" w14:textId="77777777" w:rsidR="00253043" w:rsidRDefault="00253043"/>
    <w:p w14:paraId="6BE5D762" w14:textId="70E32F90" w:rsidR="008E7537" w:rsidRPr="00033272" w:rsidRDefault="00253043">
      <w:r w:rsidRPr="00033272">
        <w:t xml:space="preserve"> </w:t>
      </w:r>
      <w:r w:rsidR="008E7537" w:rsidRPr="00033272">
        <w:br w:type="page"/>
      </w:r>
    </w:p>
    <w:p w14:paraId="5108E9C6" w14:textId="3DBB06D7" w:rsidR="00D334BB" w:rsidRPr="00F928F8" w:rsidRDefault="00D334BB" w:rsidP="00D334BB">
      <w:pPr>
        <w:pBdr>
          <w:top w:val="nil"/>
          <w:left w:val="nil"/>
          <w:bottom w:val="nil"/>
          <w:right w:val="nil"/>
          <w:between w:val="nil"/>
          <w:bar w:val="nil"/>
        </w:pBdr>
        <w:outlineLvl w:val="0"/>
        <w:rPr>
          <w:rFonts w:eastAsia="Arial Unicode MS"/>
          <w:color w:val="000000"/>
          <w:sz w:val="22"/>
          <w:szCs w:val="22"/>
          <w:u w:color="000000"/>
          <w:bdr w:val="nil"/>
          <w:lang w:val="en-US"/>
        </w:rPr>
      </w:pPr>
      <w:r w:rsidRPr="00F928F8">
        <w:rPr>
          <w:rFonts w:eastAsia="Arial Unicode MS"/>
          <w:b/>
          <w:color w:val="000000"/>
          <w:sz w:val="22"/>
          <w:szCs w:val="22"/>
          <w:u w:color="000000"/>
          <w:bdr w:val="nil"/>
          <w:lang w:val="en-US"/>
        </w:rPr>
        <w:lastRenderedPageBreak/>
        <w:t xml:space="preserve">Table </w:t>
      </w:r>
      <w:r w:rsidR="00CF7B20">
        <w:rPr>
          <w:rFonts w:eastAsia="Arial Unicode MS"/>
          <w:b/>
          <w:color w:val="000000"/>
          <w:sz w:val="22"/>
          <w:szCs w:val="22"/>
          <w:u w:color="000000"/>
          <w:bdr w:val="nil"/>
          <w:lang w:val="en-US"/>
        </w:rPr>
        <w:t>S</w:t>
      </w:r>
      <w:r w:rsidRPr="00F928F8">
        <w:rPr>
          <w:rFonts w:eastAsia="Arial Unicode MS"/>
          <w:b/>
          <w:color w:val="000000"/>
          <w:sz w:val="22"/>
          <w:szCs w:val="22"/>
          <w:u w:color="000000"/>
          <w:bdr w:val="nil"/>
          <w:lang w:val="en-US"/>
        </w:rPr>
        <w:t>3.</w:t>
      </w:r>
      <w:r w:rsidRPr="00F928F8">
        <w:rPr>
          <w:rFonts w:eastAsia="Arial Unicode MS"/>
          <w:color w:val="000000"/>
          <w:sz w:val="22"/>
          <w:szCs w:val="22"/>
          <w:u w:color="000000"/>
          <w:bdr w:val="nil"/>
          <w:lang w:val="en-US"/>
        </w:rPr>
        <w:t xml:space="preserve"> Robustness Check</w:t>
      </w:r>
      <w:r w:rsidR="00E1647A" w:rsidRPr="00F928F8">
        <w:rPr>
          <w:rFonts w:eastAsia="Arial Unicode MS"/>
          <w:color w:val="000000"/>
          <w:sz w:val="22"/>
          <w:szCs w:val="22"/>
          <w:u w:color="000000"/>
          <w:bdr w:val="nil"/>
          <w:lang w:val="en-US"/>
        </w:rPr>
        <w:t xml:space="preserve">: Ten </w:t>
      </w:r>
      <w:r w:rsidR="006F43CC" w:rsidRPr="00F928F8">
        <w:rPr>
          <w:rFonts w:eastAsia="Arial Unicode MS"/>
          <w:color w:val="000000"/>
          <w:sz w:val="22"/>
          <w:szCs w:val="22"/>
          <w:u w:color="000000"/>
          <w:bdr w:val="nil"/>
          <w:lang w:val="en-US"/>
        </w:rPr>
        <w:t xml:space="preserve">RAR </w:t>
      </w:r>
      <w:r w:rsidR="00E1647A" w:rsidRPr="00F928F8">
        <w:rPr>
          <w:rFonts w:eastAsia="Arial Unicode MS"/>
          <w:color w:val="000000"/>
          <w:sz w:val="22"/>
          <w:szCs w:val="22"/>
          <w:u w:color="000000"/>
          <w:bdr w:val="nil"/>
          <w:lang w:val="en-US"/>
        </w:rPr>
        <w:t>Bins</w:t>
      </w:r>
    </w:p>
    <w:p w14:paraId="37D1397E" w14:textId="77777777" w:rsidR="002770E1" w:rsidRPr="00F928F8" w:rsidRDefault="002770E1" w:rsidP="00D334BB">
      <w:pPr>
        <w:pBdr>
          <w:top w:val="nil"/>
          <w:left w:val="nil"/>
          <w:bottom w:val="nil"/>
          <w:right w:val="nil"/>
          <w:between w:val="nil"/>
          <w:bar w:val="nil"/>
        </w:pBdr>
        <w:outlineLvl w:val="0"/>
        <w:rPr>
          <w:rFonts w:eastAsia="Times New Roman Bold"/>
          <w:color w:val="000000"/>
          <w:sz w:val="22"/>
          <w:szCs w:val="22"/>
          <w:u w:color="000000"/>
          <w:bdr w:val="nil"/>
          <w:lang w:val="en-U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42"/>
        <w:gridCol w:w="2151"/>
        <w:gridCol w:w="159"/>
        <w:gridCol w:w="735"/>
        <w:gridCol w:w="45"/>
      </w:tblGrid>
      <w:tr w:rsidR="00D334BB" w:rsidRPr="00253043" w14:paraId="52DA8AB2" w14:textId="77777777" w:rsidTr="00C47D84">
        <w:trPr>
          <w:gridAfter w:val="1"/>
          <w:tblCellSpacing w:w="15" w:type="dxa"/>
          <w:jc w:val="center"/>
        </w:trPr>
        <w:tc>
          <w:tcPr>
            <w:tcW w:w="0" w:type="auto"/>
            <w:gridSpan w:val="4"/>
            <w:tcBorders>
              <w:bottom w:val="single" w:sz="6" w:space="0" w:color="000000"/>
            </w:tcBorders>
            <w:vAlign w:val="center"/>
            <w:hideMark/>
          </w:tcPr>
          <w:p w14:paraId="5DFD20A7" w14:textId="77777777" w:rsidR="00D334BB" w:rsidRPr="00253043" w:rsidRDefault="00D334BB" w:rsidP="00D334BB">
            <w:pPr>
              <w:rPr>
                <w:sz w:val="22"/>
                <w:szCs w:val="22"/>
              </w:rPr>
            </w:pPr>
          </w:p>
        </w:tc>
      </w:tr>
      <w:tr w:rsidR="00D334BB" w:rsidRPr="00253043" w14:paraId="6C87E9B7" w14:textId="77777777" w:rsidTr="00C47D84">
        <w:trPr>
          <w:gridAfter w:val="1"/>
          <w:tblCellSpacing w:w="15" w:type="dxa"/>
          <w:jc w:val="center"/>
        </w:trPr>
        <w:tc>
          <w:tcPr>
            <w:tcW w:w="0" w:type="auto"/>
            <w:vAlign w:val="center"/>
            <w:hideMark/>
          </w:tcPr>
          <w:p w14:paraId="2507BB50" w14:textId="77777777" w:rsidR="00D334BB" w:rsidRPr="00253043" w:rsidRDefault="00D334BB" w:rsidP="00D334BB">
            <w:pPr>
              <w:jc w:val="center"/>
              <w:rPr>
                <w:sz w:val="22"/>
                <w:szCs w:val="22"/>
              </w:rPr>
            </w:pPr>
          </w:p>
        </w:tc>
        <w:tc>
          <w:tcPr>
            <w:tcW w:w="0" w:type="auto"/>
            <w:gridSpan w:val="3"/>
            <w:vAlign w:val="center"/>
            <w:hideMark/>
          </w:tcPr>
          <w:p w14:paraId="34A9AE13" w14:textId="77777777" w:rsidR="00D334BB" w:rsidRPr="00253043" w:rsidRDefault="00D334BB" w:rsidP="00D334BB">
            <w:pPr>
              <w:jc w:val="center"/>
              <w:rPr>
                <w:sz w:val="22"/>
                <w:szCs w:val="22"/>
              </w:rPr>
            </w:pPr>
            <w:r w:rsidRPr="00253043">
              <w:rPr>
                <w:i/>
                <w:iCs/>
                <w:sz w:val="22"/>
                <w:szCs w:val="22"/>
              </w:rPr>
              <w:t>Dependent variable:</w:t>
            </w:r>
          </w:p>
        </w:tc>
      </w:tr>
      <w:tr w:rsidR="00D334BB" w:rsidRPr="00253043" w14:paraId="0A2629D2" w14:textId="77777777" w:rsidTr="00C47D84">
        <w:trPr>
          <w:gridAfter w:val="1"/>
          <w:tblCellSpacing w:w="15" w:type="dxa"/>
          <w:jc w:val="center"/>
        </w:trPr>
        <w:tc>
          <w:tcPr>
            <w:tcW w:w="0" w:type="auto"/>
            <w:vAlign w:val="center"/>
            <w:hideMark/>
          </w:tcPr>
          <w:p w14:paraId="351DF104" w14:textId="77777777" w:rsidR="00D334BB" w:rsidRPr="00253043" w:rsidRDefault="00D334BB" w:rsidP="00D334BB">
            <w:pPr>
              <w:jc w:val="center"/>
              <w:rPr>
                <w:sz w:val="22"/>
                <w:szCs w:val="22"/>
              </w:rPr>
            </w:pPr>
          </w:p>
        </w:tc>
        <w:tc>
          <w:tcPr>
            <w:tcW w:w="0" w:type="auto"/>
            <w:gridSpan w:val="3"/>
            <w:tcBorders>
              <w:bottom w:val="single" w:sz="6" w:space="0" w:color="000000"/>
            </w:tcBorders>
            <w:vAlign w:val="center"/>
            <w:hideMark/>
          </w:tcPr>
          <w:p w14:paraId="58B3F0B5" w14:textId="77777777" w:rsidR="00D334BB" w:rsidRPr="00253043" w:rsidRDefault="00D334BB" w:rsidP="00D334BB">
            <w:pPr>
              <w:jc w:val="center"/>
              <w:rPr>
                <w:sz w:val="22"/>
                <w:szCs w:val="22"/>
              </w:rPr>
            </w:pPr>
          </w:p>
        </w:tc>
      </w:tr>
      <w:tr w:rsidR="00D334BB" w:rsidRPr="00253043" w14:paraId="4B97BC2D" w14:textId="77777777" w:rsidTr="00C47D84">
        <w:trPr>
          <w:gridAfter w:val="1"/>
          <w:tblCellSpacing w:w="15" w:type="dxa"/>
          <w:jc w:val="center"/>
        </w:trPr>
        <w:tc>
          <w:tcPr>
            <w:tcW w:w="0" w:type="auto"/>
            <w:vAlign w:val="center"/>
            <w:hideMark/>
          </w:tcPr>
          <w:p w14:paraId="751F1D80" w14:textId="77777777" w:rsidR="00D334BB" w:rsidRPr="00253043" w:rsidRDefault="00D334BB" w:rsidP="00D334BB">
            <w:pPr>
              <w:jc w:val="center"/>
              <w:rPr>
                <w:sz w:val="22"/>
                <w:szCs w:val="22"/>
              </w:rPr>
            </w:pPr>
          </w:p>
        </w:tc>
        <w:tc>
          <w:tcPr>
            <w:tcW w:w="0" w:type="auto"/>
            <w:gridSpan w:val="3"/>
            <w:vAlign w:val="center"/>
            <w:hideMark/>
          </w:tcPr>
          <w:p w14:paraId="45BBAAE4" w14:textId="77777777" w:rsidR="00D334BB" w:rsidRPr="00253043" w:rsidRDefault="00D334BB" w:rsidP="00D334BB">
            <w:pPr>
              <w:jc w:val="center"/>
              <w:rPr>
                <w:sz w:val="22"/>
                <w:szCs w:val="22"/>
              </w:rPr>
            </w:pPr>
            <w:r w:rsidRPr="00253043">
              <w:rPr>
                <w:sz w:val="22"/>
                <w:szCs w:val="22"/>
              </w:rPr>
              <w:t>Likelihood of disclosure</w:t>
            </w:r>
          </w:p>
        </w:tc>
      </w:tr>
      <w:tr w:rsidR="00D334BB" w:rsidRPr="00253043" w14:paraId="7B1685A4" w14:textId="77777777" w:rsidTr="00C47D84">
        <w:trPr>
          <w:gridAfter w:val="1"/>
          <w:tblCellSpacing w:w="15" w:type="dxa"/>
          <w:jc w:val="center"/>
        </w:trPr>
        <w:tc>
          <w:tcPr>
            <w:tcW w:w="0" w:type="auto"/>
            <w:vAlign w:val="center"/>
            <w:hideMark/>
          </w:tcPr>
          <w:p w14:paraId="171AF1E7" w14:textId="77777777" w:rsidR="00D334BB" w:rsidRPr="00253043" w:rsidRDefault="00D334BB" w:rsidP="00D334BB">
            <w:pPr>
              <w:jc w:val="center"/>
              <w:rPr>
                <w:sz w:val="22"/>
                <w:szCs w:val="22"/>
              </w:rPr>
            </w:pPr>
          </w:p>
        </w:tc>
        <w:tc>
          <w:tcPr>
            <w:tcW w:w="0" w:type="auto"/>
            <w:vAlign w:val="center"/>
            <w:hideMark/>
          </w:tcPr>
          <w:p w14:paraId="7FBEDF70" w14:textId="77777777" w:rsidR="00D334BB" w:rsidRPr="00253043" w:rsidRDefault="00D334BB" w:rsidP="00D334BB">
            <w:pPr>
              <w:jc w:val="center"/>
              <w:rPr>
                <w:sz w:val="22"/>
                <w:szCs w:val="22"/>
              </w:rPr>
            </w:pPr>
            <w:r w:rsidRPr="00253043">
              <w:rPr>
                <w:sz w:val="22"/>
                <w:szCs w:val="22"/>
              </w:rPr>
              <w:t>(1)</w:t>
            </w:r>
          </w:p>
        </w:tc>
        <w:tc>
          <w:tcPr>
            <w:tcW w:w="0" w:type="auto"/>
            <w:gridSpan w:val="2"/>
            <w:vAlign w:val="center"/>
            <w:hideMark/>
          </w:tcPr>
          <w:p w14:paraId="588ED88D" w14:textId="77777777" w:rsidR="00D334BB" w:rsidRPr="00253043" w:rsidRDefault="00D334BB" w:rsidP="00D334BB">
            <w:pPr>
              <w:jc w:val="center"/>
              <w:rPr>
                <w:sz w:val="22"/>
                <w:szCs w:val="22"/>
              </w:rPr>
            </w:pPr>
            <w:r w:rsidRPr="00253043">
              <w:rPr>
                <w:sz w:val="22"/>
                <w:szCs w:val="22"/>
              </w:rPr>
              <w:t>(2)</w:t>
            </w:r>
          </w:p>
        </w:tc>
      </w:tr>
      <w:tr w:rsidR="00D334BB" w:rsidRPr="00253043" w14:paraId="0A8E4979" w14:textId="77777777" w:rsidTr="00C47D84">
        <w:trPr>
          <w:gridAfter w:val="1"/>
          <w:tblCellSpacing w:w="15" w:type="dxa"/>
          <w:jc w:val="center"/>
        </w:trPr>
        <w:tc>
          <w:tcPr>
            <w:tcW w:w="0" w:type="auto"/>
            <w:gridSpan w:val="4"/>
            <w:tcBorders>
              <w:bottom w:val="single" w:sz="6" w:space="0" w:color="000000"/>
            </w:tcBorders>
            <w:vAlign w:val="center"/>
            <w:hideMark/>
          </w:tcPr>
          <w:p w14:paraId="2A11DE6A" w14:textId="77777777" w:rsidR="00D334BB" w:rsidRPr="00253043" w:rsidRDefault="00D334BB" w:rsidP="00D334BB">
            <w:pPr>
              <w:jc w:val="center"/>
              <w:rPr>
                <w:sz w:val="22"/>
                <w:szCs w:val="22"/>
              </w:rPr>
            </w:pPr>
          </w:p>
        </w:tc>
      </w:tr>
      <w:tr w:rsidR="00253043" w:rsidRPr="00253043" w14:paraId="3F2D19DA" w14:textId="77777777" w:rsidTr="00C47D84">
        <w:trPr>
          <w:tblCellSpacing w:w="15" w:type="dxa"/>
          <w:jc w:val="center"/>
        </w:trPr>
        <w:tc>
          <w:tcPr>
            <w:tcW w:w="0" w:type="auto"/>
            <w:vAlign w:val="center"/>
            <w:hideMark/>
          </w:tcPr>
          <w:p w14:paraId="0FA56CF1" w14:textId="77777777" w:rsidR="00253043" w:rsidRPr="00253043" w:rsidRDefault="00253043" w:rsidP="00253043">
            <w:pPr>
              <w:rPr>
                <w:sz w:val="22"/>
                <w:szCs w:val="22"/>
              </w:rPr>
            </w:pPr>
            <w:r w:rsidRPr="00253043">
              <w:rPr>
                <w:sz w:val="22"/>
                <w:szCs w:val="22"/>
              </w:rPr>
              <w:t>Baseline</w:t>
            </w:r>
          </w:p>
        </w:tc>
        <w:tc>
          <w:tcPr>
            <w:tcW w:w="0" w:type="auto"/>
            <w:gridSpan w:val="2"/>
            <w:vAlign w:val="center"/>
            <w:hideMark/>
          </w:tcPr>
          <w:p w14:paraId="5851260D" w14:textId="79873E95" w:rsidR="00253043" w:rsidRPr="00253043" w:rsidRDefault="00253043" w:rsidP="00253043">
            <w:pPr>
              <w:jc w:val="center"/>
              <w:rPr>
                <w:sz w:val="22"/>
                <w:szCs w:val="22"/>
              </w:rPr>
            </w:pPr>
            <w:r w:rsidRPr="00253043">
              <w:rPr>
                <w:sz w:val="22"/>
                <w:szCs w:val="22"/>
              </w:rPr>
              <w:t>4.437</w:t>
            </w:r>
            <w:r w:rsidRPr="00253043">
              <w:rPr>
                <w:sz w:val="22"/>
                <w:szCs w:val="22"/>
                <w:vertAlign w:val="superscript"/>
              </w:rPr>
              <w:t>***</w:t>
            </w:r>
          </w:p>
        </w:tc>
        <w:tc>
          <w:tcPr>
            <w:tcW w:w="0" w:type="auto"/>
            <w:gridSpan w:val="2"/>
            <w:vAlign w:val="center"/>
            <w:hideMark/>
          </w:tcPr>
          <w:p w14:paraId="3C2DAC05" w14:textId="3A6B4B7D" w:rsidR="00253043" w:rsidRPr="00253043" w:rsidRDefault="00253043" w:rsidP="00253043">
            <w:pPr>
              <w:jc w:val="center"/>
              <w:rPr>
                <w:sz w:val="22"/>
                <w:szCs w:val="22"/>
              </w:rPr>
            </w:pPr>
            <w:r w:rsidRPr="00253043">
              <w:rPr>
                <w:sz w:val="22"/>
                <w:szCs w:val="22"/>
              </w:rPr>
              <w:t>4.706</w:t>
            </w:r>
            <w:r w:rsidRPr="00253043">
              <w:rPr>
                <w:sz w:val="22"/>
                <w:szCs w:val="22"/>
                <w:vertAlign w:val="superscript"/>
              </w:rPr>
              <w:t>***</w:t>
            </w:r>
          </w:p>
        </w:tc>
      </w:tr>
      <w:tr w:rsidR="00253043" w:rsidRPr="00253043" w14:paraId="1408B185" w14:textId="77777777" w:rsidTr="00C47D84">
        <w:trPr>
          <w:tblCellSpacing w:w="15" w:type="dxa"/>
          <w:jc w:val="center"/>
        </w:trPr>
        <w:tc>
          <w:tcPr>
            <w:tcW w:w="0" w:type="auto"/>
            <w:vAlign w:val="center"/>
            <w:hideMark/>
          </w:tcPr>
          <w:p w14:paraId="40459876" w14:textId="77777777" w:rsidR="00253043" w:rsidRPr="00253043" w:rsidRDefault="00253043" w:rsidP="00253043">
            <w:pPr>
              <w:jc w:val="center"/>
              <w:rPr>
                <w:sz w:val="22"/>
                <w:szCs w:val="22"/>
              </w:rPr>
            </w:pPr>
          </w:p>
        </w:tc>
        <w:tc>
          <w:tcPr>
            <w:tcW w:w="0" w:type="auto"/>
            <w:gridSpan w:val="2"/>
            <w:vAlign w:val="center"/>
            <w:hideMark/>
          </w:tcPr>
          <w:p w14:paraId="48F6BFA8" w14:textId="3067001F" w:rsidR="00253043" w:rsidRPr="00253043" w:rsidRDefault="00253043" w:rsidP="00253043">
            <w:pPr>
              <w:jc w:val="center"/>
              <w:rPr>
                <w:sz w:val="22"/>
                <w:szCs w:val="22"/>
              </w:rPr>
            </w:pPr>
            <w:r w:rsidRPr="00253043">
              <w:rPr>
                <w:sz w:val="22"/>
                <w:szCs w:val="22"/>
              </w:rPr>
              <w:t>(0.306)</w:t>
            </w:r>
          </w:p>
        </w:tc>
        <w:tc>
          <w:tcPr>
            <w:tcW w:w="0" w:type="auto"/>
            <w:gridSpan w:val="2"/>
            <w:vAlign w:val="center"/>
            <w:hideMark/>
          </w:tcPr>
          <w:p w14:paraId="3D23733D" w14:textId="116D64ED" w:rsidR="00253043" w:rsidRPr="00253043" w:rsidRDefault="00253043" w:rsidP="00253043">
            <w:pPr>
              <w:jc w:val="center"/>
              <w:rPr>
                <w:sz w:val="22"/>
                <w:szCs w:val="22"/>
              </w:rPr>
            </w:pPr>
            <w:r w:rsidRPr="00253043">
              <w:rPr>
                <w:sz w:val="22"/>
                <w:szCs w:val="22"/>
              </w:rPr>
              <w:t>(1.168)</w:t>
            </w:r>
          </w:p>
        </w:tc>
      </w:tr>
      <w:tr w:rsidR="00253043" w:rsidRPr="00253043" w14:paraId="2C6D45FE" w14:textId="77777777" w:rsidTr="00C47D84">
        <w:trPr>
          <w:gridAfter w:val="1"/>
          <w:tblCellSpacing w:w="15" w:type="dxa"/>
          <w:jc w:val="center"/>
        </w:trPr>
        <w:tc>
          <w:tcPr>
            <w:tcW w:w="0" w:type="auto"/>
            <w:vAlign w:val="center"/>
            <w:hideMark/>
          </w:tcPr>
          <w:p w14:paraId="384A6255" w14:textId="77777777" w:rsidR="00253043" w:rsidRPr="00253043" w:rsidRDefault="00253043" w:rsidP="00253043">
            <w:pPr>
              <w:rPr>
                <w:sz w:val="22"/>
                <w:szCs w:val="22"/>
              </w:rPr>
            </w:pPr>
            <w:r w:rsidRPr="00253043">
              <w:rPr>
                <w:sz w:val="22"/>
                <w:szCs w:val="22"/>
              </w:rPr>
              <w:t>RAR bin 2</w:t>
            </w:r>
          </w:p>
        </w:tc>
        <w:tc>
          <w:tcPr>
            <w:tcW w:w="0" w:type="auto"/>
            <w:vAlign w:val="center"/>
            <w:hideMark/>
          </w:tcPr>
          <w:p w14:paraId="18AB1D17" w14:textId="77777777" w:rsidR="00253043" w:rsidRPr="00253043" w:rsidRDefault="00253043" w:rsidP="00253043">
            <w:pPr>
              <w:rPr>
                <w:sz w:val="22"/>
                <w:szCs w:val="22"/>
              </w:rPr>
            </w:pPr>
          </w:p>
        </w:tc>
        <w:tc>
          <w:tcPr>
            <w:tcW w:w="0" w:type="auto"/>
            <w:gridSpan w:val="2"/>
            <w:vAlign w:val="center"/>
            <w:hideMark/>
          </w:tcPr>
          <w:p w14:paraId="7787B665" w14:textId="34AD33DD" w:rsidR="00253043" w:rsidRPr="00253043" w:rsidRDefault="00253043" w:rsidP="00253043">
            <w:pPr>
              <w:jc w:val="center"/>
              <w:rPr>
                <w:sz w:val="22"/>
                <w:szCs w:val="22"/>
              </w:rPr>
            </w:pPr>
            <w:r w:rsidRPr="00253043">
              <w:rPr>
                <w:sz w:val="22"/>
                <w:szCs w:val="22"/>
              </w:rPr>
              <w:t>-0.305</w:t>
            </w:r>
          </w:p>
        </w:tc>
      </w:tr>
      <w:tr w:rsidR="00253043" w:rsidRPr="00253043" w14:paraId="27CDB1B1" w14:textId="77777777" w:rsidTr="00C47D84">
        <w:trPr>
          <w:gridAfter w:val="1"/>
          <w:tblCellSpacing w:w="15" w:type="dxa"/>
          <w:jc w:val="center"/>
        </w:trPr>
        <w:tc>
          <w:tcPr>
            <w:tcW w:w="0" w:type="auto"/>
            <w:vAlign w:val="center"/>
            <w:hideMark/>
          </w:tcPr>
          <w:p w14:paraId="7722DA24" w14:textId="77777777" w:rsidR="00253043" w:rsidRPr="00253043" w:rsidRDefault="00253043" w:rsidP="00253043">
            <w:pPr>
              <w:jc w:val="center"/>
              <w:rPr>
                <w:sz w:val="22"/>
                <w:szCs w:val="22"/>
              </w:rPr>
            </w:pPr>
          </w:p>
        </w:tc>
        <w:tc>
          <w:tcPr>
            <w:tcW w:w="0" w:type="auto"/>
            <w:vAlign w:val="center"/>
            <w:hideMark/>
          </w:tcPr>
          <w:p w14:paraId="0F17921D" w14:textId="77777777" w:rsidR="00253043" w:rsidRPr="00253043" w:rsidRDefault="00253043" w:rsidP="00253043">
            <w:pPr>
              <w:rPr>
                <w:sz w:val="22"/>
                <w:szCs w:val="22"/>
              </w:rPr>
            </w:pPr>
          </w:p>
        </w:tc>
        <w:tc>
          <w:tcPr>
            <w:tcW w:w="0" w:type="auto"/>
            <w:gridSpan w:val="2"/>
            <w:vAlign w:val="center"/>
            <w:hideMark/>
          </w:tcPr>
          <w:p w14:paraId="164D1FE8" w14:textId="14B48640" w:rsidR="00253043" w:rsidRPr="00253043" w:rsidRDefault="00253043" w:rsidP="00253043">
            <w:pPr>
              <w:jc w:val="center"/>
              <w:rPr>
                <w:sz w:val="22"/>
                <w:szCs w:val="22"/>
              </w:rPr>
            </w:pPr>
            <w:r w:rsidRPr="00253043">
              <w:rPr>
                <w:sz w:val="22"/>
                <w:szCs w:val="22"/>
              </w:rPr>
              <w:t>(1.398)</w:t>
            </w:r>
          </w:p>
        </w:tc>
      </w:tr>
      <w:tr w:rsidR="00253043" w:rsidRPr="00253043" w14:paraId="7A2B2243" w14:textId="77777777" w:rsidTr="00C47D84">
        <w:trPr>
          <w:gridAfter w:val="1"/>
          <w:tblCellSpacing w:w="15" w:type="dxa"/>
          <w:jc w:val="center"/>
        </w:trPr>
        <w:tc>
          <w:tcPr>
            <w:tcW w:w="0" w:type="auto"/>
            <w:vAlign w:val="center"/>
            <w:hideMark/>
          </w:tcPr>
          <w:p w14:paraId="458192CC" w14:textId="77777777" w:rsidR="00253043" w:rsidRPr="00253043" w:rsidRDefault="00253043" w:rsidP="00253043">
            <w:pPr>
              <w:rPr>
                <w:sz w:val="22"/>
                <w:szCs w:val="22"/>
              </w:rPr>
            </w:pPr>
            <w:r w:rsidRPr="00253043">
              <w:rPr>
                <w:sz w:val="22"/>
                <w:szCs w:val="22"/>
              </w:rPr>
              <w:t>RAR bin 3</w:t>
            </w:r>
          </w:p>
        </w:tc>
        <w:tc>
          <w:tcPr>
            <w:tcW w:w="0" w:type="auto"/>
            <w:vAlign w:val="center"/>
            <w:hideMark/>
          </w:tcPr>
          <w:p w14:paraId="16E97C65" w14:textId="77777777" w:rsidR="00253043" w:rsidRPr="00253043" w:rsidRDefault="00253043" w:rsidP="00253043">
            <w:pPr>
              <w:rPr>
                <w:sz w:val="22"/>
                <w:szCs w:val="22"/>
              </w:rPr>
            </w:pPr>
          </w:p>
        </w:tc>
        <w:tc>
          <w:tcPr>
            <w:tcW w:w="0" w:type="auto"/>
            <w:gridSpan w:val="2"/>
            <w:vAlign w:val="center"/>
            <w:hideMark/>
          </w:tcPr>
          <w:p w14:paraId="1655F1D4" w14:textId="43814DE6" w:rsidR="00253043" w:rsidRPr="00253043" w:rsidRDefault="00253043" w:rsidP="00253043">
            <w:pPr>
              <w:jc w:val="center"/>
              <w:rPr>
                <w:sz w:val="22"/>
                <w:szCs w:val="22"/>
              </w:rPr>
            </w:pPr>
            <w:r w:rsidRPr="00253043">
              <w:rPr>
                <w:sz w:val="22"/>
                <w:szCs w:val="22"/>
              </w:rPr>
              <w:t>0.412</w:t>
            </w:r>
          </w:p>
        </w:tc>
      </w:tr>
      <w:tr w:rsidR="00253043" w:rsidRPr="00253043" w14:paraId="39395E31" w14:textId="77777777" w:rsidTr="00C47D84">
        <w:trPr>
          <w:gridAfter w:val="1"/>
          <w:tblCellSpacing w:w="15" w:type="dxa"/>
          <w:jc w:val="center"/>
        </w:trPr>
        <w:tc>
          <w:tcPr>
            <w:tcW w:w="0" w:type="auto"/>
            <w:vAlign w:val="center"/>
            <w:hideMark/>
          </w:tcPr>
          <w:p w14:paraId="63CE52C8" w14:textId="77777777" w:rsidR="00253043" w:rsidRPr="00253043" w:rsidRDefault="00253043" w:rsidP="00253043">
            <w:pPr>
              <w:jc w:val="center"/>
              <w:rPr>
                <w:sz w:val="22"/>
                <w:szCs w:val="22"/>
              </w:rPr>
            </w:pPr>
          </w:p>
        </w:tc>
        <w:tc>
          <w:tcPr>
            <w:tcW w:w="0" w:type="auto"/>
            <w:vAlign w:val="center"/>
            <w:hideMark/>
          </w:tcPr>
          <w:p w14:paraId="7D4AB8F7" w14:textId="77777777" w:rsidR="00253043" w:rsidRPr="00253043" w:rsidRDefault="00253043" w:rsidP="00253043">
            <w:pPr>
              <w:rPr>
                <w:sz w:val="22"/>
                <w:szCs w:val="22"/>
              </w:rPr>
            </w:pPr>
          </w:p>
        </w:tc>
        <w:tc>
          <w:tcPr>
            <w:tcW w:w="0" w:type="auto"/>
            <w:gridSpan w:val="2"/>
            <w:vAlign w:val="center"/>
            <w:hideMark/>
          </w:tcPr>
          <w:p w14:paraId="36A6D4AA" w14:textId="69E1DFAC" w:rsidR="00253043" w:rsidRPr="00253043" w:rsidRDefault="00253043" w:rsidP="00253043">
            <w:pPr>
              <w:jc w:val="center"/>
              <w:rPr>
                <w:sz w:val="22"/>
                <w:szCs w:val="22"/>
              </w:rPr>
            </w:pPr>
            <w:r w:rsidRPr="00253043">
              <w:rPr>
                <w:sz w:val="22"/>
                <w:szCs w:val="22"/>
              </w:rPr>
              <w:t>(1.417)</w:t>
            </w:r>
          </w:p>
        </w:tc>
      </w:tr>
      <w:tr w:rsidR="00253043" w:rsidRPr="00253043" w14:paraId="2823F1DC" w14:textId="77777777" w:rsidTr="00C47D84">
        <w:trPr>
          <w:gridAfter w:val="1"/>
          <w:tblCellSpacing w:w="15" w:type="dxa"/>
          <w:jc w:val="center"/>
        </w:trPr>
        <w:tc>
          <w:tcPr>
            <w:tcW w:w="0" w:type="auto"/>
            <w:vAlign w:val="center"/>
            <w:hideMark/>
          </w:tcPr>
          <w:p w14:paraId="39EB696B" w14:textId="77777777" w:rsidR="00253043" w:rsidRPr="00253043" w:rsidRDefault="00253043" w:rsidP="00253043">
            <w:pPr>
              <w:rPr>
                <w:sz w:val="22"/>
                <w:szCs w:val="22"/>
              </w:rPr>
            </w:pPr>
            <w:r w:rsidRPr="00253043">
              <w:rPr>
                <w:sz w:val="22"/>
                <w:szCs w:val="22"/>
              </w:rPr>
              <w:t>RAR bin 4</w:t>
            </w:r>
          </w:p>
        </w:tc>
        <w:tc>
          <w:tcPr>
            <w:tcW w:w="0" w:type="auto"/>
            <w:vAlign w:val="center"/>
            <w:hideMark/>
          </w:tcPr>
          <w:p w14:paraId="1737F3C8" w14:textId="77777777" w:rsidR="00253043" w:rsidRPr="00253043" w:rsidRDefault="00253043" w:rsidP="00253043">
            <w:pPr>
              <w:rPr>
                <w:sz w:val="22"/>
                <w:szCs w:val="22"/>
              </w:rPr>
            </w:pPr>
          </w:p>
        </w:tc>
        <w:tc>
          <w:tcPr>
            <w:tcW w:w="0" w:type="auto"/>
            <w:gridSpan w:val="2"/>
            <w:vAlign w:val="center"/>
            <w:hideMark/>
          </w:tcPr>
          <w:p w14:paraId="58900530" w14:textId="7D0408F8" w:rsidR="00253043" w:rsidRPr="00253043" w:rsidRDefault="00253043" w:rsidP="00253043">
            <w:pPr>
              <w:jc w:val="center"/>
              <w:rPr>
                <w:sz w:val="22"/>
                <w:szCs w:val="22"/>
              </w:rPr>
            </w:pPr>
            <w:r w:rsidRPr="00253043">
              <w:rPr>
                <w:sz w:val="22"/>
                <w:szCs w:val="22"/>
              </w:rPr>
              <w:t>-0.918</w:t>
            </w:r>
          </w:p>
        </w:tc>
      </w:tr>
      <w:tr w:rsidR="00253043" w:rsidRPr="00253043" w14:paraId="1C8DFFF0" w14:textId="77777777" w:rsidTr="00C47D84">
        <w:trPr>
          <w:gridAfter w:val="1"/>
          <w:tblCellSpacing w:w="15" w:type="dxa"/>
          <w:jc w:val="center"/>
        </w:trPr>
        <w:tc>
          <w:tcPr>
            <w:tcW w:w="0" w:type="auto"/>
            <w:vAlign w:val="center"/>
            <w:hideMark/>
          </w:tcPr>
          <w:p w14:paraId="06023C39" w14:textId="77777777" w:rsidR="00253043" w:rsidRPr="00253043" w:rsidRDefault="00253043" w:rsidP="00253043">
            <w:pPr>
              <w:jc w:val="center"/>
              <w:rPr>
                <w:sz w:val="22"/>
                <w:szCs w:val="22"/>
              </w:rPr>
            </w:pPr>
          </w:p>
        </w:tc>
        <w:tc>
          <w:tcPr>
            <w:tcW w:w="0" w:type="auto"/>
            <w:vAlign w:val="center"/>
            <w:hideMark/>
          </w:tcPr>
          <w:p w14:paraId="1ECD0C22" w14:textId="77777777" w:rsidR="00253043" w:rsidRPr="00253043" w:rsidRDefault="00253043" w:rsidP="00253043">
            <w:pPr>
              <w:rPr>
                <w:sz w:val="22"/>
                <w:szCs w:val="22"/>
              </w:rPr>
            </w:pPr>
          </w:p>
        </w:tc>
        <w:tc>
          <w:tcPr>
            <w:tcW w:w="0" w:type="auto"/>
            <w:gridSpan w:val="2"/>
            <w:vAlign w:val="center"/>
            <w:hideMark/>
          </w:tcPr>
          <w:p w14:paraId="3B573B62" w14:textId="0A042F53" w:rsidR="00253043" w:rsidRPr="00253043" w:rsidRDefault="00253043" w:rsidP="00253043">
            <w:pPr>
              <w:jc w:val="center"/>
              <w:rPr>
                <w:sz w:val="22"/>
                <w:szCs w:val="22"/>
              </w:rPr>
            </w:pPr>
            <w:r w:rsidRPr="00253043">
              <w:rPr>
                <w:sz w:val="22"/>
                <w:szCs w:val="22"/>
              </w:rPr>
              <w:t>(1.363)</w:t>
            </w:r>
          </w:p>
        </w:tc>
      </w:tr>
      <w:tr w:rsidR="00253043" w:rsidRPr="00253043" w14:paraId="3F861F47" w14:textId="77777777" w:rsidTr="00C47D84">
        <w:trPr>
          <w:gridAfter w:val="1"/>
          <w:tblCellSpacing w:w="15" w:type="dxa"/>
          <w:jc w:val="center"/>
        </w:trPr>
        <w:tc>
          <w:tcPr>
            <w:tcW w:w="0" w:type="auto"/>
            <w:vAlign w:val="center"/>
            <w:hideMark/>
          </w:tcPr>
          <w:p w14:paraId="64FE1443" w14:textId="77777777" w:rsidR="00253043" w:rsidRPr="00253043" w:rsidRDefault="00253043" w:rsidP="00253043">
            <w:pPr>
              <w:rPr>
                <w:sz w:val="22"/>
                <w:szCs w:val="22"/>
              </w:rPr>
            </w:pPr>
            <w:r w:rsidRPr="00253043">
              <w:rPr>
                <w:sz w:val="22"/>
                <w:szCs w:val="22"/>
              </w:rPr>
              <w:t>RAR bin 5</w:t>
            </w:r>
          </w:p>
        </w:tc>
        <w:tc>
          <w:tcPr>
            <w:tcW w:w="0" w:type="auto"/>
            <w:vAlign w:val="center"/>
            <w:hideMark/>
          </w:tcPr>
          <w:p w14:paraId="025C2ABB" w14:textId="77777777" w:rsidR="00253043" w:rsidRPr="00253043" w:rsidRDefault="00253043" w:rsidP="00253043">
            <w:pPr>
              <w:rPr>
                <w:sz w:val="22"/>
                <w:szCs w:val="22"/>
              </w:rPr>
            </w:pPr>
          </w:p>
        </w:tc>
        <w:tc>
          <w:tcPr>
            <w:tcW w:w="0" w:type="auto"/>
            <w:gridSpan w:val="2"/>
            <w:vAlign w:val="center"/>
            <w:hideMark/>
          </w:tcPr>
          <w:p w14:paraId="24DFF9FD" w14:textId="32973A1F" w:rsidR="00253043" w:rsidRPr="00253043" w:rsidRDefault="00253043" w:rsidP="00253043">
            <w:pPr>
              <w:jc w:val="center"/>
              <w:rPr>
                <w:sz w:val="22"/>
                <w:szCs w:val="22"/>
              </w:rPr>
            </w:pPr>
            <w:r w:rsidRPr="00253043">
              <w:rPr>
                <w:sz w:val="22"/>
                <w:szCs w:val="22"/>
              </w:rPr>
              <w:t>0.199</w:t>
            </w:r>
          </w:p>
        </w:tc>
      </w:tr>
      <w:tr w:rsidR="00253043" w:rsidRPr="00253043" w14:paraId="1CA40851" w14:textId="77777777" w:rsidTr="00C47D84">
        <w:trPr>
          <w:gridAfter w:val="1"/>
          <w:tblCellSpacing w:w="15" w:type="dxa"/>
          <w:jc w:val="center"/>
        </w:trPr>
        <w:tc>
          <w:tcPr>
            <w:tcW w:w="0" w:type="auto"/>
            <w:vAlign w:val="center"/>
            <w:hideMark/>
          </w:tcPr>
          <w:p w14:paraId="176AB266" w14:textId="77777777" w:rsidR="00253043" w:rsidRPr="00253043" w:rsidRDefault="00253043" w:rsidP="00253043">
            <w:pPr>
              <w:jc w:val="center"/>
              <w:rPr>
                <w:sz w:val="22"/>
                <w:szCs w:val="22"/>
              </w:rPr>
            </w:pPr>
          </w:p>
        </w:tc>
        <w:tc>
          <w:tcPr>
            <w:tcW w:w="0" w:type="auto"/>
            <w:vAlign w:val="center"/>
            <w:hideMark/>
          </w:tcPr>
          <w:p w14:paraId="734AB118" w14:textId="77777777" w:rsidR="00253043" w:rsidRPr="00253043" w:rsidRDefault="00253043" w:rsidP="00253043">
            <w:pPr>
              <w:rPr>
                <w:sz w:val="22"/>
                <w:szCs w:val="22"/>
              </w:rPr>
            </w:pPr>
          </w:p>
        </w:tc>
        <w:tc>
          <w:tcPr>
            <w:tcW w:w="0" w:type="auto"/>
            <w:gridSpan w:val="2"/>
            <w:vAlign w:val="center"/>
            <w:hideMark/>
          </w:tcPr>
          <w:p w14:paraId="1378CED9" w14:textId="2992F522" w:rsidR="00253043" w:rsidRPr="00253043" w:rsidRDefault="00253043" w:rsidP="00253043">
            <w:pPr>
              <w:jc w:val="center"/>
              <w:rPr>
                <w:sz w:val="22"/>
                <w:szCs w:val="22"/>
              </w:rPr>
            </w:pPr>
            <w:r w:rsidRPr="00253043">
              <w:rPr>
                <w:sz w:val="22"/>
                <w:szCs w:val="22"/>
              </w:rPr>
              <w:t>(1.392)</w:t>
            </w:r>
          </w:p>
        </w:tc>
      </w:tr>
      <w:tr w:rsidR="00253043" w:rsidRPr="00253043" w14:paraId="4AB99C48" w14:textId="77777777" w:rsidTr="00C47D84">
        <w:trPr>
          <w:gridAfter w:val="1"/>
          <w:tblCellSpacing w:w="15" w:type="dxa"/>
          <w:jc w:val="center"/>
        </w:trPr>
        <w:tc>
          <w:tcPr>
            <w:tcW w:w="0" w:type="auto"/>
            <w:vAlign w:val="center"/>
            <w:hideMark/>
          </w:tcPr>
          <w:p w14:paraId="047C4FA1" w14:textId="77777777" w:rsidR="00253043" w:rsidRPr="00253043" w:rsidRDefault="00253043" w:rsidP="00253043">
            <w:pPr>
              <w:rPr>
                <w:sz w:val="22"/>
                <w:szCs w:val="22"/>
              </w:rPr>
            </w:pPr>
            <w:r w:rsidRPr="00253043">
              <w:rPr>
                <w:sz w:val="22"/>
                <w:szCs w:val="22"/>
              </w:rPr>
              <w:t>RAR bin 6</w:t>
            </w:r>
          </w:p>
        </w:tc>
        <w:tc>
          <w:tcPr>
            <w:tcW w:w="0" w:type="auto"/>
            <w:vAlign w:val="center"/>
            <w:hideMark/>
          </w:tcPr>
          <w:p w14:paraId="3007919B" w14:textId="77777777" w:rsidR="00253043" w:rsidRPr="00253043" w:rsidRDefault="00253043" w:rsidP="00253043">
            <w:pPr>
              <w:rPr>
                <w:sz w:val="22"/>
                <w:szCs w:val="22"/>
              </w:rPr>
            </w:pPr>
          </w:p>
        </w:tc>
        <w:tc>
          <w:tcPr>
            <w:tcW w:w="0" w:type="auto"/>
            <w:gridSpan w:val="2"/>
            <w:vAlign w:val="center"/>
            <w:hideMark/>
          </w:tcPr>
          <w:p w14:paraId="2D69B10A" w14:textId="07138422" w:rsidR="00253043" w:rsidRPr="00253043" w:rsidRDefault="00253043" w:rsidP="00253043">
            <w:pPr>
              <w:jc w:val="center"/>
              <w:rPr>
                <w:sz w:val="22"/>
                <w:szCs w:val="22"/>
              </w:rPr>
            </w:pPr>
            <w:r w:rsidRPr="00253043">
              <w:rPr>
                <w:sz w:val="22"/>
                <w:szCs w:val="22"/>
              </w:rPr>
              <w:t>0.006</w:t>
            </w:r>
          </w:p>
        </w:tc>
      </w:tr>
      <w:tr w:rsidR="00253043" w:rsidRPr="00253043" w14:paraId="320D7C4D" w14:textId="77777777" w:rsidTr="00C47D84">
        <w:trPr>
          <w:gridAfter w:val="1"/>
          <w:tblCellSpacing w:w="15" w:type="dxa"/>
          <w:jc w:val="center"/>
        </w:trPr>
        <w:tc>
          <w:tcPr>
            <w:tcW w:w="0" w:type="auto"/>
            <w:vAlign w:val="center"/>
            <w:hideMark/>
          </w:tcPr>
          <w:p w14:paraId="4DAD5337" w14:textId="77777777" w:rsidR="00253043" w:rsidRPr="00253043" w:rsidRDefault="00253043" w:rsidP="00253043">
            <w:pPr>
              <w:jc w:val="center"/>
              <w:rPr>
                <w:sz w:val="22"/>
                <w:szCs w:val="22"/>
              </w:rPr>
            </w:pPr>
          </w:p>
        </w:tc>
        <w:tc>
          <w:tcPr>
            <w:tcW w:w="0" w:type="auto"/>
            <w:vAlign w:val="center"/>
            <w:hideMark/>
          </w:tcPr>
          <w:p w14:paraId="0D5E55C0" w14:textId="77777777" w:rsidR="00253043" w:rsidRPr="00253043" w:rsidRDefault="00253043" w:rsidP="00253043">
            <w:pPr>
              <w:rPr>
                <w:sz w:val="22"/>
                <w:szCs w:val="22"/>
              </w:rPr>
            </w:pPr>
          </w:p>
        </w:tc>
        <w:tc>
          <w:tcPr>
            <w:tcW w:w="0" w:type="auto"/>
            <w:gridSpan w:val="2"/>
            <w:vAlign w:val="center"/>
            <w:hideMark/>
          </w:tcPr>
          <w:p w14:paraId="770C6862" w14:textId="095DA4BE" w:rsidR="00253043" w:rsidRPr="00253043" w:rsidRDefault="00253043" w:rsidP="00253043">
            <w:pPr>
              <w:jc w:val="center"/>
              <w:rPr>
                <w:sz w:val="22"/>
                <w:szCs w:val="22"/>
              </w:rPr>
            </w:pPr>
            <w:r w:rsidRPr="00253043">
              <w:rPr>
                <w:sz w:val="22"/>
                <w:szCs w:val="22"/>
              </w:rPr>
              <w:t>(1.369)</w:t>
            </w:r>
          </w:p>
        </w:tc>
      </w:tr>
      <w:tr w:rsidR="00253043" w:rsidRPr="00253043" w14:paraId="5F0C75C5" w14:textId="77777777" w:rsidTr="00C47D84">
        <w:trPr>
          <w:gridAfter w:val="1"/>
          <w:tblCellSpacing w:w="15" w:type="dxa"/>
          <w:jc w:val="center"/>
        </w:trPr>
        <w:tc>
          <w:tcPr>
            <w:tcW w:w="0" w:type="auto"/>
            <w:vAlign w:val="center"/>
            <w:hideMark/>
          </w:tcPr>
          <w:p w14:paraId="526BAC78" w14:textId="77777777" w:rsidR="00253043" w:rsidRPr="00253043" w:rsidRDefault="00253043" w:rsidP="00253043">
            <w:pPr>
              <w:rPr>
                <w:sz w:val="22"/>
                <w:szCs w:val="22"/>
              </w:rPr>
            </w:pPr>
            <w:r w:rsidRPr="00253043">
              <w:rPr>
                <w:sz w:val="22"/>
                <w:szCs w:val="22"/>
              </w:rPr>
              <w:t>RAR bin 7</w:t>
            </w:r>
          </w:p>
        </w:tc>
        <w:tc>
          <w:tcPr>
            <w:tcW w:w="0" w:type="auto"/>
            <w:vAlign w:val="center"/>
            <w:hideMark/>
          </w:tcPr>
          <w:p w14:paraId="07C4678A" w14:textId="77777777" w:rsidR="00253043" w:rsidRPr="00253043" w:rsidRDefault="00253043" w:rsidP="00253043">
            <w:pPr>
              <w:rPr>
                <w:sz w:val="22"/>
                <w:szCs w:val="22"/>
              </w:rPr>
            </w:pPr>
          </w:p>
        </w:tc>
        <w:tc>
          <w:tcPr>
            <w:tcW w:w="0" w:type="auto"/>
            <w:gridSpan w:val="2"/>
            <w:vAlign w:val="center"/>
            <w:hideMark/>
          </w:tcPr>
          <w:p w14:paraId="14C4DAD9" w14:textId="6BD55B96" w:rsidR="00253043" w:rsidRPr="00253043" w:rsidRDefault="00253043" w:rsidP="00253043">
            <w:pPr>
              <w:jc w:val="center"/>
              <w:rPr>
                <w:sz w:val="22"/>
                <w:szCs w:val="22"/>
              </w:rPr>
            </w:pPr>
            <w:r w:rsidRPr="00253043">
              <w:rPr>
                <w:sz w:val="22"/>
                <w:szCs w:val="22"/>
              </w:rPr>
              <w:t>-0.659</w:t>
            </w:r>
          </w:p>
        </w:tc>
      </w:tr>
      <w:tr w:rsidR="00253043" w:rsidRPr="00253043" w14:paraId="07C35965" w14:textId="77777777" w:rsidTr="00C47D84">
        <w:trPr>
          <w:gridAfter w:val="1"/>
          <w:tblCellSpacing w:w="15" w:type="dxa"/>
          <w:jc w:val="center"/>
        </w:trPr>
        <w:tc>
          <w:tcPr>
            <w:tcW w:w="0" w:type="auto"/>
            <w:vAlign w:val="center"/>
            <w:hideMark/>
          </w:tcPr>
          <w:p w14:paraId="7C0EF695" w14:textId="77777777" w:rsidR="00253043" w:rsidRPr="00253043" w:rsidRDefault="00253043" w:rsidP="00253043">
            <w:pPr>
              <w:jc w:val="center"/>
              <w:rPr>
                <w:sz w:val="22"/>
                <w:szCs w:val="22"/>
              </w:rPr>
            </w:pPr>
          </w:p>
        </w:tc>
        <w:tc>
          <w:tcPr>
            <w:tcW w:w="0" w:type="auto"/>
            <w:vAlign w:val="center"/>
            <w:hideMark/>
          </w:tcPr>
          <w:p w14:paraId="6516A12C" w14:textId="77777777" w:rsidR="00253043" w:rsidRPr="00253043" w:rsidRDefault="00253043" w:rsidP="00253043">
            <w:pPr>
              <w:rPr>
                <w:sz w:val="22"/>
                <w:szCs w:val="22"/>
              </w:rPr>
            </w:pPr>
          </w:p>
        </w:tc>
        <w:tc>
          <w:tcPr>
            <w:tcW w:w="0" w:type="auto"/>
            <w:gridSpan w:val="2"/>
            <w:vAlign w:val="center"/>
            <w:hideMark/>
          </w:tcPr>
          <w:p w14:paraId="3031F651" w14:textId="4D7B9330" w:rsidR="00253043" w:rsidRPr="00253043" w:rsidRDefault="00253043" w:rsidP="00253043">
            <w:pPr>
              <w:jc w:val="center"/>
              <w:rPr>
                <w:sz w:val="22"/>
                <w:szCs w:val="22"/>
              </w:rPr>
            </w:pPr>
            <w:r w:rsidRPr="00253043">
              <w:rPr>
                <w:sz w:val="22"/>
                <w:szCs w:val="22"/>
              </w:rPr>
              <w:t>(1.315)</w:t>
            </w:r>
          </w:p>
        </w:tc>
      </w:tr>
      <w:tr w:rsidR="00253043" w:rsidRPr="00253043" w14:paraId="3A7A193F" w14:textId="77777777" w:rsidTr="00C47D84">
        <w:trPr>
          <w:gridAfter w:val="1"/>
          <w:tblCellSpacing w:w="15" w:type="dxa"/>
          <w:jc w:val="center"/>
        </w:trPr>
        <w:tc>
          <w:tcPr>
            <w:tcW w:w="0" w:type="auto"/>
            <w:vAlign w:val="center"/>
            <w:hideMark/>
          </w:tcPr>
          <w:p w14:paraId="3E78DA4C" w14:textId="77777777" w:rsidR="00253043" w:rsidRPr="00253043" w:rsidRDefault="00253043" w:rsidP="00253043">
            <w:pPr>
              <w:rPr>
                <w:sz w:val="22"/>
                <w:szCs w:val="22"/>
              </w:rPr>
            </w:pPr>
            <w:r w:rsidRPr="00253043">
              <w:rPr>
                <w:sz w:val="22"/>
                <w:szCs w:val="22"/>
              </w:rPr>
              <w:t>RAR bin 8</w:t>
            </w:r>
          </w:p>
        </w:tc>
        <w:tc>
          <w:tcPr>
            <w:tcW w:w="0" w:type="auto"/>
            <w:vAlign w:val="center"/>
            <w:hideMark/>
          </w:tcPr>
          <w:p w14:paraId="3D5B6E06" w14:textId="77777777" w:rsidR="00253043" w:rsidRPr="00253043" w:rsidRDefault="00253043" w:rsidP="00253043">
            <w:pPr>
              <w:rPr>
                <w:sz w:val="22"/>
                <w:szCs w:val="22"/>
              </w:rPr>
            </w:pPr>
          </w:p>
        </w:tc>
        <w:tc>
          <w:tcPr>
            <w:tcW w:w="0" w:type="auto"/>
            <w:gridSpan w:val="2"/>
            <w:vAlign w:val="center"/>
            <w:hideMark/>
          </w:tcPr>
          <w:p w14:paraId="7798C2E7" w14:textId="2B270D1A" w:rsidR="00253043" w:rsidRPr="00253043" w:rsidRDefault="00253043" w:rsidP="00253043">
            <w:pPr>
              <w:jc w:val="center"/>
              <w:rPr>
                <w:sz w:val="22"/>
                <w:szCs w:val="22"/>
              </w:rPr>
            </w:pPr>
            <w:r w:rsidRPr="00253043">
              <w:rPr>
                <w:sz w:val="22"/>
                <w:szCs w:val="22"/>
              </w:rPr>
              <w:t>0.732</w:t>
            </w:r>
          </w:p>
        </w:tc>
      </w:tr>
      <w:tr w:rsidR="00253043" w:rsidRPr="00253043" w14:paraId="632177C3" w14:textId="77777777" w:rsidTr="00C47D84">
        <w:trPr>
          <w:gridAfter w:val="1"/>
          <w:tblCellSpacing w:w="15" w:type="dxa"/>
          <w:jc w:val="center"/>
        </w:trPr>
        <w:tc>
          <w:tcPr>
            <w:tcW w:w="0" w:type="auto"/>
            <w:vAlign w:val="center"/>
            <w:hideMark/>
          </w:tcPr>
          <w:p w14:paraId="79274D24" w14:textId="77777777" w:rsidR="00253043" w:rsidRPr="00253043" w:rsidRDefault="00253043" w:rsidP="00253043">
            <w:pPr>
              <w:jc w:val="center"/>
              <w:rPr>
                <w:sz w:val="22"/>
                <w:szCs w:val="22"/>
              </w:rPr>
            </w:pPr>
          </w:p>
        </w:tc>
        <w:tc>
          <w:tcPr>
            <w:tcW w:w="0" w:type="auto"/>
            <w:vAlign w:val="center"/>
            <w:hideMark/>
          </w:tcPr>
          <w:p w14:paraId="73C75450" w14:textId="77777777" w:rsidR="00253043" w:rsidRPr="00253043" w:rsidRDefault="00253043" w:rsidP="00253043">
            <w:pPr>
              <w:rPr>
                <w:sz w:val="22"/>
                <w:szCs w:val="22"/>
              </w:rPr>
            </w:pPr>
          </w:p>
        </w:tc>
        <w:tc>
          <w:tcPr>
            <w:tcW w:w="0" w:type="auto"/>
            <w:gridSpan w:val="2"/>
            <w:vAlign w:val="center"/>
            <w:hideMark/>
          </w:tcPr>
          <w:p w14:paraId="40FA732E" w14:textId="54426BC7" w:rsidR="00253043" w:rsidRPr="00253043" w:rsidRDefault="00253043" w:rsidP="00253043">
            <w:pPr>
              <w:jc w:val="center"/>
              <w:rPr>
                <w:sz w:val="22"/>
                <w:szCs w:val="22"/>
              </w:rPr>
            </w:pPr>
            <w:r w:rsidRPr="00253043">
              <w:rPr>
                <w:sz w:val="22"/>
                <w:szCs w:val="22"/>
              </w:rPr>
              <w:t>(1.906)</w:t>
            </w:r>
          </w:p>
        </w:tc>
      </w:tr>
      <w:tr w:rsidR="00253043" w:rsidRPr="00253043" w14:paraId="699B6314" w14:textId="77777777" w:rsidTr="00C47D84">
        <w:trPr>
          <w:gridAfter w:val="1"/>
          <w:tblCellSpacing w:w="15" w:type="dxa"/>
          <w:jc w:val="center"/>
        </w:trPr>
        <w:tc>
          <w:tcPr>
            <w:tcW w:w="0" w:type="auto"/>
            <w:vAlign w:val="center"/>
            <w:hideMark/>
          </w:tcPr>
          <w:p w14:paraId="4ACE0DC1" w14:textId="77777777" w:rsidR="00253043" w:rsidRPr="00253043" w:rsidRDefault="00253043" w:rsidP="00253043">
            <w:pPr>
              <w:rPr>
                <w:sz w:val="22"/>
                <w:szCs w:val="22"/>
              </w:rPr>
            </w:pPr>
            <w:r w:rsidRPr="00253043">
              <w:rPr>
                <w:sz w:val="22"/>
                <w:szCs w:val="22"/>
              </w:rPr>
              <w:t>RAR bin 9</w:t>
            </w:r>
          </w:p>
        </w:tc>
        <w:tc>
          <w:tcPr>
            <w:tcW w:w="0" w:type="auto"/>
            <w:vAlign w:val="center"/>
            <w:hideMark/>
          </w:tcPr>
          <w:p w14:paraId="5DF286BE" w14:textId="77777777" w:rsidR="00253043" w:rsidRPr="00253043" w:rsidRDefault="00253043" w:rsidP="00253043">
            <w:pPr>
              <w:rPr>
                <w:sz w:val="22"/>
                <w:szCs w:val="22"/>
              </w:rPr>
            </w:pPr>
          </w:p>
        </w:tc>
        <w:tc>
          <w:tcPr>
            <w:tcW w:w="0" w:type="auto"/>
            <w:gridSpan w:val="2"/>
            <w:vAlign w:val="center"/>
            <w:hideMark/>
          </w:tcPr>
          <w:p w14:paraId="3C281ADD" w14:textId="58AF0173" w:rsidR="00253043" w:rsidRPr="00253043" w:rsidRDefault="00253043" w:rsidP="00253043">
            <w:pPr>
              <w:jc w:val="center"/>
              <w:rPr>
                <w:sz w:val="22"/>
                <w:szCs w:val="22"/>
              </w:rPr>
            </w:pPr>
            <w:r w:rsidRPr="00253043">
              <w:rPr>
                <w:sz w:val="22"/>
                <w:szCs w:val="22"/>
              </w:rPr>
              <w:t>-1.034</w:t>
            </w:r>
          </w:p>
        </w:tc>
      </w:tr>
      <w:tr w:rsidR="00253043" w:rsidRPr="00253043" w14:paraId="44D9BE23" w14:textId="77777777" w:rsidTr="00C47D84">
        <w:trPr>
          <w:gridAfter w:val="1"/>
          <w:tblCellSpacing w:w="15" w:type="dxa"/>
          <w:jc w:val="center"/>
        </w:trPr>
        <w:tc>
          <w:tcPr>
            <w:tcW w:w="0" w:type="auto"/>
            <w:vAlign w:val="center"/>
            <w:hideMark/>
          </w:tcPr>
          <w:p w14:paraId="0934EB75" w14:textId="77777777" w:rsidR="00253043" w:rsidRPr="00253043" w:rsidRDefault="00253043" w:rsidP="00253043">
            <w:pPr>
              <w:jc w:val="center"/>
              <w:rPr>
                <w:sz w:val="22"/>
                <w:szCs w:val="22"/>
              </w:rPr>
            </w:pPr>
          </w:p>
        </w:tc>
        <w:tc>
          <w:tcPr>
            <w:tcW w:w="0" w:type="auto"/>
            <w:vAlign w:val="center"/>
            <w:hideMark/>
          </w:tcPr>
          <w:p w14:paraId="4E399E47" w14:textId="77777777" w:rsidR="00253043" w:rsidRPr="00253043" w:rsidRDefault="00253043" w:rsidP="00253043">
            <w:pPr>
              <w:rPr>
                <w:sz w:val="22"/>
                <w:szCs w:val="22"/>
              </w:rPr>
            </w:pPr>
          </w:p>
        </w:tc>
        <w:tc>
          <w:tcPr>
            <w:tcW w:w="0" w:type="auto"/>
            <w:gridSpan w:val="2"/>
            <w:vAlign w:val="center"/>
            <w:hideMark/>
          </w:tcPr>
          <w:p w14:paraId="1379DB2B" w14:textId="01016151" w:rsidR="00253043" w:rsidRPr="00253043" w:rsidRDefault="00253043" w:rsidP="00253043">
            <w:pPr>
              <w:jc w:val="center"/>
              <w:rPr>
                <w:sz w:val="22"/>
                <w:szCs w:val="22"/>
              </w:rPr>
            </w:pPr>
            <w:r w:rsidRPr="00253043">
              <w:rPr>
                <w:sz w:val="22"/>
                <w:szCs w:val="22"/>
              </w:rPr>
              <w:t>(1.815)</w:t>
            </w:r>
          </w:p>
        </w:tc>
      </w:tr>
      <w:tr w:rsidR="00253043" w:rsidRPr="00253043" w14:paraId="17A1ABF7" w14:textId="77777777" w:rsidTr="00C47D84">
        <w:trPr>
          <w:gridAfter w:val="1"/>
          <w:tblCellSpacing w:w="15" w:type="dxa"/>
          <w:jc w:val="center"/>
        </w:trPr>
        <w:tc>
          <w:tcPr>
            <w:tcW w:w="0" w:type="auto"/>
            <w:vAlign w:val="center"/>
            <w:hideMark/>
          </w:tcPr>
          <w:p w14:paraId="10F57B82" w14:textId="77777777" w:rsidR="00253043" w:rsidRPr="00253043" w:rsidRDefault="00253043" w:rsidP="00253043">
            <w:pPr>
              <w:rPr>
                <w:sz w:val="22"/>
                <w:szCs w:val="22"/>
              </w:rPr>
            </w:pPr>
            <w:r w:rsidRPr="00253043">
              <w:rPr>
                <w:sz w:val="22"/>
                <w:szCs w:val="22"/>
              </w:rPr>
              <w:t>RAR bin 10</w:t>
            </w:r>
          </w:p>
        </w:tc>
        <w:tc>
          <w:tcPr>
            <w:tcW w:w="0" w:type="auto"/>
            <w:vAlign w:val="center"/>
            <w:hideMark/>
          </w:tcPr>
          <w:p w14:paraId="348FD397" w14:textId="77777777" w:rsidR="00253043" w:rsidRPr="00253043" w:rsidRDefault="00253043" w:rsidP="00253043">
            <w:pPr>
              <w:rPr>
                <w:sz w:val="22"/>
                <w:szCs w:val="22"/>
              </w:rPr>
            </w:pPr>
          </w:p>
        </w:tc>
        <w:tc>
          <w:tcPr>
            <w:tcW w:w="0" w:type="auto"/>
            <w:gridSpan w:val="2"/>
            <w:vAlign w:val="center"/>
            <w:hideMark/>
          </w:tcPr>
          <w:p w14:paraId="0CB50586" w14:textId="4E0AB4DA" w:rsidR="00253043" w:rsidRPr="00253043" w:rsidRDefault="00253043" w:rsidP="00253043">
            <w:pPr>
              <w:jc w:val="center"/>
              <w:rPr>
                <w:sz w:val="22"/>
                <w:szCs w:val="22"/>
              </w:rPr>
            </w:pPr>
            <w:r w:rsidRPr="00253043">
              <w:rPr>
                <w:sz w:val="22"/>
                <w:szCs w:val="22"/>
              </w:rPr>
              <w:t>-1.335</w:t>
            </w:r>
          </w:p>
        </w:tc>
      </w:tr>
      <w:tr w:rsidR="00253043" w:rsidRPr="00253043" w14:paraId="689499F8" w14:textId="77777777" w:rsidTr="00C47D84">
        <w:trPr>
          <w:gridAfter w:val="1"/>
          <w:tblCellSpacing w:w="15" w:type="dxa"/>
          <w:jc w:val="center"/>
        </w:trPr>
        <w:tc>
          <w:tcPr>
            <w:tcW w:w="0" w:type="auto"/>
            <w:vAlign w:val="center"/>
            <w:hideMark/>
          </w:tcPr>
          <w:p w14:paraId="304EE4BE" w14:textId="77777777" w:rsidR="00253043" w:rsidRPr="00253043" w:rsidRDefault="00253043" w:rsidP="00253043">
            <w:pPr>
              <w:jc w:val="center"/>
              <w:rPr>
                <w:sz w:val="22"/>
                <w:szCs w:val="22"/>
              </w:rPr>
            </w:pPr>
          </w:p>
        </w:tc>
        <w:tc>
          <w:tcPr>
            <w:tcW w:w="0" w:type="auto"/>
            <w:vAlign w:val="center"/>
            <w:hideMark/>
          </w:tcPr>
          <w:p w14:paraId="5DAA27D6" w14:textId="77777777" w:rsidR="00253043" w:rsidRPr="00253043" w:rsidRDefault="00253043" w:rsidP="00253043">
            <w:pPr>
              <w:rPr>
                <w:sz w:val="22"/>
                <w:szCs w:val="22"/>
              </w:rPr>
            </w:pPr>
          </w:p>
        </w:tc>
        <w:tc>
          <w:tcPr>
            <w:tcW w:w="0" w:type="auto"/>
            <w:gridSpan w:val="2"/>
            <w:vAlign w:val="center"/>
            <w:hideMark/>
          </w:tcPr>
          <w:p w14:paraId="63C71C46" w14:textId="381203DA" w:rsidR="00253043" w:rsidRPr="00253043" w:rsidRDefault="00253043" w:rsidP="00253043">
            <w:pPr>
              <w:jc w:val="center"/>
              <w:rPr>
                <w:sz w:val="22"/>
                <w:szCs w:val="22"/>
              </w:rPr>
            </w:pPr>
            <w:r w:rsidRPr="00253043">
              <w:rPr>
                <w:sz w:val="22"/>
                <w:szCs w:val="22"/>
              </w:rPr>
              <w:t>(1.706)</w:t>
            </w:r>
          </w:p>
        </w:tc>
      </w:tr>
      <w:tr w:rsidR="00253043" w:rsidRPr="00253043" w14:paraId="5624878F" w14:textId="77777777" w:rsidTr="00C47D84">
        <w:trPr>
          <w:gridAfter w:val="1"/>
          <w:tblCellSpacing w:w="15" w:type="dxa"/>
          <w:jc w:val="center"/>
        </w:trPr>
        <w:tc>
          <w:tcPr>
            <w:tcW w:w="0" w:type="auto"/>
            <w:vAlign w:val="center"/>
            <w:hideMark/>
          </w:tcPr>
          <w:p w14:paraId="2E2F5889" w14:textId="77777777" w:rsidR="00253043" w:rsidRPr="00253043" w:rsidRDefault="00253043" w:rsidP="00253043">
            <w:pPr>
              <w:rPr>
                <w:sz w:val="22"/>
                <w:szCs w:val="22"/>
              </w:rPr>
            </w:pPr>
            <w:r w:rsidRPr="00253043">
              <w:rPr>
                <w:sz w:val="22"/>
                <w:szCs w:val="22"/>
              </w:rPr>
              <w:t>Treatment (relative to baseline)</w:t>
            </w:r>
          </w:p>
        </w:tc>
        <w:tc>
          <w:tcPr>
            <w:tcW w:w="0" w:type="auto"/>
            <w:vAlign w:val="center"/>
            <w:hideMark/>
          </w:tcPr>
          <w:p w14:paraId="696458C8" w14:textId="4A0D29D3" w:rsidR="00253043" w:rsidRPr="00253043" w:rsidRDefault="00253043" w:rsidP="00253043">
            <w:pPr>
              <w:jc w:val="center"/>
              <w:rPr>
                <w:sz w:val="22"/>
                <w:szCs w:val="22"/>
              </w:rPr>
            </w:pPr>
            <w:r w:rsidRPr="00253043">
              <w:rPr>
                <w:sz w:val="22"/>
                <w:szCs w:val="22"/>
              </w:rPr>
              <w:t>0.490</w:t>
            </w:r>
          </w:p>
        </w:tc>
        <w:tc>
          <w:tcPr>
            <w:tcW w:w="0" w:type="auto"/>
            <w:gridSpan w:val="2"/>
            <w:vAlign w:val="center"/>
            <w:hideMark/>
          </w:tcPr>
          <w:p w14:paraId="49AEE8C4" w14:textId="04CE922D" w:rsidR="00253043" w:rsidRPr="00253043" w:rsidRDefault="00253043" w:rsidP="00253043">
            <w:pPr>
              <w:jc w:val="center"/>
              <w:rPr>
                <w:sz w:val="22"/>
                <w:szCs w:val="22"/>
              </w:rPr>
            </w:pPr>
            <w:r w:rsidRPr="00253043">
              <w:rPr>
                <w:sz w:val="22"/>
                <w:szCs w:val="22"/>
              </w:rPr>
              <w:t>-1.167</w:t>
            </w:r>
          </w:p>
        </w:tc>
      </w:tr>
      <w:tr w:rsidR="00253043" w:rsidRPr="00253043" w14:paraId="139646C9" w14:textId="77777777" w:rsidTr="00C47D84">
        <w:trPr>
          <w:gridAfter w:val="1"/>
          <w:tblCellSpacing w:w="15" w:type="dxa"/>
          <w:jc w:val="center"/>
        </w:trPr>
        <w:tc>
          <w:tcPr>
            <w:tcW w:w="0" w:type="auto"/>
            <w:vAlign w:val="center"/>
            <w:hideMark/>
          </w:tcPr>
          <w:p w14:paraId="5271696A" w14:textId="77777777" w:rsidR="00253043" w:rsidRPr="00253043" w:rsidRDefault="00253043" w:rsidP="00253043">
            <w:pPr>
              <w:jc w:val="center"/>
              <w:rPr>
                <w:sz w:val="22"/>
                <w:szCs w:val="22"/>
              </w:rPr>
            </w:pPr>
          </w:p>
        </w:tc>
        <w:tc>
          <w:tcPr>
            <w:tcW w:w="0" w:type="auto"/>
            <w:vAlign w:val="center"/>
            <w:hideMark/>
          </w:tcPr>
          <w:p w14:paraId="63E5F9FF" w14:textId="0A369CBE" w:rsidR="00253043" w:rsidRPr="00253043" w:rsidRDefault="00253043" w:rsidP="00253043">
            <w:pPr>
              <w:jc w:val="center"/>
              <w:rPr>
                <w:sz w:val="22"/>
                <w:szCs w:val="22"/>
              </w:rPr>
            </w:pPr>
            <w:r w:rsidRPr="00253043">
              <w:rPr>
                <w:sz w:val="22"/>
                <w:szCs w:val="22"/>
              </w:rPr>
              <w:t>(0.336)</w:t>
            </w:r>
          </w:p>
        </w:tc>
        <w:tc>
          <w:tcPr>
            <w:tcW w:w="0" w:type="auto"/>
            <w:gridSpan w:val="2"/>
            <w:vAlign w:val="center"/>
            <w:hideMark/>
          </w:tcPr>
          <w:p w14:paraId="08B49A76" w14:textId="4EBDC2C7" w:rsidR="00253043" w:rsidRPr="00253043" w:rsidRDefault="00253043" w:rsidP="00253043">
            <w:pPr>
              <w:jc w:val="center"/>
              <w:rPr>
                <w:sz w:val="22"/>
                <w:szCs w:val="22"/>
              </w:rPr>
            </w:pPr>
            <w:r w:rsidRPr="00253043">
              <w:rPr>
                <w:sz w:val="22"/>
                <w:szCs w:val="22"/>
              </w:rPr>
              <w:t>(1.315)</w:t>
            </w:r>
          </w:p>
        </w:tc>
      </w:tr>
      <w:tr w:rsidR="00253043" w:rsidRPr="00253043" w14:paraId="61464CC0" w14:textId="77777777" w:rsidTr="00C47D84">
        <w:trPr>
          <w:gridAfter w:val="1"/>
          <w:tblCellSpacing w:w="15" w:type="dxa"/>
          <w:jc w:val="center"/>
        </w:trPr>
        <w:tc>
          <w:tcPr>
            <w:tcW w:w="0" w:type="auto"/>
            <w:vAlign w:val="center"/>
            <w:hideMark/>
          </w:tcPr>
          <w:p w14:paraId="07263D0D" w14:textId="77777777" w:rsidR="00253043" w:rsidRPr="00253043" w:rsidRDefault="00253043" w:rsidP="00253043">
            <w:pPr>
              <w:rPr>
                <w:sz w:val="22"/>
                <w:szCs w:val="22"/>
              </w:rPr>
            </w:pPr>
            <w:r w:rsidRPr="00253043">
              <w:rPr>
                <w:sz w:val="22"/>
                <w:szCs w:val="22"/>
              </w:rPr>
              <w:t>Treatment * RAR bin 2</w:t>
            </w:r>
          </w:p>
        </w:tc>
        <w:tc>
          <w:tcPr>
            <w:tcW w:w="0" w:type="auto"/>
            <w:vAlign w:val="center"/>
            <w:hideMark/>
          </w:tcPr>
          <w:p w14:paraId="6100DFC1" w14:textId="77777777" w:rsidR="00253043" w:rsidRPr="00253043" w:rsidRDefault="00253043" w:rsidP="00253043">
            <w:pPr>
              <w:rPr>
                <w:sz w:val="22"/>
                <w:szCs w:val="22"/>
              </w:rPr>
            </w:pPr>
          </w:p>
        </w:tc>
        <w:tc>
          <w:tcPr>
            <w:tcW w:w="0" w:type="auto"/>
            <w:gridSpan w:val="2"/>
            <w:vAlign w:val="center"/>
            <w:hideMark/>
          </w:tcPr>
          <w:p w14:paraId="7994EC9D" w14:textId="7726C578" w:rsidR="00253043" w:rsidRPr="00253043" w:rsidRDefault="00253043" w:rsidP="00253043">
            <w:pPr>
              <w:jc w:val="center"/>
              <w:rPr>
                <w:sz w:val="22"/>
                <w:szCs w:val="22"/>
              </w:rPr>
            </w:pPr>
            <w:r w:rsidRPr="00253043">
              <w:rPr>
                <w:sz w:val="22"/>
                <w:szCs w:val="22"/>
              </w:rPr>
              <w:t>0.938</w:t>
            </w:r>
          </w:p>
        </w:tc>
      </w:tr>
      <w:tr w:rsidR="00253043" w:rsidRPr="00253043" w14:paraId="5E4236C4" w14:textId="77777777" w:rsidTr="00C47D84">
        <w:trPr>
          <w:gridAfter w:val="1"/>
          <w:tblCellSpacing w:w="15" w:type="dxa"/>
          <w:jc w:val="center"/>
        </w:trPr>
        <w:tc>
          <w:tcPr>
            <w:tcW w:w="0" w:type="auto"/>
            <w:vAlign w:val="center"/>
            <w:hideMark/>
          </w:tcPr>
          <w:p w14:paraId="60FB5C8E" w14:textId="77777777" w:rsidR="00253043" w:rsidRPr="00253043" w:rsidRDefault="00253043" w:rsidP="00253043">
            <w:pPr>
              <w:jc w:val="center"/>
              <w:rPr>
                <w:sz w:val="22"/>
                <w:szCs w:val="22"/>
              </w:rPr>
            </w:pPr>
          </w:p>
        </w:tc>
        <w:tc>
          <w:tcPr>
            <w:tcW w:w="0" w:type="auto"/>
            <w:vAlign w:val="center"/>
            <w:hideMark/>
          </w:tcPr>
          <w:p w14:paraId="261AA8A0" w14:textId="77777777" w:rsidR="00253043" w:rsidRPr="00253043" w:rsidRDefault="00253043" w:rsidP="00253043">
            <w:pPr>
              <w:rPr>
                <w:sz w:val="22"/>
                <w:szCs w:val="22"/>
              </w:rPr>
            </w:pPr>
          </w:p>
        </w:tc>
        <w:tc>
          <w:tcPr>
            <w:tcW w:w="0" w:type="auto"/>
            <w:gridSpan w:val="2"/>
            <w:vAlign w:val="center"/>
            <w:hideMark/>
          </w:tcPr>
          <w:p w14:paraId="67C3D152" w14:textId="377BF541" w:rsidR="00253043" w:rsidRPr="00253043" w:rsidRDefault="00253043" w:rsidP="00253043">
            <w:pPr>
              <w:jc w:val="center"/>
              <w:rPr>
                <w:sz w:val="22"/>
                <w:szCs w:val="22"/>
              </w:rPr>
            </w:pPr>
            <w:r w:rsidRPr="00253043">
              <w:rPr>
                <w:sz w:val="22"/>
                <w:szCs w:val="22"/>
              </w:rPr>
              <w:t>(1.733)</w:t>
            </w:r>
          </w:p>
        </w:tc>
      </w:tr>
      <w:tr w:rsidR="00253043" w:rsidRPr="00253043" w14:paraId="31EDD025" w14:textId="77777777" w:rsidTr="00C47D84">
        <w:trPr>
          <w:gridAfter w:val="1"/>
          <w:tblCellSpacing w:w="15" w:type="dxa"/>
          <w:jc w:val="center"/>
        </w:trPr>
        <w:tc>
          <w:tcPr>
            <w:tcW w:w="0" w:type="auto"/>
            <w:vAlign w:val="center"/>
            <w:hideMark/>
          </w:tcPr>
          <w:p w14:paraId="467F7D4E" w14:textId="77777777" w:rsidR="00253043" w:rsidRPr="00253043" w:rsidRDefault="00253043" w:rsidP="00253043">
            <w:pPr>
              <w:rPr>
                <w:sz w:val="22"/>
                <w:szCs w:val="22"/>
              </w:rPr>
            </w:pPr>
            <w:r w:rsidRPr="00253043">
              <w:rPr>
                <w:sz w:val="22"/>
                <w:szCs w:val="22"/>
              </w:rPr>
              <w:t>Treatment * RAR bin 3</w:t>
            </w:r>
          </w:p>
        </w:tc>
        <w:tc>
          <w:tcPr>
            <w:tcW w:w="0" w:type="auto"/>
            <w:vAlign w:val="center"/>
            <w:hideMark/>
          </w:tcPr>
          <w:p w14:paraId="23F6F07B" w14:textId="77777777" w:rsidR="00253043" w:rsidRPr="00253043" w:rsidRDefault="00253043" w:rsidP="00253043">
            <w:pPr>
              <w:rPr>
                <w:sz w:val="22"/>
                <w:szCs w:val="22"/>
              </w:rPr>
            </w:pPr>
          </w:p>
        </w:tc>
        <w:tc>
          <w:tcPr>
            <w:tcW w:w="0" w:type="auto"/>
            <w:gridSpan w:val="2"/>
            <w:vAlign w:val="center"/>
            <w:hideMark/>
          </w:tcPr>
          <w:p w14:paraId="53745BAD" w14:textId="2845761B" w:rsidR="00253043" w:rsidRPr="00253043" w:rsidRDefault="00253043" w:rsidP="00253043">
            <w:pPr>
              <w:jc w:val="center"/>
              <w:rPr>
                <w:sz w:val="22"/>
                <w:szCs w:val="22"/>
              </w:rPr>
            </w:pPr>
            <w:r w:rsidRPr="00253043">
              <w:rPr>
                <w:sz w:val="22"/>
                <w:szCs w:val="22"/>
              </w:rPr>
              <w:t>-0.368</w:t>
            </w:r>
          </w:p>
        </w:tc>
      </w:tr>
      <w:tr w:rsidR="00253043" w:rsidRPr="00253043" w14:paraId="37FB5215" w14:textId="77777777" w:rsidTr="00C47D84">
        <w:trPr>
          <w:gridAfter w:val="1"/>
          <w:tblCellSpacing w:w="15" w:type="dxa"/>
          <w:jc w:val="center"/>
        </w:trPr>
        <w:tc>
          <w:tcPr>
            <w:tcW w:w="0" w:type="auto"/>
            <w:vAlign w:val="center"/>
            <w:hideMark/>
          </w:tcPr>
          <w:p w14:paraId="0B56DC2F" w14:textId="77777777" w:rsidR="00253043" w:rsidRPr="00253043" w:rsidRDefault="00253043" w:rsidP="00253043">
            <w:pPr>
              <w:jc w:val="center"/>
              <w:rPr>
                <w:sz w:val="22"/>
                <w:szCs w:val="22"/>
              </w:rPr>
            </w:pPr>
          </w:p>
        </w:tc>
        <w:tc>
          <w:tcPr>
            <w:tcW w:w="0" w:type="auto"/>
            <w:vAlign w:val="center"/>
            <w:hideMark/>
          </w:tcPr>
          <w:p w14:paraId="1E49A828" w14:textId="77777777" w:rsidR="00253043" w:rsidRPr="00253043" w:rsidRDefault="00253043" w:rsidP="00253043">
            <w:pPr>
              <w:rPr>
                <w:sz w:val="22"/>
                <w:szCs w:val="22"/>
              </w:rPr>
            </w:pPr>
          </w:p>
        </w:tc>
        <w:tc>
          <w:tcPr>
            <w:tcW w:w="0" w:type="auto"/>
            <w:gridSpan w:val="2"/>
            <w:vAlign w:val="center"/>
            <w:hideMark/>
          </w:tcPr>
          <w:p w14:paraId="0AC4B909" w14:textId="5DD8638F" w:rsidR="00253043" w:rsidRPr="00253043" w:rsidRDefault="00253043" w:rsidP="00253043">
            <w:pPr>
              <w:jc w:val="center"/>
              <w:rPr>
                <w:sz w:val="22"/>
                <w:szCs w:val="22"/>
              </w:rPr>
            </w:pPr>
            <w:r w:rsidRPr="00253043">
              <w:rPr>
                <w:sz w:val="22"/>
                <w:szCs w:val="22"/>
              </w:rPr>
              <w:t>(1.598)</w:t>
            </w:r>
          </w:p>
        </w:tc>
      </w:tr>
      <w:tr w:rsidR="00253043" w:rsidRPr="00253043" w14:paraId="6B4CA435" w14:textId="77777777" w:rsidTr="00C47D84">
        <w:trPr>
          <w:gridAfter w:val="1"/>
          <w:tblCellSpacing w:w="15" w:type="dxa"/>
          <w:jc w:val="center"/>
        </w:trPr>
        <w:tc>
          <w:tcPr>
            <w:tcW w:w="0" w:type="auto"/>
            <w:vAlign w:val="center"/>
            <w:hideMark/>
          </w:tcPr>
          <w:p w14:paraId="0B2CD02E" w14:textId="77777777" w:rsidR="00253043" w:rsidRPr="00253043" w:rsidRDefault="00253043" w:rsidP="00253043">
            <w:pPr>
              <w:rPr>
                <w:sz w:val="22"/>
                <w:szCs w:val="22"/>
              </w:rPr>
            </w:pPr>
            <w:r w:rsidRPr="00253043">
              <w:rPr>
                <w:sz w:val="22"/>
                <w:szCs w:val="22"/>
              </w:rPr>
              <w:t>Treatment * RAR bin 4</w:t>
            </w:r>
          </w:p>
        </w:tc>
        <w:tc>
          <w:tcPr>
            <w:tcW w:w="0" w:type="auto"/>
            <w:vAlign w:val="center"/>
            <w:hideMark/>
          </w:tcPr>
          <w:p w14:paraId="513B195A" w14:textId="77777777" w:rsidR="00253043" w:rsidRPr="00253043" w:rsidRDefault="00253043" w:rsidP="00253043">
            <w:pPr>
              <w:rPr>
                <w:sz w:val="22"/>
                <w:szCs w:val="22"/>
              </w:rPr>
            </w:pPr>
          </w:p>
        </w:tc>
        <w:tc>
          <w:tcPr>
            <w:tcW w:w="0" w:type="auto"/>
            <w:gridSpan w:val="2"/>
            <w:vAlign w:val="center"/>
            <w:hideMark/>
          </w:tcPr>
          <w:p w14:paraId="634864B7" w14:textId="5DE2D1FD" w:rsidR="00253043" w:rsidRPr="00253043" w:rsidRDefault="00253043" w:rsidP="00253043">
            <w:pPr>
              <w:jc w:val="center"/>
              <w:rPr>
                <w:sz w:val="22"/>
                <w:szCs w:val="22"/>
              </w:rPr>
            </w:pPr>
            <w:r w:rsidRPr="00253043">
              <w:rPr>
                <w:sz w:val="22"/>
                <w:szCs w:val="22"/>
              </w:rPr>
              <w:t>1.716</w:t>
            </w:r>
          </w:p>
        </w:tc>
      </w:tr>
      <w:tr w:rsidR="00253043" w:rsidRPr="00253043" w14:paraId="76B40A00" w14:textId="77777777" w:rsidTr="00C47D84">
        <w:trPr>
          <w:gridAfter w:val="1"/>
          <w:tblCellSpacing w:w="15" w:type="dxa"/>
          <w:jc w:val="center"/>
        </w:trPr>
        <w:tc>
          <w:tcPr>
            <w:tcW w:w="0" w:type="auto"/>
            <w:vAlign w:val="center"/>
            <w:hideMark/>
          </w:tcPr>
          <w:p w14:paraId="76447C63" w14:textId="77777777" w:rsidR="00253043" w:rsidRPr="00253043" w:rsidRDefault="00253043" w:rsidP="00253043">
            <w:pPr>
              <w:jc w:val="center"/>
              <w:rPr>
                <w:sz w:val="22"/>
                <w:szCs w:val="22"/>
              </w:rPr>
            </w:pPr>
          </w:p>
        </w:tc>
        <w:tc>
          <w:tcPr>
            <w:tcW w:w="0" w:type="auto"/>
            <w:vAlign w:val="center"/>
            <w:hideMark/>
          </w:tcPr>
          <w:p w14:paraId="3C64DAF9" w14:textId="77777777" w:rsidR="00253043" w:rsidRPr="00253043" w:rsidRDefault="00253043" w:rsidP="00253043">
            <w:pPr>
              <w:rPr>
                <w:sz w:val="22"/>
                <w:szCs w:val="22"/>
              </w:rPr>
            </w:pPr>
          </w:p>
        </w:tc>
        <w:tc>
          <w:tcPr>
            <w:tcW w:w="0" w:type="auto"/>
            <w:gridSpan w:val="2"/>
            <w:vAlign w:val="center"/>
            <w:hideMark/>
          </w:tcPr>
          <w:p w14:paraId="043169CA" w14:textId="212E9912" w:rsidR="00253043" w:rsidRPr="00253043" w:rsidRDefault="00253043" w:rsidP="00253043">
            <w:pPr>
              <w:jc w:val="center"/>
              <w:rPr>
                <w:sz w:val="22"/>
                <w:szCs w:val="22"/>
              </w:rPr>
            </w:pPr>
            <w:r w:rsidRPr="00253043">
              <w:rPr>
                <w:sz w:val="22"/>
                <w:szCs w:val="22"/>
              </w:rPr>
              <w:t>(1.628)</w:t>
            </w:r>
          </w:p>
        </w:tc>
      </w:tr>
      <w:tr w:rsidR="00253043" w:rsidRPr="00253043" w14:paraId="25F125F1" w14:textId="77777777" w:rsidTr="00C47D84">
        <w:trPr>
          <w:gridAfter w:val="1"/>
          <w:tblCellSpacing w:w="15" w:type="dxa"/>
          <w:jc w:val="center"/>
        </w:trPr>
        <w:tc>
          <w:tcPr>
            <w:tcW w:w="0" w:type="auto"/>
            <w:vAlign w:val="center"/>
            <w:hideMark/>
          </w:tcPr>
          <w:p w14:paraId="2F4B816F" w14:textId="77777777" w:rsidR="00253043" w:rsidRPr="00253043" w:rsidRDefault="00253043" w:rsidP="00253043">
            <w:pPr>
              <w:rPr>
                <w:sz w:val="22"/>
                <w:szCs w:val="22"/>
              </w:rPr>
            </w:pPr>
            <w:r w:rsidRPr="00253043">
              <w:rPr>
                <w:sz w:val="22"/>
                <w:szCs w:val="22"/>
              </w:rPr>
              <w:t>Treatment * RAR bin 5</w:t>
            </w:r>
          </w:p>
        </w:tc>
        <w:tc>
          <w:tcPr>
            <w:tcW w:w="0" w:type="auto"/>
            <w:vAlign w:val="center"/>
            <w:hideMark/>
          </w:tcPr>
          <w:p w14:paraId="7EB15B42" w14:textId="77777777" w:rsidR="00253043" w:rsidRPr="00253043" w:rsidRDefault="00253043" w:rsidP="00253043">
            <w:pPr>
              <w:rPr>
                <w:sz w:val="22"/>
                <w:szCs w:val="22"/>
              </w:rPr>
            </w:pPr>
          </w:p>
        </w:tc>
        <w:tc>
          <w:tcPr>
            <w:tcW w:w="0" w:type="auto"/>
            <w:gridSpan w:val="2"/>
            <w:vAlign w:val="center"/>
            <w:hideMark/>
          </w:tcPr>
          <w:p w14:paraId="7506EE4E" w14:textId="54B375DB" w:rsidR="00253043" w:rsidRPr="00253043" w:rsidRDefault="00253043" w:rsidP="00253043">
            <w:pPr>
              <w:jc w:val="center"/>
              <w:rPr>
                <w:sz w:val="22"/>
                <w:szCs w:val="22"/>
              </w:rPr>
            </w:pPr>
            <w:r w:rsidRPr="00253043">
              <w:rPr>
                <w:sz w:val="22"/>
                <w:szCs w:val="22"/>
              </w:rPr>
              <w:t>-0.748</w:t>
            </w:r>
          </w:p>
        </w:tc>
      </w:tr>
      <w:tr w:rsidR="00253043" w:rsidRPr="00253043" w14:paraId="753BE09C" w14:textId="77777777" w:rsidTr="00C47D84">
        <w:trPr>
          <w:gridAfter w:val="1"/>
          <w:tblCellSpacing w:w="15" w:type="dxa"/>
          <w:jc w:val="center"/>
        </w:trPr>
        <w:tc>
          <w:tcPr>
            <w:tcW w:w="0" w:type="auto"/>
            <w:vAlign w:val="center"/>
            <w:hideMark/>
          </w:tcPr>
          <w:p w14:paraId="2F494EEA" w14:textId="77777777" w:rsidR="00253043" w:rsidRPr="00253043" w:rsidRDefault="00253043" w:rsidP="00253043">
            <w:pPr>
              <w:jc w:val="center"/>
              <w:rPr>
                <w:sz w:val="22"/>
                <w:szCs w:val="22"/>
              </w:rPr>
            </w:pPr>
          </w:p>
        </w:tc>
        <w:tc>
          <w:tcPr>
            <w:tcW w:w="0" w:type="auto"/>
            <w:vAlign w:val="center"/>
            <w:hideMark/>
          </w:tcPr>
          <w:p w14:paraId="2A6541F9" w14:textId="77777777" w:rsidR="00253043" w:rsidRPr="00253043" w:rsidRDefault="00253043" w:rsidP="00253043">
            <w:pPr>
              <w:rPr>
                <w:sz w:val="22"/>
                <w:szCs w:val="22"/>
              </w:rPr>
            </w:pPr>
          </w:p>
        </w:tc>
        <w:tc>
          <w:tcPr>
            <w:tcW w:w="0" w:type="auto"/>
            <w:gridSpan w:val="2"/>
            <w:vAlign w:val="center"/>
            <w:hideMark/>
          </w:tcPr>
          <w:p w14:paraId="09A0B491" w14:textId="0DE9995F" w:rsidR="00253043" w:rsidRPr="00253043" w:rsidRDefault="00253043" w:rsidP="00253043">
            <w:pPr>
              <w:jc w:val="center"/>
              <w:rPr>
                <w:sz w:val="22"/>
                <w:szCs w:val="22"/>
              </w:rPr>
            </w:pPr>
            <w:r w:rsidRPr="00253043">
              <w:rPr>
                <w:sz w:val="22"/>
                <w:szCs w:val="22"/>
              </w:rPr>
              <w:t>(1.564)</w:t>
            </w:r>
          </w:p>
        </w:tc>
      </w:tr>
      <w:tr w:rsidR="00253043" w:rsidRPr="00253043" w14:paraId="43A7D616" w14:textId="77777777" w:rsidTr="00C47D84">
        <w:trPr>
          <w:gridAfter w:val="1"/>
          <w:tblCellSpacing w:w="15" w:type="dxa"/>
          <w:jc w:val="center"/>
        </w:trPr>
        <w:tc>
          <w:tcPr>
            <w:tcW w:w="0" w:type="auto"/>
            <w:vAlign w:val="center"/>
            <w:hideMark/>
          </w:tcPr>
          <w:p w14:paraId="29F8E842" w14:textId="77777777" w:rsidR="00253043" w:rsidRPr="00253043" w:rsidRDefault="00253043" w:rsidP="00253043">
            <w:pPr>
              <w:rPr>
                <w:sz w:val="22"/>
                <w:szCs w:val="22"/>
              </w:rPr>
            </w:pPr>
            <w:r w:rsidRPr="00253043">
              <w:rPr>
                <w:sz w:val="22"/>
                <w:szCs w:val="22"/>
              </w:rPr>
              <w:t>Treatment * RAR bin 6</w:t>
            </w:r>
          </w:p>
        </w:tc>
        <w:tc>
          <w:tcPr>
            <w:tcW w:w="0" w:type="auto"/>
            <w:vAlign w:val="center"/>
            <w:hideMark/>
          </w:tcPr>
          <w:p w14:paraId="4CF2F33C" w14:textId="77777777" w:rsidR="00253043" w:rsidRPr="00253043" w:rsidRDefault="00253043" w:rsidP="00253043">
            <w:pPr>
              <w:rPr>
                <w:sz w:val="22"/>
                <w:szCs w:val="22"/>
              </w:rPr>
            </w:pPr>
          </w:p>
        </w:tc>
        <w:tc>
          <w:tcPr>
            <w:tcW w:w="0" w:type="auto"/>
            <w:gridSpan w:val="2"/>
            <w:vAlign w:val="center"/>
            <w:hideMark/>
          </w:tcPr>
          <w:p w14:paraId="1F6A14AC" w14:textId="004BE7A0" w:rsidR="00253043" w:rsidRPr="00253043" w:rsidRDefault="00253043" w:rsidP="00253043">
            <w:pPr>
              <w:jc w:val="center"/>
              <w:rPr>
                <w:sz w:val="22"/>
                <w:szCs w:val="22"/>
              </w:rPr>
            </w:pPr>
            <w:r w:rsidRPr="00253043">
              <w:rPr>
                <w:sz w:val="22"/>
                <w:szCs w:val="22"/>
              </w:rPr>
              <w:t>0.302</w:t>
            </w:r>
          </w:p>
        </w:tc>
      </w:tr>
      <w:tr w:rsidR="00253043" w:rsidRPr="00253043" w14:paraId="79C34359" w14:textId="77777777" w:rsidTr="00C47D84">
        <w:trPr>
          <w:gridAfter w:val="1"/>
          <w:tblCellSpacing w:w="15" w:type="dxa"/>
          <w:jc w:val="center"/>
        </w:trPr>
        <w:tc>
          <w:tcPr>
            <w:tcW w:w="0" w:type="auto"/>
            <w:vAlign w:val="center"/>
            <w:hideMark/>
          </w:tcPr>
          <w:p w14:paraId="18CCEE66" w14:textId="77777777" w:rsidR="00253043" w:rsidRPr="00253043" w:rsidRDefault="00253043" w:rsidP="00253043">
            <w:pPr>
              <w:jc w:val="center"/>
              <w:rPr>
                <w:sz w:val="22"/>
                <w:szCs w:val="22"/>
              </w:rPr>
            </w:pPr>
          </w:p>
        </w:tc>
        <w:tc>
          <w:tcPr>
            <w:tcW w:w="0" w:type="auto"/>
            <w:vAlign w:val="center"/>
            <w:hideMark/>
          </w:tcPr>
          <w:p w14:paraId="08E281D2" w14:textId="77777777" w:rsidR="00253043" w:rsidRPr="00253043" w:rsidRDefault="00253043" w:rsidP="00253043">
            <w:pPr>
              <w:rPr>
                <w:sz w:val="22"/>
                <w:szCs w:val="22"/>
              </w:rPr>
            </w:pPr>
          </w:p>
        </w:tc>
        <w:tc>
          <w:tcPr>
            <w:tcW w:w="0" w:type="auto"/>
            <w:gridSpan w:val="2"/>
            <w:vAlign w:val="center"/>
            <w:hideMark/>
          </w:tcPr>
          <w:p w14:paraId="749B02B1" w14:textId="061A4B34" w:rsidR="00253043" w:rsidRPr="00253043" w:rsidRDefault="00253043" w:rsidP="00253043">
            <w:pPr>
              <w:jc w:val="center"/>
              <w:rPr>
                <w:sz w:val="22"/>
                <w:szCs w:val="22"/>
              </w:rPr>
            </w:pPr>
            <w:r w:rsidRPr="00253043">
              <w:rPr>
                <w:sz w:val="22"/>
                <w:szCs w:val="22"/>
              </w:rPr>
              <w:t>(1.528)</w:t>
            </w:r>
          </w:p>
        </w:tc>
      </w:tr>
      <w:tr w:rsidR="00253043" w:rsidRPr="00253043" w14:paraId="0C978ABC" w14:textId="77777777" w:rsidTr="00C47D84">
        <w:trPr>
          <w:gridAfter w:val="1"/>
          <w:tblCellSpacing w:w="15" w:type="dxa"/>
          <w:jc w:val="center"/>
        </w:trPr>
        <w:tc>
          <w:tcPr>
            <w:tcW w:w="0" w:type="auto"/>
            <w:vAlign w:val="center"/>
            <w:hideMark/>
          </w:tcPr>
          <w:p w14:paraId="5C467E72" w14:textId="77777777" w:rsidR="00253043" w:rsidRPr="00253043" w:rsidRDefault="00253043" w:rsidP="00253043">
            <w:pPr>
              <w:rPr>
                <w:sz w:val="22"/>
                <w:szCs w:val="22"/>
              </w:rPr>
            </w:pPr>
            <w:r w:rsidRPr="00253043">
              <w:rPr>
                <w:sz w:val="22"/>
                <w:szCs w:val="22"/>
              </w:rPr>
              <w:t>Treatment * RAR bin 7</w:t>
            </w:r>
          </w:p>
        </w:tc>
        <w:tc>
          <w:tcPr>
            <w:tcW w:w="0" w:type="auto"/>
            <w:vAlign w:val="center"/>
            <w:hideMark/>
          </w:tcPr>
          <w:p w14:paraId="176DC524" w14:textId="77777777" w:rsidR="00253043" w:rsidRPr="00253043" w:rsidRDefault="00253043" w:rsidP="00253043">
            <w:pPr>
              <w:rPr>
                <w:sz w:val="22"/>
                <w:szCs w:val="22"/>
              </w:rPr>
            </w:pPr>
          </w:p>
        </w:tc>
        <w:tc>
          <w:tcPr>
            <w:tcW w:w="0" w:type="auto"/>
            <w:gridSpan w:val="2"/>
            <w:vAlign w:val="center"/>
            <w:hideMark/>
          </w:tcPr>
          <w:p w14:paraId="6930B4DE" w14:textId="2339685C" w:rsidR="00253043" w:rsidRPr="00253043" w:rsidRDefault="00253043" w:rsidP="00253043">
            <w:pPr>
              <w:jc w:val="center"/>
              <w:rPr>
                <w:sz w:val="22"/>
                <w:szCs w:val="22"/>
              </w:rPr>
            </w:pPr>
            <w:r w:rsidRPr="00253043">
              <w:rPr>
                <w:sz w:val="22"/>
                <w:szCs w:val="22"/>
              </w:rPr>
              <w:t>0.252</w:t>
            </w:r>
          </w:p>
        </w:tc>
      </w:tr>
      <w:tr w:rsidR="00253043" w:rsidRPr="00253043" w14:paraId="7CC2AC56" w14:textId="77777777" w:rsidTr="00C47D84">
        <w:trPr>
          <w:gridAfter w:val="1"/>
          <w:tblCellSpacing w:w="15" w:type="dxa"/>
          <w:jc w:val="center"/>
        </w:trPr>
        <w:tc>
          <w:tcPr>
            <w:tcW w:w="0" w:type="auto"/>
            <w:vAlign w:val="center"/>
            <w:hideMark/>
          </w:tcPr>
          <w:p w14:paraId="2CB1F8DC" w14:textId="77777777" w:rsidR="00253043" w:rsidRPr="00253043" w:rsidRDefault="00253043" w:rsidP="00253043">
            <w:pPr>
              <w:jc w:val="center"/>
              <w:rPr>
                <w:sz w:val="22"/>
                <w:szCs w:val="22"/>
              </w:rPr>
            </w:pPr>
          </w:p>
        </w:tc>
        <w:tc>
          <w:tcPr>
            <w:tcW w:w="0" w:type="auto"/>
            <w:vAlign w:val="center"/>
            <w:hideMark/>
          </w:tcPr>
          <w:p w14:paraId="42A4C9FE" w14:textId="77777777" w:rsidR="00253043" w:rsidRPr="00253043" w:rsidRDefault="00253043" w:rsidP="00253043">
            <w:pPr>
              <w:rPr>
                <w:sz w:val="22"/>
                <w:szCs w:val="22"/>
              </w:rPr>
            </w:pPr>
          </w:p>
        </w:tc>
        <w:tc>
          <w:tcPr>
            <w:tcW w:w="0" w:type="auto"/>
            <w:gridSpan w:val="2"/>
            <w:vAlign w:val="center"/>
            <w:hideMark/>
          </w:tcPr>
          <w:p w14:paraId="46E5E659" w14:textId="072A5989" w:rsidR="00253043" w:rsidRPr="00253043" w:rsidRDefault="00253043" w:rsidP="00253043">
            <w:pPr>
              <w:jc w:val="center"/>
              <w:rPr>
                <w:sz w:val="22"/>
                <w:szCs w:val="22"/>
              </w:rPr>
            </w:pPr>
            <w:r w:rsidRPr="00253043">
              <w:rPr>
                <w:sz w:val="22"/>
                <w:szCs w:val="22"/>
              </w:rPr>
              <w:t>(1.497)</w:t>
            </w:r>
          </w:p>
        </w:tc>
      </w:tr>
      <w:tr w:rsidR="00253043" w:rsidRPr="00253043" w14:paraId="7FE7E895" w14:textId="77777777" w:rsidTr="00C47D84">
        <w:trPr>
          <w:gridAfter w:val="1"/>
          <w:tblCellSpacing w:w="15" w:type="dxa"/>
          <w:jc w:val="center"/>
        </w:trPr>
        <w:tc>
          <w:tcPr>
            <w:tcW w:w="0" w:type="auto"/>
            <w:vAlign w:val="center"/>
            <w:hideMark/>
          </w:tcPr>
          <w:p w14:paraId="00242003" w14:textId="77777777" w:rsidR="00253043" w:rsidRPr="00253043" w:rsidRDefault="00253043" w:rsidP="00253043">
            <w:pPr>
              <w:rPr>
                <w:sz w:val="22"/>
                <w:szCs w:val="22"/>
              </w:rPr>
            </w:pPr>
            <w:r w:rsidRPr="00253043">
              <w:rPr>
                <w:sz w:val="22"/>
                <w:szCs w:val="22"/>
              </w:rPr>
              <w:t>Treatment * RAR bin 8</w:t>
            </w:r>
          </w:p>
        </w:tc>
        <w:tc>
          <w:tcPr>
            <w:tcW w:w="0" w:type="auto"/>
            <w:vAlign w:val="center"/>
            <w:hideMark/>
          </w:tcPr>
          <w:p w14:paraId="04ECB5C9" w14:textId="77777777" w:rsidR="00253043" w:rsidRPr="00253043" w:rsidRDefault="00253043" w:rsidP="00253043">
            <w:pPr>
              <w:rPr>
                <w:sz w:val="22"/>
                <w:szCs w:val="22"/>
              </w:rPr>
            </w:pPr>
          </w:p>
        </w:tc>
        <w:tc>
          <w:tcPr>
            <w:tcW w:w="0" w:type="auto"/>
            <w:gridSpan w:val="2"/>
            <w:vAlign w:val="center"/>
            <w:hideMark/>
          </w:tcPr>
          <w:p w14:paraId="08069752" w14:textId="31D97BCC" w:rsidR="00253043" w:rsidRPr="00253043" w:rsidRDefault="00253043" w:rsidP="00253043">
            <w:pPr>
              <w:jc w:val="center"/>
              <w:rPr>
                <w:sz w:val="22"/>
                <w:szCs w:val="22"/>
              </w:rPr>
            </w:pPr>
            <w:r w:rsidRPr="00253043">
              <w:rPr>
                <w:sz w:val="22"/>
                <w:szCs w:val="22"/>
              </w:rPr>
              <w:t>0.026</w:t>
            </w:r>
          </w:p>
        </w:tc>
      </w:tr>
      <w:tr w:rsidR="00253043" w:rsidRPr="00253043" w14:paraId="3010320B" w14:textId="77777777" w:rsidTr="00C47D84">
        <w:trPr>
          <w:gridAfter w:val="1"/>
          <w:tblCellSpacing w:w="15" w:type="dxa"/>
          <w:jc w:val="center"/>
        </w:trPr>
        <w:tc>
          <w:tcPr>
            <w:tcW w:w="0" w:type="auto"/>
            <w:vAlign w:val="center"/>
            <w:hideMark/>
          </w:tcPr>
          <w:p w14:paraId="7ED29433" w14:textId="77777777" w:rsidR="00253043" w:rsidRPr="00253043" w:rsidRDefault="00253043" w:rsidP="00253043">
            <w:pPr>
              <w:jc w:val="center"/>
              <w:rPr>
                <w:sz w:val="22"/>
                <w:szCs w:val="22"/>
              </w:rPr>
            </w:pPr>
          </w:p>
        </w:tc>
        <w:tc>
          <w:tcPr>
            <w:tcW w:w="0" w:type="auto"/>
            <w:vAlign w:val="center"/>
            <w:hideMark/>
          </w:tcPr>
          <w:p w14:paraId="6F8C58B1" w14:textId="77777777" w:rsidR="00253043" w:rsidRPr="00253043" w:rsidRDefault="00253043" w:rsidP="00253043">
            <w:pPr>
              <w:rPr>
                <w:sz w:val="22"/>
                <w:szCs w:val="22"/>
              </w:rPr>
            </w:pPr>
          </w:p>
        </w:tc>
        <w:tc>
          <w:tcPr>
            <w:tcW w:w="0" w:type="auto"/>
            <w:gridSpan w:val="2"/>
            <w:vAlign w:val="center"/>
            <w:hideMark/>
          </w:tcPr>
          <w:p w14:paraId="76337B5A" w14:textId="64E82842" w:rsidR="00253043" w:rsidRPr="00253043" w:rsidRDefault="00253043" w:rsidP="00253043">
            <w:pPr>
              <w:jc w:val="center"/>
              <w:rPr>
                <w:sz w:val="22"/>
                <w:szCs w:val="22"/>
              </w:rPr>
            </w:pPr>
            <w:r w:rsidRPr="00253043">
              <w:rPr>
                <w:sz w:val="22"/>
                <w:szCs w:val="22"/>
              </w:rPr>
              <w:t>(2.059)</w:t>
            </w:r>
          </w:p>
        </w:tc>
      </w:tr>
      <w:tr w:rsidR="00253043" w:rsidRPr="00253043" w14:paraId="067A30B8" w14:textId="77777777" w:rsidTr="00C47D84">
        <w:trPr>
          <w:gridAfter w:val="1"/>
          <w:tblCellSpacing w:w="15" w:type="dxa"/>
          <w:jc w:val="center"/>
        </w:trPr>
        <w:tc>
          <w:tcPr>
            <w:tcW w:w="0" w:type="auto"/>
            <w:vAlign w:val="center"/>
            <w:hideMark/>
          </w:tcPr>
          <w:p w14:paraId="3047C6A2" w14:textId="77777777" w:rsidR="00253043" w:rsidRPr="00253043" w:rsidRDefault="00253043" w:rsidP="00253043">
            <w:pPr>
              <w:rPr>
                <w:sz w:val="22"/>
                <w:szCs w:val="22"/>
              </w:rPr>
            </w:pPr>
            <w:r w:rsidRPr="00253043">
              <w:rPr>
                <w:sz w:val="22"/>
                <w:szCs w:val="22"/>
              </w:rPr>
              <w:t>Treatment * RAR bin 9</w:t>
            </w:r>
          </w:p>
        </w:tc>
        <w:tc>
          <w:tcPr>
            <w:tcW w:w="0" w:type="auto"/>
            <w:vAlign w:val="center"/>
            <w:hideMark/>
          </w:tcPr>
          <w:p w14:paraId="4C9C0148" w14:textId="77777777" w:rsidR="00253043" w:rsidRPr="00253043" w:rsidRDefault="00253043" w:rsidP="00253043">
            <w:pPr>
              <w:rPr>
                <w:sz w:val="22"/>
                <w:szCs w:val="22"/>
              </w:rPr>
            </w:pPr>
          </w:p>
        </w:tc>
        <w:tc>
          <w:tcPr>
            <w:tcW w:w="0" w:type="auto"/>
            <w:gridSpan w:val="2"/>
            <w:vAlign w:val="center"/>
            <w:hideMark/>
          </w:tcPr>
          <w:p w14:paraId="17E9FC21" w14:textId="4BD32302" w:rsidR="00253043" w:rsidRPr="00253043" w:rsidRDefault="00253043" w:rsidP="00253043">
            <w:pPr>
              <w:jc w:val="center"/>
              <w:rPr>
                <w:sz w:val="22"/>
                <w:szCs w:val="22"/>
              </w:rPr>
            </w:pPr>
            <w:r w:rsidRPr="00253043">
              <w:rPr>
                <w:sz w:val="22"/>
                <w:szCs w:val="22"/>
              </w:rPr>
              <w:t>2.905</w:t>
            </w:r>
          </w:p>
        </w:tc>
      </w:tr>
      <w:tr w:rsidR="00253043" w:rsidRPr="00253043" w14:paraId="64152829" w14:textId="77777777" w:rsidTr="00C47D84">
        <w:trPr>
          <w:gridAfter w:val="1"/>
          <w:tblCellSpacing w:w="15" w:type="dxa"/>
          <w:jc w:val="center"/>
        </w:trPr>
        <w:tc>
          <w:tcPr>
            <w:tcW w:w="0" w:type="auto"/>
            <w:vAlign w:val="center"/>
            <w:hideMark/>
          </w:tcPr>
          <w:p w14:paraId="18ABB533" w14:textId="77777777" w:rsidR="00253043" w:rsidRPr="00253043" w:rsidRDefault="00253043" w:rsidP="00253043">
            <w:pPr>
              <w:jc w:val="center"/>
              <w:rPr>
                <w:sz w:val="22"/>
                <w:szCs w:val="22"/>
              </w:rPr>
            </w:pPr>
          </w:p>
        </w:tc>
        <w:tc>
          <w:tcPr>
            <w:tcW w:w="0" w:type="auto"/>
            <w:vAlign w:val="center"/>
            <w:hideMark/>
          </w:tcPr>
          <w:p w14:paraId="0E531B67" w14:textId="77777777" w:rsidR="00253043" w:rsidRPr="00253043" w:rsidRDefault="00253043" w:rsidP="00253043">
            <w:pPr>
              <w:rPr>
                <w:sz w:val="22"/>
                <w:szCs w:val="22"/>
              </w:rPr>
            </w:pPr>
          </w:p>
        </w:tc>
        <w:tc>
          <w:tcPr>
            <w:tcW w:w="0" w:type="auto"/>
            <w:gridSpan w:val="2"/>
            <w:vAlign w:val="center"/>
            <w:hideMark/>
          </w:tcPr>
          <w:p w14:paraId="254F08E6" w14:textId="6B587C42" w:rsidR="00253043" w:rsidRPr="00253043" w:rsidRDefault="00253043" w:rsidP="00253043">
            <w:pPr>
              <w:jc w:val="center"/>
              <w:rPr>
                <w:sz w:val="22"/>
                <w:szCs w:val="22"/>
              </w:rPr>
            </w:pPr>
            <w:r w:rsidRPr="00253043">
              <w:rPr>
                <w:sz w:val="22"/>
                <w:szCs w:val="22"/>
              </w:rPr>
              <w:t>(1.978)</w:t>
            </w:r>
          </w:p>
        </w:tc>
      </w:tr>
      <w:tr w:rsidR="00253043" w:rsidRPr="00253043" w14:paraId="16C3EFA6" w14:textId="77777777" w:rsidTr="00C47D84">
        <w:trPr>
          <w:gridAfter w:val="1"/>
          <w:tblCellSpacing w:w="15" w:type="dxa"/>
          <w:jc w:val="center"/>
        </w:trPr>
        <w:tc>
          <w:tcPr>
            <w:tcW w:w="0" w:type="auto"/>
            <w:vAlign w:val="center"/>
            <w:hideMark/>
          </w:tcPr>
          <w:p w14:paraId="36EE271A" w14:textId="77777777" w:rsidR="00253043" w:rsidRPr="00253043" w:rsidRDefault="00253043" w:rsidP="00253043">
            <w:pPr>
              <w:rPr>
                <w:sz w:val="22"/>
                <w:szCs w:val="22"/>
              </w:rPr>
            </w:pPr>
            <w:r w:rsidRPr="00253043">
              <w:rPr>
                <w:sz w:val="22"/>
                <w:szCs w:val="22"/>
              </w:rPr>
              <w:t>Treatment * RAR bin 10</w:t>
            </w:r>
          </w:p>
        </w:tc>
        <w:tc>
          <w:tcPr>
            <w:tcW w:w="0" w:type="auto"/>
            <w:vAlign w:val="center"/>
            <w:hideMark/>
          </w:tcPr>
          <w:p w14:paraId="695EEF74" w14:textId="77777777" w:rsidR="00253043" w:rsidRPr="00253043" w:rsidRDefault="00253043" w:rsidP="00253043">
            <w:pPr>
              <w:rPr>
                <w:sz w:val="22"/>
                <w:szCs w:val="22"/>
              </w:rPr>
            </w:pPr>
          </w:p>
        </w:tc>
        <w:tc>
          <w:tcPr>
            <w:tcW w:w="0" w:type="auto"/>
            <w:gridSpan w:val="2"/>
            <w:vAlign w:val="center"/>
            <w:hideMark/>
          </w:tcPr>
          <w:p w14:paraId="7A151B44" w14:textId="0A4DE0C9" w:rsidR="00253043" w:rsidRPr="00253043" w:rsidRDefault="00253043" w:rsidP="00253043">
            <w:pPr>
              <w:jc w:val="center"/>
              <w:rPr>
                <w:sz w:val="22"/>
                <w:szCs w:val="22"/>
              </w:rPr>
            </w:pPr>
            <w:r w:rsidRPr="00253043">
              <w:rPr>
                <w:sz w:val="22"/>
                <w:szCs w:val="22"/>
              </w:rPr>
              <w:t>6.320</w:t>
            </w:r>
            <w:r w:rsidRPr="00253043">
              <w:rPr>
                <w:sz w:val="22"/>
                <w:szCs w:val="22"/>
                <w:vertAlign w:val="superscript"/>
              </w:rPr>
              <w:t>*</w:t>
            </w:r>
          </w:p>
        </w:tc>
      </w:tr>
      <w:tr w:rsidR="00253043" w:rsidRPr="00253043" w14:paraId="2B96642E" w14:textId="77777777" w:rsidTr="00C47D84">
        <w:trPr>
          <w:gridAfter w:val="1"/>
          <w:tblCellSpacing w:w="15" w:type="dxa"/>
          <w:jc w:val="center"/>
        </w:trPr>
        <w:tc>
          <w:tcPr>
            <w:tcW w:w="0" w:type="auto"/>
            <w:vAlign w:val="center"/>
            <w:hideMark/>
          </w:tcPr>
          <w:p w14:paraId="75CD752A" w14:textId="77777777" w:rsidR="00253043" w:rsidRPr="00253043" w:rsidRDefault="00253043" w:rsidP="00253043">
            <w:pPr>
              <w:jc w:val="center"/>
              <w:rPr>
                <w:sz w:val="22"/>
                <w:szCs w:val="22"/>
              </w:rPr>
            </w:pPr>
          </w:p>
        </w:tc>
        <w:tc>
          <w:tcPr>
            <w:tcW w:w="0" w:type="auto"/>
            <w:vAlign w:val="center"/>
            <w:hideMark/>
          </w:tcPr>
          <w:p w14:paraId="6614BF7F" w14:textId="77777777" w:rsidR="00253043" w:rsidRPr="00253043" w:rsidRDefault="00253043" w:rsidP="00253043">
            <w:pPr>
              <w:rPr>
                <w:sz w:val="22"/>
                <w:szCs w:val="22"/>
              </w:rPr>
            </w:pPr>
          </w:p>
        </w:tc>
        <w:tc>
          <w:tcPr>
            <w:tcW w:w="0" w:type="auto"/>
            <w:gridSpan w:val="2"/>
            <w:vAlign w:val="center"/>
            <w:hideMark/>
          </w:tcPr>
          <w:p w14:paraId="45035310" w14:textId="073CAE23" w:rsidR="00253043" w:rsidRPr="00253043" w:rsidRDefault="00253043" w:rsidP="00253043">
            <w:pPr>
              <w:jc w:val="center"/>
              <w:rPr>
                <w:sz w:val="22"/>
                <w:szCs w:val="22"/>
              </w:rPr>
            </w:pPr>
            <w:r w:rsidRPr="00253043">
              <w:rPr>
                <w:sz w:val="22"/>
                <w:szCs w:val="22"/>
              </w:rPr>
              <w:t>(1.951)</w:t>
            </w:r>
          </w:p>
        </w:tc>
      </w:tr>
      <w:tr w:rsidR="00253043" w:rsidRPr="00253043" w14:paraId="05BE6D92" w14:textId="77777777" w:rsidTr="00C47D84">
        <w:trPr>
          <w:gridAfter w:val="1"/>
          <w:tblCellSpacing w:w="15" w:type="dxa"/>
          <w:jc w:val="center"/>
        </w:trPr>
        <w:tc>
          <w:tcPr>
            <w:tcW w:w="0" w:type="auto"/>
            <w:gridSpan w:val="4"/>
            <w:tcBorders>
              <w:bottom w:val="single" w:sz="6" w:space="0" w:color="000000"/>
            </w:tcBorders>
            <w:vAlign w:val="center"/>
            <w:hideMark/>
          </w:tcPr>
          <w:p w14:paraId="3D0BB8D4" w14:textId="77777777" w:rsidR="00253043" w:rsidRPr="00253043" w:rsidRDefault="00253043" w:rsidP="00253043">
            <w:pPr>
              <w:jc w:val="center"/>
              <w:rPr>
                <w:sz w:val="22"/>
                <w:szCs w:val="22"/>
              </w:rPr>
            </w:pPr>
          </w:p>
        </w:tc>
      </w:tr>
      <w:tr w:rsidR="00253043" w:rsidRPr="00253043" w14:paraId="022150FD" w14:textId="77777777" w:rsidTr="00C47D84">
        <w:trPr>
          <w:gridAfter w:val="1"/>
          <w:tblCellSpacing w:w="15" w:type="dxa"/>
          <w:jc w:val="center"/>
        </w:trPr>
        <w:tc>
          <w:tcPr>
            <w:tcW w:w="0" w:type="auto"/>
            <w:vAlign w:val="center"/>
            <w:hideMark/>
          </w:tcPr>
          <w:p w14:paraId="757E2844" w14:textId="77777777" w:rsidR="00253043" w:rsidRPr="00253043" w:rsidRDefault="00253043" w:rsidP="00253043">
            <w:pPr>
              <w:rPr>
                <w:sz w:val="22"/>
                <w:szCs w:val="22"/>
              </w:rPr>
            </w:pPr>
            <w:r w:rsidRPr="00253043">
              <w:rPr>
                <w:sz w:val="22"/>
                <w:szCs w:val="22"/>
              </w:rPr>
              <w:t>Observations</w:t>
            </w:r>
          </w:p>
        </w:tc>
        <w:tc>
          <w:tcPr>
            <w:tcW w:w="0" w:type="auto"/>
            <w:vAlign w:val="center"/>
            <w:hideMark/>
          </w:tcPr>
          <w:p w14:paraId="03DBBBAF" w14:textId="67CACF88" w:rsidR="00253043" w:rsidRPr="00253043" w:rsidRDefault="00253043" w:rsidP="00253043">
            <w:pPr>
              <w:jc w:val="center"/>
              <w:rPr>
                <w:sz w:val="22"/>
                <w:szCs w:val="22"/>
              </w:rPr>
            </w:pPr>
            <w:r w:rsidRPr="00253043">
              <w:rPr>
                <w:sz w:val="22"/>
                <w:szCs w:val="22"/>
              </w:rPr>
              <w:t>22,457</w:t>
            </w:r>
          </w:p>
        </w:tc>
        <w:tc>
          <w:tcPr>
            <w:tcW w:w="0" w:type="auto"/>
            <w:gridSpan w:val="2"/>
            <w:vAlign w:val="center"/>
            <w:hideMark/>
          </w:tcPr>
          <w:p w14:paraId="1FBBC92C" w14:textId="1124FF9A" w:rsidR="00253043" w:rsidRPr="00253043" w:rsidRDefault="00253043" w:rsidP="00253043">
            <w:pPr>
              <w:jc w:val="center"/>
              <w:rPr>
                <w:sz w:val="22"/>
                <w:szCs w:val="22"/>
              </w:rPr>
            </w:pPr>
            <w:r w:rsidRPr="00253043">
              <w:rPr>
                <w:sz w:val="22"/>
                <w:szCs w:val="22"/>
              </w:rPr>
              <w:t>22,457</w:t>
            </w:r>
          </w:p>
        </w:tc>
      </w:tr>
      <w:tr w:rsidR="00253043" w:rsidRPr="00253043" w14:paraId="507ED510" w14:textId="77777777" w:rsidTr="00C47D84">
        <w:trPr>
          <w:gridAfter w:val="1"/>
          <w:tblCellSpacing w:w="15" w:type="dxa"/>
          <w:jc w:val="center"/>
        </w:trPr>
        <w:tc>
          <w:tcPr>
            <w:tcW w:w="0" w:type="auto"/>
            <w:vAlign w:val="center"/>
            <w:hideMark/>
          </w:tcPr>
          <w:p w14:paraId="532CAFA2" w14:textId="77777777" w:rsidR="00253043" w:rsidRPr="00253043" w:rsidRDefault="00253043" w:rsidP="00253043">
            <w:pPr>
              <w:rPr>
                <w:sz w:val="22"/>
                <w:szCs w:val="22"/>
              </w:rPr>
            </w:pPr>
            <w:r w:rsidRPr="00253043">
              <w:rPr>
                <w:sz w:val="22"/>
                <w:szCs w:val="22"/>
              </w:rPr>
              <w:t>R</w:t>
            </w:r>
            <w:r w:rsidRPr="00253043">
              <w:rPr>
                <w:sz w:val="22"/>
                <w:szCs w:val="22"/>
                <w:vertAlign w:val="superscript"/>
              </w:rPr>
              <w:t>2</w:t>
            </w:r>
          </w:p>
        </w:tc>
        <w:tc>
          <w:tcPr>
            <w:tcW w:w="0" w:type="auto"/>
            <w:vAlign w:val="center"/>
            <w:hideMark/>
          </w:tcPr>
          <w:p w14:paraId="745ABCC2" w14:textId="4F6E11F7" w:rsidR="00253043" w:rsidRPr="00253043" w:rsidRDefault="00253043" w:rsidP="00253043">
            <w:pPr>
              <w:jc w:val="center"/>
              <w:rPr>
                <w:sz w:val="22"/>
                <w:szCs w:val="22"/>
              </w:rPr>
            </w:pPr>
            <w:r w:rsidRPr="00253043">
              <w:rPr>
                <w:sz w:val="22"/>
                <w:szCs w:val="22"/>
              </w:rPr>
              <w:t>0.0001</w:t>
            </w:r>
          </w:p>
        </w:tc>
        <w:tc>
          <w:tcPr>
            <w:tcW w:w="0" w:type="auto"/>
            <w:gridSpan w:val="2"/>
            <w:vAlign w:val="center"/>
            <w:hideMark/>
          </w:tcPr>
          <w:p w14:paraId="58084653" w14:textId="318ABA46" w:rsidR="00253043" w:rsidRPr="00253043" w:rsidRDefault="00253043" w:rsidP="00253043">
            <w:pPr>
              <w:jc w:val="center"/>
              <w:rPr>
                <w:sz w:val="22"/>
                <w:szCs w:val="22"/>
              </w:rPr>
            </w:pPr>
            <w:r w:rsidRPr="00253043">
              <w:rPr>
                <w:sz w:val="22"/>
                <w:szCs w:val="22"/>
              </w:rPr>
              <w:t>0.006</w:t>
            </w:r>
          </w:p>
        </w:tc>
      </w:tr>
      <w:tr w:rsidR="00253043" w:rsidRPr="00253043" w14:paraId="2E56223D" w14:textId="77777777" w:rsidTr="00C47D84">
        <w:trPr>
          <w:gridAfter w:val="1"/>
          <w:tblCellSpacing w:w="15" w:type="dxa"/>
          <w:jc w:val="center"/>
        </w:trPr>
        <w:tc>
          <w:tcPr>
            <w:tcW w:w="0" w:type="auto"/>
            <w:vAlign w:val="center"/>
            <w:hideMark/>
          </w:tcPr>
          <w:p w14:paraId="2CC0AAC5" w14:textId="77777777" w:rsidR="00253043" w:rsidRPr="00253043" w:rsidRDefault="00253043" w:rsidP="00253043">
            <w:pPr>
              <w:rPr>
                <w:sz w:val="22"/>
                <w:szCs w:val="22"/>
              </w:rPr>
            </w:pPr>
            <w:r w:rsidRPr="00253043">
              <w:rPr>
                <w:sz w:val="22"/>
                <w:szCs w:val="22"/>
              </w:rPr>
              <w:t>Adjusted R</w:t>
            </w:r>
            <w:r w:rsidRPr="00253043">
              <w:rPr>
                <w:sz w:val="22"/>
                <w:szCs w:val="22"/>
                <w:vertAlign w:val="superscript"/>
              </w:rPr>
              <w:t>2</w:t>
            </w:r>
          </w:p>
        </w:tc>
        <w:tc>
          <w:tcPr>
            <w:tcW w:w="0" w:type="auto"/>
            <w:vAlign w:val="center"/>
            <w:hideMark/>
          </w:tcPr>
          <w:p w14:paraId="766406E1" w14:textId="7E7807BB" w:rsidR="00253043" w:rsidRPr="00253043" w:rsidRDefault="00253043" w:rsidP="00253043">
            <w:pPr>
              <w:jc w:val="center"/>
              <w:rPr>
                <w:sz w:val="22"/>
                <w:szCs w:val="22"/>
              </w:rPr>
            </w:pPr>
            <w:r w:rsidRPr="00253043">
              <w:rPr>
                <w:sz w:val="22"/>
                <w:szCs w:val="22"/>
              </w:rPr>
              <w:t>0.0001</w:t>
            </w:r>
          </w:p>
        </w:tc>
        <w:tc>
          <w:tcPr>
            <w:tcW w:w="0" w:type="auto"/>
            <w:gridSpan w:val="2"/>
            <w:vAlign w:val="center"/>
            <w:hideMark/>
          </w:tcPr>
          <w:p w14:paraId="7668D23B" w14:textId="2FDBB931" w:rsidR="00253043" w:rsidRPr="00253043" w:rsidRDefault="00253043" w:rsidP="00253043">
            <w:pPr>
              <w:jc w:val="center"/>
              <w:rPr>
                <w:sz w:val="22"/>
                <w:szCs w:val="22"/>
              </w:rPr>
            </w:pPr>
            <w:r w:rsidRPr="00253043">
              <w:rPr>
                <w:sz w:val="22"/>
                <w:szCs w:val="22"/>
              </w:rPr>
              <w:t>0.005</w:t>
            </w:r>
          </w:p>
        </w:tc>
      </w:tr>
      <w:tr w:rsidR="00D334BB" w:rsidRPr="00253043" w14:paraId="081D7BDB" w14:textId="77777777" w:rsidTr="00C47D84">
        <w:trPr>
          <w:gridAfter w:val="1"/>
          <w:tblCellSpacing w:w="15" w:type="dxa"/>
          <w:jc w:val="center"/>
        </w:trPr>
        <w:tc>
          <w:tcPr>
            <w:tcW w:w="0" w:type="auto"/>
            <w:gridSpan w:val="4"/>
            <w:tcBorders>
              <w:bottom w:val="single" w:sz="6" w:space="0" w:color="000000"/>
            </w:tcBorders>
            <w:vAlign w:val="center"/>
            <w:hideMark/>
          </w:tcPr>
          <w:p w14:paraId="396C3AED" w14:textId="77777777" w:rsidR="00D334BB" w:rsidRPr="00253043" w:rsidRDefault="00D334BB" w:rsidP="00D334BB">
            <w:pPr>
              <w:jc w:val="center"/>
              <w:rPr>
                <w:sz w:val="22"/>
                <w:szCs w:val="22"/>
              </w:rPr>
            </w:pPr>
          </w:p>
        </w:tc>
      </w:tr>
    </w:tbl>
    <w:p w14:paraId="6998ACBB" w14:textId="77777777" w:rsidR="00885823" w:rsidRPr="00033272" w:rsidRDefault="00885823" w:rsidP="00D334BB">
      <w:pPr>
        <w:rPr>
          <w:i/>
          <w:sz w:val="20"/>
          <w:szCs w:val="20"/>
          <w:lang w:val="en-US"/>
        </w:rPr>
      </w:pPr>
    </w:p>
    <w:p w14:paraId="6E25274B" w14:textId="3BE83FC7" w:rsidR="00D334BB" w:rsidRPr="00033272" w:rsidRDefault="00D334BB" w:rsidP="00D334BB">
      <w:pPr>
        <w:rPr>
          <w:sz w:val="20"/>
          <w:szCs w:val="20"/>
          <w:lang w:val="en-US"/>
        </w:rPr>
      </w:pPr>
      <w:r w:rsidRPr="00033272">
        <w:rPr>
          <w:i/>
          <w:sz w:val="20"/>
          <w:szCs w:val="20"/>
          <w:lang w:val="en-US"/>
        </w:rPr>
        <w:t>Note</w:t>
      </w:r>
      <w:r w:rsidRPr="00033272">
        <w:rPr>
          <w:sz w:val="20"/>
          <w:szCs w:val="20"/>
          <w:lang w:val="en-US"/>
        </w:rPr>
        <w:t xml:space="preserve">. Unit of analysis is claimants’ weekly submissions. All findings are robust to changing the RAR categorization: while there continues to be no main effect of the intervention in Model 1, we find an intervention effect in the highest bin in Model 2. This further suggests that most of the effect of the intervention is driven by the claimants predicted to be most likely to behave unethically. Standard errors are clustered at the claimant level. </w:t>
      </w:r>
      <w:r w:rsidRPr="00033272">
        <w:rPr>
          <w:i/>
          <w:iCs/>
          <w:sz w:val="20"/>
          <w:szCs w:val="20"/>
          <w:lang w:val="en-US"/>
        </w:rPr>
        <w:t>P</w:t>
      </w:r>
      <w:r w:rsidRPr="00033272">
        <w:rPr>
          <w:sz w:val="20"/>
          <w:szCs w:val="20"/>
          <w:lang w:val="en-US"/>
        </w:rPr>
        <w:t xml:space="preserve">-values are adjusted for multiple comparisons using FDR. * </w:t>
      </w:r>
      <w:r w:rsidRPr="00033272">
        <w:rPr>
          <w:i/>
          <w:iCs/>
          <w:sz w:val="20"/>
          <w:szCs w:val="20"/>
          <w:lang w:val="en-US"/>
        </w:rPr>
        <w:t>p</w:t>
      </w:r>
      <w:r w:rsidRPr="00033272">
        <w:rPr>
          <w:sz w:val="20"/>
          <w:szCs w:val="20"/>
          <w:lang w:val="en-US"/>
        </w:rPr>
        <w:t xml:space="preserve"> &lt; .05; ** </w:t>
      </w:r>
      <w:r w:rsidRPr="00033272">
        <w:rPr>
          <w:i/>
          <w:iCs/>
          <w:sz w:val="20"/>
          <w:szCs w:val="20"/>
          <w:lang w:val="en-US"/>
        </w:rPr>
        <w:t>p</w:t>
      </w:r>
      <w:r w:rsidRPr="00033272">
        <w:rPr>
          <w:sz w:val="20"/>
          <w:szCs w:val="20"/>
          <w:lang w:val="en-US"/>
        </w:rPr>
        <w:t xml:space="preserve"> &lt; .01; *** </w:t>
      </w:r>
      <w:r w:rsidRPr="00033272">
        <w:rPr>
          <w:i/>
          <w:iCs/>
          <w:sz w:val="20"/>
          <w:szCs w:val="20"/>
          <w:lang w:val="en-US"/>
        </w:rPr>
        <w:t>p</w:t>
      </w:r>
      <w:r w:rsidRPr="00033272">
        <w:rPr>
          <w:sz w:val="20"/>
          <w:szCs w:val="20"/>
          <w:lang w:val="en-US"/>
        </w:rPr>
        <w:t xml:space="preserve"> &lt; .001.</w:t>
      </w:r>
    </w:p>
    <w:p w14:paraId="594B8A54" w14:textId="73ED8843" w:rsidR="002876C6" w:rsidRPr="00033272" w:rsidRDefault="002876C6" w:rsidP="00482167"/>
    <w:p w14:paraId="7A91753C" w14:textId="394B8B96" w:rsidR="00351285" w:rsidRPr="00033272" w:rsidRDefault="00351285">
      <w:r w:rsidRPr="00033272">
        <w:br w:type="page"/>
      </w:r>
    </w:p>
    <w:p w14:paraId="2177704F" w14:textId="1E5E2568" w:rsidR="00AB0971" w:rsidRPr="00E76568" w:rsidRDefault="00AB0971" w:rsidP="00AB0971">
      <w:pPr>
        <w:pStyle w:val="Body"/>
        <w:spacing w:after="0"/>
        <w:rPr>
          <w:rFonts w:ascii="Times New Roman" w:hAnsi="Times New Roman" w:cs="Times New Roman"/>
          <w:sz w:val="22"/>
          <w:szCs w:val="22"/>
          <w:lang w:val="en-US"/>
        </w:rPr>
      </w:pPr>
      <w:r w:rsidRPr="00E76568">
        <w:rPr>
          <w:rFonts w:ascii="Times New Roman" w:hAnsi="Times New Roman" w:cs="Times New Roman"/>
          <w:b/>
          <w:bCs/>
          <w:sz w:val="22"/>
          <w:szCs w:val="22"/>
          <w:lang w:val="en-US"/>
        </w:rPr>
        <w:lastRenderedPageBreak/>
        <w:t xml:space="preserve">Table </w:t>
      </w:r>
      <w:r>
        <w:rPr>
          <w:rFonts w:ascii="Times New Roman" w:hAnsi="Times New Roman" w:cs="Times New Roman"/>
          <w:b/>
          <w:bCs/>
          <w:sz w:val="22"/>
          <w:szCs w:val="22"/>
          <w:lang w:val="en-US"/>
        </w:rPr>
        <w:t>S4</w:t>
      </w:r>
      <w:r w:rsidRPr="00E76568">
        <w:rPr>
          <w:rFonts w:ascii="Times New Roman" w:hAnsi="Times New Roman" w:cs="Times New Roman"/>
          <w:sz w:val="22"/>
          <w:szCs w:val="22"/>
          <w:lang w:val="en-US"/>
        </w:rPr>
        <w:t xml:space="preserve">. Exploratory Analyses of Differential Impact of Messages by (Continuous) RAR </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943"/>
        <w:gridCol w:w="3273"/>
      </w:tblGrid>
      <w:tr w:rsidR="00AB0971" w:rsidRPr="00E76568" w14:paraId="21518413" w14:textId="77777777" w:rsidTr="00563327">
        <w:trPr>
          <w:tblCellSpacing w:w="15" w:type="dxa"/>
          <w:jc w:val="center"/>
        </w:trPr>
        <w:tc>
          <w:tcPr>
            <w:tcW w:w="0" w:type="auto"/>
            <w:gridSpan w:val="2"/>
            <w:tcBorders>
              <w:bottom w:val="single" w:sz="6" w:space="0" w:color="000000"/>
            </w:tcBorders>
            <w:vAlign w:val="center"/>
            <w:hideMark/>
          </w:tcPr>
          <w:p w14:paraId="7E1C5E10" w14:textId="77777777" w:rsidR="00AB0971" w:rsidRPr="00E76568" w:rsidRDefault="00AB0971" w:rsidP="00563327">
            <w:pPr>
              <w:rPr>
                <w:sz w:val="22"/>
                <w:szCs w:val="22"/>
                <w:lang w:val="en-US"/>
              </w:rPr>
            </w:pPr>
          </w:p>
        </w:tc>
      </w:tr>
      <w:tr w:rsidR="00AB0971" w:rsidRPr="00E76568" w14:paraId="5A214C13" w14:textId="77777777" w:rsidTr="00563327">
        <w:trPr>
          <w:tblCellSpacing w:w="15" w:type="dxa"/>
          <w:jc w:val="center"/>
        </w:trPr>
        <w:tc>
          <w:tcPr>
            <w:tcW w:w="0" w:type="auto"/>
            <w:vAlign w:val="center"/>
            <w:hideMark/>
          </w:tcPr>
          <w:p w14:paraId="4F4494E8" w14:textId="77777777" w:rsidR="00AB0971" w:rsidRPr="00E76568" w:rsidRDefault="00AB0971" w:rsidP="00563327">
            <w:pPr>
              <w:jc w:val="center"/>
              <w:rPr>
                <w:sz w:val="22"/>
                <w:szCs w:val="22"/>
                <w:lang w:val="en-US"/>
              </w:rPr>
            </w:pPr>
          </w:p>
        </w:tc>
        <w:tc>
          <w:tcPr>
            <w:tcW w:w="0" w:type="auto"/>
            <w:vAlign w:val="center"/>
            <w:hideMark/>
          </w:tcPr>
          <w:p w14:paraId="1511777A" w14:textId="77777777" w:rsidR="00AB0971" w:rsidRPr="00E76568" w:rsidRDefault="00AB0971" w:rsidP="00563327">
            <w:pPr>
              <w:jc w:val="center"/>
              <w:rPr>
                <w:sz w:val="22"/>
                <w:szCs w:val="22"/>
                <w:lang w:val="en-US"/>
              </w:rPr>
            </w:pPr>
            <w:r w:rsidRPr="00E76568">
              <w:rPr>
                <w:i/>
                <w:iCs/>
                <w:sz w:val="22"/>
                <w:szCs w:val="22"/>
                <w:lang w:val="en-US"/>
              </w:rPr>
              <w:t>Dependent variable:</w:t>
            </w:r>
          </w:p>
        </w:tc>
      </w:tr>
      <w:tr w:rsidR="00AB0971" w:rsidRPr="00E76568" w14:paraId="6E6FA72B" w14:textId="77777777" w:rsidTr="00563327">
        <w:trPr>
          <w:tblCellSpacing w:w="15" w:type="dxa"/>
          <w:jc w:val="center"/>
        </w:trPr>
        <w:tc>
          <w:tcPr>
            <w:tcW w:w="0" w:type="auto"/>
            <w:vAlign w:val="center"/>
            <w:hideMark/>
          </w:tcPr>
          <w:p w14:paraId="4A705D0D" w14:textId="77777777" w:rsidR="00AB0971" w:rsidRPr="00E76568" w:rsidRDefault="00AB0971" w:rsidP="00563327">
            <w:pPr>
              <w:jc w:val="center"/>
              <w:rPr>
                <w:sz w:val="22"/>
                <w:szCs w:val="22"/>
                <w:lang w:val="en-US"/>
              </w:rPr>
            </w:pPr>
          </w:p>
        </w:tc>
        <w:tc>
          <w:tcPr>
            <w:tcW w:w="0" w:type="auto"/>
            <w:tcBorders>
              <w:bottom w:val="single" w:sz="6" w:space="0" w:color="000000"/>
            </w:tcBorders>
            <w:vAlign w:val="center"/>
            <w:hideMark/>
          </w:tcPr>
          <w:p w14:paraId="53AEA7FE" w14:textId="77777777" w:rsidR="00AB0971" w:rsidRPr="00E76568" w:rsidRDefault="00AB0971" w:rsidP="00563327">
            <w:pPr>
              <w:jc w:val="center"/>
              <w:rPr>
                <w:sz w:val="22"/>
                <w:szCs w:val="22"/>
                <w:lang w:val="en-US"/>
              </w:rPr>
            </w:pPr>
          </w:p>
        </w:tc>
      </w:tr>
      <w:tr w:rsidR="00AB0971" w:rsidRPr="00E76568" w14:paraId="089B2DE8" w14:textId="77777777" w:rsidTr="00563327">
        <w:trPr>
          <w:tblCellSpacing w:w="15" w:type="dxa"/>
          <w:jc w:val="center"/>
        </w:trPr>
        <w:tc>
          <w:tcPr>
            <w:tcW w:w="0" w:type="auto"/>
            <w:vAlign w:val="center"/>
            <w:hideMark/>
          </w:tcPr>
          <w:p w14:paraId="4C6D0C0A" w14:textId="77777777" w:rsidR="00AB0971" w:rsidRPr="00E76568" w:rsidRDefault="00AB0971" w:rsidP="00563327">
            <w:pPr>
              <w:jc w:val="center"/>
              <w:rPr>
                <w:sz w:val="22"/>
                <w:szCs w:val="22"/>
                <w:lang w:val="en-US"/>
              </w:rPr>
            </w:pPr>
          </w:p>
        </w:tc>
        <w:tc>
          <w:tcPr>
            <w:tcW w:w="0" w:type="auto"/>
            <w:vAlign w:val="center"/>
            <w:hideMark/>
          </w:tcPr>
          <w:p w14:paraId="0E73B95F" w14:textId="77777777" w:rsidR="00AB0971" w:rsidRPr="00E76568" w:rsidRDefault="00AB0971" w:rsidP="00563327">
            <w:pPr>
              <w:jc w:val="center"/>
              <w:rPr>
                <w:sz w:val="22"/>
                <w:szCs w:val="22"/>
                <w:lang w:val="en-US"/>
              </w:rPr>
            </w:pPr>
            <w:r w:rsidRPr="00E76568">
              <w:rPr>
                <w:sz w:val="22"/>
                <w:szCs w:val="22"/>
                <w:lang w:val="en-US"/>
              </w:rPr>
              <w:t>Likelihood of disclosure</w:t>
            </w:r>
          </w:p>
        </w:tc>
      </w:tr>
      <w:tr w:rsidR="00AB0971" w:rsidRPr="00E76568" w14:paraId="6E719981" w14:textId="77777777" w:rsidTr="00563327">
        <w:trPr>
          <w:tblCellSpacing w:w="15" w:type="dxa"/>
          <w:jc w:val="center"/>
        </w:trPr>
        <w:tc>
          <w:tcPr>
            <w:tcW w:w="0" w:type="auto"/>
            <w:gridSpan w:val="2"/>
            <w:tcBorders>
              <w:bottom w:val="single" w:sz="6" w:space="0" w:color="000000"/>
            </w:tcBorders>
            <w:vAlign w:val="center"/>
            <w:hideMark/>
          </w:tcPr>
          <w:p w14:paraId="443CE031" w14:textId="77777777" w:rsidR="00AB0971" w:rsidRPr="00E76568" w:rsidRDefault="00AB0971" w:rsidP="00563327">
            <w:pPr>
              <w:jc w:val="center"/>
              <w:rPr>
                <w:sz w:val="22"/>
                <w:szCs w:val="22"/>
                <w:lang w:val="en-US"/>
              </w:rPr>
            </w:pPr>
          </w:p>
        </w:tc>
      </w:tr>
      <w:tr w:rsidR="00AB0971" w:rsidRPr="00E76568" w14:paraId="4CA8F8F7" w14:textId="77777777" w:rsidTr="00563327">
        <w:trPr>
          <w:tblCellSpacing w:w="15" w:type="dxa"/>
          <w:jc w:val="center"/>
        </w:trPr>
        <w:tc>
          <w:tcPr>
            <w:tcW w:w="0" w:type="auto"/>
            <w:vAlign w:val="center"/>
            <w:hideMark/>
          </w:tcPr>
          <w:p w14:paraId="171AE4AC" w14:textId="77777777" w:rsidR="00AB0971" w:rsidRPr="00E76568" w:rsidRDefault="00AB0971" w:rsidP="00563327">
            <w:pPr>
              <w:rPr>
                <w:sz w:val="22"/>
                <w:szCs w:val="22"/>
                <w:lang w:val="en-US"/>
              </w:rPr>
            </w:pPr>
            <w:r w:rsidRPr="00E76568">
              <w:rPr>
                <w:sz w:val="22"/>
                <w:szCs w:val="22"/>
                <w:lang w:val="en-US"/>
              </w:rPr>
              <w:t>Baseline (No Message)</w:t>
            </w:r>
          </w:p>
        </w:tc>
        <w:tc>
          <w:tcPr>
            <w:tcW w:w="0" w:type="auto"/>
            <w:vAlign w:val="center"/>
            <w:hideMark/>
          </w:tcPr>
          <w:p w14:paraId="7DC3693B" w14:textId="77777777" w:rsidR="00AB0971" w:rsidRPr="00E76568" w:rsidRDefault="00AB0971" w:rsidP="00563327">
            <w:pPr>
              <w:jc w:val="center"/>
              <w:rPr>
                <w:sz w:val="22"/>
                <w:szCs w:val="22"/>
                <w:lang w:val="en-US"/>
              </w:rPr>
            </w:pPr>
            <w:r w:rsidRPr="00E76568">
              <w:rPr>
                <w:sz w:val="22"/>
                <w:szCs w:val="22"/>
                <w:lang w:val="en-US"/>
              </w:rPr>
              <w:t>4.728</w:t>
            </w:r>
            <w:r w:rsidRPr="00E76568">
              <w:rPr>
                <w:sz w:val="22"/>
                <w:szCs w:val="22"/>
                <w:vertAlign w:val="superscript"/>
                <w:lang w:val="en-US"/>
              </w:rPr>
              <w:t>***</w:t>
            </w:r>
          </w:p>
        </w:tc>
      </w:tr>
      <w:tr w:rsidR="00AB0971" w:rsidRPr="00E76568" w14:paraId="7423FCA0" w14:textId="77777777" w:rsidTr="00563327">
        <w:trPr>
          <w:tblCellSpacing w:w="15" w:type="dxa"/>
          <w:jc w:val="center"/>
        </w:trPr>
        <w:tc>
          <w:tcPr>
            <w:tcW w:w="0" w:type="auto"/>
            <w:vAlign w:val="center"/>
            <w:hideMark/>
          </w:tcPr>
          <w:p w14:paraId="0963F161" w14:textId="77777777" w:rsidR="00AB0971" w:rsidRPr="00E76568" w:rsidRDefault="00AB0971" w:rsidP="00563327">
            <w:pPr>
              <w:jc w:val="center"/>
              <w:rPr>
                <w:sz w:val="22"/>
                <w:szCs w:val="22"/>
                <w:lang w:val="en-US"/>
              </w:rPr>
            </w:pPr>
          </w:p>
        </w:tc>
        <w:tc>
          <w:tcPr>
            <w:tcW w:w="0" w:type="auto"/>
            <w:vAlign w:val="center"/>
            <w:hideMark/>
          </w:tcPr>
          <w:p w14:paraId="5A2FBAF4" w14:textId="77777777" w:rsidR="00AB0971" w:rsidRPr="00E76568" w:rsidRDefault="00AB0971" w:rsidP="00563327">
            <w:pPr>
              <w:jc w:val="center"/>
              <w:rPr>
                <w:sz w:val="22"/>
                <w:szCs w:val="22"/>
                <w:lang w:val="en-US"/>
              </w:rPr>
            </w:pPr>
            <w:r w:rsidRPr="00E76568">
              <w:rPr>
                <w:sz w:val="22"/>
                <w:szCs w:val="22"/>
                <w:lang w:val="en-US"/>
              </w:rPr>
              <w:t>(0.633)</w:t>
            </w:r>
          </w:p>
        </w:tc>
      </w:tr>
      <w:tr w:rsidR="00AB0971" w:rsidRPr="00E76568" w14:paraId="1C1AE269" w14:textId="77777777" w:rsidTr="00563327">
        <w:trPr>
          <w:tblCellSpacing w:w="15" w:type="dxa"/>
          <w:jc w:val="center"/>
        </w:trPr>
        <w:tc>
          <w:tcPr>
            <w:tcW w:w="0" w:type="auto"/>
            <w:vAlign w:val="center"/>
            <w:hideMark/>
          </w:tcPr>
          <w:p w14:paraId="239F8C19" w14:textId="77777777" w:rsidR="00AB0971" w:rsidRPr="00E76568" w:rsidRDefault="00AB0971" w:rsidP="00563327">
            <w:pPr>
              <w:rPr>
                <w:sz w:val="22"/>
                <w:szCs w:val="22"/>
                <w:lang w:val="en-US"/>
              </w:rPr>
            </w:pPr>
            <w:r w:rsidRPr="00E76568">
              <w:rPr>
                <w:sz w:val="22"/>
                <w:szCs w:val="22"/>
                <w:lang w:val="en-US"/>
              </w:rPr>
              <w:t>Social Norm</w:t>
            </w:r>
          </w:p>
        </w:tc>
        <w:tc>
          <w:tcPr>
            <w:tcW w:w="0" w:type="auto"/>
            <w:vAlign w:val="center"/>
            <w:hideMark/>
          </w:tcPr>
          <w:p w14:paraId="3ACE6C3B" w14:textId="77777777" w:rsidR="00AB0971" w:rsidRPr="00E76568" w:rsidRDefault="00AB0971" w:rsidP="00563327">
            <w:pPr>
              <w:jc w:val="center"/>
              <w:rPr>
                <w:sz w:val="22"/>
                <w:szCs w:val="22"/>
                <w:lang w:val="en-US"/>
              </w:rPr>
            </w:pPr>
            <w:r w:rsidRPr="00E76568">
              <w:rPr>
                <w:sz w:val="22"/>
                <w:szCs w:val="22"/>
                <w:lang w:val="en-US"/>
              </w:rPr>
              <w:t>-2.307</w:t>
            </w:r>
            <w:r w:rsidRPr="00E76568">
              <w:rPr>
                <w:sz w:val="22"/>
                <w:szCs w:val="22"/>
                <w:vertAlign w:val="superscript"/>
                <w:lang w:val="en-US"/>
              </w:rPr>
              <w:t>*</w:t>
            </w:r>
          </w:p>
        </w:tc>
      </w:tr>
      <w:tr w:rsidR="00AB0971" w:rsidRPr="00E76568" w14:paraId="668B2090" w14:textId="77777777" w:rsidTr="00563327">
        <w:trPr>
          <w:tblCellSpacing w:w="15" w:type="dxa"/>
          <w:jc w:val="center"/>
        </w:trPr>
        <w:tc>
          <w:tcPr>
            <w:tcW w:w="0" w:type="auto"/>
            <w:vAlign w:val="center"/>
            <w:hideMark/>
          </w:tcPr>
          <w:p w14:paraId="4E6C9ADA" w14:textId="77777777" w:rsidR="00AB0971" w:rsidRPr="00E76568" w:rsidRDefault="00AB0971" w:rsidP="00563327">
            <w:pPr>
              <w:jc w:val="center"/>
              <w:rPr>
                <w:sz w:val="22"/>
                <w:szCs w:val="22"/>
                <w:lang w:val="en-US"/>
              </w:rPr>
            </w:pPr>
          </w:p>
        </w:tc>
        <w:tc>
          <w:tcPr>
            <w:tcW w:w="0" w:type="auto"/>
            <w:vAlign w:val="center"/>
            <w:hideMark/>
          </w:tcPr>
          <w:p w14:paraId="377D8CB1" w14:textId="77777777" w:rsidR="00AB0971" w:rsidRPr="00E76568" w:rsidRDefault="00AB0971" w:rsidP="00563327">
            <w:pPr>
              <w:jc w:val="center"/>
              <w:rPr>
                <w:sz w:val="22"/>
                <w:szCs w:val="22"/>
                <w:lang w:val="en-US"/>
              </w:rPr>
            </w:pPr>
            <w:r w:rsidRPr="00E76568">
              <w:rPr>
                <w:sz w:val="22"/>
                <w:szCs w:val="22"/>
                <w:lang w:val="en-US"/>
              </w:rPr>
              <w:t>(1.043)</w:t>
            </w:r>
          </w:p>
        </w:tc>
      </w:tr>
      <w:tr w:rsidR="00AB0971" w:rsidRPr="00E76568" w14:paraId="21DA3DB1" w14:textId="77777777" w:rsidTr="00563327">
        <w:trPr>
          <w:tblCellSpacing w:w="15" w:type="dxa"/>
          <w:jc w:val="center"/>
        </w:trPr>
        <w:tc>
          <w:tcPr>
            <w:tcW w:w="0" w:type="auto"/>
            <w:vAlign w:val="center"/>
            <w:hideMark/>
          </w:tcPr>
          <w:p w14:paraId="026D3259" w14:textId="77777777" w:rsidR="00AB0971" w:rsidRPr="00E76568" w:rsidRDefault="00AB0971" w:rsidP="00563327">
            <w:pPr>
              <w:rPr>
                <w:sz w:val="22"/>
                <w:szCs w:val="22"/>
                <w:lang w:val="en-US"/>
              </w:rPr>
            </w:pPr>
            <w:r w:rsidRPr="00E76568">
              <w:rPr>
                <w:sz w:val="22"/>
                <w:szCs w:val="22"/>
                <w:lang w:val="en-US"/>
              </w:rPr>
              <w:t>Impact Others</w:t>
            </w:r>
          </w:p>
        </w:tc>
        <w:tc>
          <w:tcPr>
            <w:tcW w:w="0" w:type="auto"/>
            <w:vAlign w:val="center"/>
            <w:hideMark/>
          </w:tcPr>
          <w:p w14:paraId="32312160" w14:textId="77777777" w:rsidR="00AB0971" w:rsidRPr="00E76568" w:rsidRDefault="00AB0971" w:rsidP="00563327">
            <w:pPr>
              <w:jc w:val="center"/>
              <w:rPr>
                <w:sz w:val="22"/>
                <w:szCs w:val="22"/>
                <w:lang w:val="en-US"/>
              </w:rPr>
            </w:pPr>
            <w:r w:rsidRPr="00E76568">
              <w:rPr>
                <w:sz w:val="22"/>
                <w:szCs w:val="22"/>
                <w:lang w:val="en-US"/>
              </w:rPr>
              <w:t>-3.760</w:t>
            </w:r>
            <w:r w:rsidRPr="00E76568">
              <w:rPr>
                <w:sz w:val="22"/>
                <w:szCs w:val="22"/>
                <w:vertAlign w:val="superscript"/>
                <w:lang w:val="en-US"/>
              </w:rPr>
              <w:t>**</w:t>
            </w:r>
          </w:p>
        </w:tc>
      </w:tr>
      <w:tr w:rsidR="00AB0971" w:rsidRPr="00E76568" w14:paraId="0F99EB5C" w14:textId="77777777" w:rsidTr="00563327">
        <w:trPr>
          <w:tblCellSpacing w:w="15" w:type="dxa"/>
          <w:jc w:val="center"/>
        </w:trPr>
        <w:tc>
          <w:tcPr>
            <w:tcW w:w="0" w:type="auto"/>
            <w:vAlign w:val="center"/>
            <w:hideMark/>
          </w:tcPr>
          <w:p w14:paraId="4C7D634D" w14:textId="77777777" w:rsidR="00AB0971" w:rsidRPr="00E76568" w:rsidRDefault="00AB0971" w:rsidP="00563327">
            <w:pPr>
              <w:jc w:val="center"/>
              <w:rPr>
                <w:sz w:val="22"/>
                <w:szCs w:val="22"/>
                <w:lang w:val="en-US"/>
              </w:rPr>
            </w:pPr>
          </w:p>
        </w:tc>
        <w:tc>
          <w:tcPr>
            <w:tcW w:w="0" w:type="auto"/>
            <w:vAlign w:val="center"/>
            <w:hideMark/>
          </w:tcPr>
          <w:p w14:paraId="01575D10" w14:textId="77777777" w:rsidR="00AB0971" w:rsidRPr="00E76568" w:rsidRDefault="00AB0971" w:rsidP="00563327">
            <w:pPr>
              <w:jc w:val="center"/>
              <w:rPr>
                <w:sz w:val="22"/>
                <w:szCs w:val="22"/>
                <w:lang w:val="en-US"/>
              </w:rPr>
            </w:pPr>
            <w:r w:rsidRPr="00E76568">
              <w:rPr>
                <w:sz w:val="22"/>
                <w:szCs w:val="22"/>
                <w:lang w:val="en-US"/>
              </w:rPr>
              <w:t>(1.163)</w:t>
            </w:r>
          </w:p>
        </w:tc>
      </w:tr>
      <w:tr w:rsidR="00AB0971" w:rsidRPr="00E76568" w14:paraId="68C19BBA" w14:textId="77777777" w:rsidTr="00563327">
        <w:trPr>
          <w:tblCellSpacing w:w="15" w:type="dxa"/>
          <w:jc w:val="center"/>
        </w:trPr>
        <w:tc>
          <w:tcPr>
            <w:tcW w:w="0" w:type="auto"/>
            <w:vAlign w:val="center"/>
            <w:hideMark/>
          </w:tcPr>
          <w:p w14:paraId="1EE6D2E9" w14:textId="77777777" w:rsidR="00AB0971" w:rsidRPr="00E76568" w:rsidRDefault="00AB0971" w:rsidP="00563327">
            <w:pPr>
              <w:rPr>
                <w:sz w:val="22"/>
                <w:szCs w:val="22"/>
                <w:lang w:val="en-US"/>
              </w:rPr>
            </w:pPr>
            <w:r w:rsidRPr="00E76568">
              <w:rPr>
                <w:sz w:val="22"/>
                <w:szCs w:val="22"/>
                <w:lang w:val="en-US"/>
              </w:rPr>
              <w:t>Audits &amp; Verification</w:t>
            </w:r>
          </w:p>
        </w:tc>
        <w:tc>
          <w:tcPr>
            <w:tcW w:w="0" w:type="auto"/>
            <w:vAlign w:val="center"/>
            <w:hideMark/>
          </w:tcPr>
          <w:p w14:paraId="1835F340" w14:textId="77777777" w:rsidR="00AB0971" w:rsidRPr="00E76568" w:rsidRDefault="00AB0971" w:rsidP="00563327">
            <w:pPr>
              <w:jc w:val="center"/>
              <w:rPr>
                <w:sz w:val="22"/>
                <w:szCs w:val="22"/>
                <w:lang w:val="en-US"/>
              </w:rPr>
            </w:pPr>
            <w:r w:rsidRPr="00E76568">
              <w:rPr>
                <w:sz w:val="22"/>
                <w:szCs w:val="22"/>
                <w:lang w:val="en-US"/>
              </w:rPr>
              <w:t>-5.203</w:t>
            </w:r>
            <w:r w:rsidRPr="00E76568">
              <w:rPr>
                <w:sz w:val="22"/>
                <w:szCs w:val="22"/>
                <w:vertAlign w:val="superscript"/>
                <w:lang w:val="en-US"/>
              </w:rPr>
              <w:t>***</w:t>
            </w:r>
          </w:p>
        </w:tc>
      </w:tr>
      <w:tr w:rsidR="00AB0971" w:rsidRPr="00E76568" w14:paraId="6866C75D" w14:textId="77777777" w:rsidTr="00563327">
        <w:trPr>
          <w:tblCellSpacing w:w="15" w:type="dxa"/>
          <w:jc w:val="center"/>
        </w:trPr>
        <w:tc>
          <w:tcPr>
            <w:tcW w:w="0" w:type="auto"/>
            <w:vAlign w:val="center"/>
            <w:hideMark/>
          </w:tcPr>
          <w:p w14:paraId="66801CFA" w14:textId="77777777" w:rsidR="00AB0971" w:rsidRPr="00E76568" w:rsidRDefault="00AB0971" w:rsidP="00563327">
            <w:pPr>
              <w:jc w:val="center"/>
              <w:rPr>
                <w:sz w:val="22"/>
                <w:szCs w:val="22"/>
                <w:lang w:val="en-US"/>
              </w:rPr>
            </w:pPr>
          </w:p>
        </w:tc>
        <w:tc>
          <w:tcPr>
            <w:tcW w:w="0" w:type="auto"/>
            <w:vAlign w:val="center"/>
            <w:hideMark/>
          </w:tcPr>
          <w:p w14:paraId="5BE48247" w14:textId="77777777" w:rsidR="00AB0971" w:rsidRPr="00E76568" w:rsidRDefault="00AB0971" w:rsidP="00563327">
            <w:pPr>
              <w:jc w:val="center"/>
              <w:rPr>
                <w:sz w:val="22"/>
                <w:szCs w:val="22"/>
                <w:lang w:val="en-US"/>
              </w:rPr>
            </w:pPr>
            <w:r w:rsidRPr="00E76568">
              <w:rPr>
                <w:sz w:val="22"/>
                <w:szCs w:val="22"/>
                <w:lang w:val="en-US"/>
              </w:rPr>
              <w:t>(1.527)</w:t>
            </w:r>
          </w:p>
        </w:tc>
      </w:tr>
      <w:tr w:rsidR="00AB0971" w:rsidRPr="00E76568" w14:paraId="46C52C58" w14:textId="77777777" w:rsidTr="00563327">
        <w:trPr>
          <w:tblCellSpacing w:w="15" w:type="dxa"/>
          <w:jc w:val="center"/>
        </w:trPr>
        <w:tc>
          <w:tcPr>
            <w:tcW w:w="0" w:type="auto"/>
            <w:vAlign w:val="center"/>
            <w:hideMark/>
          </w:tcPr>
          <w:p w14:paraId="49FB385D" w14:textId="77777777" w:rsidR="00AB0971" w:rsidRPr="00E76568" w:rsidRDefault="00AB0971" w:rsidP="00563327">
            <w:pPr>
              <w:rPr>
                <w:sz w:val="22"/>
                <w:szCs w:val="22"/>
                <w:lang w:val="en-US"/>
              </w:rPr>
            </w:pPr>
            <w:r w:rsidRPr="00E76568">
              <w:rPr>
                <w:sz w:val="22"/>
                <w:szCs w:val="22"/>
                <w:lang w:val="en-US"/>
              </w:rPr>
              <w:t>Penalties</w:t>
            </w:r>
          </w:p>
        </w:tc>
        <w:tc>
          <w:tcPr>
            <w:tcW w:w="0" w:type="auto"/>
            <w:vAlign w:val="center"/>
            <w:hideMark/>
          </w:tcPr>
          <w:p w14:paraId="45AE321C" w14:textId="77777777" w:rsidR="00AB0971" w:rsidRPr="00E76568" w:rsidRDefault="00AB0971" w:rsidP="00563327">
            <w:pPr>
              <w:jc w:val="center"/>
              <w:rPr>
                <w:sz w:val="22"/>
                <w:szCs w:val="22"/>
                <w:lang w:val="en-US"/>
              </w:rPr>
            </w:pPr>
            <w:r w:rsidRPr="00E76568">
              <w:rPr>
                <w:sz w:val="22"/>
                <w:szCs w:val="22"/>
                <w:lang w:val="en-US"/>
              </w:rPr>
              <w:t>-3.719</w:t>
            </w:r>
            <w:r w:rsidRPr="00E76568">
              <w:rPr>
                <w:sz w:val="22"/>
                <w:szCs w:val="22"/>
                <w:vertAlign w:val="superscript"/>
                <w:lang w:val="en-US"/>
              </w:rPr>
              <w:t>**</w:t>
            </w:r>
          </w:p>
        </w:tc>
      </w:tr>
      <w:tr w:rsidR="00AB0971" w:rsidRPr="00E76568" w14:paraId="493E3780" w14:textId="77777777" w:rsidTr="00563327">
        <w:trPr>
          <w:tblCellSpacing w:w="15" w:type="dxa"/>
          <w:jc w:val="center"/>
        </w:trPr>
        <w:tc>
          <w:tcPr>
            <w:tcW w:w="0" w:type="auto"/>
            <w:vAlign w:val="center"/>
            <w:hideMark/>
          </w:tcPr>
          <w:p w14:paraId="15431373" w14:textId="77777777" w:rsidR="00AB0971" w:rsidRPr="00E76568" w:rsidRDefault="00AB0971" w:rsidP="00563327">
            <w:pPr>
              <w:jc w:val="center"/>
              <w:rPr>
                <w:sz w:val="22"/>
                <w:szCs w:val="22"/>
                <w:lang w:val="en-US"/>
              </w:rPr>
            </w:pPr>
          </w:p>
        </w:tc>
        <w:tc>
          <w:tcPr>
            <w:tcW w:w="0" w:type="auto"/>
            <w:vAlign w:val="center"/>
            <w:hideMark/>
          </w:tcPr>
          <w:p w14:paraId="494DD055" w14:textId="77777777" w:rsidR="00AB0971" w:rsidRPr="00E76568" w:rsidRDefault="00AB0971" w:rsidP="00563327">
            <w:pPr>
              <w:jc w:val="center"/>
              <w:rPr>
                <w:sz w:val="22"/>
                <w:szCs w:val="22"/>
                <w:lang w:val="en-US"/>
              </w:rPr>
            </w:pPr>
            <w:r w:rsidRPr="00E76568">
              <w:rPr>
                <w:sz w:val="22"/>
                <w:szCs w:val="22"/>
                <w:lang w:val="en-US"/>
              </w:rPr>
              <w:t>(1.093)</w:t>
            </w:r>
          </w:p>
        </w:tc>
      </w:tr>
      <w:tr w:rsidR="00AB0971" w:rsidRPr="00E76568" w14:paraId="3F11EAB0" w14:textId="77777777" w:rsidTr="00563327">
        <w:trPr>
          <w:tblCellSpacing w:w="15" w:type="dxa"/>
          <w:jc w:val="center"/>
        </w:trPr>
        <w:tc>
          <w:tcPr>
            <w:tcW w:w="0" w:type="auto"/>
            <w:vAlign w:val="center"/>
            <w:hideMark/>
          </w:tcPr>
          <w:p w14:paraId="72E4158B" w14:textId="77777777" w:rsidR="00AB0971" w:rsidRPr="00E76568" w:rsidRDefault="00AB0971" w:rsidP="00563327">
            <w:pPr>
              <w:rPr>
                <w:sz w:val="22"/>
                <w:szCs w:val="22"/>
                <w:lang w:val="en-US"/>
              </w:rPr>
            </w:pPr>
            <w:r w:rsidRPr="00E76568">
              <w:rPr>
                <w:sz w:val="22"/>
                <w:szCs w:val="22"/>
                <w:lang w:val="en-US"/>
              </w:rPr>
              <w:t>Reminder</w:t>
            </w:r>
          </w:p>
        </w:tc>
        <w:tc>
          <w:tcPr>
            <w:tcW w:w="0" w:type="auto"/>
            <w:vAlign w:val="center"/>
            <w:hideMark/>
          </w:tcPr>
          <w:p w14:paraId="331B72DA" w14:textId="77777777" w:rsidR="00AB0971" w:rsidRPr="00E76568" w:rsidRDefault="00AB0971" w:rsidP="00563327">
            <w:pPr>
              <w:jc w:val="center"/>
              <w:rPr>
                <w:sz w:val="22"/>
                <w:szCs w:val="22"/>
                <w:lang w:val="en-US"/>
              </w:rPr>
            </w:pPr>
            <w:r w:rsidRPr="00E76568">
              <w:rPr>
                <w:sz w:val="22"/>
                <w:szCs w:val="22"/>
                <w:lang w:val="en-US"/>
              </w:rPr>
              <w:t>-2.638</w:t>
            </w:r>
          </w:p>
        </w:tc>
      </w:tr>
      <w:tr w:rsidR="00AB0971" w:rsidRPr="00E76568" w14:paraId="4566C304" w14:textId="77777777" w:rsidTr="00563327">
        <w:trPr>
          <w:tblCellSpacing w:w="15" w:type="dxa"/>
          <w:jc w:val="center"/>
        </w:trPr>
        <w:tc>
          <w:tcPr>
            <w:tcW w:w="0" w:type="auto"/>
            <w:vAlign w:val="center"/>
            <w:hideMark/>
          </w:tcPr>
          <w:p w14:paraId="2D654572" w14:textId="77777777" w:rsidR="00AB0971" w:rsidRPr="00E76568" w:rsidRDefault="00AB0971" w:rsidP="00563327">
            <w:pPr>
              <w:jc w:val="center"/>
              <w:rPr>
                <w:sz w:val="22"/>
                <w:szCs w:val="22"/>
                <w:lang w:val="en-US"/>
              </w:rPr>
            </w:pPr>
          </w:p>
        </w:tc>
        <w:tc>
          <w:tcPr>
            <w:tcW w:w="0" w:type="auto"/>
            <w:vAlign w:val="center"/>
            <w:hideMark/>
          </w:tcPr>
          <w:p w14:paraId="2125E249" w14:textId="77777777" w:rsidR="00AB0971" w:rsidRPr="00E76568" w:rsidRDefault="00AB0971" w:rsidP="00563327">
            <w:pPr>
              <w:jc w:val="center"/>
              <w:rPr>
                <w:sz w:val="22"/>
                <w:szCs w:val="22"/>
                <w:lang w:val="en-US"/>
              </w:rPr>
            </w:pPr>
            <w:r w:rsidRPr="00E76568">
              <w:rPr>
                <w:sz w:val="22"/>
                <w:szCs w:val="22"/>
                <w:lang w:val="en-US"/>
              </w:rPr>
              <w:t>(1.955)</w:t>
            </w:r>
          </w:p>
        </w:tc>
      </w:tr>
      <w:tr w:rsidR="00AB0971" w:rsidRPr="00E76568" w14:paraId="5FC4272A" w14:textId="77777777" w:rsidTr="00563327">
        <w:trPr>
          <w:tblCellSpacing w:w="15" w:type="dxa"/>
          <w:jc w:val="center"/>
        </w:trPr>
        <w:tc>
          <w:tcPr>
            <w:tcW w:w="0" w:type="auto"/>
            <w:vAlign w:val="center"/>
            <w:hideMark/>
          </w:tcPr>
          <w:p w14:paraId="125448A6" w14:textId="77777777" w:rsidR="00AB0971" w:rsidRPr="00E76568" w:rsidRDefault="00AB0971" w:rsidP="00563327">
            <w:pPr>
              <w:rPr>
                <w:sz w:val="22"/>
                <w:szCs w:val="22"/>
                <w:lang w:val="en-US"/>
              </w:rPr>
            </w:pPr>
            <w:r w:rsidRPr="00E76568">
              <w:rPr>
                <w:sz w:val="22"/>
                <w:szCs w:val="22"/>
                <w:lang w:val="en-US"/>
              </w:rPr>
              <w:t xml:space="preserve">RAR </w:t>
            </w:r>
          </w:p>
        </w:tc>
        <w:tc>
          <w:tcPr>
            <w:tcW w:w="0" w:type="auto"/>
            <w:vAlign w:val="center"/>
            <w:hideMark/>
          </w:tcPr>
          <w:p w14:paraId="4673B3C3" w14:textId="77777777" w:rsidR="00AB0971" w:rsidRPr="00E76568" w:rsidRDefault="00AB0971" w:rsidP="00563327">
            <w:pPr>
              <w:jc w:val="center"/>
              <w:rPr>
                <w:sz w:val="22"/>
                <w:szCs w:val="22"/>
                <w:lang w:val="en-US"/>
              </w:rPr>
            </w:pPr>
            <w:r w:rsidRPr="00E76568">
              <w:rPr>
                <w:sz w:val="22"/>
                <w:szCs w:val="22"/>
                <w:lang w:val="en-US"/>
              </w:rPr>
              <w:t>-0.006</w:t>
            </w:r>
          </w:p>
        </w:tc>
      </w:tr>
      <w:tr w:rsidR="00AB0971" w:rsidRPr="00E76568" w14:paraId="0D241081" w14:textId="77777777" w:rsidTr="00563327">
        <w:trPr>
          <w:tblCellSpacing w:w="15" w:type="dxa"/>
          <w:jc w:val="center"/>
        </w:trPr>
        <w:tc>
          <w:tcPr>
            <w:tcW w:w="0" w:type="auto"/>
            <w:vAlign w:val="center"/>
            <w:hideMark/>
          </w:tcPr>
          <w:p w14:paraId="031F629C" w14:textId="77777777" w:rsidR="00AB0971" w:rsidRPr="00E76568" w:rsidRDefault="00AB0971" w:rsidP="00563327">
            <w:pPr>
              <w:jc w:val="center"/>
              <w:rPr>
                <w:sz w:val="22"/>
                <w:szCs w:val="22"/>
                <w:lang w:val="en-US"/>
              </w:rPr>
            </w:pPr>
          </w:p>
        </w:tc>
        <w:tc>
          <w:tcPr>
            <w:tcW w:w="0" w:type="auto"/>
            <w:vAlign w:val="center"/>
            <w:hideMark/>
          </w:tcPr>
          <w:p w14:paraId="6616A0CF" w14:textId="77777777" w:rsidR="00AB0971" w:rsidRPr="00E76568" w:rsidRDefault="00AB0971" w:rsidP="00563327">
            <w:pPr>
              <w:jc w:val="center"/>
              <w:rPr>
                <w:sz w:val="22"/>
                <w:szCs w:val="22"/>
                <w:lang w:val="en-US"/>
              </w:rPr>
            </w:pPr>
            <w:r w:rsidRPr="00E76568">
              <w:rPr>
                <w:sz w:val="22"/>
                <w:szCs w:val="22"/>
                <w:lang w:val="en-US"/>
              </w:rPr>
              <w:t>(0.013)</w:t>
            </w:r>
          </w:p>
        </w:tc>
      </w:tr>
      <w:tr w:rsidR="00AB0971" w:rsidRPr="00E76568" w14:paraId="2345027A" w14:textId="77777777" w:rsidTr="00563327">
        <w:trPr>
          <w:tblCellSpacing w:w="15" w:type="dxa"/>
          <w:jc w:val="center"/>
        </w:trPr>
        <w:tc>
          <w:tcPr>
            <w:tcW w:w="0" w:type="auto"/>
            <w:vAlign w:val="center"/>
            <w:hideMark/>
          </w:tcPr>
          <w:p w14:paraId="3B99CD2D" w14:textId="77777777" w:rsidR="00AB0971" w:rsidRPr="00E76568" w:rsidRDefault="00AB0971" w:rsidP="00563327">
            <w:pPr>
              <w:rPr>
                <w:sz w:val="22"/>
                <w:szCs w:val="22"/>
                <w:lang w:val="en-US"/>
              </w:rPr>
            </w:pPr>
            <w:r w:rsidRPr="00E76568">
              <w:rPr>
                <w:sz w:val="22"/>
                <w:szCs w:val="22"/>
                <w:lang w:val="en-US"/>
              </w:rPr>
              <w:t>Social Norm * RAR</w:t>
            </w:r>
          </w:p>
        </w:tc>
        <w:tc>
          <w:tcPr>
            <w:tcW w:w="0" w:type="auto"/>
            <w:vAlign w:val="center"/>
            <w:hideMark/>
          </w:tcPr>
          <w:p w14:paraId="1661068D" w14:textId="77777777" w:rsidR="00AB0971" w:rsidRPr="00E76568" w:rsidRDefault="00AB0971" w:rsidP="00563327">
            <w:pPr>
              <w:jc w:val="center"/>
              <w:rPr>
                <w:sz w:val="22"/>
                <w:szCs w:val="22"/>
                <w:lang w:val="en-US"/>
              </w:rPr>
            </w:pPr>
            <w:r w:rsidRPr="00E76568">
              <w:rPr>
                <w:sz w:val="22"/>
                <w:szCs w:val="22"/>
                <w:lang w:val="en-US"/>
              </w:rPr>
              <w:t>0.059</w:t>
            </w:r>
            <w:r w:rsidRPr="00E76568">
              <w:rPr>
                <w:sz w:val="22"/>
                <w:szCs w:val="22"/>
                <w:vertAlign w:val="superscript"/>
                <w:lang w:val="en-US"/>
              </w:rPr>
              <w:t>*</w:t>
            </w:r>
          </w:p>
        </w:tc>
      </w:tr>
      <w:tr w:rsidR="00AB0971" w:rsidRPr="00E76568" w14:paraId="0446307E" w14:textId="77777777" w:rsidTr="00563327">
        <w:trPr>
          <w:tblCellSpacing w:w="15" w:type="dxa"/>
          <w:jc w:val="center"/>
        </w:trPr>
        <w:tc>
          <w:tcPr>
            <w:tcW w:w="0" w:type="auto"/>
            <w:vAlign w:val="center"/>
            <w:hideMark/>
          </w:tcPr>
          <w:p w14:paraId="297CBF17" w14:textId="77777777" w:rsidR="00AB0971" w:rsidRPr="00E76568" w:rsidRDefault="00AB0971" w:rsidP="00563327">
            <w:pPr>
              <w:jc w:val="center"/>
              <w:rPr>
                <w:sz w:val="22"/>
                <w:szCs w:val="22"/>
                <w:lang w:val="en-US"/>
              </w:rPr>
            </w:pPr>
          </w:p>
        </w:tc>
        <w:tc>
          <w:tcPr>
            <w:tcW w:w="0" w:type="auto"/>
            <w:vAlign w:val="center"/>
            <w:hideMark/>
          </w:tcPr>
          <w:p w14:paraId="31BB94BF" w14:textId="77777777" w:rsidR="00AB0971" w:rsidRPr="00E76568" w:rsidRDefault="00AB0971" w:rsidP="00563327">
            <w:pPr>
              <w:jc w:val="center"/>
              <w:rPr>
                <w:sz w:val="22"/>
                <w:szCs w:val="22"/>
                <w:lang w:val="en-US"/>
              </w:rPr>
            </w:pPr>
            <w:r w:rsidRPr="00E76568">
              <w:rPr>
                <w:sz w:val="22"/>
                <w:szCs w:val="22"/>
                <w:lang w:val="en-US"/>
              </w:rPr>
              <w:t>(0.023)</w:t>
            </w:r>
          </w:p>
        </w:tc>
      </w:tr>
      <w:tr w:rsidR="00AB0971" w:rsidRPr="00E76568" w14:paraId="49827B43" w14:textId="77777777" w:rsidTr="00563327">
        <w:trPr>
          <w:tblCellSpacing w:w="15" w:type="dxa"/>
          <w:jc w:val="center"/>
        </w:trPr>
        <w:tc>
          <w:tcPr>
            <w:tcW w:w="0" w:type="auto"/>
            <w:vAlign w:val="center"/>
            <w:hideMark/>
          </w:tcPr>
          <w:p w14:paraId="13BF01BB" w14:textId="77777777" w:rsidR="00AB0971" w:rsidRPr="00E76568" w:rsidRDefault="00AB0971" w:rsidP="00563327">
            <w:pPr>
              <w:rPr>
                <w:sz w:val="22"/>
                <w:szCs w:val="22"/>
                <w:lang w:val="en-US"/>
              </w:rPr>
            </w:pPr>
            <w:r w:rsidRPr="00E76568">
              <w:rPr>
                <w:sz w:val="22"/>
                <w:szCs w:val="22"/>
                <w:lang w:val="en-US"/>
              </w:rPr>
              <w:t>Impact Others * RAR</w:t>
            </w:r>
          </w:p>
        </w:tc>
        <w:tc>
          <w:tcPr>
            <w:tcW w:w="0" w:type="auto"/>
            <w:vAlign w:val="center"/>
            <w:hideMark/>
          </w:tcPr>
          <w:p w14:paraId="21B22001" w14:textId="77777777" w:rsidR="00AB0971" w:rsidRPr="00E76568" w:rsidRDefault="00AB0971" w:rsidP="00563327">
            <w:pPr>
              <w:jc w:val="center"/>
              <w:rPr>
                <w:sz w:val="22"/>
                <w:szCs w:val="22"/>
                <w:lang w:val="en-US"/>
              </w:rPr>
            </w:pPr>
            <w:r w:rsidRPr="00E76568">
              <w:rPr>
                <w:sz w:val="22"/>
                <w:szCs w:val="22"/>
                <w:lang w:val="en-US"/>
              </w:rPr>
              <w:t>0.091</w:t>
            </w:r>
            <w:r w:rsidRPr="00E76568">
              <w:rPr>
                <w:sz w:val="22"/>
                <w:szCs w:val="22"/>
                <w:vertAlign w:val="superscript"/>
                <w:lang w:val="en-US"/>
              </w:rPr>
              <w:t>***</w:t>
            </w:r>
          </w:p>
        </w:tc>
      </w:tr>
      <w:tr w:rsidR="00AB0971" w:rsidRPr="00E76568" w14:paraId="73C888A6" w14:textId="77777777" w:rsidTr="00563327">
        <w:trPr>
          <w:tblCellSpacing w:w="15" w:type="dxa"/>
          <w:jc w:val="center"/>
        </w:trPr>
        <w:tc>
          <w:tcPr>
            <w:tcW w:w="0" w:type="auto"/>
            <w:vAlign w:val="center"/>
            <w:hideMark/>
          </w:tcPr>
          <w:p w14:paraId="2DBF9C52" w14:textId="77777777" w:rsidR="00AB0971" w:rsidRPr="00E76568" w:rsidRDefault="00AB0971" w:rsidP="00563327">
            <w:pPr>
              <w:jc w:val="center"/>
              <w:rPr>
                <w:sz w:val="22"/>
                <w:szCs w:val="22"/>
                <w:lang w:val="en-US"/>
              </w:rPr>
            </w:pPr>
          </w:p>
        </w:tc>
        <w:tc>
          <w:tcPr>
            <w:tcW w:w="0" w:type="auto"/>
            <w:vAlign w:val="center"/>
            <w:hideMark/>
          </w:tcPr>
          <w:p w14:paraId="2ADCCD9B" w14:textId="77777777" w:rsidR="00AB0971" w:rsidRPr="00E76568" w:rsidRDefault="00AB0971" w:rsidP="00563327">
            <w:pPr>
              <w:jc w:val="center"/>
              <w:rPr>
                <w:sz w:val="22"/>
                <w:szCs w:val="22"/>
                <w:lang w:val="en-US"/>
              </w:rPr>
            </w:pPr>
            <w:r w:rsidRPr="00E76568">
              <w:rPr>
                <w:sz w:val="22"/>
                <w:szCs w:val="22"/>
                <w:lang w:val="en-US"/>
              </w:rPr>
              <w:t>(0.027)</w:t>
            </w:r>
          </w:p>
        </w:tc>
      </w:tr>
      <w:tr w:rsidR="00AB0971" w:rsidRPr="00E76568" w14:paraId="1FD2A0FF" w14:textId="77777777" w:rsidTr="00563327">
        <w:trPr>
          <w:tblCellSpacing w:w="15" w:type="dxa"/>
          <w:jc w:val="center"/>
        </w:trPr>
        <w:tc>
          <w:tcPr>
            <w:tcW w:w="0" w:type="auto"/>
            <w:vAlign w:val="center"/>
            <w:hideMark/>
          </w:tcPr>
          <w:p w14:paraId="6F2F443C" w14:textId="77777777" w:rsidR="00AB0971" w:rsidRPr="00E76568" w:rsidRDefault="00AB0971" w:rsidP="00563327">
            <w:pPr>
              <w:rPr>
                <w:sz w:val="22"/>
                <w:szCs w:val="22"/>
                <w:lang w:val="en-US"/>
              </w:rPr>
            </w:pPr>
            <w:r w:rsidRPr="00E76568">
              <w:rPr>
                <w:sz w:val="22"/>
                <w:szCs w:val="22"/>
                <w:lang w:val="en-US"/>
              </w:rPr>
              <w:t>Audits &amp; Verification * RAR</w:t>
            </w:r>
          </w:p>
        </w:tc>
        <w:tc>
          <w:tcPr>
            <w:tcW w:w="0" w:type="auto"/>
            <w:vAlign w:val="center"/>
            <w:hideMark/>
          </w:tcPr>
          <w:p w14:paraId="03599C6D" w14:textId="77777777" w:rsidR="00AB0971" w:rsidRPr="00E76568" w:rsidRDefault="00AB0971" w:rsidP="00563327">
            <w:pPr>
              <w:jc w:val="center"/>
              <w:rPr>
                <w:sz w:val="22"/>
                <w:szCs w:val="22"/>
                <w:lang w:val="en-US"/>
              </w:rPr>
            </w:pPr>
            <w:r w:rsidRPr="00E76568">
              <w:rPr>
                <w:sz w:val="22"/>
                <w:szCs w:val="22"/>
                <w:lang w:val="en-US"/>
              </w:rPr>
              <w:t>0.089</w:t>
            </w:r>
            <w:r w:rsidRPr="00E76568">
              <w:rPr>
                <w:sz w:val="22"/>
                <w:szCs w:val="22"/>
                <w:vertAlign w:val="superscript"/>
                <w:lang w:val="en-US"/>
              </w:rPr>
              <w:t>**</w:t>
            </w:r>
          </w:p>
        </w:tc>
      </w:tr>
      <w:tr w:rsidR="00AB0971" w:rsidRPr="00E76568" w14:paraId="4186A6B4" w14:textId="77777777" w:rsidTr="00563327">
        <w:trPr>
          <w:tblCellSpacing w:w="15" w:type="dxa"/>
          <w:jc w:val="center"/>
        </w:trPr>
        <w:tc>
          <w:tcPr>
            <w:tcW w:w="0" w:type="auto"/>
            <w:vAlign w:val="center"/>
            <w:hideMark/>
          </w:tcPr>
          <w:p w14:paraId="6E770E3B" w14:textId="77777777" w:rsidR="00AB0971" w:rsidRPr="00E76568" w:rsidRDefault="00AB0971" w:rsidP="00563327">
            <w:pPr>
              <w:jc w:val="center"/>
              <w:rPr>
                <w:sz w:val="22"/>
                <w:szCs w:val="22"/>
                <w:lang w:val="en-US"/>
              </w:rPr>
            </w:pPr>
          </w:p>
        </w:tc>
        <w:tc>
          <w:tcPr>
            <w:tcW w:w="0" w:type="auto"/>
            <w:vAlign w:val="center"/>
            <w:hideMark/>
          </w:tcPr>
          <w:p w14:paraId="6869E518" w14:textId="77777777" w:rsidR="00AB0971" w:rsidRPr="00E76568" w:rsidRDefault="00AB0971" w:rsidP="00563327">
            <w:pPr>
              <w:jc w:val="center"/>
              <w:rPr>
                <w:sz w:val="22"/>
                <w:szCs w:val="22"/>
                <w:lang w:val="en-US"/>
              </w:rPr>
            </w:pPr>
            <w:r w:rsidRPr="00E76568">
              <w:rPr>
                <w:sz w:val="22"/>
                <w:szCs w:val="22"/>
                <w:lang w:val="en-US"/>
              </w:rPr>
              <w:t>(0.027)</w:t>
            </w:r>
          </w:p>
        </w:tc>
      </w:tr>
      <w:tr w:rsidR="00AB0971" w:rsidRPr="00E76568" w14:paraId="5AF84DE8" w14:textId="77777777" w:rsidTr="00563327">
        <w:trPr>
          <w:tblCellSpacing w:w="15" w:type="dxa"/>
          <w:jc w:val="center"/>
        </w:trPr>
        <w:tc>
          <w:tcPr>
            <w:tcW w:w="0" w:type="auto"/>
            <w:vAlign w:val="center"/>
            <w:hideMark/>
          </w:tcPr>
          <w:p w14:paraId="65B63130" w14:textId="77777777" w:rsidR="00AB0971" w:rsidRPr="00E76568" w:rsidRDefault="00AB0971" w:rsidP="00563327">
            <w:pPr>
              <w:rPr>
                <w:sz w:val="22"/>
                <w:szCs w:val="22"/>
                <w:lang w:val="en-US"/>
              </w:rPr>
            </w:pPr>
            <w:r w:rsidRPr="00E76568">
              <w:rPr>
                <w:sz w:val="22"/>
                <w:szCs w:val="22"/>
                <w:lang w:val="en-US"/>
              </w:rPr>
              <w:t>Penalties * RAR</w:t>
            </w:r>
          </w:p>
        </w:tc>
        <w:tc>
          <w:tcPr>
            <w:tcW w:w="0" w:type="auto"/>
            <w:vAlign w:val="center"/>
            <w:hideMark/>
          </w:tcPr>
          <w:p w14:paraId="1989EA90" w14:textId="77777777" w:rsidR="00AB0971" w:rsidRPr="00E76568" w:rsidRDefault="00AB0971" w:rsidP="00563327">
            <w:pPr>
              <w:jc w:val="center"/>
              <w:rPr>
                <w:sz w:val="22"/>
                <w:szCs w:val="22"/>
                <w:lang w:val="en-US"/>
              </w:rPr>
            </w:pPr>
            <w:r w:rsidRPr="00E76568">
              <w:rPr>
                <w:sz w:val="22"/>
                <w:szCs w:val="22"/>
                <w:lang w:val="en-US"/>
              </w:rPr>
              <w:t>0.058</w:t>
            </w:r>
            <w:r w:rsidRPr="00E76568">
              <w:rPr>
                <w:sz w:val="22"/>
                <w:szCs w:val="22"/>
                <w:vertAlign w:val="superscript"/>
                <w:lang w:val="en-US"/>
              </w:rPr>
              <w:t>**</w:t>
            </w:r>
          </w:p>
        </w:tc>
      </w:tr>
      <w:tr w:rsidR="00AB0971" w:rsidRPr="00E76568" w14:paraId="158FB7B4" w14:textId="77777777" w:rsidTr="00563327">
        <w:trPr>
          <w:tblCellSpacing w:w="15" w:type="dxa"/>
          <w:jc w:val="center"/>
        </w:trPr>
        <w:tc>
          <w:tcPr>
            <w:tcW w:w="0" w:type="auto"/>
            <w:vAlign w:val="center"/>
            <w:hideMark/>
          </w:tcPr>
          <w:p w14:paraId="02D1B4F2" w14:textId="77777777" w:rsidR="00AB0971" w:rsidRPr="00E76568" w:rsidRDefault="00AB0971" w:rsidP="00563327">
            <w:pPr>
              <w:jc w:val="center"/>
              <w:rPr>
                <w:sz w:val="22"/>
                <w:szCs w:val="22"/>
                <w:lang w:val="en-US"/>
              </w:rPr>
            </w:pPr>
          </w:p>
        </w:tc>
        <w:tc>
          <w:tcPr>
            <w:tcW w:w="0" w:type="auto"/>
            <w:vAlign w:val="center"/>
            <w:hideMark/>
          </w:tcPr>
          <w:p w14:paraId="42175E76" w14:textId="77777777" w:rsidR="00AB0971" w:rsidRPr="00E76568" w:rsidRDefault="00AB0971" w:rsidP="00563327">
            <w:pPr>
              <w:jc w:val="center"/>
              <w:rPr>
                <w:sz w:val="22"/>
                <w:szCs w:val="22"/>
                <w:lang w:val="en-US"/>
              </w:rPr>
            </w:pPr>
            <w:r w:rsidRPr="00E76568">
              <w:rPr>
                <w:sz w:val="22"/>
                <w:szCs w:val="22"/>
                <w:lang w:val="en-US"/>
              </w:rPr>
              <w:t>(0.019)</w:t>
            </w:r>
          </w:p>
        </w:tc>
      </w:tr>
      <w:tr w:rsidR="00AB0971" w:rsidRPr="00E76568" w14:paraId="47DEA1E7" w14:textId="77777777" w:rsidTr="00563327">
        <w:trPr>
          <w:tblCellSpacing w:w="15" w:type="dxa"/>
          <w:jc w:val="center"/>
        </w:trPr>
        <w:tc>
          <w:tcPr>
            <w:tcW w:w="0" w:type="auto"/>
            <w:vAlign w:val="center"/>
            <w:hideMark/>
          </w:tcPr>
          <w:p w14:paraId="45872EE9" w14:textId="77777777" w:rsidR="00AB0971" w:rsidRPr="00E76568" w:rsidRDefault="00AB0971" w:rsidP="00563327">
            <w:pPr>
              <w:rPr>
                <w:sz w:val="22"/>
                <w:szCs w:val="22"/>
                <w:lang w:val="en-US"/>
              </w:rPr>
            </w:pPr>
            <w:r w:rsidRPr="00E76568">
              <w:rPr>
                <w:sz w:val="22"/>
                <w:szCs w:val="22"/>
                <w:lang w:val="en-US"/>
              </w:rPr>
              <w:t>Reminder * RAR</w:t>
            </w:r>
          </w:p>
        </w:tc>
        <w:tc>
          <w:tcPr>
            <w:tcW w:w="0" w:type="auto"/>
            <w:vAlign w:val="center"/>
            <w:hideMark/>
          </w:tcPr>
          <w:p w14:paraId="6E1F7529" w14:textId="77777777" w:rsidR="00AB0971" w:rsidRPr="00E76568" w:rsidRDefault="00AB0971" w:rsidP="00563327">
            <w:pPr>
              <w:jc w:val="center"/>
              <w:rPr>
                <w:sz w:val="22"/>
                <w:szCs w:val="22"/>
                <w:lang w:val="en-US"/>
              </w:rPr>
            </w:pPr>
            <w:r w:rsidRPr="00E76568">
              <w:rPr>
                <w:sz w:val="22"/>
                <w:szCs w:val="22"/>
                <w:lang w:val="en-US"/>
              </w:rPr>
              <w:t>0.034</w:t>
            </w:r>
          </w:p>
        </w:tc>
      </w:tr>
      <w:tr w:rsidR="00AB0971" w:rsidRPr="00E76568" w14:paraId="7779E09F" w14:textId="77777777" w:rsidTr="00563327">
        <w:trPr>
          <w:tblCellSpacing w:w="15" w:type="dxa"/>
          <w:jc w:val="center"/>
        </w:trPr>
        <w:tc>
          <w:tcPr>
            <w:tcW w:w="0" w:type="auto"/>
            <w:vAlign w:val="center"/>
            <w:hideMark/>
          </w:tcPr>
          <w:p w14:paraId="42F5E612" w14:textId="77777777" w:rsidR="00AB0971" w:rsidRPr="00E76568" w:rsidRDefault="00AB0971" w:rsidP="00563327">
            <w:pPr>
              <w:rPr>
                <w:sz w:val="22"/>
                <w:szCs w:val="22"/>
                <w:lang w:val="en-US"/>
              </w:rPr>
            </w:pPr>
          </w:p>
        </w:tc>
        <w:tc>
          <w:tcPr>
            <w:tcW w:w="0" w:type="auto"/>
            <w:vAlign w:val="center"/>
            <w:hideMark/>
          </w:tcPr>
          <w:p w14:paraId="6E88217E" w14:textId="77777777" w:rsidR="00AB0971" w:rsidRPr="00E76568" w:rsidRDefault="00AB0971" w:rsidP="00563327">
            <w:pPr>
              <w:jc w:val="center"/>
              <w:rPr>
                <w:sz w:val="22"/>
                <w:szCs w:val="22"/>
                <w:lang w:val="en-US"/>
              </w:rPr>
            </w:pPr>
            <w:r w:rsidRPr="00E76568">
              <w:rPr>
                <w:sz w:val="22"/>
                <w:szCs w:val="22"/>
                <w:lang w:val="en-US"/>
              </w:rPr>
              <w:t>(0.034)</w:t>
            </w:r>
          </w:p>
        </w:tc>
      </w:tr>
      <w:tr w:rsidR="00AB0971" w:rsidRPr="00E76568" w14:paraId="56B92AB4" w14:textId="77777777" w:rsidTr="00563327">
        <w:trPr>
          <w:tblCellSpacing w:w="15" w:type="dxa"/>
          <w:jc w:val="center"/>
        </w:trPr>
        <w:tc>
          <w:tcPr>
            <w:tcW w:w="0" w:type="auto"/>
            <w:gridSpan w:val="2"/>
            <w:tcBorders>
              <w:bottom w:val="single" w:sz="6" w:space="0" w:color="000000"/>
            </w:tcBorders>
            <w:vAlign w:val="center"/>
            <w:hideMark/>
          </w:tcPr>
          <w:p w14:paraId="19AB2BB9" w14:textId="77777777" w:rsidR="00AB0971" w:rsidRPr="00E76568" w:rsidRDefault="00AB0971" w:rsidP="00563327">
            <w:pPr>
              <w:jc w:val="center"/>
              <w:rPr>
                <w:sz w:val="22"/>
                <w:szCs w:val="22"/>
                <w:lang w:val="en-US"/>
              </w:rPr>
            </w:pPr>
          </w:p>
        </w:tc>
      </w:tr>
      <w:tr w:rsidR="00AB0971" w:rsidRPr="00E76568" w14:paraId="4391E1F7" w14:textId="77777777" w:rsidTr="00563327">
        <w:trPr>
          <w:tblCellSpacing w:w="15" w:type="dxa"/>
          <w:jc w:val="center"/>
        </w:trPr>
        <w:tc>
          <w:tcPr>
            <w:tcW w:w="0" w:type="auto"/>
            <w:vAlign w:val="center"/>
            <w:hideMark/>
          </w:tcPr>
          <w:p w14:paraId="18A814B5" w14:textId="77777777" w:rsidR="00AB0971" w:rsidRPr="00E76568" w:rsidRDefault="00AB0971" w:rsidP="00563327">
            <w:pPr>
              <w:rPr>
                <w:sz w:val="22"/>
                <w:szCs w:val="22"/>
                <w:lang w:val="en-US"/>
              </w:rPr>
            </w:pPr>
            <w:r w:rsidRPr="00E76568">
              <w:rPr>
                <w:sz w:val="22"/>
                <w:szCs w:val="22"/>
                <w:lang w:val="en-US"/>
              </w:rPr>
              <w:t>Observations</w:t>
            </w:r>
          </w:p>
        </w:tc>
        <w:tc>
          <w:tcPr>
            <w:tcW w:w="0" w:type="auto"/>
            <w:vAlign w:val="center"/>
            <w:hideMark/>
          </w:tcPr>
          <w:p w14:paraId="032F2B04" w14:textId="77777777" w:rsidR="00AB0971" w:rsidRPr="00E76568" w:rsidRDefault="00AB0971" w:rsidP="00563327">
            <w:pPr>
              <w:jc w:val="center"/>
              <w:rPr>
                <w:sz w:val="22"/>
                <w:szCs w:val="22"/>
                <w:lang w:val="en-US"/>
              </w:rPr>
            </w:pPr>
            <w:r w:rsidRPr="00E76568">
              <w:rPr>
                <w:sz w:val="22"/>
                <w:szCs w:val="22"/>
                <w:lang w:val="en-US"/>
              </w:rPr>
              <w:t>0.005</w:t>
            </w:r>
          </w:p>
        </w:tc>
      </w:tr>
      <w:tr w:rsidR="00AB0971" w:rsidRPr="00E76568" w14:paraId="124F9495" w14:textId="77777777" w:rsidTr="00563327">
        <w:trPr>
          <w:tblCellSpacing w:w="15" w:type="dxa"/>
          <w:jc w:val="center"/>
        </w:trPr>
        <w:tc>
          <w:tcPr>
            <w:tcW w:w="0" w:type="auto"/>
            <w:vAlign w:val="center"/>
            <w:hideMark/>
          </w:tcPr>
          <w:p w14:paraId="4E968C56" w14:textId="77777777" w:rsidR="00AB0971" w:rsidRPr="00E76568" w:rsidRDefault="00AB0971" w:rsidP="00563327">
            <w:pPr>
              <w:rPr>
                <w:sz w:val="22"/>
                <w:szCs w:val="22"/>
                <w:lang w:val="en-US"/>
              </w:rPr>
            </w:pPr>
            <w:r w:rsidRPr="00E76568">
              <w:rPr>
                <w:sz w:val="22"/>
                <w:szCs w:val="22"/>
                <w:lang w:val="en-US"/>
              </w:rPr>
              <w:t>R</w:t>
            </w:r>
            <w:r w:rsidRPr="00E76568">
              <w:rPr>
                <w:sz w:val="22"/>
                <w:szCs w:val="22"/>
                <w:vertAlign w:val="superscript"/>
                <w:lang w:val="en-US"/>
              </w:rPr>
              <w:t>2</w:t>
            </w:r>
          </w:p>
        </w:tc>
        <w:tc>
          <w:tcPr>
            <w:tcW w:w="0" w:type="auto"/>
            <w:vAlign w:val="center"/>
            <w:hideMark/>
          </w:tcPr>
          <w:p w14:paraId="0092944A" w14:textId="77777777" w:rsidR="00AB0971" w:rsidRPr="00E76568" w:rsidRDefault="00AB0971" w:rsidP="00563327">
            <w:pPr>
              <w:jc w:val="center"/>
              <w:rPr>
                <w:sz w:val="22"/>
                <w:szCs w:val="22"/>
                <w:lang w:val="en-US"/>
              </w:rPr>
            </w:pPr>
            <w:r w:rsidRPr="00E76568">
              <w:rPr>
                <w:sz w:val="22"/>
                <w:szCs w:val="22"/>
                <w:lang w:val="en-US"/>
              </w:rPr>
              <w:t>0.004</w:t>
            </w:r>
          </w:p>
        </w:tc>
      </w:tr>
      <w:tr w:rsidR="00AB0971" w:rsidRPr="00E76568" w14:paraId="123E2061" w14:textId="77777777" w:rsidTr="00563327">
        <w:trPr>
          <w:tblCellSpacing w:w="15" w:type="dxa"/>
          <w:jc w:val="center"/>
        </w:trPr>
        <w:tc>
          <w:tcPr>
            <w:tcW w:w="0" w:type="auto"/>
            <w:vAlign w:val="center"/>
            <w:hideMark/>
          </w:tcPr>
          <w:p w14:paraId="1203C65D" w14:textId="77777777" w:rsidR="00AB0971" w:rsidRPr="00E76568" w:rsidRDefault="00AB0971" w:rsidP="00563327">
            <w:pPr>
              <w:rPr>
                <w:sz w:val="22"/>
                <w:szCs w:val="22"/>
                <w:lang w:val="en-US"/>
              </w:rPr>
            </w:pPr>
            <w:r w:rsidRPr="00E76568">
              <w:rPr>
                <w:sz w:val="22"/>
                <w:szCs w:val="22"/>
                <w:lang w:val="en-US"/>
              </w:rPr>
              <w:t>Adjusted R</w:t>
            </w:r>
            <w:r w:rsidRPr="00E76568">
              <w:rPr>
                <w:sz w:val="22"/>
                <w:szCs w:val="22"/>
                <w:vertAlign w:val="superscript"/>
                <w:lang w:val="en-US"/>
              </w:rPr>
              <w:t>2</w:t>
            </w:r>
          </w:p>
        </w:tc>
        <w:tc>
          <w:tcPr>
            <w:tcW w:w="0" w:type="auto"/>
            <w:vAlign w:val="center"/>
            <w:hideMark/>
          </w:tcPr>
          <w:p w14:paraId="35DD9F89" w14:textId="77777777" w:rsidR="00AB0971" w:rsidRPr="00E76568" w:rsidRDefault="00AB0971" w:rsidP="00563327">
            <w:pPr>
              <w:jc w:val="center"/>
              <w:rPr>
                <w:sz w:val="22"/>
                <w:szCs w:val="22"/>
                <w:lang w:val="en-US"/>
              </w:rPr>
            </w:pPr>
            <w:r w:rsidRPr="00E76568">
              <w:rPr>
                <w:sz w:val="22"/>
                <w:szCs w:val="22"/>
                <w:lang w:val="en-US"/>
              </w:rPr>
              <w:t>4.728</w:t>
            </w:r>
            <w:r w:rsidRPr="00E76568">
              <w:rPr>
                <w:sz w:val="22"/>
                <w:szCs w:val="22"/>
                <w:vertAlign w:val="superscript"/>
                <w:lang w:val="en-US"/>
              </w:rPr>
              <w:t>***</w:t>
            </w:r>
          </w:p>
        </w:tc>
      </w:tr>
      <w:tr w:rsidR="00AB0971" w:rsidRPr="00E76568" w14:paraId="0F818879" w14:textId="77777777" w:rsidTr="00563327">
        <w:trPr>
          <w:tblCellSpacing w:w="15" w:type="dxa"/>
          <w:jc w:val="center"/>
        </w:trPr>
        <w:tc>
          <w:tcPr>
            <w:tcW w:w="0" w:type="auto"/>
            <w:gridSpan w:val="2"/>
            <w:tcBorders>
              <w:bottom w:val="single" w:sz="6" w:space="0" w:color="000000"/>
            </w:tcBorders>
            <w:vAlign w:val="center"/>
            <w:hideMark/>
          </w:tcPr>
          <w:p w14:paraId="746CDDAF" w14:textId="77777777" w:rsidR="00AB0971" w:rsidRPr="00E76568" w:rsidRDefault="00AB0971" w:rsidP="00563327">
            <w:pPr>
              <w:jc w:val="center"/>
              <w:rPr>
                <w:sz w:val="22"/>
                <w:szCs w:val="22"/>
                <w:lang w:val="en-US"/>
              </w:rPr>
            </w:pPr>
          </w:p>
        </w:tc>
      </w:tr>
    </w:tbl>
    <w:p w14:paraId="775D5435" w14:textId="77777777" w:rsidR="00AB0971" w:rsidRPr="00E76568" w:rsidRDefault="00AB0971" w:rsidP="00AB0971">
      <w:pPr>
        <w:rPr>
          <w:i/>
          <w:sz w:val="20"/>
          <w:szCs w:val="20"/>
          <w:lang w:val="en-US"/>
        </w:rPr>
      </w:pPr>
    </w:p>
    <w:p w14:paraId="527475AE" w14:textId="77777777" w:rsidR="00AB0971" w:rsidRPr="00E76568" w:rsidRDefault="00AB0971" w:rsidP="00AB0971">
      <w:pPr>
        <w:rPr>
          <w:sz w:val="20"/>
          <w:szCs w:val="20"/>
          <w:lang w:val="en-US"/>
        </w:rPr>
      </w:pPr>
      <w:r w:rsidRPr="00E76568">
        <w:rPr>
          <w:i/>
          <w:sz w:val="20"/>
          <w:szCs w:val="20"/>
          <w:lang w:val="en-US"/>
        </w:rPr>
        <w:t>Note</w:t>
      </w:r>
      <w:r w:rsidRPr="00E76568">
        <w:rPr>
          <w:sz w:val="20"/>
          <w:szCs w:val="20"/>
          <w:lang w:val="en-US"/>
        </w:rPr>
        <w:t xml:space="preserve">. Unit of analysis is claimants’ weekly submissions. Standard errors are clustered at the claimant level. </w:t>
      </w:r>
      <w:r w:rsidRPr="00E76568">
        <w:rPr>
          <w:i/>
          <w:iCs/>
          <w:sz w:val="20"/>
          <w:szCs w:val="20"/>
          <w:lang w:val="en-US"/>
        </w:rPr>
        <w:t>P</w:t>
      </w:r>
      <w:r w:rsidRPr="00E76568">
        <w:rPr>
          <w:sz w:val="20"/>
          <w:szCs w:val="20"/>
          <w:lang w:val="en-US"/>
        </w:rPr>
        <w:t xml:space="preserve">-values are adjusted for multiple comparisons using FDR. * </w:t>
      </w:r>
      <w:r w:rsidRPr="00E76568">
        <w:rPr>
          <w:i/>
          <w:iCs/>
          <w:sz w:val="20"/>
          <w:szCs w:val="20"/>
          <w:lang w:val="en-US"/>
        </w:rPr>
        <w:t>p</w:t>
      </w:r>
      <w:r w:rsidRPr="00E76568">
        <w:rPr>
          <w:sz w:val="20"/>
          <w:szCs w:val="20"/>
          <w:lang w:val="en-US"/>
        </w:rPr>
        <w:t xml:space="preserve"> &lt; .05; ** </w:t>
      </w:r>
      <w:r w:rsidRPr="00E76568">
        <w:rPr>
          <w:i/>
          <w:iCs/>
          <w:sz w:val="20"/>
          <w:szCs w:val="20"/>
          <w:lang w:val="en-US"/>
        </w:rPr>
        <w:t>p</w:t>
      </w:r>
      <w:r w:rsidRPr="00E76568">
        <w:rPr>
          <w:sz w:val="20"/>
          <w:szCs w:val="20"/>
          <w:lang w:val="en-US"/>
        </w:rPr>
        <w:t xml:space="preserve"> &lt; .01; *** </w:t>
      </w:r>
      <w:r w:rsidRPr="00E76568">
        <w:rPr>
          <w:i/>
          <w:iCs/>
          <w:sz w:val="20"/>
          <w:szCs w:val="20"/>
          <w:lang w:val="en-US"/>
        </w:rPr>
        <w:t>p</w:t>
      </w:r>
      <w:r w:rsidRPr="00E76568">
        <w:rPr>
          <w:sz w:val="20"/>
          <w:szCs w:val="20"/>
          <w:lang w:val="en-US"/>
        </w:rPr>
        <w:t xml:space="preserve"> &lt; .001.</w:t>
      </w:r>
    </w:p>
    <w:p w14:paraId="6E0616BA" w14:textId="7AA2C771" w:rsidR="00885823" w:rsidRPr="00033272" w:rsidRDefault="00885823" w:rsidP="00351285">
      <w:pPr>
        <w:rPr>
          <w:sz w:val="20"/>
          <w:szCs w:val="20"/>
          <w:lang w:val="en-US"/>
        </w:rPr>
      </w:pPr>
    </w:p>
    <w:p w14:paraId="51CA2D37" w14:textId="77777777" w:rsidR="00885823" w:rsidRPr="00033272" w:rsidRDefault="00885823" w:rsidP="00351285">
      <w:pPr>
        <w:rPr>
          <w:sz w:val="20"/>
          <w:szCs w:val="20"/>
          <w:lang w:val="en-US"/>
        </w:rPr>
      </w:pPr>
    </w:p>
    <w:p w14:paraId="0F2AA0FD" w14:textId="77777777" w:rsidR="00351285" w:rsidRPr="00033272" w:rsidRDefault="00351285" w:rsidP="00351285">
      <w:r w:rsidRPr="00033272">
        <w:br w:type="page"/>
      </w:r>
    </w:p>
    <w:p w14:paraId="26C0B219" w14:textId="4AD3A228" w:rsidR="00B057C1" w:rsidRPr="00033272" w:rsidRDefault="00B057C1" w:rsidP="00B057C1">
      <w:pPr>
        <w:rPr>
          <w:sz w:val="20"/>
          <w:szCs w:val="20"/>
          <w:lang w:val="en-US"/>
        </w:rPr>
      </w:pPr>
    </w:p>
    <w:p w14:paraId="76624ACD" w14:textId="08600839" w:rsidR="005052B7" w:rsidRDefault="005052B7" w:rsidP="004E1A70">
      <w:pPr>
        <w:pBdr>
          <w:top w:val="nil"/>
          <w:left w:val="nil"/>
          <w:bottom w:val="nil"/>
          <w:right w:val="nil"/>
          <w:between w:val="nil"/>
          <w:bar w:val="nil"/>
        </w:pBdr>
        <w:outlineLvl w:val="0"/>
        <w:rPr>
          <w:rFonts w:eastAsia="Arial Unicode MS"/>
          <w:color w:val="000000"/>
          <w:sz w:val="22"/>
          <w:szCs w:val="22"/>
          <w:u w:color="000000"/>
          <w:bdr w:val="nil"/>
          <w:lang w:val="en-US"/>
        </w:rPr>
      </w:pPr>
      <w:r w:rsidRPr="00F928F8">
        <w:rPr>
          <w:rFonts w:eastAsia="Arial Unicode MS"/>
          <w:b/>
          <w:color w:val="000000"/>
          <w:sz w:val="22"/>
          <w:szCs w:val="22"/>
          <w:u w:color="000000"/>
          <w:bdr w:val="nil"/>
          <w:lang w:val="en-US"/>
        </w:rPr>
        <w:t xml:space="preserve">Table </w:t>
      </w:r>
      <w:r w:rsidR="00E902A8">
        <w:rPr>
          <w:rFonts w:eastAsia="Arial Unicode MS"/>
          <w:b/>
          <w:color w:val="000000"/>
          <w:sz w:val="22"/>
          <w:szCs w:val="22"/>
          <w:u w:color="000000"/>
          <w:bdr w:val="nil"/>
          <w:lang w:val="en-US"/>
        </w:rPr>
        <w:t>S</w:t>
      </w:r>
      <w:r w:rsidR="00112D14">
        <w:rPr>
          <w:rFonts w:eastAsia="Arial Unicode MS"/>
          <w:b/>
          <w:color w:val="000000"/>
          <w:sz w:val="22"/>
          <w:szCs w:val="22"/>
          <w:u w:color="000000"/>
          <w:bdr w:val="nil"/>
          <w:lang w:val="en-US"/>
        </w:rPr>
        <w:t>5</w:t>
      </w:r>
      <w:r w:rsidRPr="00F928F8">
        <w:rPr>
          <w:rFonts w:eastAsia="Arial Unicode MS"/>
          <w:b/>
          <w:color w:val="000000"/>
          <w:sz w:val="22"/>
          <w:szCs w:val="22"/>
          <w:u w:color="000000"/>
          <w:bdr w:val="nil"/>
          <w:lang w:val="en-US"/>
        </w:rPr>
        <w:t>.</w:t>
      </w:r>
      <w:r w:rsidRPr="00F928F8">
        <w:rPr>
          <w:rFonts w:eastAsia="Arial Unicode MS"/>
          <w:color w:val="000000"/>
          <w:sz w:val="22"/>
          <w:szCs w:val="22"/>
          <w:u w:color="000000"/>
          <w:bdr w:val="nil"/>
          <w:lang w:val="en-US"/>
        </w:rPr>
        <w:t xml:space="preserve"> </w:t>
      </w:r>
      <w:r>
        <w:rPr>
          <w:rFonts w:eastAsia="Arial Unicode MS"/>
          <w:color w:val="000000"/>
          <w:sz w:val="22"/>
          <w:szCs w:val="22"/>
          <w:u w:color="000000"/>
          <w:bdr w:val="nil"/>
          <w:lang w:val="en-US"/>
        </w:rPr>
        <w:t>Number of Variables During Algorithm Training and Retained in Final Algorithm</w:t>
      </w:r>
      <w:r w:rsidRPr="00F928F8">
        <w:rPr>
          <w:rFonts w:eastAsia="Arial Unicode MS"/>
          <w:color w:val="000000"/>
          <w:sz w:val="22"/>
          <w:szCs w:val="22"/>
          <w:u w:color="000000"/>
          <w:bdr w:val="nil"/>
          <w:lang w:val="en-US"/>
        </w:rPr>
        <w:t xml:space="preserve"> </w:t>
      </w:r>
    </w:p>
    <w:p w14:paraId="070389C9" w14:textId="77777777" w:rsidR="004E1A70" w:rsidRPr="004E1A70" w:rsidRDefault="004E1A70" w:rsidP="004E1A70">
      <w:pPr>
        <w:pBdr>
          <w:top w:val="nil"/>
          <w:left w:val="nil"/>
          <w:bottom w:val="nil"/>
          <w:right w:val="nil"/>
          <w:between w:val="nil"/>
          <w:bar w:val="nil"/>
        </w:pBdr>
        <w:outlineLvl w:val="0"/>
        <w:rPr>
          <w:rFonts w:eastAsia="Times New Roman Bold"/>
          <w:color w:val="000000"/>
          <w:sz w:val="22"/>
          <w:szCs w:val="22"/>
          <w:u w:color="000000"/>
          <w:bdr w:val="nil"/>
          <w:lang w:val="en-US"/>
        </w:rPr>
      </w:pPr>
    </w:p>
    <w:tbl>
      <w:tblPr>
        <w:tblStyle w:val="TableGrid"/>
        <w:tblW w:w="0" w:type="auto"/>
        <w:tblLook w:val="04A0" w:firstRow="1" w:lastRow="0" w:firstColumn="1" w:lastColumn="0" w:noHBand="0" w:noVBand="1"/>
      </w:tblPr>
      <w:tblGrid>
        <w:gridCol w:w="3681"/>
        <w:gridCol w:w="2835"/>
        <w:gridCol w:w="2494"/>
      </w:tblGrid>
      <w:tr w:rsidR="005052B7" w:rsidRPr="0084668B" w14:paraId="36D6ED0C" w14:textId="77777777" w:rsidTr="004631D3">
        <w:tc>
          <w:tcPr>
            <w:tcW w:w="3681" w:type="dxa"/>
          </w:tcPr>
          <w:p w14:paraId="33DC8506" w14:textId="6F900673" w:rsidR="005052B7" w:rsidRPr="0084668B"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sz w:val="22"/>
                <w:szCs w:val="22"/>
                <w:lang w:val="en-US"/>
              </w:rPr>
            </w:pPr>
          </w:p>
        </w:tc>
        <w:tc>
          <w:tcPr>
            <w:tcW w:w="5329" w:type="dxa"/>
            <w:gridSpan w:val="2"/>
            <w:vAlign w:val="center"/>
          </w:tcPr>
          <w:p w14:paraId="2DE7F60C" w14:textId="77777777" w:rsidR="005052B7" w:rsidRPr="0084668B"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sz w:val="22"/>
                <w:szCs w:val="22"/>
                <w:lang w:val="en-US"/>
              </w:rPr>
            </w:pPr>
            <w:r w:rsidRPr="0084668B">
              <w:rPr>
                <w:rFonts w:ascii="Times New Roman" w:hAnsi="Times New Roman" w:cs="Times New Roman"/>
                <w:b/>
                <w:bCs/>
                <w:sz w:val="22"/>
                <w:szCs w:val="22"/>
                <w:lang w:val="en-US"/>
              </w:rPr>
              <w:t>Number of variables</w:t>
            </w:r>
          </w:p>
        </w:tc>
      </w:tr>
      <w:tr w:rsidR="005052B7" w:rsidRPr="0084668B" w14:paraId="504B4C50" w14:textId="77777777" w:rsidTr="004631D3">
        <w:tc>
          <w:tcPr>
            <w:tcW w:w="3681" w:type="dxa"/>
          </w:tcPr>
          <w:p w14:paraId="6E50B229" w14:textId="77777777" w:rsidR="005052B7" w:rsidRPr="0084668B"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b/>
                <w:bCs/>
                <w:sz w:val="22"/>
                <w:szCs w:val="22"/>
                <w:lang w:val="en-US"/>
              </w:rPr>
            </w:pPr>
            <w:r w:rsidRPr="0084668B">
              <w:rPr>
                <w:rFonts w:ascii="Times New Roman" w:hAnsi="Times New Roman" w:cs="Times New Roman"/>
                <w:b/>
                <w:bCs/>
                <w:sz w:val="22"/>
                <w:szCs w:val="22"/>
                <w:lang w:val="en-US"/>
              </w:rPr>
              <w:t>Category</w:t>
            </w:r>
          </w:p>
        </w:tc>
        <w:tc>
          <w:tcPr>
            <w:tcW w:w="2835" w:type="dxa"/>
            <w:vAlign w:val="center"/>
          </w:tcPr>
          <w:p w14:paraId="28CFAFB4" w14:textId="77777777" w:rsidR="005052B7" w:rsidRPr="0084668B"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b/>
                <w:bCs/>
                <w:sz w:val="22"/>
                <w:szCs w:val="22"/>
                <w:lang w:val="en-US"/>
              </w:rPr>
            </w:pPr>
            <w:r w:rsidRPr="0084668B">
              <w:rPr>
                <w:rFonts w:ascii="Times New Roman" w:hAnsi="Times New Roman" w:cs="Times New Roman"/>
                <w:b/>
                <w:bCs/>
                <w:sz w:val="22"/>
                <w:szCs w:val="22"/>
                <w:lang w:val="en-US"/>
              </w:rPr>
              <w:t>Potential predictors before variable selection</w:t>
            </w:r>
          </w:p>
        </w:tc>
        <w:tc>
          <w:tcPr>
            <w:tcW w:w="2494" w:type="dxa"/>
            <w:vAlign w:val="center"/>
          </w:tcPr>
          <w:p w14:paraId="429459F1" w14:textId="77777777" w:rsidR="005052B7" w:rsidRPr="0084668B"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Times New Roman" w:hAnsi="Times New Roman" w:cs="Times New Roman"/>
                <w:b/>
                <w:bCs/>
                <w:sz w:val="22"/>
                <w:szCs w:val="22"/>
                <w:lang w:val="en-US"/>
              </w:rPr>
            </w:pPr>
            <w:r w:rsidRPr="0084668B">
              <w:rPr>
                <w:rFonts w:ascii="Times New Roman" w:hAnsi="Times New Roman" w:cs="Times New Roman"/>
                <w:b/>
                <w:bCs/>
                <w:sz w:val="22"/>
                <w:szCs w:val="22"/>
                <w:lang w:val="en-US"/>
              </w:rPr>
              <w:t>Retained in final algorithm</w:t>
            </w:r>
          </w:p>
        </w:tc>
      </w:tr>
      <w:tr w:rsidR="005052B7" w:rsidRPr="00673D0A" w14:paraId="1169110C" w14:textId="77777777" w:rsidTr="004631D3">
        <w:tc>
          <w:tcPr>
            <w:tcW w:w="3681" w:type="dxa"/>
          </w:tcPr>
          <w:p w14:paraId="73BB8A20" w14:textId="77777777"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Past claim information</w:t>
            </w:r>
          </w:p>
        </w:tc>
        <w:tc>
          <w:tcPr>
            <w:tcW w:w="2835" w:type="dxa"/>
          </w:tcPr>
          <w:p w14:paraId="7CAEF17F"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5</w:t>
            </w:r>
          </w:p>
        </w:tc>
        <w:tc>
          <w:tcPr>
            <w:tcW w:w="2494" w:type="dxa"/>
          </w:tcPr>
          <w:p w14:paraId="5E738959"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r>
      <w:tr w:rsidR="005052B7" w:rsidRPr="00673D0A" w14:paraId="0EE220E4" w14:textId="77777777" w:rsidTr="004631D3">
        <w:tc>
          <w:tcPr>
            <w:tcW w:w="3681" w:type="dxa"/>
          </w:tcPr>
          <w:p w14:paraId="06BFBA8D" w14:textId="77777777"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 xml:space="preserve">Current </w:t>
            </w:r>
            <w:proofErr w:type="gramStart"/>
            <w:r w:rsidRPr="00673D0A">
              <w:rPr>
                <w:rFonts w:ascii="Times New Roman" w:hAnsi="Times New Roman" w:cs="Times New Roman"/>
                <w:sz w:val="22"/>
                <w:szCs w:val="22"/>
                <w:lang w:val="en-US"/>
              </w:rPr>
              <w:t>week</w:t>
            </w:r>
            <w:proofErr w:type="gramEnd"/>
            <w:r w:rsidRPr="00673D0A">
              <w:rPr>
                <w:rFonts w:ascii="Times New Roman" w:hAnsi="Times New Roman" w:cs="Times New Roman"/>
                <w:sz w:val="22"/>
                <w:szCs w:val="22"/>
                <w:lang w:val="en-US"/>
              </w:rPr>
              <w:t xml:space="preserve"> claim information</w:t>
            </w:r>
          </w:p>
        </w:tc>
        <w:tc>
          <w:tcPr>
            <w:tcW w:w="2835" w:type="dxa"/>
          </w:tcPr>
          <w:p w14:paraId="046467C0"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33</w:t>
            </w:r>
          </w:p>
        </w:tc>
        <w:tc>
          <w:tcPr>
            <w:tcW w:w="2494" w:type="dxa"/>
          </w:tcPr>
          <w:p w14:paraId="1AECF0E4"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11</w:t>
            </w:r>
          </w:p>
        </w:tc>
      </w:tr>
      <w:tr w:rsidR="005052B7" w:rsidRPr="00673D0A" w14:paraId="673401E3" w14:textId="77777777" w:rsidTr="004631D3">
        <w:tc>
          <w:tcPr>
            <w:tcW w:w="3681" w:type="dxa"/>
          </w:tcPr>
          <w:p w14:paraId="141477F0" w14:textId="77777777"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Prior misreporting or audits</w:t>
            </w:r>
          </w:p>
        </w:tc>
        <w:tc>
          <w:tcPr>
            <w:tcW w:w="2835" w:type="dxa"/>
          </w:tcPr>
          <w:p w14:paraId="7049F2FF"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22</w:t>
            </w:r>
          </w:p>
        </w:tc>
        <w:tc>
          <w:tcPr>
            <w:tcW w:w="2494" w:type="dxa"/>
          </w:tcPr>
          <w:p w14:paraId="5FFC2568"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r>
      <w:tr w:rsidR="005052B7" w:rsidRPr="00673D0A" w14:paraId="0B643158" w14:textId="77777777" w:rsidTr="004631D3">
        <w:tc>
          <w:tcPr>
            <w:tcW w:w="3681" w:type="dxa"/>
          </w:tcPr>
          <w:p w14:paraId="51394C03" w14:textId="4EF14020"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Claimant descriptive</w:t>
            </w:r>
            <w:r w:rsidR="007C04E2">
              <w:rPr>
                <w:rFonts w:ascii="Times New Roman" w:hAnsi="Times New Roman" w:cs="Times New Roman"/>
                <w:sz w:val="22"/>
                <w:szCs w:val="22"/>
                <w:lang w:val="en-US"/>
              </w:rPr>
              <w:t>s</w:t>
            </w:r>
          </w:p>
        </w:tc>
        <w:tc>
          <w:tcPr>
            <w:tcW w:w="2835" w:type="dxa"/>
          </w:tcPr>
          <w:p w14:paraId="1E25F42C"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83</w:t>
            </w:r>
          </w:p>
        </w:tc>
        <w:tc>
          <w:tcPr>
            <w:tcW w:w="2494" w:type="dxa"/>
          </w:tcPr>
          <w:p w14:paraId="3114F0BC"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20</w:t>
            </w:r>
          </w:p>
        </w:tc>
      </w:tr>
      <w:tr w:rsidR="005052B7" w:rsidRPr="00673D0A" w14:paraId="3496BEA8" w14:textId="77777777" w:rsidTr="004631D3">
        <w:tc>
          <w:tcPr>
            <w:tcW w:w="3681" w:type="dxa"/>
          </w:tcPr>
          <w:p w14:paraId="1DC5B6AA" w14:textId="77777777"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Job and industry</w:t>
            </w:r>
          </w:p>
        </w:tc>
        <w:tc>
          <w:tcPr>
            <w:tcW w:w="2835" w:type="dxa"/>
          </w:tcPr>
          <w:p w14:paraId="44FD6C5A"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82</w:t>
            </w:r>
          </w:p>
        </w:tc>
        <w:tc>
          <w:tcPr>
            <w:tcW w:w="2494" w:type="dxa"/>
          </w:tcPr>
          <w:p w14:paraId="4932954E"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10</w:t>
            </w:r>
          </w:p>
        </w:tc>
      </w:tr>
      <w:tr w:rsidR="005052B7" w:rsidRPr="00673D0A" w14:paraId="1DAFE561" w14:textId="77777777" w:rsidTr="004631D3">
        <w:tc>
          <w:tcPr>
            <w:tcW w:w="3681" w:type="dxa"/>
          </w:tcPr>
          <w:p w14:paraId="161D0D66" w14:textId="77777777" w:rsidR="005052B7" w:rsidRPr="00673D0A" w:rsidRDefault="005052B7"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Real-time behaviors on the platform</w:t>
            </w:r>
          </w:p>
        </w:tc>
        <w:tc>
          <w:tcPr>
            <w:tcW w:w="2835" w:type="dxa"/>
          </w:tcPr>
          <w:p w14:paraId="7397B7C7"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41</w:t>
            </w:r>
          </w:p>
        </w:tc>
        <w:tc>
          <w:tcPr>
            <w:tcW w:w="2494" w:type="dxa"/>
          </w:tcPr>
          <w:p w14:paraId="1E723033"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9</w:t>
            </w:r>
          </w:p>
        </w:tc>
      </w:tr>
      <w:tr w:rsidR="005052B7" w:rsidRPr="00673D0A" w14:paraId="553BA708" w14:textId="77777777" w:rsidTr="004631D3">
        <w:tc>
          <w:tcPr>
            <w:tcW w:w="3681" w:type="dxa"/>
          </w:tcPr>
          <w:p w14:paraId="7FFF6D56" w14:textId="1F56365D" w:rsidR="005052B7" w:rsidRPr="00673D0A" w:rsidRDefault="00A371C9"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Geographic information</w:t>
            </w:r>
          </w:p>
        </w:tc>
        <w:tc>
          <w:tcPr>
            <w:tcW w:w="2835" w:type="dxa"/>
          </w:tcPr>
          <w:p w14:paraId="051277CE"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28</w:t>
            </w:r>
          </w:p>
        </w:tc>
        <w:tc>
          <w:tcPr>
            <w:tcW w:w="2494" w:type="dxa"/>
          </w:tcPr>
          <w:p w14:paraId="308ABB2E"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r>
      <w:tr w:rsidR="005052B7" w:rsidRPr="00673D0A" w14:paraId="285D4874" w14:textId="77777777" w:rsidTr="004631D3">
        <w:tc>
          <w:tcPr>
            <w:tcW w:w="3681" w:type="dxa"/>
          </w:tcPr>
          <w:p w14:paraId="6C83B725" w14:textId="13E87173" w:rsidR="005052B7" w:rsidRPr="00673D0A" w:rsidRDefault="00A371C9"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2"/>
                <w:szCs w:val="22"/>
                <w:lang w:val="en-US"/>
              </w:rPr>
            </w:pPr>
            <w:r w:rsidRPr="00673D0A">
              <w:rPr>
                <w:rFonts w:ascii="Times New Roman" w:hAnsi="Times New Roman" w:cs="Times New Roman"/>
                <w:sz w:val="22"/>
                <w:szCs w:val="22"/>
                <w:lang w:val="en-US"/>
              </w:rPr>
              <w:t xml:space="preserve">Time and day information </w:t>
            </w:r>
          </w:p>
        </w:tc>
        <w:tc>
          <w:tcPr>
            <w:tcW w:w="2835" w:type="dxa"/>
          </w:tcPr>
          <w:p w14:paraId="1415ED19"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16</w:t>
            </w:r>
          </w:p>
        </w:tc>
        <w:tc>
          <w:tcPr>
            <w:tcW w:w="2494" w:type="dxa"/>
          </w:tcPr>
          <w:p w14:paraId="283585DD" w14:textId="77777777" w:rsidR="005052B7" w:rsidRPr="00673D0A"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sz w:val="22"/>
                <w:szCs w:val="22"/>
                <w:lang w:val="en-US"/>
              </w:rPr>
            </w:pPr>
            <w:r>
              <w:rPr>
                <w:rFonts w:ascii="Times New Roman" w:hAnsi="Times New Roman" w:cs="Times New Roman"/>
                <w:sz w:val="22"/>
                <w:szCs w:val="22"/>
                <w:lang w:val="en-US"/>
              </w:rPr>
              <w:t>16</w:t>
            </w:r>
          </w:p>
        </w:tc>
      </w:tr>
      <w:tr w:rsidR="005052B7" w:rsidRPr="00A371C9" w14:paraId="15414F81" w14:textId="77777777" w:rsidTr="004631D3">
        <w:tc>
          <w:tcPr>
            <w:tcW w:w="3681" w:type="dxa"/>
          </w:tcPr>
          <w:p w14:paraId="1DB14377" w14:textId="0823F1FA" w:rsidR="005052B7" w:rsidRPr="00A371C9" w:rsidRDefault="00A371C9" w:rsidP="004631D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sz w:val="22"/>
                <w:szCs w:val="22"/>
                <w:lang w:val="en-US"/>
              </w:rPr>
            </w:pPr>
            <w:r w:rsidRPr="00A371C9">
              <w:rPr>
                <w:rFonts w:ascii="Times New Roman" w:hAnsi="Times New Roman" w:cs="Times New Roman"/>
                <w:b/>
                <w:bCs/>
                <w:sz w:val="22"/>
                <w:szCs w:val="22"/>
                <w:lang w:val="en-US"/>
              </w:rPr>
              <w:t>Total</w:t>
            </w:r>
          </w:p>
        </w:tc>
        <w:tc>
          <w:tcPr>
            <w:tcW w:w="2835" w:type="dxa"/>
          </w:tcPr>
          <w:p w14:paraId="3475DDFC" w14:textId="77777777" w:rsidR="005052B7" w:rsidRPr="00A371C9"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sz w:val="22"/>
                <w:szCs w:val="22"/>
                <w:lang w:val="en-US"/>
              </w:rPr>
            </w:pPr>
            <w:r w:rsidRPr="00A371C9">
              <w:rPr>
                <w:rFonts w:ascii="Times New Roman" w:hAnsi="Times New Roman" w:cs="Times New Roman"/>
                <w:b/>
                <w:bCs/>
                <w:sz w:val="22"/>
                <w:szCs w:val="22"/>
                <w:lang w:val="en-US"/>
              </w:rPr>
              <w:t>310</w:t>
            </w:r>
          </w:p>
        </w:tc>
        <w:tc>
          <w:tcPr>
            <w:tcW w:w="2494" w:type="dxa"/>
          </w:tcPr>
          <w:p w14:paraId="28D1D767" w14:textId="77777777" w:rsidR="005052B7" w:rsidRPr="00A371C9" w:rsidRDefault="005052B7" w:rsidP="007062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sz w:val="22"/>
                <w:szCs w:val="22"/>
                <w:lang w:val="en-US"/>
              </w:rPr>
            </w:pPr>
            <w:r w:rsidRPr="00A371C9">
              <w:rPr>
                <w:rFonts w:ascii="Times New Roman" w:hAnsi="Times New Roman" w:cs="Times New Roman"/>
                <w:b/>
                <w:bCs/>
                <w:sz w:val="22"/>
                <w:szCs w:val="22"/>
                <w:lang w:val="en-US"/>
              </w:rPr>
              <w:t>70</w:t>
            </w:r>
          </w:p>
        </w:tc>
      </w:tr>
    </w:tbl>
    <w:p w14:paraId="32FB6BBC" w14:textId="6D472FAC" w:rsidR="005052B7" w:rsidRDefault="005052B7" w:rsidP="00307929">
      <w:pPr>
        <w:rPr>
          <w:sz w:val="20"/>
          <w:szCs w:val="20"/>
          <w:lang w:val="en-US"/>
        </w:rPr>
      </w:pPr>
    </w:p>
    <w:p w14:paraId="5EFCCC6C" w14:textId="52D816C4" w:rsidR="009F2F74" w:rsidRDefault="009F2F74" w:rsidP="00307929">
      <w:pPr>
        <w:rPr>
          <w:sz w:val="20"/>
          <w:szCs w:val="20"/>
          <w:lang w:val="en-US"/>
        </w:rPr>
      </w:pPr>
      <w:r>
        <w:rPr>
          <w:sz w:val="20"/>
          <w:szCs w:val="20"/>
          <w:lang w:val="en-US"/>
        </w:rPr>
        <w:br/>
      </w:r>
    </w:p>
    <w:p w14:paraId="46EE2E47" w14:textId="77777777" w:rsidR="009F2F74" w:rsidRDefault="009F2F74">
      <w:pPr>
        <w:rPr>
          <w:sz w:val="20"/>
          <w:szCs w:val="20"/>
          <w:lang w:val="en-US"/>
        </w:rPr>
      </w:pPr>
      <w:r>
        <w:rPr>
          <w:sz w:val="20"/>
          <w:szCs w:val="20"/>
          <w:lang w:val="en-US"/>
        </w:rPr>
        <w:br w:type="page"/>
      </w:r>
    </w:p>
    <w:p w14:paraId="2317605A" w14:textId="3479D978" w:rsidR="00CD5088" w:rsidRPr="006C54C8" w:rsidRDefault="009F2F74" w:rsidP="00307929">
      <w:pPr>
        <w:rPr>
          <w:b/>
          <w:bCs/>
          <w:sz w:val="22"/>
          <w:szCs w:val="22"/>
          <w:lang w:val="en-US"/>
        </w:rPr>
      </w:pPr>
      <w:r w:rsidRPr="006C54C8">
        <w:rPr>
          <w:b/>
          <w:bCs/>
          <w:sz w:val="22"/>
          <w:szCs w:val="22"/>
          <w:lang w:val="en-US"/>
        </w:rPr>
        <w:lastRenderedPageBreak/>
        <w:t>Additional References</w:t>
      </w:r>
    </w:p>
    <w:p w14:paraId="1884795C" w14:textId="77777777" w:rsidR="009F2F74" w:rsidRPr="004E5416" w:rsidRDefault="009F2F74" w:rsidP="00307929">
      <w:pPr>
        <w:rPr>
          <w:sz w:val="22"/>
          <w:szCs w:val="22"/>
          <w:lang w:val="en-US"/>
        </w:rPr>
      </w:pPr>
    </w:p>
    <w:p w14:paraId="09280BAB" w14:textId="0FD04857" w:rsidR="00322E07" w:rsidRDefault="00322E07" w:rsidP="00136098">
      <w:pPr>
        <w:pStyle w:val="Bibliography"/>
        <w:ind w:left="709" w:hanging="709"/>
        <w:rPr>
          <w:sz w:val="22"/>
          <w:szCs w:val="22"/>
          <w:lang w:val="en-US"/>
        </w:rPr>
      </w:pPr>
      <w:r w:rsidRPr="00322E07">
        <w:rPr>
          <w:sz w:val="22"/>
          <w:szCs w:val="22"/>
          <w:lang w:val="en-US"/>
        </w:rPr>
        <w:t xml:space="preserve">Becker, G. S. (1968). Crime and punishment: An economic approach. </w:t>
      </w:r>
      <w:r w:rsidRPr="00322E07">
        <w:rPr>
          <w:i/>
          <w:iCs/>
          <w:sz w:val="22"/>
          <w:szCs w:val="22"/>
          <w:lang w:val="en-US"/>
        </w:rPr>
        <w:t xml:space="preserve">Journal of </w:t>
      </w:r>
      <w:r>
        <w:rPr>
          <w:i/>
          <w:iCs/>
          <w:sz w:val="22"/>
          <w:szCs w:val="22"/>
          <w:lang w:val="en-US"/>
        </w:rPr>
        <w:t>P</w:t>
      </w:r>
      <w:r w:rsidRPr="00322E07">
        <w:rPr>
          <w:i/>
          <w:iCs/>
          <w:sz w:val="22"/>
          <w:szCs w:val="22"/>
          <w:lang w:val="en-US"/>
        </w:rPr>
        <w:t xml:space="preserve">olitical </w:t>
      </w:r>
      <w:r>
        <w:rPr>
          <w:i/>
          <w:iCs/>
          <w:sz w:val="22"/>
          <w:szCs w:val="22"/>
          <w:lang w:val="en-US"/>
        </w:rPr>
        <w:t>E</w:t>
      </w:r>
      <w:r w:rsidRPr="00322E07">
        <w:rPr>
          <w:i/>
          <w:iCs/>
          <w:sz w:val="22"/>
          <w:szCs w:val="22"/>
          <w:lang w:val="en-US"/>
        </w:rPr>
        <w:t>conomy</w:t>
      </w:r>
      <w:r w:rsidRPr="00322E07">
        <w:rPr>
          <w:sz w:val="22"/>
          <w:szCs w:val="22"/>
          <w:lang w:val="en-US"/>
        </w:rPr>
        <w:t>, 76(2), 169-217.</w:t>
      </w:r>
    </w:p>
    <w:p w14:paraId="53C89E98" w14:textId="0C21D654" w:rsidR="00136098" w:rsidRPr="004E5416" w:rsidRDefault="009F2F74" w:rsidP="00136098">
      <w:pPr>
        <w:pStyle w:val="Bibliography"/>
        <w:ind w:left="709" w:hanging="709"/>
        <w:rPr>
          <w:color w:val="222222"/>
          <w:sz w:val="22"/>
          <w:szCs w:val="22"/>
          <w:shd w:val="clear" w:color="auto" w:fill="FFFFFF"/>
        </w:rPr>
      </w:pPr>
      <w:r w:rsidRPr="004E5416">
        <w:rPr>
          <w:sz w:val="22"/>
          <w:szCs w:val="22"/>
          <w:lang w:val="en-US"/>
        </w:rPr>
        <w:t xml:space="preserve">Dal </w:t>
      </w:r>
      <w:proofErr w:type="spellStart"/>
      <w:r w:rsidRPr="004E5416">
        <w:rPr>
          <w:sz w:val="22"/>
          <w:szCs w:val="22"/>
          <w:lang w:val="en-US"/>
        </w:rPr>
        <w:t>Pozzolo</w:t>
      </w:r>
      <w:proofErr w:type="spellEnd"/>
      <w:r w:rsidRPr="004E5416">
        <w:rPr>
          <w:sz w:val="22"/>
          <w:szCs w:val="22"/>
          <w:lang w:val="en-US"/>
        </w:rPr>
        <w:t xml:space="preserve"> A, </w:t>
      </w:r>
      <w:proofErr w:type="spellStart"/>
      <w:r w:rsidRPr="004E5416">
        <w:rPr>
          <w:sz w:val="22"/>
          <w:szCs w:val="22"/>
          <w:lang w:val="en-US"/>
        </w:rPr>
        <w:t>Boracchi</w:t>
      </w:r>
      <w:proofErr w:type="spellEnd"/>
      <w:r w:rsidRPr="004E5416">
        <w:rPr>
          <w:sz w:val="22"/>
          <w:szCs w:val="22"/>
          <w:lang w:val="en-US"/>
        </w:rPr>
        <w:t xml:space="preserve"> G, Caelen O, </w:t>
      </w:r>
      <w:proofErr w:type="spellStart"/>
      <w:r w:rsidRPr="004E5416">
        <w:rPr>
          <w:sz w:val="22"/>
          <w:szCs w:val="22"/>
          <w:lang w:val="en-US"/>
        </w:rPr>
        <w:t>Alippi</w:t>
      </w:r>
      <w:proofErr w:type="spellEnd"/>
      <w:r w:rsidRPr="004E5416">
        <w:rPr>
          <w:sz w:val="22"/>
          <w:szCs w:val="22"/>
          <w:lang w:val="en-US"/>
        </w:rPr>
        <w:t xml:space="preserve"> C, Bontempi G (2015) Credit card fraud detection and concept-drift adaptation with delayed supervised information. </w:t>
      </w:r>
      <w:r w:rsidRPr="004E5416">
        <w:rPr>
          <w:i/>
          <w:iCs/>
          <w:sz w:val="22"/>
          <w:szCs w:val="22"/>
          <w:lang w:val="en-US"/>
        </w:rPr>
        <w:t>2015 International Joint Conference on Neural Networks (IJCNN)</w:t>
      </w:r>
      <w:r w:rsidRPr="004E5416">
        <w:rPr>
          <w:sz w:val="22"/>
          <w:szCs w:val="22"/>
          <w:lang w:val="en-US"/>
        </w:rPr>
        <w:t>. (IEEE, Killarney, Ireland), 1–8.</w:t>
      </w:r>
      <w:r w:rsidRPr="004E5416">
        <w:rPr>
          <w:color w:val="222222"/>
          <w:sz w:val="22"/>
          <w:szCs w:val="22"/>
          <w:shd w:val="clear" w:color="auto" w:fill="FFFFFF"/>
        </w:rPr>
        <w:t xml:space="preserve"> </w:t>
      </w:r>
    </w:p>
    <w:p w14:paraId="055C003C" w14:textId="77777777" w:rsidR="005C0C6D" w:rsidRPr="004E5416" w:rsidRDefault="00136098" w:rsidP="00136098">
      <w:pPr>
        <w:pStyle w:val="Bibliography"/>
        <w:ind w:left="709" w:hanging="709"/>
      </w:pPr>
      <w:r w:rsidRPr="004E5416">
        <w:rPr>
          <w:color w:val="222222"/>
          <w:sz w:val="22"/>
          <w:szCs w:val="22"/>
          <w:shd w:val="clear" w:color="auto" w:fill="FFFFFF"/>
          <w:lang w:val="en-US"/>
        </w:rPr>
        <w:t xml:space="preserve">Leets L, Sprenger A, Hartman R, Kohn N, Simon Thomas J, Vu C, Aguirre S, Wijesinghe S (2020) Effectiveness of nudges on small business tax compliance behavior. </w:t>
      </w:r>
      <w:r w:rsidRPr="004E5416">
        <w:rPr>
          <w:i/>
          <w:iCs/>
          <w:color w:val="222222"/>
          <w:sz w:val="22"/>
          <w:szCs w:val="22"/>
          <w:shd w:val="clear" w:color="auto" w:fill="FFFFFF"/>
          <w:lang w:val="en-US"/>
        </w:rPr>
        <w:t>JBPA</w:t>
      </w:r>
      <w:r w:rsidRPr="004E5416">
        <w:rPr>
          <w:color w:val="222222"/>
          <w:sz w:val="22"/>
          <w:szCs w:val="22"/>
          <w:shd w:val="clear" w:color="auto" w:fill="FFFFFF"/>
          <w:lang w:val="en-US"/>
        </w:rPr>
        <w:t xml:space="preserve"> 3(2).</w:t>
      </w:r>
      <w:r w:rsidR="005C0C6D" w:rsidRPr="004E5416">
        <w:t xml:space="preserve"> </w:t>
      </w:r>
    </w:p>
    <w:p w14:paraId="2A639032" w14:textId="77777777" w:rsidR="00CF5D98" w:rsidRDefault="005C0C6D" w:rsidP="00CF5D98">
      <w:pPr>
        <w:pStyle w:val="Bibliography"/>
        <w:ind w:left="709" w:hanging="709"/>
      </w:pPr>
      <w:r w:rsidRPr="004E5416">
        <w:rPr>
          <w:color w:val="222222"/>
          <w:sz w:val="22"/>
          <w:szCs w:val="22"/>
          <w:shd w:val="clear" w:color="auto" w:fill="FFFFFF"/>
          <w:lang w:val="en-US"/>
        </w:rPr>
        <w:t xml:space="preserve">Liu C, Chan Y, Alam Kazmi SH, Fu H (2015) Financial Fraud Detection Model: Based on Random Forest. </w:t>
      </w:r>
      <w:r w:rsidRPr="004E5416">
        <w:rPr>
          <w:i/>
          <w:iCs/>
          <w:color w:val="222222"/>
          <w:sz w:val="22"/>
          <w:szCs w:val="22"/>
          <w:shd w:val="clear" w:color="auto" w:fill="FFFFFF"/>
          <w:lang w:val="en-US"/>
        </w:rPr>
        <w:t>IJEF</w:t>
      </w:r>
      <w:r w:rsidRPr="004E5416">
        <w:rPr>
          <w:color w:val="222222"/>
          <w:sz w:val="22"/>
          <w:szCs w:val="22"/>
          <w:shd w:val="clear" w:color="auto" w:fill="FFFFFF"/>
          <w:lang w:val="en-US"/>
        </w:rPr>
        <w:t xml:space="preserve"> 7(7</w:t>
      </w:r>
      <w:proofErr w:type="gramStart"/>
      <w:r w:rsidRPr="004E5416">
        <w:rPr>
          <w:color w:val="222222"/>
          <w:sz w:val="22"/>
          <w:szCs w:val="22"/>
          <w:shd w:val="clear" w:color="auto" w:fill="FFFFFF"/>
          <w:lang w:val="en-US"/>
        </w:rPr>
        <w:t>):p</w:t>
      </w:r>
      <w:proofErr w:type="gramEnd"/>
      <w:r w:rsidRPr="004E5416">
        <w:rPr>
          <w:color w:val="222222"/>
          <w:sz w:val="22"/>
          <w:szCs w:val="22"/>
          <w:shd w:val="clear" w:color="auto" w:fill="FFFFFF"/>
          <w:lang w:val="en-US"/>
        </w:rPr>
        <w:t>178.</w:t>
      </w:r>
      <w:r w:rsidR="00CF5D98" w:rsidRPr="00CF5D98">
        <w:t xml:space="preserve"> </w:t>
      </w:r>
    </w:p>
    <w:p w14:paraId="39D8938D" w14:textId="77777777" w:rsidR="002A2E37" w:rsidRDefault="00CF5D98" w:rsidP="00CF5D98">
      <w:pPr>
        <w:pStyle w:val="Bibliography"/>
        <w:ind w:left="709" w:hanging="709"/>
      </w:pPr>
      <w:r w:rsidRPr="00CF5D98">
        <w:rPr>
          <w:color w:val="222222"/>
          <w:sz w:val="22"/>
          <w:szCs w:val="22"/>
          <w:shd w:val="clear" w:color="auto" w:fill="FFFFFF"/>
          <w:lang w:val="en-US"/>
        </w:rPr>
        <w:t xml:space="preserve">Oommen T, Baise LG, Vogel RM. Sampling bias and class imbalance in maximum-likelihood logistic regression. </w:t>
      </w:r>
      <w:r w:rsidRPr="00CF5D98">
        <w:rPr>
          <w:i/>
          <w:iCs/>
          <w:color w:val="222222"/>
          <w:sz w:val="22"/>
          <w:szCs w:val="22"/>
          <w:shd w:val="clear" w:color="auto" w:fill="FFFFFF"/>
          <w:lang w:val="en-US"/>
        </w:rPr>
        <w:t>Mathematical Geosciences</w:t>
      </w:r>
      <w:r w:rsidRPr="00CF5D98">
        <w:rPr>
          <w:color w:val="222222"/>
          <w:sz w:val="22"/>
          <w:szCs w:val="22"/>
          <w:shd w:val="clear" w:color="auto" w:fill="FFFFFF"/>
          <w:lang w:val="en-US"/>
        </w:rPr>
        <w:t xml:space="preserve">. 2011 </w:t>
      </w:r>
      <w:proofErr w:type="gramStart"/>
      <w:r w:rsidRPr="00CF5D98">
        <w:rPr>
          <w:color w:val="222222"/>
          <w:sz w:val="22"/>
          <w:szCs w:val="22"/>
          <w:shd w:val="clear" w:color="auto" w:fill="FFFFFF"/>
          <w:lang w:val="en-US"/>
        </w:rPr>
        <w:t>Jan;43:99</w:t>
      </w:r>
      <w:proofErr w:type="gramEnd"/>
      <w:r w:rsidRPr="00CF5D98">
        <w:rPr>
          <w:color w:val="222222"/>
          <w:sz w:val="22"/>
          <w:szCs w:val="22"/>
          <w:shd w:val="clear" w:color="auto" w:fill="FFFFFF"/>
          <w:lang w:val="en-US"/>
        </w:rPr>
        <w:t>-120.</w:t>
      </w:r>
      <w:r w:rsidR="002A2E37" w:rsidRPr="002A2E37">
        <w:t xml:space="preserve"> </w:t>
      </w:r>
    </w:p>
    <w:p w14:paraId="0051BC5A" w14:textId="77777777" w:rsidR="004B11B0" w:rsidRDefault="002A2E37" w:rsidP="00CF5D98">
      <w:pPr>
        <w:pStyle w:val="Bibliography"/>
        <w:ind w:left="709" w:hanging="709"/>
      </w:pPr>
      <w:r w:rsidRPr="002A2E37">
        <w:rPr>
          <w:color w:val="222222"/>
          <w:sz w:val="22"/>
          <w:szCs w:val="22"/>
          <w:shd w:val="clear" w:color="auto" w:fill="FFFFFF"/>
          <w:lang w:val="en-US"/>
        </w:rPr>
        <w:t>Ruiz-</w:t>
      </w:r>
      <w:proofErr w:type="spellStart"/>
      <w:r w:rsidRPr="002A2E37">
        <w:rPr>
          <w:color w:val="222222"/>
          <w:sz w:val="22"/>
          <w:szCs w:val="22"/>
          <w:shd w:val="clear" w:color="auto" w:fill="FFFFFF"/>
          <w:lang w:val="en-US"/>
        </w:rPr>
        <w:t>Gazen</w:t>
      </w:r>
      <w:proofErr w:type="spellEnd"/>
      <w:r w:rsidRPr="002A2E37">
        <w:rPr>
          <w:color w:val="222222"/>
          <w:sz w:val="22"/>
          <w:szCs w:val="22"/>
          <w:shd w:val="clear" w:color="auto" w:fill="FFFFFF"/>
          <w:lang w:val="en-US"/>
        </w:rPr>
        <w:t xml:space="preserve"> A, Villa N (2008) Storms Prediction: Logistic Regression vs. Random Forest for Unbalanced Data. </w:t>
      </w:r>
      <w:r w:rsidRPr="002A2E37">
        <w:rPr>
          <w:i/>
          <w:iCs/>
          <w:color w:val="222222"/>
          <w:sz w:val="22"/>
          <w:szCs w:val="22"/>
          <w:shd w:val="clear" w:color="auto" w:fill="FFFFFF"/>
          <w:lang w:val="en-US"/>
        </w:rPr>
        <w:t>Working Paper</w:t>
      </w:r>
      <w:r w:rsidRPr="002A2E37">
        <w:rPr>
          <w:color w:val="222222"/>
          <w:sz w:val="22"/>
          <w:szCs w:val="22"/>
          <w:shd w:val="clear" w:color="auto" w:fill="FFFFFF"/>
          <w:lang w:val="en-US"/>
        </w:rPr>
        <w:t>.</w:t>
      </w:r>
      <w:r w:rsidR="004B11B0" w:rsidRPr="004B11B0">
        <w:t xml:space="preserve"> </w:t>
      </w:r>
    </w:p>
    <w:p w14:paraId="43B1156A" w14:textId="6A314C87" w:rsidR="00CF5D98" w:rsidRPr="00CF5D98" w:rsidRDefault="004B11B0" w:rsidP="00CF5D98">
      <w:pPr>
        <w:pStyle w:val="Bibliography"/>
        <w:ind w:left="709" w:hanging="709"/>
        <w:rPr>
          <w:color w:val="222222"/>
          <w:sz w:val="22"/>
          <w:szCs w:val="22"/>
          <w:shd w:val="clear" w:color="auto" w:fill="FFFFFF"/>
          <w:lang w:val="en-US"/>
        </w:rPr>
      </w:pPr>
      <w:r w:rsidRPr="004B11B0">
        <w:rPr>
          <w:color w:val="222222"/>
          <w:sz w:val="22"/>
          <w:szCs w:val="22"/>
          <w:shd w:val="clear" w:color="auto" w:fill="FFFFFF"/>
          <w:lang w:val="en-US"/>
        </w:rPr>
        <w:t xml:space="preserve">Sahin Y, Duman E (2011) Detecting credit card fraud by ANN and logistic regression. 2011 </w:t>
      </w:r>
      <w:r w:rsidRPr="004B11B0">
        <w:rPr>
          <w:i/>
          <w:iCs/>
          <w:color w:val="222222"/>
          <w:sz w:val="22"/>
          <w:szCs w:val="22"/>
          <w:shd w:val="clear" w:color="auto" w:fill="FFFFFF"/>
          <w:lang w:val="en-US"/>
        </w:rPr>
        <w:t>International Symposium on Innovations in Intelligent Systems and Applications</w:t>
      </w:r>
      <w:r w:rsidRPr="004B11B0">
        <w:rPr>
          <w:color w:val="222222"/>
          <w:sz w:val="22"/>
          <w:szCs w:val="22"/>
          <w:shd w:val="clear" w:color="auto" w:fill="FFFFFF"/>
          <w:lang w:val="en-US"/>
        </w:rPr>
        <w:t>. (IEEE, Istanbul, Turkey), 315–319.</w:t>
      </w:r>
    </w:p>
    <w:p w14:paraId="5B943CB9" w14:textId="4B6662A6" w:rsidR="009F2F74" w:rsidRDefault="009F2F74" w:rsidP="00AF09B5">
      <w:pPr>
        <w:pStyle w:val="Bibliography"/>
        <w:ind w:left="709" w:hanging="709"/>
        <w:rPr>
          <w:rFonts w:ascii="Arial" w:hAnsi="Arial" w:cs="Arial"/>
          <w:color w:val="222222"/>
          <w:sz w:val="22"/>
          <w:szCs w:val="22"/>
          <w:shd w:val="clear" w:color="auto" w:fill="FFFFFF"/>
        </w:rPr>
      </w:pPr>
    </w:p>
    <w:p w14:paraId="65CCD564" w14:textId="77777777" w:rsidR="00F305D2" w:rsidRDefault="00F305D2" w:rsidP="00F305D2"/>
    <w:p w14:paraId="2D242373" w14:textId="77777777" w:rsidR="00F305D2" w:rsidRPr="00F305D2" w:rsidRDefault="00F305D2" w:rsidP="00F305D2"/>
    <w:p w14:paraId="3B0C227F" w14:textId="77777777" w:rsidR="009F2F74" w:rsidRPr="009F2F74" w:rsidRDefault="009F2F74" w:rsidP="00307929">
      <w:pPr>
        <w:rPr>
          <w:sz w:val="22"/>
          <w:szCs w:val="22"/>
          <w:lang w:val="en-US"/>
        </w:rPr>
      </w:pPr>
    </w:p>
    <w:sectPr w:rsidR="009F2F74" w:rsidRPr="009F2F74" w:rsidSect="00500CBF">
      <w:headerReference w:type="even" r:id="rId9"/>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9488" w14:textId="77777777" w:rsidR="0056255B" w:rsidRDefault="0056255B" w:rsidP="00482167">
      <w:r>
        <w:separator/>
      </w:r>
    </w:p>
  </w:endnote>
  <w:endnote w:type="continuationSeparator" w:id="0">
    <w:p w14:paraId="23FD5ED6" w14:textId="77777777" w:rsidR="0056255B" w:rsidRDefault="0056255B" w:rsidP="0048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0954068"/>
      <w:docPartObj>
        <w:docPartGallery w:val="Page Numbers (Bottom of Page)"/>
        <w:docPartUnique/>
      </w:docPartObj>
    </w:sdtPr>
    <w:sdtEndPr>
      <w:rPr>
        <w:rStyle w:val="PageNumber"/>
      </w:rPr>
    </w:sdtEndPr>
    <w:sdtContent>
      <w:p w14:paraId="5F9A0581" w14:textId="3D654CE6" w:rsidR="00101A0E" w:rsidRDefault="00101A0E" w:rsidP="000844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728B9" w14:textId="77777777" w:rsidR="00101A0E" w:rsidRDefault="00101A0E" w:rsidP="00101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339510442"/>
      <w:docPartObj>
        <w:docPartGallery w:val="Page Numbers (Bottom of Page)"/>
        <w:docPartUnique/>
      </w:docPartObj>
    </w:sdtPr>
    <w:sdtEndPr>
      <w:rPr>
        <w:rStyle w:val="PageNumber"/>
      </w:rPr>
    </w:sdtEndPr>
    <w:sdtContent>
      <w:p w14:paraId="07CF0F0D" w14:textId="653FE8DF" w:rsidR="00101A0E" w:rsidRPr="00101A0E" w:rsidRDefault="00101A0E" w:rsidP="0008445B">
        <w:pPr>
          <w:pStyle w:val="Footer"/>
          <w:framePr w:wrap="none" w:vAnchor="text" w:hAnchor="margin" w:xAlign="right" w:y="1"/>
          <w:rPr>
            <w:rStyle w:val="PageNumber"/>
            <w:sz w:val="20"/>
            <w:szCs w:val="20"/>
          </w:rPr>
        </w:pPr>
        <w:r w:rsidRPr="00101A0E">
          <w:rPr>
            <w:rStyle w:val="PageNumber"/>
            <w:sz w:val="20"/>
            <w:szCs w:val="20"/>
          </w:rPr>
          <w:fldChar w:fldCharType="begin"/>
        </w:r>
        <w:r w:rsidRPr="00101A0E">
          <w:rPr>
            <w:rStyle w:val="PageNumber"/>
            <w:sz w:val="20"/>
            <w:szCs w:val="20"/>
          </w:rPr>
          <w:instrText xml:space="preserve"> PAGE </w:instrText>
        </w:r>
        <w:r w:rsidRPr="00101A0E">
          <w:rPr>
            <w:rStyle w:val="PageNumber"/>
            <w:sz w:val="20"/>
            <w:szCs w:val="20"/>
          </w:rPr>
          <w:fldChar w:fldCharType="separate"/>
        </w:r>
        <w:r w:rsidRPr="00101A0E">
          <w:rPr>
            <w:rStyle w:val="PageNumber"/>
            <w:noProof/>
            <w:sz w:val="20"/>
            <w:szCs w:val="20"/>
          </w:rPr>
          <w:t>14</w:t>
        </w:r>
        <w:r w:rsidRPr="00101A0E">
          <w:rPr>
            <w:rStyle w:val="PageNumber"/>
            <w:sz w:val="20"/>
            <w:szCs w:val="20"/>
          </w:rPr>
          <w:fldChar w:fldCharType="end"/>
        </w:r>
      </w:p>
    </w:sdtContent>
  </w:sdt>
  <w:p w14:paraId="33CD46F5" w14:textId="77777777" w:rsidR="00101A0E" w:rsidRPr="00101A0E" w:rsidRDefault="00101A0E" w:rsidP="00101A0E">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CBDA" w14:textId="77777777" w:rsidR="0056255B" w:rsidRDefault="0056255B" w:rsidP="00482167">
      <w:r>
        <w:separator/>
      </w:r>
    </w:p>
  </w:footnote>
  <w:footnote w:type="continuationSeparator" w:id="0">
    <w:p w14:paraId="3C22E103" w14:textId="77777777" w:rsidR="0056255B" w:rsidRDefault="0056255B" w:rsidP="00482167">
      <w:r>
        <w:continuationSeparator/>
      </w:r>
    </w:p>
  </w:footnote>
  <w:footnote w:id="1">
    <w:p w14:paraId="762FEA81" w14:textId="77777777" w:rsidR="00222E55" w:rsidRPr="00A367CA" w:rsidRDefault="00222E55" w:rsidP="00222E55">
      <w:pPr>
        <w:pStyle w:val="FootnoteText"/>
        <w:rPr>
          <w:rFonts w:ascii="Times New Roman" w:hAnsi="Times New Roman" w:cs="Times New Roman"/>
          <w:sz w:val="20"/>
          <w:szCs w:val="20"/>
          <w:lang w:val="en-GB"/>
        </w:rPr>
      </w:pPr>
      <w:r w:rsidRPr="00A367CA">
        <w:rPr>
          <w:rStyle w:val="FootnoteReference"/>
          <w:rFonts w:ascii="Times New Roman" w:hAnsi="Times New Roman" w:cs="Times New Roman"/>
          <w:sz w:val="20"/>
          <w:szCs w:val="20"/>
        </w:rPr>
        <w:footnoteRef/>
      </w:r>
      <w:r w:rsidRPr="00A367CA">
        <w:rPr>
          <w:rFonts w:ascii="Times New Roman" w:hAnsi="Times New Roman" w:cs="Times New Roman"/>
          <w:sz w:val="20"/>
          <w:szCs w:val="20"/>
        </w:rPr>
        <w:t xml:space="preserve"> </w:t>
      </w:r>
      <w:r w:rsidRPr="00A367CA">
        <w:rPr>
          <w:rFonts w:ascii="Times New Roman" w:eastAsia="Times New Roman Bold" w:hAnsi="Times New Roman" w:cs="Times New Roman"/>
          <w:sz w:val="20"/>
          <w:szCs w:val="20"/>
        </w:rPr>
        <w:t>Specifically, their most effective intervention had two noteworthy features: first, it highlighted a local (not national) comparison group and second, it pointed to a particularly high tax compliance rate (of 96%), both of which are mirrored in our Social Norm condition – high compliance rate (in our setting, the actual rate is 98% or 99% depending on the county) and the mention of a local area (the name of the county the claimant is based in).</w:t>
      </w:r>
    </w:p>
  </w:footnote>
  <w:footnote w:id="2">
    <w:p w14:paraId="182A09B9" w14:textId="77777777" w:rsidR="00261A82" w:rsidRPr="00A367CA" w:rsidRDefault="00261A82" w:rsidP="00261A82">
      <w:pPr>
        <w:pStyle w:val="FootnoteText"/>
        <w:rPr>
          <w:rFonts w:ascii="Times New Roman" w:hAnsi="Times New Roman" w:cs="Times New Roman"/>
          <w:sz w:val="20"/>
          <w:szCs w:val="20"/>
          <w:lang w:val="en-GB"/>
        </w:rPr>
      </w:pPr>
      <w:r w:rsidRPr="00A367CA">
        <w:rPr>
          <w:rStyle w:val="FootnoteReference"/>
          <w:rFonts w:ascii="Times New Roman" w:hAnsi="Times New Roman" w:cs="Times New Roman"/>
          <w:sz w:val="20"/>
          <w:szCs w:val="20"/>
        </w:rPr>
        <w:footnoteRef/>
      </w:r>
      <w:r w:rsidRPr="00A367CA">
        <w:rPr>
          <w:rFonts w:ascii="Times New Roman" w:hAnsi="Times New Roman" w:cs="Times New Roman"/>
          <w:sz w:val="20"/>
          <w:szCs w:val="20"/>
        </w:rPr>
        <w:t xml:space="preserve"> </w:t>
      </w:r>
      <w:r w:rsidRPr="00A367CA">
        <w:rPr>
          <w:rFonts w:ascii="Times New Roman" w:hAnsi="Times New Roman" w:cs="Times New Roman"/>
          <w:sz w:val="20"/>
          <w:szCs w:val="20"/>
          <w:lang w:val="en-GB"/>
        </w:rPr>
        <w:t xml:space="preserve">The </w:t>
      </w:r>
      <w:r>
        <w:rPr>
          <w:rFonts w:ascii="Times New Roman" w:hAnsi="Times New Roman" w:cs="Times New Roman"/>
          <w:sz w:val="20"/>
          <w:szCs w:val="20"/>
          <w:lang w:val="en-GB"/>
        </w:rPr>
        <w:t>Audits message read: “</w:t>
      </w:r>
      <w:r w:rsidRPr="00A367CA">
        <w:rPr>
          <w:rFonts w:ascii="Times New Roman" w:hAnsi="Times New Roman" w:cs="Times New Roman"/>
          <w:sz w:val="20"/>
          <w:szCs w:val="20"/>
          <w:lang w:val="en-GB"/>
        </w:rPr>
        <w:t>[Claimant name]: The Department of Workforce Solutions performs audits every week to verify claim accuracy. If you worked between [</w:t>
      </w:r>
      <w:r w:rsidRPr="00A367CA">
        <w:rPr>
          <w:rFonts w:ascii="Times New Roman" w:hAnsi="Times New Roman" w:cs="Times New Roman"/>
          <w:sz w:val="20"/>
          <w:szCs w:val="20"/>
          <w:lang w:val="en-GB"/>
        </w:rPr>
        <w:t>ReportingPeriod], please ensure you report these earnings.</w:t>
      </w:r>
      <w:r>
        <w:rPr>
          <w:rFonts w:ascii="Times New Roman" w:hAnsi="Times New Roman" w:cs="Times New Roman"/>
          <w:sz w:val="20"/>
          <w:szCs w:val="20"/>
          <w:lang w:val="en-GB"/>
        </w:rPr>
        <w:t>” The Verification message read: “</w:t>
      </w:r>
      <w:r w:rsidRPr="00A367CA">
        <w:rPr>
          <w:rFonts w:ascii="Times New Roman" w:hAnsi="Times New Roman" w:cs="Times New Roman"/>
          <w:sz w:val="20"/>
          <w:szCs w:val="20"/>
          <w:lang w:val="en-GB"/>
        </w:rPr>
        <w:t xml:space="preserve">We verify your employment and earnings information. The Department of Workforce Solutions has a right to recover any overpaid benefits you receive </w:t>
      </w:r>
      <w:r w:rsidRPr="00A367CA">
        <w:rPr>
          <w:rFonts w:ascii="Times New Roman" w:hAnsi="Times New Roman" w:cs="Times New Roman"/>
          <w:sz w:val="20"/>
          <w:szCs w:val="20"/>
          <w:lang w:val="en-GB"/>
        </w:rPr>
        <w:t>as a result of inaccurately reporting your earnings.</w:t>
      </w:r>
      <w:r>
        <w:rPr>
          <w:rFonts w:ascii="Times New Roman" w:hAnsi="Times New Roman" w:cs="Times New Roman"/>
          <w:sz w:val="20"/>
          <w:szCs w:val="20"/>
          <w:lang w:val="en-GB"/>
        </w:rPr>
        <w:t>”</w:t>
      </w:r>
    </w:p>
  </w:footnote>
  <w:footnote w:id="3">
    <w:p w14:paraId="1FC3B43C" w14:textId="77777777" w:rsidR="00261A82" w:rsidRPr="00C307FA" w:rsidRDefault="00261A82" w:rsidP="00261A82">
      <w:pPr>
        <w:pStyle w:val="FootnoteText"/>
        <w:rPr>
          <w:lang w:val="en-GB"/>
        </w:rPr>
      </w:pPr>
      <w:r w:rsidRPr="00C307FA">
        <w:rPr>
          <w:rStyle w:val="FootnoteReference"/>
          <w:rFonts w:ascii="Times New Roman" w:hAnsi="Times New Roman" w:cs="Times New Roman"/>
          <w:sz w:val="20"/>
          <w:szCs w:val="20"/>
        </w:rPr>
        <w:footnoteRef/>
      </w:r>
      <w:r w:rsidRPr="00C307FA">
        <w:rPr>
          <w:rFonts w:ascii="Times New Roman" w:hAnsi="Times New Roman" w:cs="Times New Roman"/>
          <w:sz w:val="20"/>
          <w:szCs w:val="20"/>
        </w:rPr>
        <w:t xml:space="preserve"> </w:t>
      </w:r>
      <w:r>
        <w:rPr>
          <w:rFonts w:ascii="Times New Roman" w:hAnsi="Times New Roman" w:cs="Times New Roman"/>
          <w:sz w:val="20"/>
          <w:szCs w:val="20"/>
        </w:rPr>
        <w:t>The Take Action message read: “</w:t>
      </w:r>
      <w:r w:rsidRPr="00C307FA">
        <w:rPr>
          <w:rFonts w:ascii="Times New Roman" w:hAnsi="Times New Roman" w:cs="Times New Roman"/>
          <w:sz w:val="20"/>
          <w:szCs w:val="20"/>
        </w:rPr>
        <w:t>If any balance owed is not recovered in full within 30 days, the Department of Workforce Solutions has the right to take the following actions:</w:t>
      </w:r>
      <w:r>
        <w:rPr>
          <w:rFonts w:ascii="Times New Roman" w:hAnsi="Times New Roman" w:cs="Times New Roman"/>
          <w:sz w:val="20"/>
          <w:szCs w:val="20"/>
        </w:rPr>
        <w:t xml:space="preserve"> </w:t>
      </w:r>
      <w:r w:rsidRPr="00C307FA">
        <w:rPr>
          <w:rFonts w:ascii="Times New Roman" w:hAnsi="Times New Roman" w:cs="Times New Roman"/>
          <w:sz w:val="20"/>
          <w:szCs w:val="20"/>
        </w:rPr>
        <w:t>File a Warrant of Levy and Lien</w:t>
      </w:r>
      <w:r>
        <w:rPr>
          <w:rFonts w:ascii="Times New Roman" w:hAnsi="Times New Roman" w:cs="Times New Roman"/>
          <w:sz w:val="20"/>
          <w:szCs w:val="20"/>
        </w:rPr>
        <w:t xml:space="preserve">, </w:t>
      </w:r>
      <w:r w:rsidRPr="00C307FA">
        <w:rPr>
          <w:rFonts w:ascii="Times New Roman" w:hAnsi="Times New Roman" w:cs="Times New Roman"/>
          <w:sz w:val="20"/>
          <w:szCs w:val="20"/>
        </w:rPr>
        <w:t>Intercept any state tax refund you are owed or take other collections actions</w:t>
      </w:r>
      <w:r>
        <w:rPr>
          <w:rFonts w:ascii="Times New Roman" w:hAnsi="Times New Roman" w:cs="Times New Roman"/>
          <w:sz w:val="20"/>
          <w:szCs w:val="20"/>
        </w:rPr>
        <w:t>,</w:t>
      </w:r>
      <w:r w:rsidRPr="00C307FA">
        <w:rPr>
          <w:rFonts w:ascii="Times New Roman" w:hAnsi="Times New Roman" w:cs="Times New Roman"/>
          <w:sz w:val="20"/>
          <w:szCs w:val="20"/>
        </w:rPr>
        <w:t xml:space="preserve"> Garnish wages and take other legal actions</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6941717"/>
      <w:docPartObj>
        <w:docPartGallery w:val="Page Numbers (Top of Page)"/>
        <w:docPartUnique/>
      </w:docPartObj>
    </w:sdtPr>
    <w:sdtEndPr>
      <w:rPr>
        <w:rStyle w:val="PageNumber"/>
      </w:rPr>
    </w:sdtEndPr>
    <w:sdtContent>
      <w:p w14:paraId="6C30C499" w14:textId="7A7B1850" w:rsidR="004631D3" w:rsidRDefault="004631D3" w:rsidP="000765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D4DF6" w14:textId="77777777" w:rsidR="004631D3" w:rsidRDefault="004631D3" w:rsidP="00AB48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BA2C" w14:textId="77777777" w:rsidR="004631D3" w:rsidRDefault="004631D3" w:rsidP="00AB48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32940"/>
    <w:multiLevelType w:val="hybridMultilevel"/>
    <w:tmpl w:val="4E24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46D5"/>
    <w:multiLevelType w:val="hybridMultilevel"/>
    <w:tmpl w:val="60DA2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CF1394"/>
    <w:multiLevelType w:val="hybridMultilevel"/>
    <w:tmpl w:val="51B6249A"/>
    <w:lvl w:ilvl="0" w:tplc="2E36342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A2232"/>
    <w:multiLevelType w:val="multilevel"/>
    <w:tmpl w:val="C192B298"/>
    <w:lvl w:ilvl="0">
      <w:start w:val="1"/>
      <w:numFmt w:val="decimal"/>
      <w:lvlText w:val="%1."/>
      <w:lvlJc w:val="left"/>
      <w:pPr>
        <w:ind w:left="360" w:hanging="360"/>
      </w:pPr>
      <w:rPr>
        <w:rFonts w:eastAsia="Times New Roman Bold" w:hint="default"/>
        <w:b/>
      </w:rPr>
    </w:lvl>
    <w:lvl w:ilvl="1">
      <w:start w:val="1"/>
      <w:numFmt w:val="decimal"/>
      <w:isLgl/>
      <w:lvlText w:val="%1.%2."/>
      <w:lvlJc w:val="left"/>
      <w:pPr>
        <w:ind w:left="360" w:hanging="360"/>
      </w:pPr>
      <w:rPr>
        <w:rFonts w:ascii="Times" w:eastAsia="Arial Unicode MS" w:hAnsi="Times" w:cs="Arial Unicode MS" w:hint="default"/>
        <w:b/>
        <w:i/>
      </w:rPr>
    </w:lvl>
    <w:lvl w:ilvl="2">
      <w:start w:val="1"/>
      <w:numFmt w:val="decimal"/>
      <w:isLgl/>
      <w:lvlText w:val="%1.%2.%3."/>
      <w:lvlJc w:val="left"/>
      <w:pPr>
        <w:ind w:left="720" w:hanging="720"/>
      </w:pPr>
      <w:rPr>
        <w:rFonts w:ascii="Times" w:eastAsia="Arial Unicode MS" w:hAnsi="Times" w:cs="Arial Unicode MS" w:hint="default"/>
      </w:rPr>
    </w:lvl>
    <w:lvl w:ilvl="3">
      <w:start w:val="1"/>
      <w:numFmt w:val="decimal"/>
      <w:isLgl/>
      <w:lvlText w:val="%1.%2.%3.%4."/>
      <w:lvlJc w:val="left"/>
      <w:pPr>
        <w:ind w:left="720" w:hanging="720"/>
      </w:pPr>
      <w:rPr>
        <w:rFonts w:ascii="Times" w:eastAsia="Arial Unicode MS" w:hAnsi="Times" w:cs="Arial Unicode MS" w:hint="default"/>
      </w:rPr>
    </w:lvl>
    <w:lvl w:ilvl="4">
      <w:start w:val="1"/>
      <w:numFmt w:val="decimal"/>
      <w:isLgl/>
      <w:lvlText w:val="%1.%2.%3.%4.%5."/>
      <w:lvlJc w:val="left"/>
      <w:pPr>
        <w:ind w:left="1080" w:hanging="1080"/>
      </w:pPr>
      <w:rPr>
        <w:rFonts w:ascii="Times" w:eastAsia="Arial Unicode MS" w:hAnsi="Times" w:cs="Arial Unicode MS" w:hint="default"/>
      </w:rPr>
    </w:lvl>
    <w:lvl w:ilvl="5">
      <w:start w:val="1"/>
      <w:numFmt w:val="decimal"/>
      <w:isLgl/>
      <w:lvlText w:val="%1.%2.%3.%4.%5.%6."/>
      <w:lvlJc w:val="left"/>
      <w:pPr>
        <w:ind w:left="1080" w:hanging="1080"/>
      </w:pPr>
      <w:rPr>
        <w:rFonts w:ascii="Times" w:eastAsia="Arial Unicode MS" w:hAnsi="Times" w:cs="Arial Unicode MS" w:hint="default"/>
      </w:rPr>
    </w:lvl>
    <w:lvl w:ilvl="6">
      <w:start w:val="1"/>
      <w:numFmt w:val="decimal"/>
      <w:isLgl/>
      <w:lvlText w:val="%1.%2.%3.%4.%5.%6.%7."/>
      <w:lvlJc w:val="left"/>
      <w:pPr>
        <w:ind w:left="1440" w:hanging="1440"/>
      </w:pPr>
      <w:rPr>
        <w:rFonts w:ascii="Times" w:eastAsia="Arial Unicode MS" w:hAnsi="Times" w:cs="Arial Unicode MS" w:hint="default"/>
      </w:rPr>
    </w:lvl>
    <w:lvl w:ilvl="7">
      <w:start w:val="1"/>
      <w:numFmt w:val="decimal"/>
      <w:isLgl/>
      <w:lvlText w:val="%1.%2.%3.%4.%5.%6.%7.%8."/>
      <w:lvlJc w:val="left"/>
      <w:pPr>
        <w:ind w:left="1440" w:hanging="1440"/>
      </w:pPr>
      <w:rPr>
        <w:rFonts w:ascii="Times" w:eastAsia="Arial Unicode MS" w:hAnsi="Times" w:cs="Arial Unicode MS" w:hint="default"/>
      </w:rPr>
    </w:lvl>
    <w:lvl w:ilvl="8">
      <w:start w:val="1"/>
      <w:numFmt w:val="decimal"/>
      <w:isLgl/>
      <w:lvlText w:val="%1.%2.%3.%4.%5.%6.%7.%8.%9."/>
      <w:lvlJc w:val="left"/>
      <w:pPr>
        <w:ind w:left="1800" w:hanging="1800"/>
      </w:pPr>
      <w:rPr>
        <w:rFonts w:ascii="Times" w:eastAsia="Arial Unicode MS" w:hAnsi="Times" w:cs="Arial Unicode MS" w:hint="default"/>
      </w:rPr>
    </w:lvl>
  </w:abstractNum>
  <w:abstractNum w:abstractNumId="4" w15:restartNumberingAfterBreak="0">
    <w:nsid w:val="78C9108E"/>
    <w:multiLevelType w:val="hybridMultilevel"/>
    <w:tmpl w:val="3EBC1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566430">
    <w:abstractNumId w:val="3"/>
  </w:num>
  <w:num w:numId="2" w16cid:durableId="151525982">
    <w:abstractNumId w:val="0"/>
  </w:num>
  <w:num w:numId="3" w16cid:durableId="585119461">
    <w:abstractNumId w:val="1"/>
  </w:num>
  <w:num w:numId="4" w16cid:durableId="1360659985">
    <w:abstractNumId w:val="4"/>
  </w:num>
  <w:num w:numId="5" w16cid:durableId="1854955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67"/>
    <w:rsid w:val="000028D6"/>
    <w:rsid w:val="00002A71"/>
    <w:rsid w:val="000030C5"/>
    <w:rsid w:val="00003241"/>
    <w:rsid w:val="0000388C"/>
    <w:rsid w:val="00004107"/>
    <w:rsid w:val="00004C32"/>
    <w:rsid w:val="000062C2"/>
    <w:rsid w:val="00006568"/>
    <w:rsid w:val="000070E4"/>
    <w:rsid w:val="000075C7"/>
    <w:rsid w:val="00010020"/>
    <w:rsid w:val="00010DA7"/>
    <w:rsid w:val="00011185"/>
    <w:rsid w:val="00011AE5"/>
    <w:rsid w:val="00012C05"/>
    <w:rsid w:val="000130FA"/>
    <w:rsid w:val="00013EF8"/>
    <w:rsid w:val="000143EE"/>
    <w:rsid w:val="00014C19"/>
    <w:rsid w:val="000163D8"/>
    <w:rsid w:val="000169D8"/>
    <w:rsid w:val="0001729A"/>
    <w:rsid w:val="0001755C"/>
    <w:rsid w:val="000176ED"/>
    <w:rsid w:val="0001788F"/>
    <w:rsid w:val="00020BCF"/>
    <w:rsid w:val="0002183A"/>
    <w:rsid w:val="00021B23"/>
    <w:rsid w:val="0002225B"/>
    <w:rsid w:val="00024294"/>
    <w:rsid w:val="00024A9A"/>
    <w:rsid w:val="000257ED"/>
    <w:rsid w:val="000273CB"/>
    <w:rsid w:val="0003060C"/>
    <w:rsid w:val="00031912"/>
    <w:rsid w:val="00031DA6"/>
    <w:rsid w:val="00033272"/>
    <w:rsid w:val="000333FA"/>
    <w:rsid w:val="000338F6"/>
    <w:rsid w:val="00033AF5"/>
    <w:rsid w:val="000342DB"/>
    <w:rsid w:val="00034A24"/>
    <w:rsid w:val="00034C64"/>
    <w:rsid w:val="000357A2"/>
    <w:rsid w:val="00036EBB"/>
    <w:rsid w:val="00037AB4"/>
    <w:rsid w:val="0004058C"/>
    <w:rsid w:val="0004114C"/>
    <w:rsid w:val="00041277"/>
    <w:rsid w:val="00041EE8"/>
    <w:rsid w:val="000424F6"/>
    <w:rsid w:val="00043518"/>
    <w:rsid w:val="00043679"/>
    <w:rsid w:val="00044595"/>
    <w:rsid w:val="000448CD"/>
    <w:rsid w:val="00047618"/>
    <w:rsid w:val="00047D59"/>
    <w:rsid w:val="0005076D"/>
    <w:rsid w:val="000510A6"/>
    <w:rsid w:val="00051C7B"/>
    <w:rsid w:val="00051E2C"/>
    <w:rsid w:val="0005274E"/>
    <w:rsid w:val="00052967"/>
    <w:rsid w:val="000543C7"/>
    <w:rsid w:val="000553A9"/>
    <w:rsid w:val="00055B85"/>
    <w:rsid w:val="00055CDE"/>
    <w:rsid w:val="00062E50"/>
    <w:rsid w:val="0006482D"/>
    <w:rsid w:val="000648F8"/>
    <w:rsid w:val="00064B21"/>
    <w:rsid w:val="00065CFF"/>
    <w:rsid w:val="00065EAF"/>
    <w:rsid w:val="00066C0F"/>
    <w:rsid w:val="00066DB3"/>
    <w:rsid w:val="00067340"/>
    <w:rsid w:val="00070BD6"/>
    <w:rsid w:val="00070EF0"/>
    <w:rsid w:val="00071523"/>
    <w:rsid w:val="00071AEC"/>
    <w:rsid w:val="00072ECC"/>
    <w:rsid w:val="000744A7"/>
    <w:rsid w:val="000746B8"/>
    <w:rsid w:val="00074AF0"/>
    <w:rsid w:val="00076042"/>
    <w:rsid w:val="00076574"/>
    <w:rsid w:val="00076AEE"/>
    <w:rsid w:val="00076D5A"/>
    <w:rsid w:val="0007725D"/>
    <w:rsid w:val="000777BB"/>
    <w:rsid w:val="00080126"/>
    <w:rsid w:val="00082BFF"/>
    <w:rsid w:val="0008379E"/>
    <w:rsid w:val="00083BDE"/>
    <w:rsid w:val="00086A9F"/>
    <w:rsid w:val="0008769F"/>
    <w:rsid w:val="00090C66"/>
    <w:rsid w:val="000922E1"/>
    <w:rsid w:val="00092F14"/>
    <w:rsid w:val="00093F5C"/>
    <w:rsid w:val="00094BE2"/>
    <w:rsid w:val="00094FAA"/>
    <w:rsid w:val="00095B5E"/>
    <w:rsid w:val="00097984"/>
    <w:rsid w:val="00097D09"/>
    <w:rsid w:val="00097D10"/>
    <w:rsid w:val="000A0209"/>
    <w:rsid w:val="000A024D"/>
    <w:rsid w:val="000A1135"/>
    <w:rsid w:val="000A223D"/>
    <w:rsid w:val="000A288B"/>
    <w:rsid w:val="000A363A"/>
    <w:rsid w:val="000A3ED5"/>
    <w:rsid w:val="000A408D"/>
    <w:rsid w:val="000A6AEC"/>
    <w:rsid w:val="000A726D"/>
    <w:rsid w:val="000B0495"/>
    <w:rsid w:val="000B07E5"/>
    <w:rsid w:val="000B0F45"/>
    <w:rsid w:val="000B1455"/>
    <w:rsid w:val="000B17AB"/>
    <w:rsid w:val="000B1D43"/>
    <w:rsid w:val="000B1F3C"/>
    <w:rsid w:val="000B40DD"/>
    <w:rsid w:val="000B586A"/>
    <w:rsid w:val="000B5C13"/>
    <w:rsid w:val="000B7152"/>
    <w:rsid w:val="000B79D7"/>
    <w:rsid w:val="000C168B"/>
    <w:rsid w:val="000C2FD7"/>
    <w:rsid w:val="000C33F8"/>
    <w:rsid w:val="000C4111"/>
    <w:rsid w:val="000C4643"/>
    <w:rsid w:val="000C5708"/>
    <w:rsid w:val="000C59FE"/>
    <w:rsid w:val="000C5B1D"/>
    <w:rsid w:val="000C684A"/>
    <w:rsid w:val="000C73F2"/>
    <w:rsid w:val="000D0F65"/>
    <w:rsid w:val="000D100A"/>
    <w:rsid w:val="000D253B"/>
    <w:rsid w:val="000D333D"/>
    <w:rsid w:val="000D44CF"/>
    <w:rsid w:val="000D556D"/>
    <w:rsid w:val="000D5EC0"/>
    <w:rsid w:val="000D65BC"/>
    <w:rsid w:val="000D65D9"/>
    <w:rsid w:val="000D6904"/>
    <w:rsid w:val="000D6B40"/>
    <w:rsid w:val="000E0A94"/>
    <w:rsid w:val="000E0D6B"/>
    <w:rsid w:val="000E1055"/>
    <w:rsid w:val="000E182C"/>
    <w:rsid w:val="000E1959"/>
    <w:rsid w:val="000E1A87"/>
    <w:rsid w:val="000E2DFC"/>
    <w:rsid w:val="000E302C"/>
    <w:rsid w:val="000E317A"/>
    <w:rsid w:val="000E3B1A"/>
    <w:rsid w:val="000E3DB3"/>
    <w:rsid w:val="000E40F8"/>
    <w:rsid w:val="000E44CD"/>
    <w:rsid w:val="000E4A8D"/>
    <w:rsid w:val="000E50B7"/>
    <w:rsid w:val="000E5B93"/>
    <w:rsid w:val="000E5C9D"/>
    <w:rsid w:val="000E784B"/>
    <w:rsid w:val="000E78A4"/>
    <w:rsid w:val="000E79BF"/>
    <w:rsid w:val="000E7ED0"/>
    <w:rsid w:val="000F05CD"/>
    <w:rsid w:val="000F0811"/>
    <w:rsid w:val="000F0DE7"/>
    <w:rsid w:val="000F1074"/>
    <w:rsid w:val="000F1A4A"/>
    <w:rsid w:val="000F1A99"/>
    <w:rsid w:val="000F1AFE"/>
    <w:rsid w:val="000F1BF9"/>
    <w:rsid w:val="000F1D7C"/>
    <w:rsid w:val="000F360C"/>
    <w:rsid w:val="000F3BAA"/>
    <w:rsid w:val="000F46B8"/>
    <w:rsid w:val="000F5660"/>
    <w:rsid w:val="000F5761"/>
    <w:rsid w:val="000F5D56"/>
    <w:rsid w:val="000F6174"/>
    <w:rsid w:val="000F6215"/>
    <w:rsid w:val="000F6E1C"/>
    <w:rsid w:val="000F6E7A"/>
    <w:rsid w:val="00100A54"/>
    <w:rsid w:val="0010186B"/>
    <w:rsid w:val="00101A0E"/>
    <w:rsid w:val="00101FC8"/>
    <w:rsid w:val="00101FEC"/>
    <w:rsid w:val="001030BC"/>
    <w:rsid w:val="001034F7"/>
    <w:rsid w:val="00103A68"/>
    <w:rsid w:val="00105C95"/>
    <w:rsid w:val="00110191"/>
    <w:rsid w:val="00110CF6"/>
    <w:rsid w:val="00111557"/>
    <w:rsid w:val="001115F5"/>
    <w:rsid w:val="00111FFF"/>
    <w:rsid w:val="001123E4"/>
    <w:rsid w:val="0011285A"/>
    <w:rsid w:val="00112D14"/>
    <w:rsid w:val="00113552"/>
    <w:rsid w:val="0011386C"/>
    <w:rsid w:val="00113DE2"/>
    <w:rsid w:val="00115203"/>
    <w:rsid w:val="001157BE"/>
    <w:rsid w:val="00115CCE"/>
    <w:rsid w:val="001163DA"/>
    <w:rsid w:val="0011647F"/>
    <w:rsid w:val="0011657B"/>
    <w:rsid w:val="00116804"/>
    <w:rsid w:val="001171F8"/>
    <w:rsid w:val="00120396"/>
    <w:rsid w:val="0012039F"/>
    <w:rsid w:val="00120523"/>
    <w:rsid w:val="00120EDC"/>
    <w:rsid w:val="001212F8"/>
    <w:rsid w:val="00121940"/>
    <w:rsid w:val="001221E1"/>
    <w:rsid w:val="00123A0B"/>
    <w:rsid w:val="00123FAC"/>
    <w:rsid w:val="001243EC"/>
    <w:rsid w:val="00124D05"/>
    <w:rsid w:val="00124FBD"/>
    <w:rsid w:val="001261A5"/>
    <w:rsid w:val="0012674D"/>
    <w:rsid w:val="00127956"/>
    <w:rsid w:val="00130216"/>
    <w:rsid w:val="00131641"/>
    <w:rsid w:val="00131B35"/>
    <w:rsid w:val="001325F8"/>
    <w:rsid w:val="00132A6C"/>
    <w:rsid w:val="00132CC0"/>
    <w:rsid w:val="00133413"/>
    <w:rsid w:val="00133808"/>
    <w:rsid w:val="001341ED"/>
    <w:rsid w:val="001342D7"/>
    <w:rsid w:val="00134BEB"/>
    <w:rsid w:val="00134F87"/>
    <w:rsid w:val="00136098"/>
    <w:rsid w:val="001363F0"/>
    <w:rsid w:val="00136BF6"/>
    <w:rsid w:val="0013755B"/>
    <w:rsid w:val="00137A32"/>
    <w:rsid w:val="0014022A"/>
    <w:rsid w:val="00140360"/>
    <w:rsid w:val="00140D70"/>
    <w:rsid w:val="0014254E"/>
    <w:rsid w:val="001425B0"/>
    <w:rsid w:val="00142A3B"/>
    <w:rsid w:val="00142BA0"/>
    <w:rsid w:val="00142CE6"/>
    <w:rsid w:val="00143D48"/>
    <w:rsid w:val="00144AA8"/>
    <w:rsid w:val="00144F6B"/>
    <w:rsid w:val="0014521A"/>
    <w:rsid w:val="00145D9B"/>
    <w:rsid w:val="00145EDF"/>
    <w:rsid w:val="00150A8E"/>
    <w:rsid w:val="001535BA"/>
    <w:rsid w:val="00153A58"/>
    <w:rsid w:val="0015539A"/>
    <w:rsid w:val="00156E24"/>
    <w:rsid w:val="00160027"/>
    <w:rsid w:val="0016254B"/>
    <w:rsid w:val="0016337A"/>
    <w:rsid w:val="00163B63"/>
    <w:rsid w:val="00164CC1"/>
    <w:rsid w:val="0016524A"/>
    <w:rsid w:val="001658A6"/>
    <w:rsid w:val="00165C3E"/>
    <w:rsid w:val="00166597"/>
    <w:rsid w:val="001665FC"/>
    <w:rsid w:val="0016668F"/>
    <w:rsid w:val="00166DAC"/>
    <w:rsid w:val="00166EA3"/>
    <w:rsid w:val="00167945"/>
    <w:rsid w:val="001707B5"/>
    <w:rsid w:val="00170DEC"/>
    <w:rsid w:val="00171BAC"/>
    <w:rsid w:val="00171F4F"/>
    <w:rsid w:val="0017217C"/>
    <w:rsid w:val="00172F26"/>
    <w:rsid w:val="00174113"/>
    <w:rsid w:val="0017577F"/>
    <w:rsid w:val="00175A9B"/>
    <w:rsid w:val="00176EA4"/>
    <w:rsid w:val="001776C7"/>
    <w:rsid w:val="0017788A"/>
    <w:rsid w:val="00177C15"/>
    <w:rsid w:val="001807E6"/>
    <w:rsid w:val="0018151B"/>
    <w:rsid w:val="001819C8"/>
    <w:rsid w:val="001820F1"/>
    <w:rsid w:val="00182153"/>
    <w:rsid w:val="00182A73"/>
    <w:rsid w:val="00185430"/>
    <w:rsid w:val="001855E3"/>
    <w:rsid w:val="00185866"/>
    <w:rsid w:val="0018589D"/>
    <w:rsid w:val="00186554"/>
    <w:rsid w:val="00186D4D"/>
    <w:rsid w:val="00187A6A"/>
    <w:rsid w:val="00190DC5"/>
    <w:rsid w:val="00191FE5"/>
    <w:rsid w:val="00193039"/>
    <w:rsid w:val="0019617B"/>
    <w:rsid w:val="00197A18"/>
    <w:rsid w:val="001A19D7"/>
    <w:rsid w:val="001A1A42"/>
    <w:rsid w:val="001A28E9"/>
    <w:rsid w:val="001A35B1"/>
    <w:rsid w:val="001A3DAB"/>
    <w:rsid w:val="001A41BC"/>
    <w:rsid w:val="001A5CDE"/>
    <w:rsid w:val="001A7FBE"/>
    <w:rsid w:val="001B1B12"/>
    <w:rsid w:val="001B2BE6"/>
    <w:rsid w:val="001B308A"/>
    <w:rsid w:val="001B33DD"/>
    <w:rsid w:val="001B3C78"/>
    <w:rsid w:val="001B3D8A"/>
    <w:rsid w:val="001B4810"/>
    <w:rsid w:val="001B4937"/>
    <w:rsid w:val="001B53E0"/>
    <w:rsid w:val="001B5BC5"/>
    <w:rsid w:val="001B788C"/>
    <w:rsid w:val="001B7F64"/>
    <w:rsid w:val="001C006D"/>
    <w:rsid w:val="001C02B8"/>
    <w:rsid w:val="001C0604"/>
    <w:rsid w:val="001C3F4D"/>
    <w:rsid w:val="001C4298"/>
    <w:rsid w:val="001C471D"/>
    <w:rsid w:val="001C49F1"/>
    <w:rsid w:val="001C5C45"/>
    <w:rsid w:val="001C6655"/>
    <w:rsid w:val="001C669B"/>
    <w:rsid w:val="001C68E5"/>
    <w:rsid w:val="001C69AB"/>
    <w:rsid w:val="001C7057"/>
    <w:rsid w:val="001D048C"/>
    <w:rsid w:val="001D0653"/>
    <w:rsid w:val="001D0F17"/>
    <w:rsid w:val="001D1926"/>
    <w:rsid w:val="001D271C"/>
    <w:rsid w:val="001D2751"/>
    <w:rsid w:val="001D3F10"/>
    <w:rsid w:val="001D5625"/>
    <w:rsid w:val="001D5851"/>
    <w:rsid w:val="001D58D2"/>
    <w:rsid w:val="001D5B60"/>
    <w:rsid w:val="001D649B"/>
    <w:rsid w:val="001D6A54"/>
    <w:rsid w:val="001D70AB"/>
    <w:rsid w:val="001E087C"/>
    <w:rsid w:val="001E124E"/>
    <w:rsid w:val="001E15C5"/>
    <w:rsid w:val="001E2074"/>
    <w:rsid w:val="001E2B21"/>
    <w:rsid w:val="001E35FB"/>
    <w:rsid w:val="001E4045"/>
    <w:rsid w:val="001E4D65"/>
    <w:rsid w:val="001E5CED"/>
    <w:rsid w:val="001E6EFF"/>
    <w:rsid w:val="001E7B54"/>
    <w:rsid w:val="001F059C"/>
    <w:rsid w:val="001F0F5E"/>
    <w:rsid w:val="001F1A6B"/>
    <w:rsid w:val="001F3A84"/>
    <w:rsid w:val="001F4562"/>
    <w:rsid w:val="001F4C86"/>
    <w:rsid w:val="001F7AC1"/>
    <w:rsid w:val="0020081C"/>
    <w:rsid w:val="0020183B"/>
    <w:rsid w:val="00201BF0"/>
    <w:rsid w:val="00201D28"/>
    <w:rsid w:val="002020B4"/>
    <w:rsid w:val="0020215B"/>
    <w:rsid w:val="00202222"/>
    <w:rsid w:val="00202309"/>
    <w:rsid w:val="0020327D"/>
    <w:rsid w:val="00203491"/>
    <w:rsid w:val="002034CB"/>
    <w:rsid w:val="0020497C"/>
    <w:rsid w:val="0020498B"/>
    <w:rsid w:val="00204E5D"/>
    <w:rsid w:val="00204EBA"/>
    <w:rsid w:val="00204F01"/>
    <w:rsid w:val="002050AB"/>
    <w:rsid w:val="002056F5"/>
    <w:rsid w:val="00206B99"/>
    <w:rsid w:val="0020769F"/>
    <w:rsid w:val="002077D1"/>
    <w:rsid w:val="00207D84"/>
    <w:rsid w:val="002107AD"/>
    <w:rsid w:val="00210A0F"/>
    <w:rsid w:val="00210CFD"/>
    <w:rsid w:val="00211594"/>
    <w:rsid w:val="002124E2"/>
    <w:rsid w:val="00212B4F"/>
    <w:rsid w:val="00212D73"/>
    <w:rsid w:val="0021459C"/>
    <w:rsid w:val="0021524D"/>
    <w:rsid w:val="00215A03"/>
    <w:rsid w:val="00216431"/>
    <w:rsid w:val="0021686E"/>
    <w:rsid w:val="00216EE8"/>
    <w:rsid w:val="002170AE"/>
    <w:rsid w:val="002207CE"/>
    <w:rsid w:val="00220ADC"/>
    <w:rsid w:val="00220BBF"/>
    <w:rsid w:val="00222D07"/>
    <w:rsid w:val="00222E55"/>
    <w:rsid w:val="00222E6C"/>
    <w:rsid w:val="00223710"/>
    <w:rsid w:val="00223B9D"/>
    <w:rsid w:val="00223D6B"/>
    <w:rsid w:val="0022419C"/>
    <w:rsid w:val="00225B6F"/>
    <w:rsid w:val="00225C21"/>
    <w:rsid w:val="002277D3"/>
    <w:rsid w:val="00227914"/>
    <w:rsid w:val="00227A4A"/>
    <w:rsid w:val="00227AEF"/>
    <w:rsid w:val="0023027C"/>
    <w:rsid w:val="002306B4"/>
    <w:rsid w:val="00230974"/>
    <w:rsid w:val="002314E7"/>
    <w:rsid w:val="00231BC2"/>
    <w:rsid w:val="0023220C"/>
    <w:rsid w:val="0023567F"/>
    <w:rsid w:val="00235D63"/>
    <w:rsid w:val="00236ECA"/>
    <w:rsid w:val="00237ED8"/>
    <w:rsid w:val="00240FA8"/>
    <w:rsid w:val="00241C38"/>
    <w:rsid w:val="00242E64"/>
    <w:rsid w:val="00242EC0"/>
    <w:rsid w:val="00243285"/>
    <w:rsid w:val="0024329B"/>
    <w:rsid w:val="00243A57"/>
    <w:rsid w:val="00245420"/>
    <w:rsid w:val="002458FA"/>
    <w:rsid w:val="00247348"/>
    <w:rsid w:val="0024750C"/>
    <w:rsid w:val="00247765"/>
    <w:rsid w:val="00247968"/>
    <w:rsid w:val="002510E2"/>
    <w:rsid w:val="0025177F"/>
    <w:rsid w:val="002528F2"/>
    <w:rsid w:val="00253043"/>
    <w:rsid w:val="00253232"/>
    <w:rsid w:val="002542B2"/>
    <w:rsid w:val="00254482"/>
    <w:rsid w:val="00255023"/>
    <w:rsid w:val="0025550F"/>
    <w:rsid w:val="00255E1E"/>
    <w:rsid w:val="002576F9"/>
    <w:rsid w:val="00257E52"/>
    <w:rsid w:val="002600D6"/>
    <w:rsid w:val="00260735"/>
    <w:rsid w:val="002615D2"/>
    <w:rsid w:val="00261A82"/>
    <w:rsid w:val="00261C04"/>
    <w:rsid w:val="00261CD0"/>
    <w:rsid w:val="00261F9D"/>
    <w:rsid w:val="00262A2E"/>
    <w:rsid w:val="0026339B"/>
    <w:rsid w:val="00264B89"/>
    <w:rsid w:val="0026598D"/>
    <w:rsid w:val="00265F8B"/>
    <w:rsid w:val="002660B9"/>
    <w:rsid w:val="0026728A"/>
    <w:rsid w:val="00267738"/>
    <w:rsid w:val="00267A11"/>
    <w:rsid w:val="00271243"/>
    <w:rsid w:val="00272A21"/>
    <w:rsid w:val="00272D6F"/>
    <w:rsid w:val="00273F41"/>
    <w:rsid w:val="0027466E"/>
    <w:rsid w:val="00274E8A"/>
    <w:rsid w:val="00275FEE"/>
    <w:rsid w:val="00276520"/>
    <w:rsid w:val="00277075"/>
    <w:rsid w:val="002770E1"/>
    <w:rsid w:val="002810A4"/>
    <w:rsid w:val="00281C7B"/>
    <w:rsid w:val="00281F92"/>
    <w:rsid w:val="002827FC"/>
    <w:rsid w:val="00282838"/>
    <w:rsid w:val="00284D68"/>
    <w:rsid w:val="002851F4"/>
    <w:rsid w:val="002869FC"/>
    <w:rsid w:val="00286CBA"/>
    <w:rsid w:val="00286D7F"/>
    <w:rsid w:val="002876C6"/>
    <w:rsid w:val="002909F0"/>
    <w:rsid w:val="00290B34"/>
    <w:rsid w:val="00291886"/>
    <w:rsid w:val="00291A01"/>
    <w:rsid w:val="002929BF"/>
    <w:rsid w:val="00292B1F"/>
    <w:rsid w:val="00293942"/>
    <w:rsid w:val="00293FE1"/>
    <w:rsid w:val="0029441B"/>
    <w:rsid w:val="00294B0C"/>
    <w:rsid w:val="002960CC"/>
    <w:rsid w:val="0029744D"/>
    <w:rsid w:val="002974F4"/>
    <w:rsid w:val="00297D1D"/>
    <w:rsid w:val="00297D67"/>
    <w:rsid w:val="002A046A"/>
    <w:rsid w:val="002A2092"/>
    <w:rsid w:val="002A2E37"/>
    <w:rsid w:val="002A39B2"/>
    <w:rsid w:val="002A55CB"/>
    <w:rsid w:val="002A59B5"/>
    <w:rsid w:val="002A5FB1"/>
    <w:rsid w:val="002A70D7"/>
    <w:rsid w:val="002B1672"/>
    <w:rsid w:val="002B24A7"/>
    <w:rsid w:val="002B2894"/>
    <w:rsid w:val="002B323E"/>
    <w:rsid w:val="002B3797"/>
    <w:rsid w:val="002B3F0C"/>
    <w:rsid w:val="002B48D1"/>
    <w:rsid w:val="002B4B81"/>
    <w:rsid w:val="002B6110"/>
    <w:rsid w:val="002B6FBA"/>
    <w:rsid w:val="002C0E79"/>
    <w:rsid w:val="002C112B"/>
    <w:rsid w:val="002C248E"/>
    <w:rsid w:val="002C366B"/>
    <w:rsid w:val="002C4BE9"/>
    <w:rsid w:val="002C60E3"/>
    <w:rsid w:val="002C6699"/>
    <w:rsid w:val="002C6891"/>
    <w:rsid w:val="002C6A97"/>
    <w:rsid w:val="002C76D2"/>
    <w:rsid w:val="002C77CB"/>
    <w:rsid w:val="002D0098"/>
    <w:rsid w:val="002D0C81"/>
    <w:rsid w:val="002D0E04"/>
    <w:rsid w:val="002D1112"/>
    <w:rsid w:val="002D1577"/>
    <w:rsid w:val="002D3523"/>
    <w:rsid w:val="002D4158"/>
    <w:rsid w:val="002D4B55"/>
    <w:rsid w:val="002D543C"/>
    <w:rsid w:val="002D6F7A"/>
    <w:rsid w:val="002E09BF"/>
    <w:rsid w:val="002E0D6D"/>
    <w:rsid w:val="002E1608"/>
    <w:rsid w:val="002E2240"/>
    <w:rsid w:val="002E26B0"/>
    <w:rsid w:val="002E37D3"/>
    <w:rsid w:val="002E4B21"/>
    <w:rsid w:val="002E50D6"/>
    <w:rsid w:val="002E58E7"/>
    <w:rsid w:val="002E65C6"/>
    <w:rsid w:val="002E7264"/>
    <w:rsid w:val="002F09F0"/>
    <w:rsid w:val="002F0BEE"/>
    <w:rsid w:val="002F3B10"/>
    <w:rsid w:val="002F3E35"/>
    <w:rsid w:val="002F4D2F"/>
    <w:rsid w:val="002F6EDB"/>
    <w:rsid w:val="002F775F"/>
    <w:rsid w:val="002F7DA9"/>
    <w:rsid w:val="00300041"/>
    <w:rsid w:val="00301CBC"/>
    <w:rsid w:val="00302727"/>
    <w:rsid w:val="00302DE5"/>
    <w:rsid w:val="00302F2C"/>
    <w:rsid w:val="00303ADD"/>
    <w:rsid w:val="00303D79"/>
    <w:rsid w:val="00304A9C"/>
    <w:rsid w:val="00304DAA"/>
    <w:rsid w:val="00304FDD"/>
    <w:rsid w:val="00305450"/>
    <w:rsid w:val="00307929"/>
    <w:rsid w:val="003107AD"/>
    <w:rsid w:val="00311CB2"/>
    <w:rsid w:val="00311F20"/>
    <w:rsid w:val="00312DAE"/>
    <w:rsid w:val="003142D9"/>
    <w:rsid w:val="003154B1"/>
    <w:rsid w:val="00316369"/>
    <w:rsid w:val="00316639"/>
    <w:rsid w:val="003212E0"/>
    <w:rsid w:val="00322172"/>
    <w:rsid w:val="00322DE4"/>
    <w:rsid w:val="00322E07"/>
    <w:rsid w:val="0032361C"/>
    <w:rsid w:val="00323CE3"/>
    <w:rsid w:val="003249AD"/>
    <w:rsid w:val="00324EE0"/>
    <w:rsid w:val="003254C0"/>
    <w:rsid w:val="00325939"/>
    <w:rsid w:val="00325C7A"/>
    <w:rsid w:val="003262E1"/>
    <w:rsid w:val="00330596"/>
    <w:rsid w:val="00330811"/>
    <w:rsid w:val="00332119"/>
    <w:rsid w:val="00332AA1"/>
    <w:rsid w:val="003331B8"/>
    <w:rsid w:val="003343D8"/>
    <w:rsid w:val="003349E6"/>
    <w:rsid w:val="00334A3F"/>
    <w:rsid w:val="00336145"/>
    <w:rsid w:val="003361C0"/>
    <w:rsid w:val="00336871"/>
    <w:rsid w:val="00340AB4"/>
    <w:rsid w:val="00340D29"/>
    <w:rsid w:val="00341E28"/>
    <w:rsid w:val="00342BA9"/>
    <w:rsid w:val="003434CB"/>
    <w:rsid w:val="00344AEB"/>
    <w:rsid w:val="00344C2D"/>
    <w:rsid w:val="00346350"/>
    <w:rsid w:val="003464E0"/>
    <w:rsid w:val="00347B4E"/>
    <w:rsid w:val="00347FE2"/>
    <w:rsid w:val="003509C7"/>
    <w:rsid w:val="00350E93"/>
    <w:rsid w:val="00351285"/>
    <w:rsid w:val="00351B0C"/>
    <w:rsid w:val="00351B0E"/>
    <w:rsid w:val="00351C9A"/>
    <w:rsid w:val="003521DF"/>
    <w:rsid w:val="0035315F"/>
    <w:rsid w:val="003532DE"/>
    <w:rsid w:val="00353ABA"/>
    <w:rsid w:val="00354AAA"/>
    <w:rsid w:val="00355BFA"/>
    <w:rsid w:val="00357C87"/>
    <w:rsid w:val="003602BF"/>
    <w:rsid w:val="0036030B"/>
    <w:rsid w:val="003606FB"/>
    <w:rsid w:val="003607D3"/>
    <w:rsid w:val="0036091B"/>
    <w:rsid w:val="003624BF"/>
    <w:rsid w:val="00362984"/>
    <w:rsid w:val="0036302C"/>
    <w:rsid w:val="0036348A"/>
    <w:rsid w:val="00363CDB"/>
    <w:rsid w:val="00364479"/>
    <w:rsid w:val="003659E8"/>
    <w:rsid w:val="003663A8"/>
    <w:rsid w:val="00367516"/>
    <w:rsid w:val="003700C8"/>
    <w:rsid w:val="003712B5"/>
    <w:rsid w:val="00371ABE"/>
    <w:rsid w:val="0037200F"/>
    <w:rsid w:val="00372252"/>
    <w:rsid w:val="003722BE"/>
    <w:rsid w:val="00372CAA"/>
    <w:rsid w:val="00374DD1"/>
    <w:rsid w:val="003753A9"/>
    <w:rsid w:val="003759B3"/>
    <w:rsid w:val="00376FC4"/>
    <w:rsid w:val="00377D79"/>
    <w:rsid w:val="0038021F"/>
    <w:rsid w:val="00380858"/>
    <w:rsid w:val="00380A01"/>
    <w:rsid w:val="00381626"/>
    <w:rsid w:val="00382C8F"/>
    <w:rsid w:val="00384486"/>
    <w:rsid w:val="003845E1"/>
    <w:rsid w:val="003852FC"/>
    <w:rsid w:val="00385D3F"/>
    <w:rsid w:val="00385E18"/>
    <w:rsid w:val="00386561"/>
    <w:rsid w:val="003868A2"/>
    <w:rsid w:val="00387628"/>
    <w:rsid w:val="003877FF"/>
    <w:rsid w:val="0039059A"/>
    <w:rsid w:val="00391096"/>
    <w:rsid w:val="0039233B"/>
    <w:rsid w:val="003927B4"/>
    <w:rsid w:val="00392BF1"/>
    <w:rsid w:val="00393BDA"/>
    <w:rsid w:val="00393DDA"/>
    <w:rsid w:val="003945E3"/>
    <w:rsid w:val="0039467D"/>
    <w:rsid w:val="00395225"/>
    <w:rsid w:val="00395805"/>
    <w:rsid w:val="003960B4"/>
    <w:rsid w:val="003962C8"/>
    <w:rsid w:val="00396730"/>
    <w:rsid w:val="003975EF"/>
    <w:rsid w:val="003976B9"/>
    <w:rsid w:val="00397D00"/>
    <w:rsid w:val="00397FD0"/>
    <w:rsid w:val="003A0483"/>
    <w:rsid w:val="003A0863"/>
    <w:rsid w:val="003A1E3B"/>
    <w:rsid w:val="003A1EBE"/>
    <w:rsid w:val="003A1F31"/>
    <w:rsid w:val="003A2895"/>
    <w:rsid w:val="003A2F3F"/>
    <w:rsid w:val="003A3874"/>
    <w:rsid w:val="003A5071"/>
    <w:rsid w:val="003A59EA"/>
    <w:rsid w:val="003A5D38"/>
    <w:rsid w:val="003A60B8"/>
    <w:rsid w:val="003A71ED"/>
    <w:rsid w:val="003A7550"/>
    <w:rsid w:val="003A7AF0"/>
    <w:rsid w:val="003B0E2C"/>
    <w:rsid w:val="003B1167"/>
    <w:rsid w:val="003B1971"/>
    <w:rsid w:val="003B1DD0"/>
    <w:rsid w:val="003B2291"/>
    <w:rsid w:val="003B28C4"/>
    <w:rsid w:val="003B349C"/>
    <w:rsid w:val="003B433E"/>
    <w:rsid w:val="003B51C8"/>
    <w:rsid w:val="003B58C7"/>
    <w:rsid w:val="003B6EDA"/>
    <w:rsid w:val="003B70C2"/>
    <w:rsid w:val="003C012D"/>
    <w:rsid w:val="003C0251"/>
    <w:rsid w:val="003C035E"/>
    <w:rsid w:val="003C38A7"/>
    <w:rsid w:val="003C3E91"/>
    <w:rsid w:val="003C4C73"/>
    <w:rsid w:val="003C4DC5"/>
    <w:rsid w:val="003C589A"/>
    <w:rsid w:val="003C5A59"/>
    <w:rsid w:val="003C5FB3"/>
    <w:rsid w:val="003C60F5"/>
    <w:rsid w:val="003C6944"/>
    <w:rsid w:val="003C6F5A"/>
    <w:rsid w:val="003D1CFE"/>
    <w:rsid w:val="003D253C"/>
    <w:rsid w:val="003D2790"/>
    <w:rsid w:val="003D3786"/>
    <w:rsid w:val="003D4A71"/>
    <w:rsid w:val="003D53C1"/>
    <w:rsid w:val="003D69DA"/>
    <w:rsid w:val="003D6EF6"/>
    <w:rsid w:val="003D7166"/>
    <w:rsid w:val="003D79F3"/>
    <w:rsid w:val="003D7ACA"/>
    <w:rsid w:val="003E0558"/>
    <w:rsid w:val="003E1B52"/>
    <w:rsid w:val="003E29C3"/>
    <w:rsid w:val="003E2A73"/>
    <w:rsid w:val="003E3222"/>
    <w:rsid w:val="003E439B"/>
    <w:rsid w:val="003E4A4B"/>
    <w:rsid w:val="003E52C1"/>
    <w:rsid w:val="003E5A9C"/>
    <w:rsid w:val="003E60B7"/>
    <w:rsid w:val="003E67E0"/>
    <w:rsid w:val="003E6E1C"/>
    <w:rsid w:val="003E6FA1"/>
    <w:rsid w:val="003E7813"/>
    <w:rsid w:val="003F0966"/>
    <w:rsid w:val="003F0C08"/>
    <w:rsid w:val="003F1CD1"/>
    <w:rsid w:val="003F2D77"/>
    <w:rsid w:val="003F4624"/>
    <w:rsid w:val="003F5167"/>
    <w:rsid w:val="003F5246"/>
    <w:rsid w:val="003F52B8"/>
    <w:rsid w:val="003F60E9"/>
    <w:rsid w:val="004002CA"/>
    <w:rsid w:val="00400438"/>
    <w:rsid w:val="0040174A"/>
    <w:rsid w:val="00402282"/>
    <w:rsid w:val="00402E88"/>
    <w:rsid w:val="004031DF"/>
    <w:rsid w:val="00403422"/>
    <w:rsid w:val="0040367E"/>
    <w:rsid w:val="00404D4C"/>
    <w:rsid w:val="00405108"/>
    <w:rsid w:val="0040580D"/>
    <w:rsid w:val="00407A73"/>
    <w:rsid w:val="0041027E"/>
    <w:rsid w:val="004104F9"/>
    <w:rsid w:val="004107A6"/>
    <w:rsid w:val="00410855"/>
    <w:rsid w:val="00411083"/>
    <w:rsid w:val="00412781"/>
    <w:rsid w:val="00412CFE"/>
    <w:rsid w:val="00415129"/>
    <w:rsid w:val="00416AF5"/>
    <w:rsid w:val="00416FA3"/>
    <w:rsid w:val="00417144"/>
    <w:rsid w:val="00417E17"/>
    <w:rsid w:val="00420A39"/>
    <w:rsid w:val="00423918"/>
    <w:rsid w:val="00424AA6"/>
    <w:rsid w:val="00424DE7"/>
    <w:rsid w:val="004250F3"/>
    <w:rsid w:val="0042599D"/>
    <w:rsid w:val="004272E4"/>
    <w:rsid w:val="004322F7"/>
    <w:rsid w:val="0043363B"/>
    <w:rsid w:val="00433664"/>
    <w:rsid w:val="00433E4E"/>
    <w:rsid w:val="004345D8"/>
    <w:rsid w:val="004345F4"/>
    <w:rsid w:val="0043636D"/>
    <w:rsid w:val="0043693F"/>
    <w:rsid w:val="00436AA2"/>
    <w:rsid w:val="00436FBF"/>
    <w:rsid w:val="00437208"/>
    <w:rsid w:val="004400C1"/>
    <w:rsid w:val="004403C3"/>
    <w:rsid w:val="00440869"/>
    <w:rsid w:val="0044098D"/>
    <w:rsid w:val="004414D7"/>
    <w:rsid w:val="004422AC"/>
    <w:rsid w:val="00443A56"/>
    <w:rsid w:val="00445267"/>
    <w:rsid w:val="004455AA"/>
    <w:rsid w:val="0044563C"/>
    <w:rsid w:val="00446222"/>
    <w:rsid w:val="00447781"/>
    <w:rsid w:val="0044798E"/>
    <w:rsid w:val="00451A71"/>
    <w:rsid w:val="004521D3"/>
    <w:rsid w:val="004522F7"/>
    <w:rsid w:val="00452BC0"/>
    <w:rsid w:val="00452BCC"/>
    <w:rsid w:val="00453141"/>
    <w:rsid w:val="00454E9C"/>
    <w:rsid w:val="004553BA"/>
    <w:rsid w:val="004553EA"/>
    <w:rsid w:val="00455A87"/>
    <w:rsid w:val="00455E1E"/>
    <w:rsid w:val="004564D9"/>
    <w:rsid w:val="00456BEE"/>
    <w:rsid w:val="0045784D"/>
    <w:rsid w:val="00460818"/>
    <w:rsid w:val="00460B28"/>
    <w:rsid w:val="00463102"/>
    <w:rsid w:val="004631D3"/>
    <w:rsid w:val="0046348E"/>
    <w:rsid w:val="004636FA"/>
    <w:rsid w:val="00463CD2"/>
    <w:rsid w:val="00463F76"/>
    <w:rsid w:val="004640D2"/>
    <w:rsid w:val="004643AB"/>
    <w:rsid w:val="00464D2E"/>
    <w:rsid w:val="00465C9E"/>
    <w:rsid w:val="00465E78"/>
    <w:rsid w:val="00467072"/>
    <w:rsid w:val="004670DE"/>
    <w:rsid w:val="00470613"/>
    <w:rsid w:val="00471185"/>
    <w:rsid w:val="004717F3"/>
    <w:rsid w:val="00472C65"/>
    <w:rsid w:val="00472ED9"/>
    <w:rsid w:val="00473AEE"/>
    <w:rsid w:val="00473BF7"/>
    <w:rsid w:val="004751D4"/>
    <w:rsid w:val="00475D73"/>
    <w:rsid w:val="004768AB"/>
    <w:rsid w:val="00477109"/>
    <w:rsid w:val="004774EA"/>
    <w:rsid w:val="00477739"/>
    <w:rsid w:val="00477B8A"/>
    <w:rsid w:val="004808AE"/>
    <w:rsid w:val="00480E99"/>
    <w:rsid w:val="00481134"/>
    <w:rsid w:val="00482167"/>
    <w:rsid w:val="00482A81"/>
    <w:rsid w:val="0048349B"/>
    <w:rsid w:val="0048458F"/>
    <w:rsid w:val="00484D5A"/>
    <w:rsid w:val="00484EBA"/>
    <w:rsid w:val="004852CC"/>
    <w:rsid w:val="00486281"/>
    <w:rsid w:val="004873D9"/>
    <w:rsid w:val="00487B42"/>
    <w:rsid w:val="00490CA9"/>
    <w:rsid w:val="00492C7B"/>
    <w:rsid w:val="00493062"/>
    <w:rsid w:val="004934E5"/>
    <w:rsid w:val="004936DC"/>
    <w:rsid w:val="00493FED"/>
    <w:rsid w:val="00494004"/>
    <w:rsid w:val="0049403C"/>
    <w:rsid w:val="00494339"/>
    <w:rsid w:val="00494A5B"/>
    <w:rsid w:val="004951A1"/>
    <w:rsid w:val="00495478"/>
    <w:rsid w:val="00495517"/>
    <w:rsid w:val="00495EB6"/>
    <w:rsid w:val="004964BB"/>
    <w:rsid w:val="0049650C"/>
    <w:rsid w:val="0049676F"/>
    <w:rsid w:val="00496BCC"/>
    <w:rsid w:val="00497B11"/>
    <w:rsid w:val="004A0BF6"/>
    <w:rsid w:val="004A1468"/>
    <w:rsid w:val="004A1918"/>
    <w:rsid w:val="004A3264"/>
    <w:rsid w:val="004A4051"/>
    <w:rsid w:val="004A43DB"/>
    <w:rsid w:val="004A49CC"/>
    <w:rsid w:val="004A4B65"/>
    <w:rsid w:val="004A5570"/>
    <w:rsid w:val="004A5E36"/>
    <w:rsid w:val="004A71D9"/>
    <w:rsid w:val="004A7259"/>
    <w:rsid w:val="004B003E"/>
    <w:rsid w:val="004B108E"/>
    <w:rsid w:val="004B11B0"/>
    <w:rsid w:val="004B1362"/>
    <w:rsid w:val="004B1C7E"/>
    <w:rsid w:val="004B1D5B"/>
    <w:rsid w:val="004B2E48"/>
    <w:rsid w:val="004B5007"/>
    <w:rsid w:val="004B5459"/>
    <w:rsid w:val="004B6B41"/>
    <w:rsid w:val="004B7730"/>
    <w:rsid w:val="004C0819"/>
    <w:rsid w:val="004C1379"/>
    <w:rsid w:val="004C2276"/>
    <w:rsid w:val="004C314C"/>
    <w:rsid w:val="004C42E1"/>
    <w:rsid w:val="004C47E5"/>
    <w:rsid w:val="004C47F1"/>
    <w:rsid w:val="004C4B05"/>
    <w:rsid w:val="004C5003"/>
    <w:rsid w:val="004C5B30"/>
    <w:rsid w:val="004C6D9A"/>
    <w:rsid w:val="004D1F8F"/>
    <w:rsid w:val="004D2050"/>
    <w:rsid w:val="004D3752"/>
    <w:rsid w:val="004D40DD"/>
    <w:rsid w:val="004D5144"/>
    <w:rsid w:val="004D5324"/>
    <w:rsid w:val="004E1A70"/>
    <w:rsid w:val="004E1C48"/>
    <w:rsid w:val="004E22B1"/>
    <w:rsid w:val="004E2A37"/>
    <w:rsid w:val="004E3117"/>
    <w:rsid w:val="004E3715"/>
    <w:rsid w:val="004E3D9D"/>
    <w:rsid w:val="004E3DE7"/>
    <w:rsid w:val="004E3DF7"/>
    <w:rsid w:val="004E4A63"/>
    <w:rsid w:val="004E5292"/>
    <w:rsid w:val="004E5416"/>
    <w:rsid w:val="004E5676"/>
    <w:rsid w:val="004E59C1"/>
    <w:rsid w:val="004E5B17"/>
    <w:rsid w:val="004E6068"/>
    <w:rsid w:val="004E72BB"/>
    <w:rsid w:val="004E7A67"/>
    <w:rsid w:val="004F0129"/>
    <w:rsid w:val="004F1794"/>
    <w:rsid w:val="004F22EA"/>
    <w:rsid w:val="004F2B86"/>
    <w:rsid w:val="004F323B"/>
    <w:rsid w:val="004F4025"/>
    <w:rsid w:val="004F409B"/>
    <w:rsid w:val="004F4270"/>
    <w:rsid w:val="004F56FA"/>
    <w:rsid w:val="004F58D1"/>
    <w:rsid w:val="004F6055"/>
    <w:rsid w:val="004F6FCA"/>
    <w:rsid w:val="004F7106"/>
    <w:rsid w:val="00500725"/>
    <w:rsid w:val="00500CBF"/>
    <w:rsid w:val="00501144"/>
    <w:rsid w:val="00501C6C"/>
    <w:rsid w:val="00501EB1"/>
    <w:rsid w:val="00503972"/>
    <w:rsid w:val="00503E2E"/>
    <w:rsid w:val="005042A5"/>
    <w:rsid w:val="0050437B"/>
    <w:rsid w:val="005051F7"/>
    <w:rsid w:val="005052B7"/>
    <w:rsid w:val="00505A60"/>
    <w:rsid w:val="0050731E"/>
    <w:rsid w:val="0050786E"/>
    <w:rsid w:val="005100D8"/>
    <w:rsid w:val="00510A15"/>
    <w:rsid w:val="00510DA6"/>
    <w:rsid w:val="005113CA"/>
    <w:rsid w:val="005119C9"/>
    <w:rsid w:val="00511B96"/>
    <w:rsid w:val="00512553"/>
    <w:rsid w:val="00513166"/>
    <w:rsid w:val="0051485B"/>
    <w:rsid w:val="00515EAF"/>
    <w:rsid w:val="00516315"/>
    <w:rsid w:val="00516F44"/>
    <w:rsid w:val="005172C6"/>
    <w:rsid w:val="00517EFD"/>
    <w:rsid w:val="005202A6"/>
    <w:rsid w:val="00520D0C"/>
    <w:rsid w:val="0052157E"/>
    <w:rsid w:val="005226C4"/>
    <w:rsid w:val="005227F6"/>
    <w:rsid w:val="00522921"/>
    <w:rsid w:val="00524316"/>
    <w:rsid w:val="00524E00"/>
    <w:rsid w:val="00525CFF"/>
    <w:rsid w:val="00525D02"/>
    <w:rsid w:val="00526389"/>
    <w:rsid w:val="005265E1"/>
    <w:rsid w:val="00526CA9"/>
    <w:rsid w:val="00527549"/>
    <w:rsid w:val="00527754"/>
    <w:rsid w:val="00527D73"/>
    <w:rsid w:val="005302FF"/>
    <w:rsid w:val="005307FB"/>
    <w:rsid w:val="00531572"/>
    <w:rsid w:val="005330EA"/>
    <w:rsid w:val="00533243"/>
    <w:rsid w:val="005333C5"/>
    <w:rsid w:val="005342AC"/>
    <w:rsid w:val="00534D4E"/>
    <w:rsid w:val="0053564A"/>
    <w:rsid w:val="005357DD"/>
    <w:rsid w:val="00535AD4"/>
    <w:rsid w:val="00535E5C"/>
    <w:rsid w:val="00536B6D"/>
    <w:rsid w:val="005371E6"/>
    <w:rsid w:val="00537293"/>
    <w:rsid w:val="0054087C"/>
    <w:rsid w:val="005409ED"/>
    <w:rsid w:val="00540F08"/>
    <w:rsid w:val="00542154"/>
    <w:rsid w:val="0054348C"/>
    <w:rsid w:val="005440FA"/>
    <w:rsid w:val="00544F9F"/>
    <w:rsid w:val="00545028"/>
    <w:rsid w:val="005452F5"/>
    <w:rsid w:val="005469AB"/>
    <w:rsid w:val="00547745"/>
    <w:rsid w:val="00547E5F"/>
    <w:rsid w:val="005505C7"/>
    <w:rsid w:val="0055116D"/>
    <w:rsid w:val="00551D6B"/>
    <w:rsid w:val="00551D86"/>
    <w:rsid w:val="005536D0"/>
    <w:rsid w:val="00553CE4"/>
    <w:rsid w:val="00555ABB"/>
    <w:rsid w:val="00555D98"/>
    <w:rsid w:val="00555ECD"/>
    <w:rsid w:val="005560E6"/>
    <w:rsid w:val="0055646E"/>
    <w:rsid w:val="00556BF0"/>
    <w:rsid w:val="00556FF7"/>
    <w:rsid w:val="0055794C"/>
    <w:rsid w:val="005600D4"/>
    <w:rsid w:val="005611A8"/>
    <w:rsid w:val="00561F05"/>
    <w:rsid w:val="00562462"/>
    <w:rsid w:val="0056255B"/>
    <w:rsid w:val="0056339A"/>
    <w:rsid w:val="00564077"/>
    <w:rsid w:val="005662B7"/>
    <w:rsid w:val="0056692E"/>
    <w:rsid w:val="0056763A"/>
    <w:rsid w:val="00571868"/>
    <w:rsid w:val="005718CC"/>
    <w:rsid w:val="00571FB9"/>
    <w:rsid w:val="00574075"/>
    <w:rsid w:val="005751E0"/>
    <w:rsid w:val="0057535F"/>
    <w:rsid w:val="00577C09"/>
    <w:rsid w:val="00581050"/>
    <w:rsid w:val="0058161A"/>
    <w:rsid w:val="00582A2F"/>
    <w:rsid w:val="00582A73"/>
    <w:rsid w:val="00583529"/>
    <w:rsid w:val="0058359B"/>
    <w:rsid w:val="005836C3"/>
    <w:rsid w:val="005839A5"/>
    <w:rsid w:val="005857AC"/>
    <w:rsid w:val="005868CB"/>
    <w:rsid w:val="00586F9C"/>
    <w:rsid w:val="00587188"/>
    <w:rsid w:val="005873B9"/>
    <w:rsid w:val="00591A58"/>
    <w:rsid w:val="005929B2"/>
    <w:rsid w:val="00593B83"/>
    <w:rsid w:val="00593E9B"/>
    <w:rsid w:val="005945A1"/>
    <w:rsid w:val="00594D6D"/>
    <w:rsid w:val="0059504B"/>
    <w:rsid w:val="00595389"/>
    <w:rsid w:val="00596A48"/>
    <w:rsid w:val="00596A86"/>
    <w:rsid w:val="00596C56"/>
    <w:rsid w:val="00597242"/>
    <w:rsid w:val="005974EA"/>
    <w:rsid w:val="0059768A"/>
    <w:rsid w:val="00597898"/>
    <w:rsid w:val="005978A9"/>
    <w:rsid w:val="005A02C2"/>
    <w:rsid w:val="005A0528"/>
    <w:rsid w:val="005A0E22"/>
    <w:rsid w:val="005A1A67"/>
    <w:rsid w:val="005A1FA9"/>
    <w:rsid w:val="005A2406"/>
    <w:rsid w:val="005A433E"/>
    <w:rsid w:val="005A4A96"/>
    <w:rsid w:val="005A574E"/>
    <w:rsid w:val="005A6371"/>
    <w:rsid w:val="005A7D21"/>
    <w:rsid w:val="005B0220"/>
    <w:rsid w:val="005B04EA"/>
    <w:rsid w:val="005B2959"/>
    <w:rsid w:val="005B4E3F"/>
    <w:rsid w:val="005B5359"/>
    <w:rsid w:val="005B5BE7"/>
    <w:rsid w:val="005B6A21"/>
    <w:rsid w:val="005B7844"/>
    <w:rsid w:val="005B7927"/>
    <w:rsid w:val="005C0C6D"/>
    <w:rsid w:val="005C27FF"/>
    <w:rsid w:val="005C2C04"/>
    <w:rsid w:val="005C2DB2"/>
    <w:rsid w:val="005C342F"/>
    <w:rsid w:val="005C41D9"/>
    <w:rsid w:val="005C4901"/>
    <w:rsid w:val="005C584A"/>
    <w:rsid w:val="005C595C"/>
    <w:rsid w:val="005C6242"/>
    <w:rsid w:val="005C6834"/>
    <w:rsid w:val="005C71E4"/>
    <w:rsid w:val="005C74DD"/>
    <w:rsid w:val="005D0ECC"/>
    <w:rsid w:val="005D0F8C"/>
    <w:rsid w:val="005D16B6"/>
    <w:rsid w:val="005D1BFB"/>
    <w:rsid w:val="005D1CF2"/>
    <w:rsid w:val="005D25B1"/>
    <w:rsid w:val="005D5766"/>
    <w:rsid w:val="005D65C0"/>
    <w:rsid w:val="005D68C4"/>
    <w:rsid w:val="005D7510"/>
    <w:rsid w:val="005D7937"/>
    <w:rsid w:val="005D7C4D"/>
    <w:rsid w:val="005D7E47"/>
    <w:rsid w:val="005E0ADE"/>
    <w:rsid w:val="005E0AE7"/>
    <w:rsid w:val="005E0BA8"/>
    <w:rsid w:val="005E16F8"/>
    <w:rsid w:val="005E1F33"/>
    <w:rsid w:val="005E24F8"/>
    <w:rsid w:val="005E320F"/>
    <w:rsid w:val="005E39AA"/>
    <w:rsid w:val="005E493D"/>
    <w:rsid w:val="005E4AC2"/>
    <w:rsid w:val="005E54C0"/>
    <w:rsid w:val="005E618B"/>
    <w:rsid w:val="005E63CD"/>
    <w:rsid w:val="005E6CDB"/>
    <w:rsid w:val="005E7817"/>
    <w:rsid w:val="005E7B3C"/>
    <w:rsid w:val="005E7DC9"/>
    <w:rsid w:val="005F085B"/>
    <w:rsid w:val="005F1214"/>
    <w:rsid w:val="005F133B"/>
    <w:rsid w:val="005F1EAD"/>
    <w:rsid w:val="005F21C9"/>
    <w:rsid w:val="005F248C"/>
    <w:rsid w:val="005F7D68"/>
    <w:rsid w:val="00600838"/>
    <w:rsid w:val="006012A8"/>
    <w:rsid w:val="00601731"/>
    <w:rsid w:val="006017A2"/>
    <w:rsid w:val="006033DD"/>
    <w:rsid w:val="00603C04"/>
    <w:rsid w:val="0060408E"/>
    <w:rsid w:val="006048D4"/>
    <w:rsid w:val="00604B69"/>
    <w:rsid w:val="0060591A"/>
    <w:rsid w:val="00605E2E"/>
    <w:rsid w:val="0060684F"/>
    <w:rsid w:val="00606F2E"/>
    <w:rsid w:val="006071B9"/>
    <w:rsid w:val="00607750"/>
    <w:rsid w:val="00607C49"/>
    <w:rsid w:val="00607C73"/>
    <w:rsid w:val="006103B6"/>
    <w:rsid w:val="00610710"/>
    <w:rsid w:val="00610D25"/>
    <w:rsid w:val="00610E33"/>
    <w:rsid w:val="00611776"/>
    <w:rsid w:val="006117B3"/>
    <w:rsid w:val="00613604"/>
    <w:rsid w:val="00613D14"/>
    <w:rsid w:val="00615E08"/>
    <w:rsid w:val="006175A1"/>
    <w:rsid w:val="00620375"/>
    <w:rsid w:val="006204CC"/>
    <w:rsid w:val="0062087B"/>
    <w:rsid w:val="0062147F"/>
    <w:rsid w:val="0062238B"/>
    <w:rsid w:val="00623A43"/>
    <w:rsid w:val="006242A5"/>
    <w:rsid w:val="00625120"/>
    <w:rsid w:val="00626624"/>
    <w:rsid w:val="00626F33"/>
    <w:rsid w:val="006274CD"/>
    <w:rsid w:val="00627E4F"/>
    <w:rsid w:val="00630B7E"/>
    <w:rsid w:val="00630D1C"/>
    <w:rsid w:val="006313B6"/>
    <w:rsid w:val="00631591"/>
    <w:rsid w:val="0063239B"/>
    <w:rsid w:val="00632816"/>
    <w:rsid w:val="00633486"/>
    <w:rsid w:val="006334B5"/>
    <w:rsid w:val="00635D18"/>
    <w:rsid w:val="006363A0"/>
    <w:rsid w:val="00637EE1"/>
    <w:rsid w:val="00641583"/>
    <w:rsid w:val="006420C0"/>
    <w:rsid w:val="00645550"/>
    <w:rsid w:val="00645CB5"/>
    <w:rsid w:val="00645FA9"/>
    <w:rsid w:val="00646313"/>
    <w:rsid w:val="00646581"/>
    <w:rsid w:val="006467FF"/>
    <w:rsid w:val="00647CF7"/>
    <w:rsid w:val="00650716"/>
    <w:rsid w:val="006516C1"/>
    <w:rsid w:val="00652846"/>
    <w:rsid w:val="00653A10"/>
    <w:rsid w:val="00654469"/>
    <w:rsid w:val="00654BA0"/>
    <w:rsid w:val="00654C16"/>
    <w:rsid w:val="00656A1C"/>
    <w:rsid w:val="006607E9"/>
    <w:rsid w:val="00660E27"/>
    <w:rsid w:val="00661C35"/>
    <w:rsid w:val="00661CDC"/>
    <w:rsid w:val="00661E72"/>
    <w:rsid w:val="00662412"/>
    <w:rsid w:val="006637FA"/>
    <w:rsid w:val="00663F79"/>
    <w:rsid w:val="006644D2"/>
    <w:rsid w:val="00665970"/>
    <w:rsid w:val="00665BBB"/>
    <w:rsid w:val="00665C60"/>
    <w:rsid w:val="0066623D"/>
    <w:rsid w:val="00666256"/>
    <w:rsid w:val="00670308"/>
    <w:rsid w:val="006708C1"/>
    <w:rsid w:val="00670B64"/>
    <w:rsid w:val="00670DB7"/>
    <w:rsid w:val="00671377"/>
    <w:rsid w:val="00672B97"/>
    <w:rsid w:val="00673BA9"/>
    <w:rsid w:val="006747C6"/>
    <w:rsid w:val="0067577A"/>
    <w:rsid w:val="006760A0"/>
    <w:rsid w:val="00676FE1"/>
    <w:rsid w:val="00677C62"/>
    <w:rsid w:val="0068035D"/>
    <w:rsid w:val="0068053C"/>
    <w:rsid w:val="00680AB4"/>
    <w:rsid w:val="00680C3A"/>
    <w:rsid w:val="00681A3F"/>
    <w:rsid w:val="00683C09"/>
    <w:rsid w:val="00685275"/>
    <w:rsid w:val="00685559"/>
    <w:rsid w:val="006867B5"/>
    <w:rsid w:val="00686F72"/>
    <w:rsid w:val="0068704B"/>
    <w:rsid w:val="0068750B"/>
    <w:rsid w:val="00690399"/>
    <w:rsid w:val="00690DCE"/>
    <w:rsid w:val="00690F6A"/>
    <w:rsid w:val="0069129D"/>
    <w:rsid w:val="006920BF"/>
    <w:rsid w:val="00692CCE"/>
    <w:rsid w:val="00692E2E"/>
    <w:rsid w:val="0069343E"/>
    <w:rsid w:val="006A10D7"/>
    <w:rsid w:val="006A3127"/>
    <w:rsid w:val="006A3455"/>
    <w:rsid w:val="006A47CB"/>
    <w:rsid w:val="006A667A"/>
    <w:rsid w:val="006A7E96"/>
    <w:rsid w:val="006B094E"/>
    <w:rsid w:val="006B1338"/>
    <w:rsid w:val="006B15DC"/>
    <w:rsid w:val="006B284B"/>
    <w:rsid w:val="006B29B1"/>
    <w:rsid w:val="006B381C"/>
    <w:rsid w:val="006B3E2A"/>
    <w:rsid w:val="006B45BF"/>
    <w:rsid w:val="006B59E7"/>
    <w:rsid w:val="006B5ECD"/>
    <w:rsid w:val="006C18E5"/>
    <w:rsid w:val="006C1CAB"/>
    <w:rsid w:val="006C1F25"/>
    <w:rsid w:val="006C30C5"/>
    <w:rsid w:val="006C363C"/>
    <w:rsid w:val="006C52C5"/>
    <w:rsid w:val="006C54C8"/>
    <w:rsid w:val="006C6383"/>
    <w:rsid w:val="006C740D"/>
    <w:rsid w:val="006C78EF"/>
    <w:rsid w:val="006D061B"/>
    <w:rsid w:val="006D0CEA"/>
    <w:rsid w:val="006D13B0"/>
    <w:rsid w:val="006D19A5"/>
    <w:rsid w:val="006D2CCA"/>
    <w:rsid w:val="006D2ED2"/>
    <w:rsid w:val="006D320C"/>
    <w:rsid w:val="006D3ED5"/>
    <w:rsid w:val="006D44FC"/>
    <w:rsid w:val="006D5850"/>
    <w:rsid w:val="006D58E8"/>
    <w:rsid w:val="006D7163"/>
    <w:rsid w:val="006D7743"/>
    <w:rsid w:val="006D7EF6"/>
    <w:rsid w:val="006E01A4"/>
    <w:rsid w:val="006E034B"/>
    <w:rsid w:val="006E0C17"/>
    <w:rsid w:val="006E0F3F"/>
    <w:rsid w:val="006E2156"/>
    <w:rsid w:val="006E2476"/>
    <w:rsid w:val="006E2D43"/>
    <w:rsid w:val="006E320D"/>
    <w:rsid w:val="006E3CCF"/>
    <w:rsid w:val="006E4C95"/>
    <w:rsid w:val="006E5619"/>
    <w:rsid w:val="006E584B"/>
    <w:rsid w:val="006E7288"/>
    <w:rsid w:val="006E7E9D"/>
    <w:rsid w:val="006F03C6"/>
    <w:rsid w:val="006F0EA7"/>
    <w:rsid w:val="006F1AAE"/>
    <w:rsid w:val="006F43CC"/>
    <w:rsid w:val="006F462C"/>
    <w:rsid w:val="006F48AE"/>
    <w:rsid w:val="006F5087"/>
    <w:rsid w:val="006F5C69"/>
    <w:rsid w:val="006F5FF6"/>
    <w:rsid w:val="006F62FE"/>
    <w:rsid w:val="00701E04"/>
    <w:rsid w:val="0070502C"/>
    <w:rsid w:val="007050A1"/>
    <w:rsid w:val="007052A6"/>
    <w:rsid w:val="007056B2"/>
    <w:rsid w:val="00706226"/>
    <w:rsid w:val="007068B7"/>
    <w:rsid w:val="00706968"/>
    <w:rsid w:val="00706FF2"/>
    <w:rsid w:val="007100EA"/>
    <w:rsid w:val="0071117F"/>
    <w:rsid w:val="00711478"/>
    <w:rsid w:val="007114E1"/>
    <w:rsid w:val="007115F5"/>
    <w:rsid w:val="007128A9"/>
    <w:rsid w:val="00713B9C"/>
    <w:rsid w:val="00714B8E"/>
    <w:rsid w:val="00714D4F"/>
    <w:rsid w:val="0071570D"/>
    <w:rsid w:val="007159A4"/>
    <w:rsid w:val="00716DF4"/>
    <w:rsid w:val="00717813"/>
    <w:rsid w:val="007178FF"/>
    <w:rsid w:val="00717AAC"/>
    <w:rsid w:val="007203C5"/>
    <w:rsid w:val="00720940"/>
    <w:rsid w:val="00720C34"/>
    <w:rsid w:val="007215F1"/>
    <w:rsid w:val="0072186B"/>
    <w:rsid w:val="00721B11"/>
    <w:rsid w:val="007222CA"/>
    <w:rsid w:val="00724802"/>
    <w:rsid w:val="00725B12"/>
    <w:rsid w:val="00730DDD"/>
    <w:rsid w:val="00733E7F"/>
    <w:rsid w:val="0073403B"/>
    <w:rsid w:val="00734F7E"/>
    <w:rsid w:val="00735B03"/>
    <w:rsid w:val="00735FE8"/>
    <w:rsid w:val="00736280"/>
    <w:rsid w:val="007362FB"/>
    <w:rsid w:val="00736846"/>
    <w:rsid w:val="007379C6"/>
    <w:rsid w:val="00737F1B"/>
    <w:rsid w:val="00740C2A"/>
    <w:rsid w:val="00742293"/>
    <w:rsid w:val="007435B9"/>
    <w:rsid w:val="007442DF"/>
    <w:rsid w:val="007446A0"/>
    <w:rsid w:val="00746494"/>
    <w:rsid w:val="00746823"/>
    <w:rsid w:val="007474B0"/>
    <w:rsid w:val="00747C8D"/>
    <w:rsid w:val="00747F86"/>
    <w:rsid w:val="00750020"/>
    <w:rsid w:val="00750075"/>
    <w:rsid w:val="00750479"/>
    <w:rsid w:val="0075105A"/>
    <w:rsid w:val="00752410"/>
    <w:rsid w:val="0075298E"/>
    <w:rsid w:val="0075390B"/>
    <w:rsid w:val="0075419A"/>
    <w:rsid w:val="00754AE0"/>
    <w:rsid w:val="0075552A"/>
    <w:rsid w:val="00762354"/>
    <w:rsid w:val="00763782"/>
    <w:rsid w:val="00763B79"/>
    <w:rsid w:val="0076413A"/>
    <w:rsid w:val="007656CA"/>
    <w:rsid w:val="00765AA4"/>
    <w:rsid w:val="007662FA"/>
    <w:rsid w:val="00766F7D"/>
    <w:rsid w:val="00767775"/>
    <w:rsid w:val="00771D11"/>
    <w:rsid w:val="00771F35"/>
    <w:rsid w:val="00772499"/>
    <w:rsid w:val="007730CF"/>
    <w:rsid w:val="007763F8"/>
    <w:rsid w:val="00776AF1"/>
    <w:rsid w:val="00776C3B"/>
    <w:rsid w:val="00777784"/>
    <w:rsid w:val="007801D4"/>
    <w:rsid w:val="00782643"/>
    <w:rsid w:val="00782A7B"/>
    <w:rsid w:val="00782C00"/>
    <w:rsid w:val="00782E88"/>
    <w:rsid w:val="00782EAE"/>
    <w:rsid w:val="007839A1"/>
    <w:rsid w:val="00784A68"/>
    <w:rsid w:val="007861F2"/>
    <w:rsid w:val="00786FA9"/>
    <w:rsid w:val="007872FD"/>
    <w:rsid w:val="007874A2"/>
    <w:rsid w:val="00787FC8"/>
    <w:rsid w:val="00790545"/>
    <w:rsid w:val="0079181C"/>
    <w:rsid w:val="00792087"/>
    <w:rsid w:val="0079221C"/>
    <w:rsid w:val="00793E2E"/>
    <w:rsid w:val="00797D82"/>
    <w:rsid w:val="007A0132"/>
    <w:rsid w:val="007A0C62"/>
    <w:rsid w:val="007A1CE9"/>
    <w:rsid w:val="007A2F77"/>
    <w:rsid w:val="007A3471"/>
    <w:rsid w:val="007A36B9"/>
    <w:rsid w:val="007A3E93"/>
    <w:rsid w:val="007A4B56"/>
    <w:rsid w:val="007A57FD"/>
    <w:rsid w:val="007A5A50"/>
    <w:rsid w:val="007A5E65"/>
    <w:rsid w:val="007A7056"/>
    <w:rsid w:val="007A7B4B"/>
    <w:rsid w:val="007A7E35"/>
    <w:rsid w:val="007B1067"/>
    <w:rsid w:val="007B1173"/>
    <w:rsid w:val="007B1429"/>
    <w:rsid w:val="007B2765"/>
    <w:rsid w:val="007B4202"/>
    <w:rsid w:val="007B4DBA"/>
    <w:rsid w:val="007B5305"/>
    <w:rsid w:val="007B59FD"/>
    <w:rsid w:val="007B5A1D"/>
    <w:rsid w:val="007B5B8E"/>
    <w:rsid w:val="007B5BAC"/>
    <w:rsid w:val="007B6046"/>
    <w:rsid w:val="007B6626"/>
    <w:rsid w:val="007C04E2"/>
    <w:rsid w:val="007C0920"/>
    <w:rsid w:val="007C3455"/>
    <w:rsid w:val="007C471D"/>
    <w:rsid w:val="007C6261"/>
    <w:rsid w:val="007C64F6"/>
    <w:rsid w:val="007C66EE"/>
    <w:rsid w:val="007C7FA4"/>
    <w:rsid w:val="007D032B"/>
    <w:rsid w:val="007D1F29"/>
    <w:rsid w:val="007D2DC2"/>
    <w:rsid w:val="007D3A5C"/>
    <w:rsid w:val="007D4132"/>
    <w:rsid w:val="007D612A"/>
    <w:rsid w:val="007D710C"/>
    <w:rsid w:val="007D7B33"/>
    <w:rsid w:val="007E0CBB"/>
    <w:rsid w:val="007E17CF"/>
    <w:rsid w:val="007E1FFE"/>
    <w:rsid w:val="007E2ACB"/>
    <w:rsid w:val="007E3604"/>
    <w:rsid w:val="007E43EF"/>
    <w:rsid w:val="007E5A7C"/>
    <w:rsid w:val="007E6588"/>
    <w:rsid w:val="007E7C49"/>
    <w:rsid w:val="007F14BC"/>
    <w:rsid w:val="007F22BA"/>
    <w:rsid w:val="007F28C0"/>
    <w:rsid w:val="007F2D02"/>
    <w:rsid w:val="007F3134"/>
    <w:rsid w:val="007F3CCC"/>
    <w:rsid w:val="007F3D85"/>
    <w:rsid w:val="007F501E"/>
    <w:rsid w:val="007F6C95"/>
    <w:rsid w:val="008011CB"/>
    <w:rsid w:val="008014D6"/>
    <w:rsid w:val="00801726"/>
    <w:rsid w:val="008024DD"/>
    <w:rsid w:val="0080447D"/>
    <w:rsid w:val="00804DC6"/>
    <w:rsid w:val="00805741"/>
    <w:rsid w:val="00805F9B"/>
    <w:rsid w:val="00806FF3"/>
    <w:rsid w:val="008072F1"/>
    <w:rsid w:val="00807B5B"/>
    <w:rsid w:val="00807F79"/>
    <w:rsid w:val="00810812"/>
    <w:rsid w:val="00810B85"/>
    <w:rsid w:val="00810F5B"/>
    <w:rsid w:val="00811D02"/>
    <w:rsid w:val="00811D68"/>
    <w:rsid w:val="00811EF0"/>
    <w:rsid w:val="00811F6E"/>
    <w:rsid w:val="0081305B"/>
    <w:rsid w:val="00814B64"/>
    <w:rsid w:val="0081540F"/>
    <w:rsid w:val="00815780"/>
    <w:rsid w:val="00816124"/>
    <w:rsid w:val="0081621A"/>
    <w:rsid w:val="00817199"/>
    <w:rsid w:val="008174F7"/>
    <w:rsid w:val="00817FCB"/>
    <w:rsid w:val="00820FA6"/>
    <w:rsid w:val="00821714"/>
    <w:rsid w:val="00821A19"/>
    <w:rsid w:val="008226F8"/>
    <w:rsid w:val="0082299B"/>
    <w:rsid w:val="00822BB2"/>
    <w:rsid w:val="0082427C"/>
    <w:rsid w:val="00824291"/>
    <w:rsid w:val="00824AE2"/>
    <w:rsid w:val="0082513A"/>
    <w:rsid w:val="0082564A"/>
    <w:rsid w:val="00825797"/>
    <w:rsid w:val="00825BAC"/>
    <w:rsid w:val="00825D37"/>
    <w:rsid w:val="008260FC"/>
    <w:rsid w:val="008266FC"/>
    <w:rsid w:val="008270A6"/>
    <w:rsid w:val="008270EF"/>
    <w:rsid w:val="008276E8"/>
    <w:rsid w:val="008276FC"/>
    <w:rsid w:val="00831A52"/>
    <w:rsid w:val="00831ABF"/>
    <w:rsid w:val="00832E92"/>
    <w:rsid w:val="00832ED8"/>
    <w:rsid w:val="008331F9"/>
    <w:rsid w:val="00833F0A"/>
    <w:rsid w:val="008342AA"/>
    <w:rsid w:val="0083453A"/>
    <w:rsid w:val="0083512C"/>
    <w:rsid w:val="0083549E"/>
    <w:rsid w:val="00837355"/>
    <w:rsid w:val="008373CE"/>
    <w:rsid w:val="008404E6"/>
    <w:rsid w:val="00840CF2"/>
    <w:rsid w:val="00841520"/>
    <w:rsid w:val="008418EE"/>
    <w:rsid w:val="00841E9B"/>
    <w:rsid w:val="008423F7"/>
    <w:rsid w:val="008435C9"/>
    <w:rsid w:val="00843935"/>
    <w:rsid w:val="00843C34"/>
    <w:rsid w:val="00844007"/>
    <w:rsid w:val="00844B71"/>
    <w:rsid w:val="00845427"/>
    <w:rsid w:val="00845B79"/>
    <w:rsid w:val="00845F08"/>
    <w:rsid w:val="008460AE"/>
    <w:rsid w:val="0084646C"/>
    <w:rsid w:val="0084663D"/>
    <w:rsid w:val="00847244"/>
    <w:rsid w:val="008478FB"/>
    <w:rsid w:val="00847EF7"/>
    <w:rsid w:val="00853147"/>
    <w:rsid w:val="00853B2D"/>
    <w:rsid w:val="00854177"/>
    <w:rsid w:val="008548AC"/>
    <w:rsid w:val="008548F4"/>
    <w:rsid w:val="00855245"/>
    <w:rsid w:val="00856187"/>
    <w:rsid w:val="00856871"/>
    <w:rsid w:val="00857270"/>
    <w:rsid w:val="008609EA"/>
    <w:rsid w:val="008621DF"/>
    <w:rsid w:val="00864643"/>
    <w:rsid w:val="0086523C"/>
    <w:rsid w:val="00866276"/>
    <w:rsid w:val="00867E35"/>
    <w:rsid w:val="00870355"/>
    <w:rsid w:val="0087086C"/>
    <w:rsid w:val="00870D64"/>
    <w:rsid w:val="00871AA7"/>
    <w:rsid w:val="00873176"/>
    <w:rsid w:val="008737AD"/>
    <w:rsid w:val="00873FF9"/>
    <w:rsid w:val="00874A29"/>
    <w:rsid w:val="00874F7E"/>
    <w:rsid w:val="00874FAE"/>
    <w:rsid w:val="00875C09"/>
    <w:rsid w:val="00876759"/>
    <w:rsid w:val="00877750"/>
    <w:rsid w:val="00877CD3"/>
    <w:rsid w:val="008808B3"/>
    <w:rsid w:val="00880DE1"/>
    <w:rsid w:val="00881069"/>
    <w:rsid w:val="0088113D"/>
    <w:rsid w:val="00881614"/>
    <w:rsid w:val="008817FC"/>
    <w:rsid w:val="00881F4E"/>
    <w:rsid w:val="00882D85"/>
    <w:rsid w:val="00883060"/>
    <w:rsid w:val="00884163"/>
    <w:rsid w:val="008851E3"/>
    <w:rsid w:val="0088556D"/>
    <w:rsid w:val="00885823"/>
    <w:rsid w:val="00887468"/>
    <w:rsid w:val="00887DB9"/>
    <w:rsid w:val="0089056E"/>
    <w:rsid w:val="008909A1"/>
    <w:rsid w:val="0089157B"/>
    <w:rsid w:val="00891611"/>
    <w:rsid w:val="00891F22"/>
    <w:rsid w:val="00892607"/>
    <w:rsid w:val="008926B7"/>
    <w:rsid w:val="008927C5"/>
    <w:rsid w:val="0089395B"/>
    <w:rsid w:val="00893FC7"/>
    <w:rsid w:val="00894D36"/>
    <w:rsid w:val="00896903"/>
    <w:rsid w:val="00896C92"/>
    <w:rsid w:val="00897361"/>
    <w:rsid w:val="008A0655"/>
    <w:rsid w:val="008A1235"/>
    <w:rsid w:val="008A1A3A"/>
    <w:rsid w:val="008A216A"/>
    <w:rsid w:val="008A311F"/>
    <w:rsid w:val="008A3A7F"/>
    <w:rsid w:val="008A3FA0"/>
    <w:rsid w:val="008A3FDB"/>
    <w:rsid w:val="008A454F"/>
    <w:rsid w:val="008A5B5E"/>
    <w:rsid w:val="008A7BDF"/>
    <w:rsid w:val="008A7D45"/>
    <w:rsid w:val="008B09D6"/>
    <w:rsid w:val="008B14AF"/>
    <w:rsid w:val="008B3422"/>
    <w:rsid w:val="008B358D"/>
    <w:rsid w:val="008B3ED8"/>
    <w:rsid w:val="008B4ABC"/>
    <w:rsid w:val="008B4DE3"/>
    <w:rsid w:val="008C007B"/>
    <w:rsid w:val="008C0606"/>
    <w:rsid w:val="008C0B12"/>
    <w:rsid w:val="008C1D3B"/>
    <w:rsid w:val="008C46CB"/>
    <w:rsid w:val="008C520E"/>
    <w:rsid w:val="008C596A"/>
    <w:rsid w:val="008C6ABB"/>
    <w:rsid w:val="008D0558"/>
    <w:rsid w:val="008D1240"/>
    <w:rsid w:val="008D1801"/>
    <w:rsid w:val="008D20E8"/>
    <w:rsid w:val="008D21CE"/>
    <w:rsid w:val="008D3A63"/>
    <w:rsid w:val="008D6647"/>
    <w:rsid w:val="008D6D8E"/>
    <w:rsid w:val="008D72E4"/>
    <w:rsid w:val="008E01BC"/>
    <w:rsid w:val="008E0458"/>
    <w:rsid w:val="008E04E9"/>
    <w:rsid w:val="008E10E4"/>
    <w:rsid w:val="008E11EB"/>
    <w:rsid w:val="008E15E5"/>
    <w:rsid w:val="008E1729"/>
    <w:rsid w:val="008E1C27"/>
    <w:rsid w:val="008E1E0A"/>
    <w:rsid w:val="008E2BB8"/>
    <w:rsid w:val="008E3F4B"/>
    <w:rsid w:val="008E56FB"/>
    <w:rsid w:val="008E65F8"/>
    <w:rsid w:val="008E67B9"/>
    <w:rsid w:val="008E7537"/>
    <w:rsid w:val="008E7698"/>
    <w:rsid w:val="008E7820"/>
    <w:rsid w:val="008F04A7"/>
    <w:rsid w:val="008F0F26"/>
    <w:rsid w:val="008F121E"/>
    <w:rsid w:val="008F45CD"/>
    <w:rsid w:val="008F5501"/>
    <w:rsid w:val="008F553F"/>
    <w:rsid w:val="008F5DE2"/>
    <w:rsid w:val="008F6007"/>
    <w:rsid w:val="008F618D"/>
    <w:rsid w:val="008F7E1E"/>
    <w:rsid w:val="008F7F9A"/>
    <w:rsid w:val="00901186"/>
    <w:rsid w:val="00901202"/>
    <w:rsid w:val="0090166C"/>
    <w:rsid w:val="009016C0"/>
    <w:rsid w:val="009018BA"/>
    <w:rsid w:val="00901E23"/>
    <w:rsid w:val="00902A46"/>
    <w:rsid w:val="00902B33"/>
    <w:rsid w:val="00903112"/>
    <w:rsid w:val="00903522"/>
    <w:rsid w:val="00903962"/>
    <w:rsid w:val="009039D0"/>
    <w:rsid w:val="00904935"/>
    <w:rsid w:val="00906C91"/>
    <w:rsid w:val="00906FB3"/>
    <w:rsid w:val="0090701B"/>
    <w:rsid w:val="00907044"/>
    <w:rsid w:val="009074BD"/>
    <w:rsid w:val="00910209"/>
    <w:rsid w:val="009103D7"/>
    <w:rsid w:val="00912079"/>
    <w:rsid w:val="00912289"/>
    <w:rsid w:val="009138EC"/>
    <w:rsid w:val="00913C04"/>
    <w:rsid w:val="00914702"/>
    <w:rsid w:val="00916E38"/>
    <w:rsid w:val="00920D69"/>
    <w:rsid w:val="00920ECB"/>
    <w:rsid w:val="009212A1"/>
    <w:rsid w:val="00921C7A"/>
    <w:rsid w:val="00921E67"/>
    <w:rsid w:val="00922A79"/>
    <w:rsid w:val="00924679"/>
    <w:rsid w:val="00924B47"/>
    <w:rsid w:val="00924C1C"/>
    <w:rsid w:val="00924F9A"/>
    <w:rsid w:val="009257B4"/>
    <w:rsid w:val="00926053"/>
    <w:rsid w:val="0092610C"/>
    <w:rsid w:val="0092621F"/>
    <w:rsid w:val="0092739A"/>
    <w:rsid w:val="00927814"/>
    <w:rsid w:val="009279B0"/>
    <w:rsid w:val="0093011C"/>
    <w:rsid w:val="0093079B"/>
    <w:rsid w:val="00930BEB"/>
    <w:rsid w:val="00931132"/>
    <w:rsid w:val="009331C3"/>
    <w:rsid w:val="009333D6"/>
    <w:rsid w:val="00934212"/>
    <w:rsid w:val="009343BE"/>
    <w:rsid w:val="009356CF"/>
    <w:rsid w:val="00936A52"/>
    <w:rsid w:val="00937562"/>
    <w:rsid w:val="009377C0"/>
    <w:rsid w:val="00942A34"/>
    <w:rsid w:val="009439F3"/>
    <w:rsid w:val="00943F71"/>
    <w:rsid w:val="00944498"/>
    <w:rsid w:val="0094491C"/>
    <w:rsid w:val="009450C7"/>
    <w:rsid w:val="00946D32"/>
    <w:rsid w:val="00951D0B"/>
    <w:rsid w:val="00952382"/>
    <w:rsid w:val="00952547"/>
    <w:rsid w:val="00952AF2"/>
    <w:rsid w:val="00952B2E"/>
    <w:rsid w:val="0095540C"/>
    <w:rsid w:val="00956F77"/>
    <w:rsid w:val="00957548"/>
    <w:rsid w:val="009579EB"/>
    <w:rsid w:val="00957EE3"/>
    <w:rsid w:val="009606B5"/>
    <w:rsid w:val="009609A6"/>
    <w:rsid w:val="009609DD"/>
    <w:rsid w:val="00961394"/>
    <w:rsid w:val="0096266D"/>
    <w:rsid w:val="00962D1B"/>
    <w:rsid w:val="00963395"/>
    <w:rsid w:val="00963734"/>
    <w:rsid w:val="00963C7B"/>
    <w:rsid w:val="00964953"/>
    <w:rsid w:val="00965261"/>
    <w:rsid w:val="0096546A"/>
    <w:rsid w:val="00965704"/>
    <w:rsid w:val="00966391"/>
    <w:rsid w:val="00966454"/>
    <w:rsid w:val="009666DC"/>
    <w:rsid w:val="009668DE"/>
    <w:rsid w:val="00966C59"/>
    <w:rsid w:val="009711A6"/>
    <w:rsid w:val="009717D1"/>
    <w:rsid w:val="00972980"/>
    <w:rsid w:val="009750FE"/>
    <w:rsid w:val="009764D6"/>
    <w:rsid w:val="009765A3"/>
    <w:rsid w:val="009765AB"/>
    <w:rsid w:val="00977828"/>
    <w:rsid w:val="00977CF6"/>
    <w:rsid w:val="00981C19"/>
    <w:rsid w:val="00981CCB"/>
    <w:rsid w:val="00983F41"/>
    <w:rsid w:val="00984D75"/>
    <w:rsid w:val="009861D3"/>
    <w:rsid w:val="0098726F"/>
    <w:rsid w:val="0098795B"/>
    <w:rsid w:val="00987CAC"/>
    <w:rsid w:val="0099309F"/>
    <w:rsid w:val="00993241"/>
    <w:rsid w:val="00994613"/>
    <w:rsid w:val="009953E8"/>
    <w:rsid w:val="00995A4B"/>
    <w:rsid w:val="0099645B"/>
    <w:rsid w:val="00996668"/>
    <w:rsid w:val="0099714B"/>
    <w:rsid w:val="009A00AD"/>
    <w:rsid w:val="009A1075"/>
    <w:rsid w:val="009A17C9"/>
    <w:rsid w:val="009A1D65"/>
    <w:rsid w:val="009A264E"/>
    <w:rsid w:val="009A2F12"/>
    <w:rsid w:val="009A3047"/>
    <w:rsid w:val="009A3942"/>
    <w:rsid w:val="009A3AD5"/>
    <w:rsid w:val="009A4D26"/>
    <w:rsid w:val="009A5B65"/>
    <w:rsid w:val="009A72D3"/>
    <w:rsid w:val="009A73EF"/>
    <w:rsid w:val="009A767E"/>
    <w:rsid w:val="009B03D7"/>
    <w:rsid w:val="009B0AA1"/>
    <w:rsid w:val="009B1BED"/>
    <w:rsid w:val="009B1FEB"/>
    <w:rsid w:val="009B3256"/>
    <w:rsid w:val="009B3750"/>
    <w:rsid w:val="009B37F8"/>
    <w:rsid w:val="009B3F3A"/>
    <w:rsid w:val="009B450D"/>
    <w:rsid w:val="009B47C7"/>
    <w:rsid w:val="009B48F6"/>
    <w:rsid w:val="009B4C4E"/>
    <w:rsid w:val="009B5124"/>
    <w:rsid w:val="009B553C"/>
    <w:rsid w:val="009B5A80"/>
    <w:rsid w:val="009B5CE1"/>
    <w:rsid w:val="009B5E66"/>
    <w:rsid w:val="009B6E9D"/>
    <w:rsid w:val="009C15BE"/>
    <w:rsid w:val="009C372E"/>
    <w:rsid w:val="009C3BFA"/>
    <w:rsid w:val="009C3D1B"/>
    <w:rsid w:val="009C4A05"/>
    <w:rsid w:val="009C4A20"/>
    <w:rsid w:val="009C76CA"/>
    <w:rsid w:val="009D09B7"/>
    <w:rsid w:val="009D0F36"/>
    <w:rsid w:val="009D2AC4"/>
    <w:rsid w:val="009D3703"/>
    <w:rsid w:val="009D48BB"/>
    <w:rsid w:val="009D4FF5"/>
    <w:rsid w:val="009D5617"/>
    <w:rsid w:val="009D5A7B"/>
    <w:rsid w:val="009D5BAE"/>
    <w:rsid w:val="009D756E"/>
    <w:rsid w:val="009D7F4E"/>
    <w:rsid w:val="009E049D"/>
    <w:rsid w:val="009E1086"/>
    <w:rsid w:val="009E21CE"/>
    <w:rsid w:val="009E224D"/>
    <w:rsid w:val="009E267A"/>
    <w:rsid w:val="009E35E8"/>
    <w:rsid w:val="009E3980"/>
    <w:rsid w:val="009E454F"/>
    <w:rsid w:val="009E47F8"/>
    <w:rsid w:val="009E55D3"/>
    <w:rsid w:val="009E59C8"/>
    <w:rsid w:val="009E63B2"/>
    <w:rsid w:val="009E6995"/>
    <w:rsid w:val="009E6E63"/>
    <w:rsid w:val="009E7982"/>
    <w:rsid w:val="009F1CD6"/>
    <w:rsid w:val="009F1D84"/>
    <w:rsid w:val="009F2F74"/>
    <w:rsid w:val="009F361D"/>
    <w:rsid w:val="009F5A5E"/>
    <w:rsid w:val="009F7EEF"/>
    <w:rsid w:val="00A0020E"/>
    <w:rsid w:val="00A00693"/>
    <w:rsid w:val="00A011CF"/>
    <w:rsid w:val="00A017D6"/>
    <w:rsid w:val="00A0309D"/>
    <w:rsid w:val="00A03243"/>
    <w:rsid w:val="00A033F2"/>
    <w:rsid w:val="00A05D88"/>
    <w:rsid w:val="00A108EE"/>
    <w:rsid w:val="00A10D9B"/>
    <w:rsid w:val="00A10F26"/>
    <w:rsid w:val="00A11081"/>
    <w:rsid w:val="00A11F13"/>
    <w:rsid w:val="00A12830"/>
    <w:rsid w:val="00A136CE"/>
    <w:rsid w:val="00A13769"/>
    <w:rsid w:val="00A139BE"/>
    <w:rsid w:val="00A13CEA"/>
    <w:rsid w:val="00A1420B"/>
    <w:rsid w:val="00A14271"/>
    <w:rsid w:val="00A14E76"/>
    <w:rsid w:val="00A152D8"/>
    <w:rsid w:val="00A15E98"/>
    <w:rsid w:val="00A1605E"/>
    <w:rsid w:val="00A1670F"/>
    <w:rsid w:val="00A1710E"/>
    <w:rsid w:val="00A1761F"/>
    <w:rsid w:val="00A20EEA"/>
    <w:rsid w:val="00A21146"/>
    <w:rsid w:val="00A21977"/>
    <w:rsid w:val="00A22FA1"/>
    <w:rsid w:val="00A22FF5"/>
    <w:rsid w:val="00A23834"/>
    <w:rsid w:val="00A23C29"/>
    <w:rsid w:val="00A2503C"/>
    <w:rsid w:val="00A25484"/>
    <w:rsid w:val="00A26180"/>
    <w:rsid w:val="00A2662C"/>
    <w:rsid w:val="00A27249"/>
    <w:rsid w:val="00A27599"/>
    <w:rsid w:val="00A27CCC"/>
    <w:rsid w:val="00A315B7"/>
    <w:rsid w:val="00A31699"/>
    <w:rsid w:val="00A31BEE"/>
    <w:rsid w:val="00A32132"/>
    <w:rsid w:val="00A32B0D"/>
    <w:rsid w:val="00A33412"/>
    <w:rsid w:val="00A33E65"/>
    <w:rsid w:val="00A35064"/>
    <w:rsid w:val="00A35AE2"/>
    <w:rsid w:val="00A35DDE"/>
    <w:rsid w:val="00A367CA"/>
    <w:rsid w:val="00A371C9"/>
    <w:rsid w:val="00A37ED2"/>
    <w:rsid w:val="00A41D87"/>
    <w:rsid w:val="00A41DC6"/>
    <w:rsid w:val="00A42684"/>
    <w:rsid w:val="00A42F02"/>
    <w:rsid w:val="00A431C6"/>
    <w:rsid w:val="00A43845"/>
    <w:rsid w:val="00A43CFC"/>
    <w:rsid w:val="00A44544"/>
    <w:rsid w:val="00A44638"/>
    <w:rsid w:val="00A44B58"/>
    <w:rsid w:val="00A50105"/>
    <w:rsid w:val="00A509FC"/>
    <w:rsid w:val="00A50EDC"/>
    <w:rsid w:val="00A5103F"/>
    <w:rsid w:val="00A5104B"/>
    <w:rsid w:val="00A51D41"/>
    <w:rsid w:val="00A5370E"/>
    <w:rsid w:val="00A53997"/>
    <w:rsid w:val="00A53F64"/>
    <w:rsid w:val="00A546BA"/>
    <w:rsid w:val="00A54F05"/>
    <w:rsid w:val="00A56EFA"/>
    <w:rsid w:val="00A6023E"/>
    <w:rsid w:val="00A60D10"/>
    <w:rsid w:val="00A61356"/>
    <w:rsid w:val="00A61B55"/>
    <w:rsid w:val="00A62664"/>
    <w:rsid w:val="00A62CF4"/>
    <w:rsid w:val="00A62DF1"/>
    <w:rsid w:val="00A62F05"/>
    <w:rsid w:val="00A636ED"/>
    <w:rsid w:val="00A63DD7"/>
    <w:rsid w:val="00A67630"/>
    <w:rsid w:val="00A679D6"/>
    <w:rsid w:val="00A67AB9"/>
    <w:rsid w:val="00A7112A"/>
    <w:rsid w:val="00A7125A"/>
    <w:rsid w:val="00A71A81"/>
    <w:rsid w:val="00A71DEE"/>
    <w:rsid w:val="00A72D15"/>
    <w:rsid w:val="00A73B37"/>
    <w:rsid w:val="00A73EB1"/>
    <w:rsid w:val="00A74092"/>
    <w:rsid w:val="00A74E61"/>
    <w:rsid w:val="00A74EFB"/>
    <w:rsid w:val="00A75341"/>
    <w:rsid w:val="00A7710C"/>
    <w:rsid w:val="00A778CC"/>
    <w:rsid w:val="00A779BD"/>
    <w:rsid w:val="00A77C1C"/>
    <w:rsid w:val="00A8077F"/>
    <w:rsid w:val="00A8090A"/>
    <w:rsid w:val="00A80974"/>
    <w:rsid w:val="00A81A1A"/>
    <w:rsid w:val="00A821F9"/>
    <w:rsid w:val="00A82270"/>
    <w:rsid w:val="00A829E4"/>
    <w:rsid w:val="00A837DC"/>
    <w:rsid w:val="00A84890"/>
    <w:rsid w:val="00A85BAF"/>
    <w:rsid w:val="00A85DF6"/>
    <w:rsid w:val="00A860CC"/>
    <w:rsid w:val="00A860F6"/>
    <w:rsid w:val="00A8635A"/>
    <w:rsid w:val="00A864A3"/>
    <w:rsid w:val="00A901A9"/>
    <w:rsid w:val="00A90798"/>
    <w:rsid w:val="00A9121A"/>
    <w:rsid w:val="00A9163E"/>
    <w:rsid w:val="00A917D5"/>
    <w:rsid w:val="00A92158"/>
    <w:rsid w:val="00A9258C"/>
    <w:rsid w:val="00A92A25"/>
    <w:rsid w:val="00A92B8E"/>
    <w:rsid w:val="00A93E70"/>
    <w:rsid w:val="00A958BB"/>
    <w:rsid w:val="00A97543"/>
    <w:rsid w:val="00A97BD9"/>
    <w:rsid w:val="00AA041A"/>
    <w:rsid w:val="00AA0473"/>
    <w:rsid w:val="00AA141F"/>
    <w:rsid w:val="00AA2F23"/>
    <w:rsid w:val="00AA3041"/>
    <w:rsid w:val="00AA3E6C"/>
    <w:rsid w:val="00AA47E5"/>
    <w:rsid w:val="00AA5462"/>
    <w:rsid w:val="00AA6935"/>
    <w:rsid w:val="00AA7B4A"/>
    <w:rsid w:val="00AB0862"/>
    <w:rsid w:val="00AB0971"/>
    <w:rsid w:val="00AB1FD6"/>
    <w:rsid w:val="00AB31C2"/>
    <w:rsid w:val="00AB3876"/>
    <w:rsid w:val="00AB38DC"/>
    <w:rsid w:val="00AB41D3"/>
    <w:rsid w:val="00AB425D"/>
    <w:rsid w:val="00AB4807"/>
    <w:rsid w:val="00AB580B"/>
    <w:rsid w:val="00AB5A7B"/>
    <w:rsid w:val="00AB5D61"/>
    <w:rsid w:val="00AB6110"/>
    <w:rsid w:val="00AB7F94"/>
    <w:rsid w:val="00AC1B5C"/>
    <w:rsid w:val="00AC2163"/>
    <w:rsid w:val="00AC21C3"/>
    <w:rsid w:val="00AC2C8F"/>
    <w:rsid w:val="00AC33D1"/>
    <w:rsid w:val="00AC4578"/>
    <w:rsid w:val="00AC4CA5"/>
    <w:rsid w:val="00AC5DE5"/>
    <w:rsid w:val="00AC69E9"/>
    <w:rsid w:val="00AC6C48"/>
    <w:rsid w:val="00AD07AF"/>
    <w:rsid w:val="00AD0881"/>
    <w:rsid w:val="00AD16EA"/>
    <w:rsid w:val="00AD1BC4"/>
    <w:rsid w:val="00AD3737"/>
    <w:rsid w:val="00AD47B2"/>
    <w:rsid w:val="00AD68D0"/>
    <w:rsid w:val="00AD6EC4"/>
    <w:rsid w:val="00AD7C6B"/>
    <w:rsid w:val="00AE001D"/>
    <w:rsid w:val="00AE065F"/>
    <w:rsid w:val="00AE0AB6"/>
    <w:rsid w:val="00AE0FF4"/>
    <w:rsid w:val="00AE2073"/>
    <w:rsid w:val="00AE2D5C"/>
    <w:rsid w:val="00AE2E0C"/>
    <w:rsid w:val="00AE409C"/>
    <w:rsid w:val="00AE662A"/>
    <w:rsid w:val="00AF00C8"/>
    <w:rsid w:val="00AF09B5"/>
    <w:rsid w:val="00AF0E84"/>
    <w:rsid w:val="00AF15C5"/>
    <w:rsid w:val="00AF254C"/>
    <w:rsid w:val="00AF29CC"/>
    <w:rsid w:val="00AF2F86"/>
    <w:rsid w:val="00AF32A5"/>
    <w:rsid w:val="00AF3583"/>
    <w:rsid w:val="00AF3AA1"/>
    <w:rsid w:val="00AF4603"/>
    <w:rsid w:val="00AF51B5"/>
    <w:rsid w:val="00AF5F70"/>
    <w:rsid w:val="00AF6253"/>
    <w:rsid w:val="00AF7126"/>
    <w:rsid w:val="00AF7B9B"/>
    <w:rsid w:val="00AF7EAA"/>
    <w:rsid w:val="00B005A3"/>
    <w:rsid w:val="00B00FAF"/>
    <w:rsid w:val="00B01998"/>
    <w:rsid w:val="00B023D3"/>
    <w:rsid w:val="00B027E3"/>
    <w:rsid w:val="00B02A12"/>
    <w:rsid w:val="00B02EA8"/>
    <w:rsid w:val="00B0312A"/>
    <w:rsid w:val="00B03851"/>
    <w:rsid w:val="00B04BEA"/>
    <w:rsid w:val="00B057C1"/>
    <w:rsid w:val="00B05AB2"/>
    <w:rsid w:val="00B07658"/>
    <w:rsid w:val="00B07DE3"/>
    <w:rsid w:val="00B1056F"/>
    <w:rsid w:val="00B112C7"/>
    <w:rsid w:val="00B114BE"/>
    <w:rsid w:val="00B11616"/>
    <w:rsid w:val="00B11B8F"/>
    <w:rsid w:val="00B12A32"/>
    <w:rsid w:val="00B133AE"/>
    <w:rsid w:val="00B14DE7"/>
    <w:rsid w:val="00B15192"/>
    <w:rsid w:val="00B15589"/>
    <w:rsid w:val="00B15926"/>
    <w:rsid w:val="00B15A2F"/>
    <w:rsid w:val="00B1645B"/>
    <w:rsid w:val="00B16610"/>
    <w:rsid w:val="00B17105"/>
    <w:rsid w:val="00B172A9"/>
    <w:rsid w:val="00B17437"/>
    <w:rsid w:val="00B174EC"/>
    <w:rsid w:val="00B179FE"/>
    <w:rsid w:val="00B2082F"/>
    <w:rsid w:val="00B20D7B"/>
    <w:rsid w:val="00B21322"/>
    <w:rsid w:val="00B21DAD"/>
    <w:rsid w:val="00B21E4F"/>
    <w:rsid w:val="00B21E83"/>
    <w:rsid w:val="00B22839"/>
    <w:rsid w:val="00B22EAA"/>
    <w:rsid w:val="00B23787"/>
    <w:rsid w:val="00B2434C"/>
    <w:rsid w:val="00B25A27"/>
    <w:rsid w:val="00B262BC"/>
    <w:rsid w:val="00B266A6"/>
    <w:rsid w:val="00B26936"/>
    <w:rsid w:val="00B27083"/>
    <w:rsid w:val="00B2795D"/>
    <w:rsid w:val="00B27D8C"/>
    <w:rsid w:val="00B30C5F"/>
    <w:rsid w:val="00B31446"/>
    <w:rsid w:val="00B3166E"/>
    <w:rsid w:val="00B31B59"/>
    <w:rsid w:val="00B31F00"/>
    <w:rsid w:val="00B31F9A"/>
    <w:rsid w:val="00B3308F"/>
    <w:rsid w:val="00B3356B"/>
    <w:rsid w:val="00B33BD7"/>
    <w:rsid w:val="00B340EB"/>
    <w:rsid w:val="00B34955"/>
    <w:rsid w:val="00B356BE"/>
    <w:rsid w:val="00B37830"/>
    <w:rsid w:val="00B37E92"/>
    <w:rsid w:val="00B40079"/>
    <w:rsid w:val="00B40A12"/>
    <w:rsid w:val="00B40C7E"/>
    <w:rsid w:val="00B40CA1"/>
    <w:rsid w:val="00B41C47"/>
    <w:rsid w:val="00B4244E"/>
    <w:rsid w:val="00B42E68"/>
    <w:rsid w:val="00B43CC3"/>
    <w:rsid w:val="00B43E9B"/>
    <w:rsid w:val="00B44D30"/>
    <w:rsid w:val="00B45CD6"/>
    <w:rsid w:val="00B46BC5"/>
    <w:rsid w:val="00B470C8"/>
    <w:rsid w:val="00B478E5"/>
    <w:rsid w:val="00B47C94"/>
    <w:rsid w:val="00B539A0"/>
    <w:rsid w:val="00B53B0D"/>
    <w:rsid w:val="00B54347"/>
    <w:rsid w:val="00B543DB"/>
    <w:rsid w:val="00B54AAE"/>
    <w:rsid w:val="00B54CC5"/>
    <w:rsid w:val="00B54CCA"/>
    <w:rsid w:val="00B54E87"/>
    <w:rsid w:val="00B5596D"/>
    <w:rsid w:val="00B55B62"/>
    <w:rsid w:val="00B5663C"/>
    <w:rsid w:val="00B572D4"/>
    <w:rsid w:val="00B5743A"/>
    <w:rsid w:val="00B57BB2"/>
    <w:rsid w:val="00B60602"/>
    <w:rsid w:val="00B60887"/>
    <w:rsid w:val="00B611E3"/>
    <w:rsid w:val="00B61C80"/>
    <w:rsid w:val="00B62206"/>
    <w:rsid w:val="00B6336B"/>
    <w:rsid w:val="00B64D7F"/>
    <w:rsid w:val="00B6606C"/>
    <w:rsid w:val="00B66387"/>
    <w:rsid w:val="00B667D9"/>
    <w:rsid w:val="00B66AA6"/>
    <w:rsid w:val="00B678FE"/>
    <w:rsid w:val="00B67AA2"/>
    <w:rsid w:val="00B67ADC"/>
    <w:rsid w:val="00B70205"/>
    <w:rsid w:val="00B71166"/>
    <w:rsid w:val="00B7421B"/>
    <w:rsid w:val="00B7436F"/>
    <w:rsid w:val="00B75001"/>
    <w:rsid w:val="00B761BA"/>
    <w:rsid w:val="00B76A4A"/>
    <w:rsid w:val="00B76E0A"/>
    <w:rsid w:val="00B80421"/>
    <w:rsid w:val="00B80F43"/>
    <w:rsid w:val="00B80FBD"/>
    <w:rsid w:val="00B811C6"/>
    <w:rsid w:val="00B81B73"/>
    <w:rsid w:val="00B81BFE"/>
    <w:rsid w:val="00B8383A"/>
    <w:rsid w:val="00B83BA1"/>
    <w:rsid w:val="00B84028"/>
    <w:rsid w:val="00B84C3B"/>
    <w:rsid w:val="00B85CE0"/>
    <w:rsid w:val="00B8617C"/>
    <w:rsid w:val="00B864B4"/>
    <w:rsid w:val="00B91454"/>
    <w:rsid w:val="00B91E7A"/>
    <w:rsid w:val="00B92690"/>
    <w:rsid w:val="00B92DDC"/>
    <w:rsid w:val="00B92E2C"/>
    <w:rsid w:val="00B92E54"/>
    <w:rsid w:val="00B948C1"/>
    <w:rsid w:val="00B95356"/>
    <w:rsid w:val="00B95673"/>
    <w:rsid w:val="00B958B6"/>
    <w:rsid w:val="00B95C30"/>
    <w:rsid w:val="00B967B0"/>
    <w:rsid w:val="00B96B6C"/>
    <w:rsid w:val="00BA0CD4"/>
    <w:rsid w:val="00BA1455"/>
    <w:rsid w:val="00BA21D5"/>
    <w:rsid w:val="00BA3200"/>
    <w:rsid w:val="00BA4E55"/>
    <w:rsid w:val="00BA52BC"/>
    <w:rsid w:val="00BA5799"/>
    <w:rsid w:val="00BA6E7B"/>
    <w:rsid w:val="00BA7333"/>
    <w:rsid w:val="00BA794F"/>
    <w:rsid w:val="00BB1CA4"/>
    <w:rsid w:val="00BB2752"/>
    <w:rsid w:val="00BB2DAF"/>
    <w:rsid w:val="00BB373D"/>
    <w:rsid w:val="00BB5CB6"/>
    <w:rsid w:val="00BB5E0F"/>
    <w:rsid w:val="00BC04CD"/>
    <w:rsid w:val="00BC2912"/>
    <w:rsid w:val="00BC4D66"/>
    <w:rsid w:val="00BC545F"/>
    <w:rsid w:val="00BC5C98"/>
    <w:rsid w:val="00BC7430"/>
    <w:rsid w:val="00BD0851"/>
    <w:rsid w:val="00BD0D62"/>
    <w:rsid w:val="00BD17DA"/>
    <w:rsid w:val="00BD20C8"/>
    <w:rsid w:val="00BD23CB"/>
    <w:rsid w:val="00BD2663"/>
    <w:rsid w:val="00BD344D"/>
    <w:rsid w:val="00BD3740"/>
    <w:rsid w:val="00BD47DD"/>
    <w:rsid w:val="00BD50BA"/>
    <w:rsid w:val="00BD5748"/>
    <w:rsid w:val="00BD5ED2"/>
    <w:rsid w:val="00BD6D39"/>
    <w:rsid w:val="00BD73C1"/>
    <w:rsid w:val="00BD78EB"/>
    <w:rsid w:val="00BD7FA1"/>
    <w:rsid w:val="00BE02D6"/>
    <w:rsid w:val="00BE0A41"/>
    <w:rsid w:val="00BE1666"/>
    <w:rsid w:val="00BE19F1"/>
    <w:rsid w:val="00BE2283"/>
    <w:rsid w:val="00BE25E1"/>
    <w:rsid w:val="00BE2BD1"/>
    <w:rsid w:val="00BE2DCA"/>
    <w:rsid w:val="00BE435C"/>
    <w:rsid w:val="00BE5133"/>
    <w:rsid w:val="00BE5540"/>
    <w:rsid w:val="00BE5D77"/>
    <w:rsid w:val="00BE5E6D"/>
    <w:rsid w:val="00BE60A6"/>
    <w:rsid w:val="00BE713A"/>
    <w:rsid w:val="00BE7423"/>
    <w:rsid w:val="00BE75C2"/>
    <w:rsid w:val="00BE7A60"/>
    <w:rsid w:val="00BF0718"/>
    <w:rsid w:val="00BF08D7"/>
    <w:rsid w:val="00BF0B1A"/>
    <w:rsid w:val="00BF1B9A"/>
    <w:rsid w:val="00BF229B"/>
    <w:rsid w:val="00BF50C5"/>
    <w:rsid w:val="00BF54D8"/>
    <w:rsid w:val="00BF56FA"/>
    <w:rsid w:val="00BF65CA"/>
    <w:rsid w:val="00BF6C0C"/>
    <w:rsid w:val="00BF78E3"/>
    <w:rsid w:val="00C020A1"/>
    <w:rsid w:val="00C03FE5"/>
    <w:rsid w:val="00C04400"/>
    <w:rsid w:val="00C0591D"/>
    <w:rsid w:val="00C06B5A"/>
    <w:rsid w:val="00C0754A"/>
    <w:rsid w:val="00C07833"/>
    <w:rsid w:val="00C07CF5"/>
    <w:rsid w:val="00C10957"/>
    <w:rsid w:val="00C10C93"/>
    <w:rsid w:val="00C11C0E"/>
    <w:rsid w:val="00C11C39"/>
    <w:rsid w:val="00C11E0B"/>
    <w:rsid w:val="00C127ED"/>
    <w:rsid w:val="00C132C1"/>
    <w:rsid w:val="00C15320"/>
    <w:rsid w:val="00C1620B"/>
    <w:rsid w:val="00C16459"/>
    <w:rsid w:val="00C170EA"/>
    <w:rsid w:val="00C172AB"/>
    <w:rsid w:val="00C1771E"/>
    <w:rsid w:val="00C1789E"/>
    <w:rsid w:val="00C17D35"/>
    <w:rsid w:val="00C20F63"/>
    <w:rsid w:val="00C211F0"/>
    <w:rsid w:val="00C23349"/>
    <w:rsid w:val="00C2368D"/>
    <w:rsid w:val="00C23AF8"/>
    <w:rsid w:val="00C244A0"/>
    <w:rsid w:val="00C248A6"/>
    <w:rsid w:val="00C249E3"/>
    <w:rsid w:val="00C279C5"/>
    <w:rsid w:val="00C27C88"/>
    <w:rsid w:val="00C27E81"/>
    <w:rsid w:val="00C307FA"/>
    <w:rsid w:val="00C309EB"/>
    <w:rsid w:val="00C314CB"/>
    <w:rsid w:val="00C36696"/>
    <w:rsid w:val="00C36B7D"/>
    <w:rsid w:val="00C37736"/>
    <w:rsid w:val="00C37DFC"/>
    <w:rsid w:val="00C405F2"/>
    <w:rsid w:val="00C41051"/>
    <w:rsid w:val="00C41582"/>
    <w:rsid w:val="00C4158D"/>
    <w:rsid w:val="00C42B6E"/>
    <w:rsid w:val="00C42CA8"/>
    <w:rsid w:val="00C437A1"/>
    <w:rsid w:val="00C4473D"/>
    <w:rsid w:val="00C4677A"/>
    <w:rsid w:val="00C469E5"/>
    <w:rsid w:val="00C47245"/>
    <w:rsid w:val="00C47D84"/>
    <w:rsid w:val="00C50891"/>
    <w:rsid w:val="00C52125"/>
    <w:rsid w:val="00C52823"/>
    <w:rsid w:val="00C52D06"/>
    <w:rsid w:val="00C5372A"/>
    <w:rsid w:val="00C538C0"/>
    <w:rsid w:val="00C56444"/>
    <w:rsid w:val="00C565BE"/>
    <w:rsid w:val="00C56976"/>
    <w:rsid w:val="00C579BB"/>
    <w:rsid w:val="00C57C8A"/>
    <w:rsid w:val="00C60C01"/>
    <w:rsid w:val="00C644DE"/>
    <w:rsid w:val="00C6519D"/>
    <w:rsid w:val="00C65B8D"/>
    <w:rsid w:val="00C66328"/>
    <w:rsid w:val="00C6741D"/>
    <w:rsid w:val="00C67588"/>
    <w:rsid w:val="00C67730"/>
    <w:rsid w:val="00C67E49"/>
    <w:rsid w:val="00C7072D"/>
    <w:rsid w:val="00C70CAE"/>
    <w:rsid w:val="00C71586"/>
    <w:rsid w:val="00C719A6"/>
    <w:rsid w:val="00C71D03"/>
    <w:rsid w:val="00C71D92"/>
    <w:rsid w:val="00C72131"/>
    <w:rsid w:val="00C724FD"/>
    <w:rsid w:val="00C74E65"/>
    <w:rsid w:val="00C751B9"/>
    <w:rsid w:val="00C75243"/>
    <w:rsid w:val="00C753E1"/>
    <w:rsid w:val="00C75C3E"/>
    <w:rsid w:val="00C76EC7"/>
    <w:rsid w:val="00C7702F"/>
    <w:rsid w:val="00C7768F"/>
    <w:rsid w:val="00C80270"/>
    <w:rsid w:val="00C80A0B"/>
    <w:rsid w:val="00C80B0E"/>
    <w:rsid w:val="00C81417"/>
    <w:rsid w:val="00C82CDE"/>
    <w:rsid w:val="00C82DA9"/>
    <w:rsid w:val="00C82F80"/>
    <w:rsid w:val="00C82FCD"/>
    <w:rsid w:val="00C839D9"/>
    <w:rsid w:val="00C842E5"/>
    <w:rsid w:val="00C85064"/>
    <w:rsid w:val="00C868AF"/>
    <w:rsid w:val="00C86B71"/>
    <w:rsid w:val="00C87188"/>
    <w:rsid w:val="00C8775F"/>
    <w:rsid w:val="00C877BD"/>
    <w:rsid w:val="00C87B30"/>
    <w:rsid w:val="00C91B26"/>
    <w:rsid w:val="00C91FA4"/>
    <w:rsid w:val="00C93634"/>
    <w:rsid w:val="00C9489E"/>
    <w:rsid w:val="00C948AC"/>
    <w:rsid w:val="00C95DF4"/>
    <w:rsid w:val="00C95E21"/>
    <w:rsid w:val="00C970E9"/>
    <w:rsid w:val="00C977EC"/>
    <w:rsid w:val="00CA13D4"/>
    <w:rsid w:val="00CA240C"/>
    <w:rsid w:val="00CA2AA3"/>
    <w:rsid w:val="00CA3005"/>
    <w:rsid w:val="00CA4794"/>
    <w:rsid w:val="00CA483B"/>
    <w:rsid w:val="00CA4B3F"/>
    <w:rsid w:val="00CA4CD4"/>
    <w:rsid w:val="00CA4E49"/>
    <w:rsid w:val="00CA51A2"/>
    <w:rsid w:val="00CA5D33"/>
    <w:rsid w:val="00CA6B5F"/>
    <w:rsid w:val="00CA71A3"/>
    <w:rsid w:val="00CA79D3"/>
    <w:rsid w:val="00CB03B3"/>
    <w:rsid w:val="00CB11A7"/>
    <w:rsid w:val="00CB1F8C"/>
    <w:rsid w:val="00CB224B"/>
    <w:rsid w:val="00CB24D7"/>
    <w:rsid w:val="00CB2DCE"/>
    <w:rsid w:val="00CB3DDE"/>
    <w:rsid w:val="00CB4096"/>
    <w:rsid w:val="00CB43C6"/>
    <w:rsid w:val="00CB5D9C"/>
    <w:rsid w:val="00CB6438"/>
    <w:rsid w:val="00CB73C7"/>
    <w:rsid w:val="00CB7586"/>
    <w:rsid w:val="00CB7789"/>
    <w:rsid w:val="00CB7CD4"/>
    <w:rsid w:val="00CC01A2"/>
    <w:rsid w:val="00CC0E88"/>
    <w:rsid w:val="00CC12A1"/>
    <w:rsid w:val="00CC1DA1"/>
    <w:rsid w:val="00CC23CC"/>
    <w:rsid w:val="00CC256B"/>
    <w:rsid w:val="00CC45F5"/>
    <w:rsid w:val="00CC4909"/>
    <w:rsid w:val="00CC4D4D"/>
    <w:rsid w:val="00CC5534"/>
    <w:rsid w:val="00CC5EF3"/>
    <w:rsid w:val="00CC6836"/>
    <w:rsid w:val="00CC6F6A"/>
    <w:rsid w:val="00CC72BD"/>
    <w:rsid w:val="00CD0946"/>
    <w:rsid w:val="00CD1E4F"/>
    <w:rsid w:val="00CD25B7"/>
    <w:rsid w:val="00CD3300"/>
    <w:rsid w:val="00CD5088"/>
    <w:rsid w:val="00CD534C"/>
    <w:rsid w:val="00CD5413"/>
    <w:rsid w:val="00CD58D2"/>
    <w:rsid w:val="00CD6D6E"/>
    <w:rsid w:val="00CE161C"/>
    <w:rsid w:val="00CE2544"/>
    <w:rsid w:val="00CE2F37"/>
    <w:rsid w:val="00CE3483"/>
    <w:rsid w:val="00CE3A90"/>
    <w:rsid w:val="00CE3CB7"/>
    <w:rsid w:val="00CE4835"/>
    <w:rsid w:val="00CE48D0"/>
    <w:rsid w:val="00CE4F1C"/>
    <w:rsid w:val="00CE56B5"/>
    <w:rsid w:val="00CE5948"/>
    <w:rsid w:val="00CE5A6D"/>
    <w:rsid w:val="00CE7040"/>
    <w:rsid w:val="00CE7B85"/>
    <w:rsid w:val="00CE7CD1"/>
    <w:rsid w:val="00CF1328"/>
    <w:rsid w:val="00CF14F9"/>
    <w:rsid w:val="00CF2677"/>
    <w:rsid w:val="00CF42AB"/>
    <w:rsid w:val="00CF481F"/>
    <w:rsid w:val="00CF5D98"/>
    <w:rsid w:val="00CF62BD"/>
    <w:rsid w:val="00CF67E8"/>
    <w:rsid w:val="00CF747F"/>
    <w:rsid w:val="00CF7B20"/>
    <w:rsid w:val="00D00140"/>
    <w:rsid w:val="00D00238"/>
    <w:rsid w:val="00D0176E"/>
    <w:rsid w:val="00D0226C"/>
    <w:rsid w:val="00D035E2"/>
    <w:rsid w:val="00D03DA8"/>
    <w:rsid w:val="00D03E10"/>
    <w:rsid w:val="00D040ED"/>
    <w:rsid w:val="00D04786"/>
    <w:rsid w:val="00D06734"/>
    <w:rsid w:val="00D06FD1"/>
    <w:rsid w:val="00D07443"/>
    <w:rsid w:val="00D075C7"/>
    <w:rsid w:val="00D0795C"/>
    <w:rsid w:val="00D07F46"/>
    <w:rsid w:val="00D11156"/>
    <w:rsid w:val="00D14874"/>
    <w:rsid w:val="00D15417"/>
    <w:rsid w:val="00D15C6F"/>
    <w:rsid w:val="00D1659E"/>
    <w:rsid w:val="00D16F22"/>
    <w:rsid w:val="00D17813"/>
    <w:rsid w:val="00D1795B"/>
    <w:rsid w:val="00D17AC8"/>
    <w:rsid w:val="00D220BF"/>
    <w:rsid w:val="00D225E9"/>
    <w:rsid w:val="00D26405"/>
    <w:rsid w:val="00D26541"/>
    <w:rsid w:val="00D26E0B"/>
    <w:rsid w:val="00D27F08"/>
    <w:rsid w:val="00D30002"/>
    <w:rsid w:val="00D311FF"/>
    <w:rsid w:val="00D3187B"/>
    <w:rsid w:val="00D31C63"/>
    <w:rsid w:val="00D31E31"/>
    <w:rsid w:val="00D32642"/>
    <w:rsid w:val="00D32EC0"/>
    <w:rsid w:val="00D334BB"/>
    <w:rsid w:val="00D346EE"/>
    <w:rsid w:val="00D34B93"/>
    <w:rsid w:val="00D351E3"/>
    <w:rsid w:val="00D352BA"/>
    <w:rsid w:val="00D35DB7"/>
    <w:rsid w:val="00D37627"/>
    <w:rsid w:val="00D4017D"/>
    <w:rsid w:val="00D40A05"/>
    <w:rsid w:val="00D41634"/>
    <w:rsid w:val="00D428B7"/>
    <w:rsid w:val="00D43184"/>
    <w:rsid w:val="00D434E7"/>
    <w:rsid w:val="00D447A3"/>
    <w:rsid w:val="00D44A1A"/>
    <w:rsid w:val="00D44B29"/>
    <w:rsid w:val="00D463A8"/>
    <w:rsid w:val="00D46690"/>
    <w:rsid w:val="00D47D70"/>
    <w:rsid w:val="00D52057"/>
    <w:rsid w:val="00D53C84"/>
    <w:rsid w:val="00D54536"/>
    <w:rsid w:val="00D5454F"/>
    <w:rsid w:val="00D5541D"/>
    <w:rsid w:val="00D55DA7"/>
    <w:rsid w:val="00D5650D"/>
    <w:rsid w:val="00D5660E"/>
    <w:rsid w:val="00D56B6C"/>
    <w:rsid w:val="00D61283"/>
    <w:rsid w:val="00D61A7B"/>
    <w:rsid w:val="00D63DAF"/>
    <w:rsid w:val="00D63E78"/>
    <w:rsid w:val="00D63ED8"/>
    <w:rsid w:val="00D653D5"/>
    <w:rsid w:val="00D65725"/>
    <w:rsid w:val="00D661F4"/>
    <w:rsid w:val="00D6680B"/>
    <w:rsid w:val="00D66E3C"/>
    <w:rsid w:val="00D678EF"/>
    <w:rsid w:val="00D709E7"/>
    <w:rsid w:val="00D71BEE"/>
    <w:rsid w:val="00D7244E"/>
    <w:rsid w:val="00D724B5"/>
    <w:rsid w:val="00D740AF"/>
    <w:rsid w:val="00D74DC2"/>
    <w:rsid w:val="00D75192"/>
    <w:rsid w:val="00D7523B"/>
    <w:rsid w:val="00D754EC"/>
    <w:rsid w:val="00D75626"/>
    <w:rsid w:val="00D757F3"/>
    <w:rsid w:val="00D7588D"/>
    <w:rsid w:val="00D764DA"/>
    <w:rsid w:val="00D77327"/>
    <w:rsid w:val="00D7778A"/>
    <w:rsid w:val="00D806C5"/>
    <w:rsid w:val="00D810FB"/>
    <w:rsid w:val="00D81378"/>
    <w:rsid w:val="00D81AC7"/>
    <w:rsid w:val="00D838B3"/>
    <w:rsid w:val="00D83902"/>
    <w:rsid w:val="00D83D4D"/>
    <w:rsid w:val="00D83E49"/>
    <w:rsid w:val="00D85350"/>
    <w:rsid w:val="00D85832"/>
    <w:rsid w:val="00D877C3"/>
    <w:rsid w:val="00D878BD"/>
    <w:rsid w:val="00D90792"/>
    <w:rsid w:val="00D907B1"/>
    <w:rsid w:val="00D90963"/>
    <w:rsid w:val="00D912A1"/>
    <w:rsid w:val="00D91312"/>
    <w:rsid w:val="00D92DB2"/>
    <w:rsid w:val="00D94E46"/>
    <w:rsid w:val="00D94E6B"/>
    <w:rsid w:val="00D957AD"/>
    <w:rsid w:val="00D9590F"/>
    <w:rsid w:val="00D95D6F"/>
    <w:rsid w:val="00D95DF4"/>
    <w:rsid w:val="00D961C5"/>
    <w:rsid w:val="00D97484"/>
    <w:rsid w:val="00D97AB3"/>
    <w:rsid w:val="00D97DF9"/>
    <w:rsid w:val="00DA1393"/>
    <w:rsid w:val="00DA1B89"/>
    <w:rsid w:val="00DA2C35"/>
    <w:rsid w:val="00DA49D6"/>
    <w:rsid w:val="00DA5759"/>
    <w:rsid w:val="00DA6422"/>
    <w:rsid w:val="00DA6693"/>
    <w:rsid w:val="00DB16FB"/>
    <w:rsid w:val="00DB1DF0"/>
    <w:rsid w:val="00DB2787"/>
    <w:rsid w:val="00DB34A3"/>
    <w:rsid w:val="00DB3A7D"/>
    <w:rsid w:val="00DB3BA6"/>
    <w:rsid w:val="00DB3C26"/>
    <w:rsid w:val="00DB58BD"/>
    <w:rsid w:val="00DB5D05"/>
    <w:rsid w:val="00DB65C7"/>
    <w:rsid w:val="00DB6B47"/>
    <w:rsid w:val="00DB6C22"/>
    <w:rsid w:val="00DC0AC8"/>
    <w:rsid w:val="00DC0AD9"/>
    <w:rsid w:val="00DC308C"/>
    <w:rsid w:val="00DC494E"/>
    <w:rsid w:val="00DC5906"/>
    <w:rsid w:val="00DC5A32"/>
    <w:rsid w:val="00DC64FF"/>
    <w:rsid w:val="00DC79CB"/>
    <w:rsid w:val="00DD1B66"/>
    <w:rsid w:val="00DD1E2C"/>
    <w:rsid w:val="00DD1FD5"/>
    <w:rsid w:val="00DD2166"/>
    <w:rsid w:val="00DD349E"/>
    <w:rsid w:val="00DD3963"/>
    <w:rsid w:val="00DD4A3B"/>
    <w:rsid w:val="00DD5751"/>
    <w:rsid w:val="00DD606A"/>
    <w:rsid w:val="00DD6B09"/>
    <w:rsid w:val="00DD74BD"/>
    <w:rsid w:val="00DE08DB"/>
    <w:rsid w:val="00DE1ABD"/>
    <w:rsid w:val="00DE1C3D"/>
    <w:rsid w:val="00DE2A9F"/>
    <w:rsid w:val="00DE3486"/>
    <w:rsid w:val="00DE4FF6"/>
    <w:rsid w:val="00DE7ED7"/>
    <w:rsid w:val="00DF036C"/>
    <w:rsid w:val="00DF1D40"/>
    <w:rsid w:val="00DF2CF0"/>
    <w:rsid w:val="00DF310E"/>
    <w:rsid w:val="00DF42CB"/>
    <w:rsid w:val="00DF51C7"/>
    <w:rsid w:val="00DF6290"/>
    <w:rsid w:val="00DF67F9"/>
    <w:rsid w:val="00DF6D69"/>
    <w:rsid w:val="00DF6DA8"/>
    <w:rsid w:val="00DF6DC0"/>
    <w:rsid w:val="00DF7C79"/>
    <w:rsid w:val="00E004CF"/>
    <w:rsid w:val="00E0350F"/>
    <w:rsid w:val="00E03C6E"/>
    <w:rsid w:val="00E04FCD"/>
    <w:rsid w:val="00E05C2F"/>
    <w:rsid w:val="00E06D08"/>
    <w:rsid w:val="00E07747"/>
    <w:rsid w:val="00E07887"/>
    <w:rsid w:val="00E07E14"/>
    <w:rsid w:val="00E105D6"/>
    <w:rsid w:val="00E1067A"/>
    <w:rsid w:val="00E116BC"/>
    <w:rsid w:val="00E119D7"/>
    <w:rsid w:val="00E11FF1"/>
    <w:rsid w:val="00E121F6"/>
    <w:rsid w:val="00E145AF"/>
    <w:rsid w:val="00E1471A"/>
    <w:rsid w:val="00E15747"/>
    <w:rsid w:val="00E15EC0"/>
    <w:rsid w:val="00E1647A"/>
    <w:rsid w:val="00E16F5B"/>
    <w:rsid w:val="00E20AA6"/>
    <w:rsid w:val="00E228BC"/>
    <w:rsid w:val="00E23531"/>
    <w:rsid w:val="00E23D86"/>
    <w:rsid w:val="00E240DE"/>
    <w:rsid w:val="00E24332"/>
    <w:rsid w:val="00E24D77"/>
    <w:rsid w:val="00E24E7E"/>
    <w:rsid w:val="00E24FB3"/>
    <w:rsid w:val="00E2551B"/>
    <w:rsid w:val="00E2619E"/>
    <w:rsid w:val="00E26696"/>
    <w:rsid w:val="00E26AD0"/>
    <w:rsid w:val="00E270F6"/>
    <w:rsid w:val="00E3016E"/>
    <w:rsid w:val="00E306B7"/>
    <w:rsid w:val="00E30992"/>
    <w:rsid w:val="00E30D8C"/>
    <w:rsid w:val="00E31CA9"/>
    <w:rsid w:val="00E3542B"/>
    <w:rsid w:val="00E35E2F"/>
    <w:rsid w:val="00E362C3"/>
    <w:rsid w:val="00E365C9"/>
    <w:rsid w:val="00E36C9B"/>
    <w:rsid w:val="00E40B12"/>
    <w:rsid w:val="00E40CF3"/>
    <w:rsid w:val="00E423C7"/>
    <w:rsid w:val="00E429C4"/>
    <w:rsid w:val="00E42DE9"/>
    <w:rsid w:val="00E44B8B"/>
    <w:rsid w:val="00E4510B"/>
    <w:rsid w:val="00E45C50"/>
    <w:rsid w:val="00E45EF3"/>
    <w:rsid w:val="00E46D24"/>
    <w:rsid w:val="00E474DC"/>
    <w:rsid w:val="00E47958"/>
    <w:rsid w:val="00E47D85"/>
    <w:rsid w:val="00E50BE3"/>
    <w:rsid w:val="00E5114A"/>
    <w:rsid w:val="00E51296"/>
    <w:rsid w:val="00E5196E"/>
    <w:rsid w:val="00E52F9A"/>
    <w:rsid w:val="00E542B4"/>
    <w:rsid w:val="00E543C1"/>
    <w:rsid w:val="00E56745"/>
    <w:rsid w:val="00E57836"/>
    <w:rsid w:val="00E57F8A"/>
    <w:rsid w:val="00E60057"/>
    <w:rsid w:val="00E616B5"/>
    <w:rsid w:val="00E61B45"/>
    <w:rsid w:val="00E6333C"/>
    <w:rsid w:val="00E63C31"/>
    <w:rsid w:val="00E64A66"/>
    <w:rsid w:val="00E66130"/>
    <w:rsid w:val="00E667A6"/>
    <w:rsid w:val="00E7007E"/>
    <w:rsid w:val="00E72072"/>
    <w:rsid w:val="00E72C3E"/>
    <w:rsid w:val="00E73199"/>
    <w:rsid w:val="00E73388"/>
    <w:rsid w:val="00E737F6"/>
    <w:rsid w:val="00E739EF"/>
    <w:rsid w:val="00E75605"/>
    <w:rsid w:val="00E75A56"/>
    <w:rsid w:val="00E76B77"/>
    <w:rsid w:val="00E7714A"/>
    <w:rsid w:val="00E77723"/>
    <w:rsid w:val="00E778AE"/>
    <w:rsid w:val="00E8069C"/>
    <w:rsid w:val="00E80CF8"/>
    <w:rsid w:val="00E812F6"/>
    <w:rsid w:val="00E8170D"/>
    <w:rsid w:val="00E820FB"/>
    <w:rsid w:val="00E82B2E"/>
    <w:rsid w:val="00E830F9"/>
    <w:rsid w:val="00E851D7"/>
    <w:rsid w:val="00E861F0"/>
    <w:rsid w:val="00E869B9"/>
    <w:rsid w:val="00E86A81"/>
    <w:rsid w:val="00E86E26"/>
    <w:rsid w:val="00E87471"/>
    <w:rsid w:val="00E874AF"/>
    <w:rsid w:val="00E902A8"/>
    <w:rsid w:val="00E917E9"/>
    <w:rsid w:val="00E91E8D"/>
    <w:rsid w:val="00E9229C"/>
    <w:rsid w:val="00E9383D"/>
    <w:rsid w:val="00E938B6"/>
    <w:rsid w:val="00E93B79"/>
    <w:rsid w:val="00E947F8"/>
    <w:rsid w:val="00E94A61"/>
    <w:rsid w:val="00E94AF3"/>
    <w:rsid w:val="00E94E7D"/>
    <w:rsid w:val="00E9550A"/>
    <w:rsid w:val="00E9614F"/>
    <w:rsid w:val="00E96AEB"/>
    <w:rsid w:val="00E97092"/>
    <w:rsid w:val="00E9730E"/>
    <w:rsid w:val="00E97BEC"/>
    <w:rsid w:val="00EA08D0"/>
    <w:rsid w:val="00EA0D24"/>
    <w:rsid w:val="00EA1501"/>
    <w:rsid w:val="00EA34A4"/>
    <w:rsid w:val="00EA39CF"/>
    <w:rsid w:val="00EA43A1"/>
    <w:rsid w:val="00EA4FB6"/>
    <w:rsid w:val="00EA517D"/>
    <w:rsid w:val="00EA6382"/>
    <w:rsid w:val="00EA63AD"/>
    <w:rsid w:val="00EA6FF3"/>
    <w:rsid w:val="00EA7403"/>
    <w:rsid w:val="00EB14E6"/>
    <w:rsid w:val="00EB1A1A"/>
    <w:rsid w:val="00EB55E5"/>
    <w:rsid w:val="00EB5C64"/>
    <w:rsid w:val="00EC11E2"/>
    <w:rsid w:val="00EC261A"/>
    <w:rsid w:val="00EC26BB"/>
    <w:rsid w:val="00EC28F2"/>
    <w:rsid w:val="00EC2982"/>
    <w:rsid w:val="00EC2D3D"/>
    <w:rsid w:val="00EC4D36"/>
    <w:rsid w:val="00EC5AC4"/>
    <w:rsid w:val="00EC65FB"/>
    <w:rsid w:val="00EC6942"/>
    <w:rsid w:val="00EC6C7C"/>
    <w:rsid w:val="00EC7822"/>
    <w:rsid w:val="00EC7B80"/>
    <w:rsid w:val="00ED3AEF"/>
    <w:rsid w:val="00ED4317"/>
    <w:rsid w:val="00ED4378"/>
    <w:rsid w:val="00ED49A2"/>
    <w:rsid w:val="00ED5193"/>
    <w:rsid w:val="00ED5394"/>
    <w:rsid w:val="00ED571F"/>
    <w:rsid w:val="00ED65D3"/>
    <w:rsid w:val="00ED696D"/>
    <w:rsid w:val="00ED71C3"/>
    <w:rsid w:val="00ED7275"/>
    <w:rsid w:val="00EE0B9B"/>
    <w:rsid w:val="00EE185F"/>
    <w:rsid w:val="00EE187D"/>
    <w:rsid w:val="00EE2B84"/>
    <w:rsid w:val="00EE3EC2"/>
    <w:rsid w:val="00EE4857"/>
    <w:rsid w:val="00EF02A7"/>
    <w:rsid w:val="00EF0505"/>
    <w:rsid w:val="00EF22C6"/>
    <w:rsid w:val="00EF2443"/>
    <w:rsid w:val="00EF249E"/>
    <w:rsid w:val="00EF3B1E"/>
    <w:rsid w:val="00EF49C8"/>
    <w:rsid w:val="00EF4B53"/>
    <w:rsid w:val="00EF4E6C"/>
    <w:rsid w:val="00EF5055"/>
    <w:rsid w:val="00EF531F"/>
    <w:rsid w:val="00EF6B17"/>
    <w:rsid w:val="00F015E8"/>
    <w:rsid w:val="00F039C4"/>
    <w:rsid w:val="00F051E7"/>
    <w:rsid w:val="00F0524C"/>
    <w:rsid w:val="00F06E95"/>
    <w:rsid w:val="00F07369"/>
    <w:rsid w:val="00F078BE"/>
    <w:rsid w:val="00F07ADB"/>
    <w:rsid w:val="00F10361"/>
    <w:rsid w:val="00F10723"/>
    <w:rsid w:val="00F10FB7"/>
    <w:rsid w:val="00F118ED"/>
    <w:rsid w:val="00F1224B"/>
    <w:rsid w:val="00F124EF"/>
    <w:rsid w:val="00F14B51"/>
    <w:rsid w:val="00F15291"/>
    <w:rsid w:val="00F16F31"/>
    <w:rsid w:val="00F1715B"/>
    <w:rsid w:val="00F174AE"/>
    <w:rsid w:val="00F20952"/>
    <w:rsid w:val="00F21132"/>
    <w:rsid w:val="00F22446"/>
    <w:rsid w:val="00F22717"/>
    <w:rsid w:val="00F23BED"/>
    <w:rsid w:val="00F23D4A"/>
    <w:rsid w:val="00F25A5E"/>
    <w:rsid w:val="00F2647B"/>
    <w:rsid w:val="00F27D00"/>
    <w:rsid w:val="00F27FD1"/>
    <w:rsid w:val="00F301D4"/>
    <w:rsid w:val="00F30488"/>
    <w:rsid w:val="00F305D2"/>
    <w:rsid w:val="00F30F1B"/>
    <w:rsid w:val="00F33738"/>
    <w:rsid w:val="00F3630C"/>
    <w:rsid w:val="00F375B6"/>
    <w:rsid w:val="00F37BBA"/>
    <w:rsid w:val="00F402BA"/>
    <w:rsid w:val="00F42157"/>
    <w:rsid w:val="00F43135"/>
    <w:rsid w:val="00F44383"/>
    <w:rsid w:val="00F443D0"/>
    <w:rsid w:val="00F462F1"/>
    <w:rsid w:val="00F46FBA"/>
    <w:rsid w:val="00F47B41"/>
    <w:rsid w:val="00F47BAA"/>
    <w:rsid w:val="00F50120"/>
    <w:rsid w:val="00F52D29"/>
    <w:rsid w:val="00F539E3"/>
    <w:rsid w:val="00F5461F"/>
    <w:rsid w:val="00F546FD"/>
    <w:rsid w:val="00F54C4E"/>
    <w:rsid w:val="00F551E9"/>
    <w:rsid w:val="00F55DD1"/>
    <w:rsid w:val="00F55DE6"/>
    <w:rsid w:val="00F56B54"/>
    <w:rsid w:val="00F56F58"/>
    <w:rsid w:val="00F57F32"/>
    <w:rsid w:val="00F602BF"/>
    <w:rsid w:val="00F610EA"/>
    <w:rsid w:val="00F61987"/>
    <w:rsid w:val="00F63800"/>
    <w:rsid w:val="00F63D1D"/>
    <w:rsid w:val="00F64A47"/>
    <w:rsid w:val="00F658E6"/>
    <w:rsid w:val="00F700E6"/>
    <w:rsid w:val="00F70525"/>
    <w:rsid w:val="00F7061E"/>
    <w:rsid w:val="00F706D1"/>
    <w:rsid w:val="00F70CE0"/>
    <w:rsid w:val="00F718A8"/>
    <w:rsid w:val="00F719AA"/>
    <w:rsid w:val="00F72547"/>
    <w:rsid w:val="00F73114"/>
    <w:rsid w:val="00F744EA"/>
    <w:rsid w:val="00F754B8"/>
    <w:rsid w:val="00F75765"/>
    <w:rsid w:val="00F75AB1"/>
    <w:rsid w:val="00F76B2F"/>
    <w:rsid w:val="00F771BB"/>
    <w:rsid w:val="00F80EA4"/>
    <w:rsid w:val="00F81B58"/>
    <w:rsid w:val="00F81EBA"/>
    <w:rsid w:val="00F8229F"/>
    <w:rsid w:val="00F8255F"/>
    <w:rsid w:val="00F82BC4"/>
    <w:rsid w:val="00F83D81"/>
    <w:rsid w:val="00F83DA2"/>
    <w:rsid w:val="00F842A2"/>
    <w:rsid w:val="00F84B9C"/>
    <w:rsid w:val="00F85E35"/>
    <w:rsid w:val="00F860AF"/>
    <w:rsid w:val="00F900D7"/>
    <w:rsid w:val="00F90464"/>
    <w:rsid w:val="00F905D2"/>
    <w:rsid w:val="00F91072"/>
    <w:rsid w:val="00F915F2"/>
    <w:rsid w:val="00F917A9"/>
    <w:rsid w:val="00F928F8"/>
    <w:rsid w:val="00F9360F"/>
    <w:rsid w:val="00F9377B"/>
    <w:rsid w:val="00F96454"/>
    <w:rsid w:val="00F96C5A"/>
    <w:rsid w:val="00F96DF5"/>
    <w:rsid w:val="00FA01AE"/>
    <w:rsid w:val="00FA087C"/>
    <w:rsid w:val="00FA0ACB"/>
    <w:rsid w:val="00FA0AD7"/>
    <w:rsid w:val="00FA1762"/>
    <w:rsid w:val="00FA3E3F"/>
    <w:rsid w:val="00FA4A01"/>
    <w:rsid w:val="00FA5D87"/>
    <w:rsid w:val="00FA5E0A"/>
    <w:rsid w:val="00FA600D"/>
    <w:rsid w:val="00FA7EB1"/>
    <w:rsid w:val="00FB0269"/>
    <w:rsid w:val="00FB30CB"/>
    <w:rsid w:val="00FB37A7"/>
    <w:rsid w:val="00FB4027"/>
    <w:rsid w:val="00FB4797"/>
    <w:rsid w:val="00FB59C2"/>
    <w:rsid w:val="00FB610B"/>
    <w:rsid w:val="00FB61DC"/>
    <w:rsid w:val="00FC029A"/>
    <w:rsid w:val="00FC0570"/>
    <w:rsid w:val="00FC0EAD"/>
    <w:rsid w:val="00FC1137"/>
    <w:rsid w:val="00FC37D1"/>
    <w:rsid w:val="00FC3ED8"/>
    <w:rsid w:val="00FC4310"/>
    <w:rsid w:val="00FC46FF"/>
    <w:rsid w:val="00FC4973"/>
    <w:rsid w:val="00FC74D5"/>
    <w:rsid w:val="00FC76AF"/>
    <w:rsid w:val="00FC7762"/>
    <w:rsid w:val="00FD17F2"/>
    <w:rsid w:val="00FD1E80"/>
    <w:rsid w:val="00FD27A5"/>
    <w:rsid w:val="00FD4D11"/>
    <w:rsid w:val="00FD5308"/>
    <w:rsid w:val="00FD74A6"/>
    <w:rsid w:val="00FD7736"/>
    <w:rsid w:val="00FD7752"/>
    <w:rsid w:val="00FD7BAF"/>
    <w:rsid w:val="00FD7EAA"/>
    <w:rsid w:val="00FE038E"/>
    <w:rsid w:val="00FE0706"/>
    <w:rsid w:val="00FE08F0"/>
    <w:rsid w:val="00FE1206"/>
    <w:rsid w:val="00FE1A54"/>
    <w:rsid w:val="00FE2113"/>
    <w:rsid w:val="00FE23E9"/>
    <w:rsid w:val="00FE32F6"/>
    <w:rsid w:val="00FE3DF0"/>
    <w:rsid w:val="00FE519E"/>
    <w:rsid w:val="00FE57E1"/>
    <w:rsid w:val="00FE62C4"/>
    <w:rsid w:val="00FE65DC"/>
    <w:rsid w:val="00FE6681"/>
    <w:rsid w:val="00FE7976"/>
    <w:rsid w:val="00FF008F"/>
    <w:rsid w:val="00FF07E3"/>
    <w:rsid w:val="00FF154C"/>
    <w:rsid w:val="00FF1A37"/>
    <w:rsid w:val="00FF22CD"/>
    <w:rsid w:val="00FF2BF9"/>
    <w:rsid w:val="00FF302C"/>
    <w:rsid w:val="00FF31D2"/>
    <w:rsid w:val="00FF384B"/>
    <w:rsid w:val="00FF3E48"/>
    <w:rsid w:val="00FF47B2"/>
    <w:rsid w:val="00FF5495"/>
    <w:rsid w:val="00FF6EBA"/>
    <w:rsid w:val="00FF7208"/>
    <w:rsid w:val="00FF7385"/>
    <w:rsid w:val="00FF73C4"/>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0CB"/>
  <w15:chartTrackingRefBased/>
  <w15:docId w15:val="{FA7909F3-8699-DC49-A9EB-0A4371E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3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82167"/>
    <w:pPr>
      <w:pBdr>
        <w:top w:val="nil"/>
        <w:left w:val="nil"/>
        <w:bottom w:val="nil"/>
        <w:right w:val="nil"/>
        <w:between w:val="nil"/>
        <w:bar w:val="nil"/>
      </w:pBdr>
      <w:spacing w:after="160" w:line="480" w:lineRule="auto"/>
    </w:pPr>
    <w:rPr>
      <w:rFonts w:ascii="Times" w:eastAsia="Arial Unicode MS" w:hAnsi="Times" w:cs="Arial Unicode MS"/>
      <w:color w:val="000000"/>
      <w:u w:color="000000"/>
      <w:bdr w:val="nil"/>
      <w:lang w:val="de-DE"/>
    </w:rPr>
  </w:style>
  <w:style w:type="paragraph" w:styleId="FootnoteText">
    <w:name w:val="footnote text"/>
    <w:link w:val="FootnoteTextChar"/>
    <w:rsid w:val="00482167"/>
    <w:pPr>
      <w:pBdr>
        <w:top w:val="nil"/>
        <w:left w:val="nil"/>
        <w:bottom w:val="nil"/>
        <w:right w:val="nil"/>
        <w:between w:val="nil"/>
        <w:bar w:val="nil"/>
      </w:pBdr>
    </w:pPr>
    <w:rPr>
      <w:rFonts w:ascii="Times" w:eastAsia="Times" w:hAnsi="Times" w:cs="Times"/>
      <w:color w:val="000000"/>
      <w:u w:color="000000"/>
      <w:bdr w:val="nil"/>
      <w:lang w:val="en-US"/>
    </w:rPr>
  </w:style>
  <w:style w:type="character" w:customStyle="1" w:styleId="FootnoteTextChar">
    <w:name w:val="Footnote Text Char"/>
    <w:basedOn w:val="DefaultParagraphFont"/>
    <w:link w:val="FootnoteText"/>
    <w:rsid w:val="00482167"/>
    <w:rPr>
      <w:rFonts w:ascii="Times" w:eastAsia="Times" w:hAnsi="Times" w:cs="Times"/>
      <w:color w:val="000000"/>
      <w:u w:color="000000"/>
      <w:bdr w:val="nil"/>
      <w:lang w:val="en-US"/>
    </w:rPr>
  </w:style>
  <w:style w:type="character" w:styleId="FootnoteReference">
    <w:name w:val="footnote reference"/>
    <w:basedOn w:val="DefaultParagraphFont"/>
    <w:uiPriority w:val="99"/>
    <w:semiHidden/>
    <w:unhideWhenUsed/>
    <w:rsid w:val="00482167"/>
    <w:rPr>
      <w:vertAlign w:val="superscript"/>
    </w:rPr>
  </w:style>
  <w:style w:type="character" w:styleId="Emphasis">
    <w:name w:val="Emphasis"/>
    <w:basedOn w:val="DefaultParagraphFont"/>
    <w:uiPriority w:val="20"/>
    <w:qFormat/>
    <w:rsid w:val="00A43CFC"/>
    <w:rPr>
      <w:i/>
      <w:iCs/>
    </w:rPr>
  </w:style>
  <w:style w:type="table" w:styleId="TableGrid">
    <w:name w:val="Table Grid"/>
    <w:basedOn w:val="TableNormal"/>
    <w:uiPriority w:val="39"/>
    <w:rsid w:val="007446A0"/>
    <w:pPr>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C29"/>
    <w:rPr>
      <w:sz w:val="16"/>
      <w:szCs w:val="16"/>
    </w:rPr>
  </w:style>
  <w:style w:type="paragraph" w:styleId="CommentText">
    <w:name w:val="annotation text"/>
    <w:basedOn w:val="Normal"/>
    <w:link w:val="CommentTextChar"/>
    <w:uiPriority w:val="99"/>
    <w:semiHidden/>
    <w:unhideWhenUsed/>
    <w:rsid w:val="00A23C29"/>
    <w:rPr>
      <w:sz w:val="20"/>
      <w:szCs w:val="20"/>
    </w:rPr>
  </w:style>
  <w:style w:type="character" w:customStyle="1" w:styleId="CommentTextChar">
    <w:name w:val="Comment Text Char"/>
    <w:basedOn w:val="DefaultParagraphFont"/>
    <w:link w:val="CommentText"/>
    <w:uiPriority w:val="99"/>
    <w:semiHidden/>
    <w:rsid w:val="00A23C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C29"/>
    <w:rPr>
      <w:b/>
      <w:bCs/>
    </w:rPr>
  </w:style>
  <w:style w:type="character" w:customStyle="1" w:styleId="CommentSubjectChar">
    <w:name w:val="Comment Subject Char"/>
    <w:basedOn w:val="CommentTextChar"/>
    <w:link w:val="CommentSubject"/>
    <w:uiPriority w:val="99"/>
    <w:semiHidden/>
    <w:rsid w:val="00A23C29"/>
    <w:rPr>
      <w:rFonts w:ascii="Times New Roman" w:eastAsia="Times New Roman" w:hAnsi="Times New Roman" w:cs="Times New Roman"/>
      <w:b/>
      <w:bCs/>
      <w:sz w:val="20"/>
      <w:szCs w:val="20"/>
    </w:rPr>
  </w:style>
  <w:style w:type="paragraph" w:styleId="ListParagraph">
    <w:name w:val="List Paragraph"/>
    <w:basedOn w:val="Normal"/>
    <w:uiPriority w:val="34"/>
    <w:qFormat/>
    <w:rsid w:val="00DE1C3D"/>
    <w:pPr>
      <w:ind w:left="720"/>
      <w:contextualSpacing/>
    </w:pPr>
  </w:style>
  <w:style w:type="character" w:styleId="Hyperlink">
    <w:name w:val="Hyperlink"/>
    <w:basedOn w:val="DefaultParagraphFont"/>
    <w:uiPriority w:val="99"/>
    <w:unhideWhenUsed/>
    <w:rsid w:val="0067577A"/>
    <w:rPr>
      <w:color w:val="0563C1" w:themeColor="hyperlink"/>
      <w:u w:val="single"/>
    </w:rPr>
  </w:style>
  <w:style w:type="character" w:styleId="UnresolvedMention">
    <w:name w:val="Unresolved Mention"/>
    <w:basedOn w:val="DefaultParagraphFont"/>
    <w:uiPriority w:val="99"/>
    <w:semiHidden/>
    <w:unhideWhenUsed/>
    <w:rsid w:val="0067577A"/>
    <w:rPr>
      <w:color w:val="605E5C"/>
      <w:shd w:val="clear" w:color="auto" w:fill="E1DFDD"/>
    </w:rPr>
  </w:style>
  <w:style w:type="paragraph" w:styleId="Header">
    <w:name w:val="header"/>
    <w:basedOn w:val="Normal"/>
    <w:link w:val="HeaderChar"/>
    <w:uiPriority w:val="99"/>
    <w:unhideWhenUsed/>
    <w:rsid w:val="00472C65"/>
    <w:pPr>
      <w:tabs>
        <w:tab w:val="center" w:pos="4680"/>
        <w:tab w:val="right" w:pos="9360"/>
      </w:tabs>
    </w:pPr>
  </w:style>
  <w:style w:type="character" w:customStyle="1" w:styleId="HeaderChar">
    <w:name w:val="Header Char"/>
    <w:basedOn w:val="DefaultParagraphFont"/>
    <w:link w:val="Header"/>
    <w:uiPriority w:val="99"/>
    <w:rsid w:val="00472C65"/>
    <w:rPr>
      <w:rFonts w:ascii="Times New Roman" w:eastAsia="Times New Roman" w:hAnsi="Times New Roman" w:cs="Times New Roman"/>
      <w:sz w:val="22"/>
    </w:rPr>
  </w:style>
  <w:style w:type="paragraph" w:styleId="Footer">
    <w:name w:val="footer"/>
    <w:basedOn w:val="Normal"/>
    <w:link w:val="FooterChar"/>
    <w:uiPriority w:val="99"/>
    <w:unhideWhenUsed/>
    <w:rsid w:val="00472C65"/>
    <w:pPr>
      <w:tabs>
        <w:tab w:val="center" w:pos="4680"/>
        <w:tab w:val="right" w:pos="9360"/>
      </w:tabs>
    </w:pPr>
  </w:style>
  <w:style w:type="character" w:customStyle="1" w:styleId="FooterChar">
    <w:name w:val="Footer Char"/>
    <w:basedOn w:val="DefaultParagraphFont"/>
    <w:link w:val="Footer"/>
    <w:uiPriority w:val="99"/>
    <w:rsid w:val="00472C65"/>
    <w:rPr>
      <w:rFonts w:ascii="Times New Roman" w:eastAsia="Times New Roman" w:hAnsi="Times New Roman" w:cs="Times New Roman"/>
      <w:sz w:val="22"/>
    </w:rPr>
  </w:style>
  <w:style w:type="character" w:styleId="PageNumber">
    <w:name w:val="page number"/>
    <w:basedOn w:val="DefaultParagraphFont"/>
    <w:uiPriority w:val="99"/>
    <w:semiHidden/>
    <w:unhideWhenUsed/>
    <w:rsid w:val="00AB4807"/>
  </w:style>
  <w:style w:type="paragraph" w:styleId="Revision">
    <w:name w:val="Revision"/>
    <w:hidden/>
    <w:uiPriority w:val="99"/>
    <w:semiHidden/>
    <w:rsid w:val="003975EF"/>
    <w:rPr>
      <w:rFonts w:ascii="Times New Roman" w:eastAsia="Times New Roman" w:hAnsi="Times New Roman" w:cs="Times New Roman"/>
      <w:lang w:eastAsia="en-GB"/>
    </w:rPr>
  </w:style>
  <w:style w:type="character" w:styleId="EndnoteReference">
    <w:name w:val="endnote reference"/>
    <w:basedOn w:val="DefaultParagraphFont"/>
    <w:uiPriority w:val="99"/>
    <w:semiHidden/>
    <w:unhideWhenUsed/>
    <w:rsid w:val="00A84890"/>
    <w:rPr>
      <w:vertAlign w:val="superscript"/>
    </w:rPr>
  </w:style>
  <w:style w:type="paragraph" w:styleId="Bibliography">
    <w:name w:val="Bibliography"/>
    <w:basedOn w:val="Normal"/>
    <w:next w:val="Normal"/>
    <w:uiPriority w:val="37"/>
    <w:unhideWhenUsed/>
    <w:rsid w:val="009F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02903">
      <w:bodyDiv w:val="1"/>
      <w:marLeft w:val="0"/>
      <w:marRight w:val="0"/>
      <w:marTop w:val="0"/>
      <w:marBottom w:val="0"/>
      <w:divBdr>
        <w:top w:val="none" w:sz="0" w:space="0" w:color="auto"/>
        <w:left w:val="none" w:sz="0" w:space="0" w:color="auto"/>
        <w:bottom w:val="none" w:sz="0" w:space="0" w:color="auto"/>
        <w:right w:val="none" w:sz="0" w:space="0" w:color="auto"/>
      </w:divBdr>
    </w:div>
    <w:div w:id="271596284">
      <w:bodyDiv w:val="1"/>
      <w:marLeft w:val="0"/>
      <w:marRight w:val="0"/>
      <w:marTop w:val="0"/>
      <w:marBottom w:val="0"/>
      <w:divBdr>
        <w:top w:val="none" w:sz="0" w:space="0" w:color="auto"/>
        <w:left w:val="none" w:sz="0" w:space="0" w:color="auto"/>
        <w:bottom w:val="none" w:sz="0" w:space="0" w:color="auto"/>
        <w:right w:val="none" w:sz="0" w:space="0" w:color="auto"/>
      </w:divBdr>
    </w:div>
    <w:div w:id="363748232">
      <w:bodyDiv w:val="1"/>
      <w:marLeft w:val="0"/>
      <w:marRight w:val="0"/>
      <w:marTop w:val="0"/>
      <w:marBottom w:val="0"/>
      <w:divBdr>
        <w:top w:val="none" w:sz="0" w:space="0" w:color="auto"/>
        <w:left w:val="none" w:sz="0" w:space="0" w:color="auto"/>
        <w:bottom w:val="none" w:sz="0" w:space="0" w:color="auto"/>
        <w:right w:val="none" w:sz="0" w:space="0" w:color="auto"/>
      </w:divBdr>
    </w:div>
    <w:div w:id="619067044">
      <w:bodyDiv w:val="1"/>
      <w:marLeft w:val="0"/>
      <w:marRight w:val="0"/>
      <w:marTop w:val="0"/>
      <w:marBottom w:val="0"/>
      <w:divBdr>
        <w:top w:val="none" w:sz="0" w:space="0" w:color="auto"/>
        <w:left w:val="none" w:sz="0" w:space="0" w:color="auto"/>
        <w:bottom w:val="none" w:sz="0" w:space="0" w:color="auto"/>
        <w:right w:val="none" w:sz="0" w:space="0" w:color="auto"/>
      </w:divBdr>
    </w:div>
    <w:div w:id="738795113">
      <w:bodyDiv w:val="1"/>
      <w:marLeft w:val="0"/>
      <w:marRight w:val="0"/>
      <w:marTop w:val="0"/>
      <w:marBottom w:val="0"/>
      <w:divBdr>
        <w:top w:val="none" w:sz="0" w:space="0" w:color="auto"/>
        <w:left w:val="none" w:sz="0" w:space="0" w:color="auto"/>
        <w:bottom w:val="none" w:sz="0" w:space="0" w:color="auto"/>
        <w:right w:val="none" w:sz="0" w:space="0" w:color="auto"/>
      </w:divBdr>
      <w:divsChild>
        <w:div w:id="279147973">
          <w:marLeft w:val="0"/>
          <w:marRight w:val="0"/>
          <w:marTop w:val="0"/>
          <w:marBottom w:val="0"/>
          <w:divBdr>
            <w:top w:val="none" w:sz="0" w:space="0" w:color="auto"/>
            <w:left w:val="none" w:sz="0" w:space="0" w:color="auto"/>
            <w:bottom w:val="none" w:sz="0" w:space="0" w:color="auto"/>
            <w:right w:val="none" w:sz="0" w:space="0" w:color="auto"/>
          </w:divBdr>
          <w:divsChild>
            <w:div w:id="1193687248">
              <w:marLeft w:val="0"/>
              <w:marRight w:val="0"/>
              <w:marTop w:val="0"/>
              <w:marBottom w:val="0"/>
              <w:divBdr>
                <w:top w:val="none" w:sz="0" w:space="0" w:color="auto"/>
                <w:left w:val="none" w:sz="0" w:space="0" w:color="auto"/>
                <w:bottom w:val="none" w:sz="0" w:space="0" w:color="auto"/>
                <w:right w:val="none" w:sz="0" w:space="0" w:color="auto"/>
              </w:divBdr>
              <w:divsChild>
                <w:div w:id="1070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9809">
      <w:bodyDiv w:val="1"/>
      <w:marLeft w:val="0"/>
      <w:marRight w:val="0"/>
      <w:marTop w:val="0"/>
      <w:marBottom w:val="0"/>
      <w:divBdr>
        <w:top w:val="none" w:sz="0" w:space="0" w:color="auto"/>
        <w:left w:val="none" w:sz="0" w:space="0" w:color="auto"/>
        <w:bottom w:val="none" w:sz="0" w:space="0" w:color="auto"/>
        <w:right w:val="none" w:sz="0" w:space="0" w:color="auto"/>
      </w:divBdr>
    </w:div>
    <w:div w:id="803083115">
      <w:bodyDiv w:val="1"/>
      <w:marLeft w:val="0"/>
      <w:marRight w:val="0"/>
      <w:marTop w:val="0"/>
      <w:marBottom w:val="0"/>
      <w:divBdr>
        <w:top w:val="none" w:sz="0" w:space="0" w:color="auto"/>
        <w:left w:val="none" w:sz="0" w:space="0" w:color="auto"/>
        <w:bottom w:val="none" w:sz="0" w:space="0" w:color="auto"/>
        <w:right w:val="none" w:sz="0" w:space="0" w:color="auto"/>
      </w:divBdr>
    </w:div>
    <w:div w:id="823280310">
      <w:bodyDiv w:val="1"/>
      <w:marLeft w:val="0"/>
      <w:marRight w:val="0"/>
      <w:marTop w:val="0"/>
      <w:marBottom w:val="0"/>
      <w:divBdr>
        <w:top w:val="none" w:sz="0" w:space="0" w:color="auto"/>
        <w:left w:val="none" w:sz="0" w:space="0" w:color="auto"/>
        <w:bottom w:val="none" w:sz="0" w:space="0" w:color="auto"/>
        <w:right w:val="none" w:sz="0" w:space="0" w:color="auto"/>
      </w:divBdr>
    </w:div>
    <w:div w:id="837310764">
      <w:bodyDiv w:val="1"/>
      <w:marLeft w:val="0"/>
      <w:marRight w:val="0"/>
      <w:marTop w:val="0"/>
      <w:marBottom w:val="0"/>
      <w:divBdr>
        <w:top w:val="none" w:sz="0" w:space="0" w:color="auto"/>
        <w:left w:val="none" w:sz="0" w:space="0" w:color="auto"/>
        <w:bottom w:val="none" w:sz="0" w:space="0" w:color="auto"/>
        <w:right w:val="none" w:sz="0" w:space="0" w:color="auto"/>
      </w:divBdr>
    </w:div>
    <w:div w:id="1105803880">
      <w:bodyDiv w:val="1"/>
      <w:marLeft w:val="0"/>
      <w:marRight w:val="0"/>
      <w:marTop w:val="0"/>
      <w:marBottom w:val="0"/>
      <w:divBdr>
        <w:top w:val="none" w:sz="0" w:space="0" w:color="auto"/>
        <w:left w:val="none" w:sz="0" w:space="0" w:color="auto"/>
        <w:bottom w:val="none" w:sz="0" w:space="0" w:color="auto"/>
        <w:right w:val="none" w:sz="0" w:space="0" w:color="auto"/>
      </w:divBdr>
    </w:div>
    <w:div w:id="1204750013">
      <w:bodyDiv w:val="1"/>
      <w:marLeft w:val="0"/>
      <w:marRight w:val="0"/>
      <w:marTop w:val="0"/>
      <w:marBottom w:val="0"/>
      <w:divBdr>
        <w:top w:val="none" w:sz="0" w:space="0" w:color="auto"/>
        <w:left w:val="none" w:sz="0" w:space="0" w:color="auto"/>
        <w:bottom w:val="none" w:sz="0" w:space="0" w:color="auto"/>
        <w:right w:val="none" w:sz="0" w:space="0" w:color="auto"/>
      </w:divBdr>
    </w:div>
    <w:div w:id="1287196717">
      <w:bodyDiv w:val="1"/>
      <w:marLeft w:val="0"/>
      <w:marRight w:val="0"/>
      <w:marTop w:val="0"/>
      <w:marBottom w:val="0"/>
      <w:divBdr>
        <w:top w:val="none" w:sz="0" w:space="0" w:color="auto"/>
        <w:left w:val="none" w:sz="0" w:space="0" w:color="auto"/>
        <w:bottom w:val="none" w:sz="0" w:space="0" w:color="auto"/>
        <w:right w:val="none" w:sz="0" w:space="0" w:color="auto"/>
      </w:divBdr>
    </w:div>
    <w:div w:id="1298411419">
      <w:bodyDiv w:val="1"/>
      <w:marLeft w:val="0"/>
      <w:marRight w:val="0"/>
      <w:marTop w:val="0"/>
      <w:marBottom w:val="0"/>
      <w:divBdr>
        <w:top w:val="none" w:sz="0" w:space="0" w:color="auto"/>
        <w:left w:val="none" w:sz="0" w:space="0" w:color="auto"/>
        <w:bottom w:val="none" w:sz="0" w:space="0" w:color="auto"/>
        <w:right w:val="none" w:sz="0" w:space="0" w:color="auto"/>
      </w:divBdr>
    </w:div>
    <w:div w:id="1321738480">
      <w:bodyDiv w:val="1"/>
      <w:marLeft w:val="0"/>
      <w:marRight w:val="0"/>
      <w:marTop w:val="0"/>
      <w:marBottom w:val="0"/>
      <w:divBdr>
        <w:top w:val="none" w:sz="0" w:space="0" w:color="auto"/>
        <w:left w:val="none" w:sz="0" w:space="0" w:color="auto"/>
        <w:bottom w:val="none" w:sz="0" w:space="0" w:color="auto"/>
        <w:right w:val="none" w:sz="0" w:space="0" w:color="auto"/>
      </w:divBdr>
    </w:div>
    <w:div w:id="1333145625">
      <w:bodyDiv w:val="1"/>
      <w:marLeft w:val="0"/>
      <w:marRight w:val="0"/>
      <w:marTop w:val="0"/>
      <w:marBottom w:val="0"/>
      <w:divBdr>
        <w:top w:val="none" w:sz="0" w:space="0" w:color="auto"/>
        <w:left w:val="none" w:sz="0" w:space="0" w:color="auto"/>
        <w:bottom w:val="none" w:sz="0" w:space="0" w:color="auto"/>
        <w:right w:val="none" w:sz="0" w:space="0" w:color="auto"/>
      </w:divBdr>
    </w:div>
    <w:div w:id="1344282479">
      <w:bodyDiv w:val="1"/>
      <w:marLeft w:val="0"/>
      <w:marRight w:val="0"/>
      <w:marTop w:val="0"/>
      <w:marBottom w:val="0"/>
      <w:divBdr>
        <w:top w:val="none" w:sz="0" w:space="0" w:color="auto"/>
        <w:left w:val="none" w:sz="0" w:space="0" w:color="auto"/>
        <w:bottom w:val="none" w:sz="0" w:space="0" w:color="auto"/>
        <w:right w:val="none" w:sz="0" w:space="0" w:color="auto"/>
      </w:divBdr>
    </w:div>
    <w:div w:id="1496188342">
      <w:bodyDiv w:val="1"/>
      <w:marLeft w:val="0"/>
      <w:marRight w:val="0"/>
      <w:marTop w:val="0"/>
      <w:marBottom w:val="0"/>
      <w:divBdr>
        <w:top w:val="none" w:sz="0" w:space="0" w:color="auto"/>
        <w:left w:val="none" w:sz="0" w:space="0" w:color="auto"/>
        <w:bottom w:val="none" w:sz="0" w:space="0" w:color="auto"/>
        <w:right w:val="none" w:sz="0" w:space="0" w:color="auto"/>
      </w:divBdr>
    </w:div>
    <w:div w:id="1500342788">
      <w:bodyDiv w:val="1"/>
      <w:marLeft w:val="0"/>
      <w:marRight w:val="0"/>
      <w:marTop w:val="0"/>
      <w:marBottom w:val="0"/>
      <w:divBdr>
        <w:top w:val="none" w:sz="0" w:space="0" w:color="auto"/>
        <w:left w:val="none" w:sz="0" w:space="0" w:color="auto"/>
        <w:bottom w:val="none" w:sz="0" w:space="0" w:color="auto"/>
        <w:right w:val="none" w:sz="0" w:space="0" w:color="auto"/>
      </w:divBdr>
    </w:div>
    <w:div w:id="1635720379">
      <w:bodyDiv w:val="1"/>
      <w:marLeft w:val="0"/>
      <w:marRight w:val="0"/>
      <w:marTop w:val="0"/>
      <w:marBottom w:val="0"/>
      <w:divBdr>
        <w:top w:val="none" w:sz="0" w:space="0" w:color="auto"/>
        <w:left w:val="none" w:sz="0" w:space="0" w:color="auto"/>
        <w:bottom w:val="none" w:sz="0" w:space="0" w:color="auto"/>
        <w:right w:val="none" w:sz="0" w:space="0" w:color="auto"/>
      </w:divBdr>
    </w:div>
    <w:div w:id="1665011355">
      <w:bodyDiv w:val="1"/>
      <w:marLeft w:val="0"/>
      <w:marRight w:val="0"/>
      <w:marTop w:val="0"/>
      <w:marBottom w:val="0"/>
      <w:divBdr>
        <w:top w:val="none" w:sz="0" w:space="0" w:color="auto"/>
        <w:left w:val="none" w:sz="0" w:space="0" w:color="auto"/>
        <w:bottom w:val="none" w:sz="0" w:space="0" w:color="auto"/>
        <w:right w:val="none" w:sz="0" w:space="0" w:color="auto"/>
      </w:divBdr>
    </w:div>
    <w:div w:id="1682512610">
      <w:bodyDiv w:val="1"/>
      <w:marLeft w:val="0"/>
      <w:marRight w:val="0"/>
      <w:marTop w:val="0"/>
      <w:marBottom w:val="0"/>
      <w:divBdr>
        <w:top w:val="none" w:sz="0" w:space="0" w:color="auto"/>
        <w:left w:val="none" w:sz="0" w:space="0" w:color="auto"/>
        <w:bottom w:val="none" w:sz="0" w:space="0" w:color="auto"/>
        <w:right w:val="none" w:sz="0" w:space="0" w:color="auto"/>
      </w:divBdr>
    </w:div>
    <w:div w:id="1700812167">
      <w:bodyDiv w:val="1"/>
      <w:marLeft w:val="0"/>
      <w:marRight w:val="0"/>
      <w:marTop w:val="0"/>
      <w:marBottom w:val="0"/>
      <w:divBdr>
        <w:top w:val="none" w:sz="0" w:space="0" w:color="auto"/>
        <w:left w:val="none" w:sz="0" w:space="0" w:color="auto"/>
        <w:bottom w:val="none" w:sz="0" w:space="0" w:color="auto"/>
        <w:right w:val="none" w:sz="0" w:space="0" w:color="auto"/>
      </w:divBdr>
    </w:div>
    <w:div w:id="1796368381">
      <w:bodyDiv w:val="1"/>
      <w:marLeft w:val="0"/>
      <w:marRight w:val="0"/>
      <w:marTop w:val="0"/>
      <w:marBottom w:val="0"/>
      <w:divBdr>
        <w:top w:val="none" w:sz="0" w:space="0" w:color="auto"/>
        <w:left w:val="none" w:sz="0" w:space="0" w:color="auto"/>
        <w:bottom w:val="none" w:sz="0" w:space="0" w:color="auto"/>
        <w:right w:val="none" w:sz="0" w:space="0" w:color="auto"/>
      </w:divBdr>
    </w:div>
    <w:div w:id="20205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10132</Words>
  <Characters>57755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Oliver</dc:creator>
  <cp:keywords/>
  <dc:description/>
  <cp:lastModifiedBy>Miles Lambert</cp:lastModifiedBy>
  <cp:revision>2</cp:revision>
  <cp:lastPrinted>2021-04-02T01:26:00Z</cp:lastPrinted>
  <dcterms:created xsi:type="dcterms:W3CDTF">2024-10-10T11:24:00Z</dcterms:created>
  <dcterms:modified xsi:type="dcterms:W3CDTF">2024-10-10T11:24:00Z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id="lWqwbiHp"/&gt;&lt;style id="http://www.zotero.org/styles/management-science" hasBibliography="1" bibliographyStyleHasBeenSet="0"/&gt;&lt;prefs&gt;&lt;pref name="fieldType" value="Field"/&gt;&lt;/prefs&gt;&lt;/data&gt;</vt:lpwstr>
  </property>
</Properties>
</file>