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6E82" w14:textId="415AD9B4" w:rsidR="005F05AC" w:rsidRPr="009A3BB5" w:rsidRDefault="00C902E5">
      <w:pPr>
        <w:pStyle w:val="Heading1"/>
        <w:spacing w:before="0" w:line="360" w:lineRule="auto"/>
        <w:rPr>
          <w:rFonts w:ascii="Times New Roman" w:hAnsi="Times New Roman" w:cs="Times New Roman"/>
          <w:sz w:val="32"/>
        </w:rPr>
      </w:pPr>
      <w:bookmarkStart w:id="0" w:name="_heading=h.orhxz8tdzbn" w:colFirst="0" w:colLast="0"/>
      <w:bookmarkEnd w:id="0"/>
      <w:r w:rsidRPr="009A3BB5">
        <w:rPr>
          <w:rFonts w:ascii="Times New Roman" w:hAnsi="Times New Roman" w:cs="Times New Roman"/>
          <w:sz w:val="32"/>
        </w:rPr>
        <w:t>SUPPLEMENTARY MATERIALS</w:t>
      </w:r>
    </w:p>
    <w:p w14:paraId="555E9E30" w14:textId="77777777" w:rsidR="00332A80" w:rsidRPr="009A3BB5" w:rsidRDefault="00332A80" w:rsidP="00332A80"/>
    <w:p w14:paraId="339A6E84" w14:textId="77777777" w:rsidR="005F05AC" w:rsidRPr="009A3BB5" w:rsidRDefault="00C902E5">
      <w:pPr>
        <w:pStyle w:val="Heading1"/>
        <w:spacing w:before="0" w:line="360" w:lineRule="auto"/>
        <w:rPr>
          <w:rFonts w:ascii="Times New Roman" w:hAnsi="Times New Roman" w:cs="Times New Roman"/>
        </w:rPr>
      </w:pPr>
      <w:bookmarkStart w:id="1" w:name="_heading=h.c0m7ofl50fri" w:colFirst="0" w:colLast="0"/>
      <w:bookmarkStart w:id="2" w:name="_heading=h.56qgfsva0iy6" w:colFirst="0" w:colLast="0"/>
      <w:bookmarkEnd w:id="1"/>
      <w:bookmarkEnd w:id="2"/>
      <w:r w:rsidRPr="009A3BB5">
        <w:rPr>
          <w:rFonts w:ascii="Times New Roman" w:hAnsi="Times New Roman" w:cs="Times New Roman"/>
        </w:rPr>
        <w:t xml:space="preserve">Title: </w:t>
      </w:r>
      <w:r w:rsidRPr="00D24C31">
        <w:rPr>
          <w:rFonts w:ascii="Times New Roman" w:hAnsi="Times New Roman" w:cs="Times New Roman"/>
          <w:bCs/>
          <w:sz w:val="24"/>
          <w:szCs w:val="24"/>
        </w:rPr>
        <w:t>Encouraging vaccination against COVID-19 has no compensatory spillover effects</w:t>
      </w:r>
    </w:p>
    <w:p w14:paraId="339A6E86" w14:textId="77777777" w:rsidR="005F05AC" w:rsidRPr="009A3BB5" w:rsidRDefault="005F05AC">
      <w:bookmarkStart w:id="3" w:name="_heading=h.pf4o5vs8cldk" w:colFirst="0" w:colLast="0"/>
      <w:bookmarkEnd w:id="3"/>
    </w:p>
    <w:p w14:paraId="339A6E87" w14:textId="77777777" w:rsidR="005F05AC" w:rsidRPr="009A3BB5" w:rsidRDefault="00C902E5">
      <w:pPr>
        <w:pStyle w:val="Heading1"/>
        <w:spacing w:before="0" w:line="360" w:lineRule="auto"/>
        <w:rPr>
          <w:rFonts w:ascii="Times New Roman" w:hAnsi="Times New Roman" w:cs="Times New Roman"/>
          <w:sz w:val="32"/>
        </w:rPr>
      </w:pPr>
      <w:r w:rsidRPr="009A3BB5">
        <w:rPr>
          <w:rFonts w:ascii="Times New Roman" w:hAnsi="Times New Roman" w:cs="Times New Roman"/>
          <w:sz w:val="32"/>
        </w:rPr>
        <w:t>S1. Sociodemographic information of participants</w:t>
      </w:r>
    </w:p>
    <w:p w14:paraId="339A6E88" w14:textId="77777777" w:rsidR="005F05AC" w:rsidRPr="009A3BB5" w:rsidRDefault="00C902E5">
      <w:pPr>
        <w:pStyle w:val="Heading2"/>
        <w:rPr>
          <w:rFonts w:ascii="Times New Roman" w:hAnsi="Times New Roman" w:cs="Times New Roman"/>
          <w:lang w:val="en-GB"/>
        </w:rPr>
      </w:pPr>
      <w:bookmarkStart w:id="4" w:name="_heading=h.r8y6ugx8ds9l" w:colFirst="0" w:colLast="0"/>
      <w:bookmarkEnd w:id="4"/>
      <w:r w:rsidRPr="009A3BB5">
        <w:rPr>
          <w:rFonts w:ascii="Times New Roman" w:hAnsi="Times New Roman" w:cs="Times New Roman"/>
          <w:lang w:val="en-GB"/>
        </w:rPr>
        <w:t>Table S1. Participants’ characteristics</w:t>
      </w:r>
    </w:p>
    <w:tbl>
      <w:tblPr>
        <w:tblStyle w:val="a"/>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1965"/>
        <w:gridCol w:w="2100"/>
        <w:gridCol w:w="2190"/>
      </w:tblGrid>
      <w:tr w:rsidR="005F05AC" w:rsidRPr="009A3BB5" w14:paraId="339A6E8D" w14:textId="77777777" w:rsidTr="005F05AC">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39A6E89" w14:textId="77777777" w:rsidR="005F05AC" w:rsidRPr="009A3BB5" w:rsidRDefault="005F05AC">
            <w:pPr>
              <w:jc w:val="center"/>
              <w:rPr>
                <w:rFonts w:ascii="Times New Roman" w:hAnsi="Times New Roman" w:cs="Times New Roman"/>
              </w:rPr>
            </w:pPr>
          </w:p>
        </w:tc>
        <w:tc>
          <w:tcPr>
            <w:tcW w:w="1965" w:type="dxa"/>
            <w:vAlign w:val="center"/>
          </w:tcPr>
          <w:p w14:paraId="339A6E8A" w14:textId="77777777" w:rsidR="005F05AC" w:rsidRPr="009A3BB5" w:rsidRDefault="00C902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3BB5">
              <w:rPr>
                <w:rFonts w:ascii="Times New Roman" w:hAnsi="Times New Roman" w:cs="Times New Roman"/>
                <w:sz w:val="24"/>
                <w:szCs w:val="24"/>
              </w:rPr>
              <w:t>Total</w:t>
            </w:r>
          </w:p>
        </w:tc>
        <w:tc>
          <w:tcPr>
            <w:tcW w:w="2100" w:type="dxa"/>
            <w:vAlign w:val="center"/>
          </w:tcPr>
          <w:p w14:paraId="339A6E8B" w14:textId="77777777" w:rsidR="005F05AC" w:rsidRPr="009A3BB5" w:rsidRDefault="00C902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3BB5">
              <w:rPr>
                <w:rFonts w:ascii="Times New Roman" w:hAnsi="Times New Roman" w:cs="Times New Roman"/>
                <w:sz w:val="24"/>
                <w:szCs w:val="24"/>
              </w:rPr>
              <w:t>Wave 1</w:t>
            </w:r>
          </w:p>
        </w:tc>
        <w:tc>
          <w:tcPr>
            <w:tcW w:w="2190" w:type="dxa"/>
            <w:vAlign w:val="center"/>
          </w:tcPr>
          <w:p w14:paraId="339A6E8C" w14:textId="77777777" w:rsidR="005F05AC" w:rsidRPr="009A3BB5" w:rsidRDefault="00C902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3BB5">
              <w:rPr>
                <w:rFonts w:ascii="Times New Roman" w:hAnsi="Times New Roman" w:cs="Times New Roman"/>
                <w:sz w:val="24"/>
                <w:szCs w:val="24"/>
              </w:rPr>
              <w:t>Wave 2</w:t>
            </w:r>
          </w:p>
        </w:tc>
      </w:tr>
      <w:tr w:rsidR="005F05AC" w:rsidRPr="009A3BB5" w14:paraId="339A6E92"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8E" w14:textId="77777777" w:rsidR="005F05AC" w:rsidRPr="009A3BB5" w:rsidRDefault="00C902E5">
            <w:pPr>
              <w:rPr>
                <w:rFonts w:ascii="Times New Roman" w:hAnsi="Times New Roman" w:cs="Times New Roman"/>
              </w:rPr>
            </w:pPr>
            <w:r w:rsidRPr="009A3BB5">
              <w:rPr>
                <w:rFonts w:ascii="Times New Roman" w:hAnsi="Times New Roman" w:cs="Times New Roman"/>
              </w:rPr>
              <w:t>Age group</w:t>
            </w:r>
          </w:p>
        </w:tc>
        <w:tc>
          <w:tcPr>
            <w:tcW w:w="1965" w:type="dxa"/>
          </w:tcPr>
          <w:p w14:paraId="339A6E8F" w14:textId="77777777" w:rsidR="005F05AC" w:rsidRPr="009A3BB5" w:rsidRDefault="005F05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00" w:type="dxa"/>
          </w:tcPr>
          <w:p w14:paraId="339A6E90" w14:textId="77777777" w:rsidR="005F05AC" w:rsidRPr="009A3BB5" w:rsidRDefault="005F05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90" w:type="dxa"/>
          </w:tcPr>
          <w:p w14:paraId="339A6E91" w14:textId="77777777" w:rsidR="005F05AC" w:rsidRPr="009A3BB5" w:rsidRDefault="005F05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05AC" w:rsidRPr="009A3BB5" w14:paraId="339A6E97"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93" w14:textId="77777777" w:rsidR="005F05AC" w:rsidRPr="009A3BB5" w:rsidRDefault="00C902E5">
            <w:pPr>
              <w:rPr>
                <w:rFonts w:ascii="Times New Roman" w:hAnsi="Times New Roman" w:cs="Times New Roman"/>
              </w:rPr>
            </w:pPr>
            <w:r w:rsidRPr="009A3BB5">
              <w:rPr>
                <w:rFonts w:ascii="Times New Roman" w:hAnsi="Times New Roman" w:cs="Times New Roman"/>
              </w:rPr>
              <w:t>18-24</w:t>
            </w:r>
          </w:p>
        </w:tc>
        <w:tc>
          <w:tcPr>
            <w:tcW w:w="1965" w:type="dxa"/>
          </w:tcPr>
          <w:p w14:paraId="339A6E94"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316 (17.10%)</w:t>
            </w:r>
          </w:p>
        </w:tc>
        <w:tc>
          <w:tcPr>
            <w:tcW w:w="2100" w:type="dxa"/>
          </w:tcPr>
          <w:p w14:paraId="339A6E95"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232 (19.25%)</w:t>
            </w:r>
          </w:p>
        </w:tc>
        <w:tc>
          <w:tcPr>
            <w:tcW w:w="2190" w:type="dxa"/>
          </w:tcPr>
          <w:p w14:paraId="339A6E96"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84 (13.06%)</w:t>
            </w:r>
          </w:p>
        </w:tc>
      </w:tr>
      <w:tr w:rsidR="005F05AC" w:rsidRPr="009A3BB5" w14:paraId="339A6E9C" w14:textId="77777777" w:rsidTr="005F05A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98" w14:textId="77777777" w:rsidR="005F05AC" w:rsidRPr="009A3BB5" w:rsidRDefault="00C902E5">
            <w:pPr>
              <w:rPr>
                <w:rFonts w:ascii="Times New Roman" w:hAnsi="Times New Roman" w:cs="Times New Roman"/>
              </w:rPr>
            </w:pPr>
            <w:r w:rsidRPr="009A3BB5">
              <w:rPr>
                <w:rFonts w:ascii="Times New Roman" w:hAnsi="Times New Roman" w:cs="Times New Roman"/>
              </w:rPr>
              <w:t>25-34</w:t>
            </w:r>
          </w:p>
        </w:tc>
        <w:tc>
          <w:tcPr>
            <w:tcW w:w="1965" w:type="dxa"/>
          </w:tcPr>
          <w:p w14:paraId="339A6E99"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650 (35.17%)</w:t>
            </w:r>
          </w:p>
        </w:tc>
        <w:tc>
          <w:tcPr>
            <w:tcW w:w="2100" w:type="dxa"/>
          </w:tcPr>
          <w:p w14:paraId="339A6E9A"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442 (36.38%)</w:t>
            </w:r>
          </w:p>
        </w:tc>
        <w:tc>
          <w:tcPr>
            <w:tcW w:w="2190" w:type="dxa"/>
          </w:tcPr>
          <w:p w14:paraId="339A6E9B"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208 (32.35%)</w:t>
            </w:r>
          </w:p>
        </w:tc>
      </w:tr>
      <w:tr w:rsidR="005F05AC" w:rsidRPr="009A3BB5" w14:paraId="339A6EA1"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9D" w14:textId="77777777" w:rsidR="005F05AC" w:rsidRPr="009A3BB5" w:rsidRDefault="00C902E5">
            <w:pPr>
              <w:rPr>
                <w:rFonts w:ascii="Times New Roman" w:hAnsi="Times New Roman" w:cs="Times New Roman"/>
              </w:rPr>
            </w:pPr>
            <w:r w:rsidRPr="009A3BB5">
              <w:rPr>
                <w:rFonts w:ascii="Times New Roman" w:hAnsi="Times New Roman" w:cs="Times New Roman"/>
              </w:rPr>
              <w:t>35-44</w:t>
            </w:r>
          </w:p>
        </w:tc>
        <w:tc>
          <w:tcPr>
            <w:tcW w:w="1965" w:type="dxa"/>
          </w:tcPr>
          <w:p w14:paraId="339A6E9E"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651 (35.23%)</w:t>
            </w:r>
          </w:p>
        </w:tc>
        <w:tc>
          <w:tcPr>
            <w:tcW w:w="2100" w:type="dxa"/>
          </w:tcPr>
          <w:p w14:paraId="339A6E9F"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379 (31.45%)</w:t>
            </w:r>
          </w:p>
        </w:tc>
        <w:tc>
          <w:tcPr>
            <w:tcW w:w="2190" w:type="dxa"/>
          </w:tcPr>
          <w:p w14:paraId="339A6EA0"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272 (42.30%)</w:t>
            </w:r>
          </w:p>
        </w:tc>
      </w:tr>
      <w:tr w:rsidR="005F05AC" w:rsidRPr="009A3BB5" w14:paraId="339A6EA6"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A2" w14:textId="77777777" w:rsidR="005F05AC" w:rsidRPr="009A3BB5" w:rsidRDefault="00C902E5">
            <w:pPr>
              <w:rPr>
                <w:rFonts w:ascii="Times New Roman" w:hAnsi="Times New Roman" w:cs="Times New Roman"/>
              </w:rPr>
            </w:pPr>
            <w:r w:rsidRPr="009A3BB5">
              <w:rPr>
                <w:rFonts w:ascii="Times New Roman" w:hAnsi="Times New Roman" w:cs="Times New Roman"/>
              </w:rPr>
              <w:t>45-54</w:t>
            </w:r>
          </w:p>
        </w:tc>
        <w:tc>
          <w:tcPr>
            <w:tcW w:w="1965" w:type="dxa"/>
          </w:tcPr>
          <w:p w14:paraId="339A6EA3"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161 (8.71%)</w:t>
            </w:r>
          </w:p>
        </w:tc>
        <w:tc>
          <w:tcPr>
            <w:tcW w:w="2100" w:type="dxa"/>
          </w:tcPr>
          <w:p w14:paraId="339A6EA4"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95 (7.88%)</w:t>
            </w:r>
          </w:p>
        </w:tc>
        <w:tc>
          <w:tcPr>
            <w:tcW w:w="2190" w:type="dxa"/>
          </w:tcPr>
          <w:p w14:paraId="339A6EA5"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66 (10.26%)</w:t>
            </w:r>
          </w:p>
        </w:tc>
      </w:tr>
      <w:tr w:rsidR="005F05AC" w:rsidRPr="009A3BB5" w14:paraId="339A6EAB" w14:textId="77777777" w:rsidTr="005F05AC">
        <w:trPr>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A7" w14:textId="77777777" w:rsidR="005F05AC" w:rsidRPr="009A3BB5" w:rsidRDefault="00C902E5">
            <w:pPr>
              <w:rPr>
                <w:rFonts w:ascii="Times New Roman" w:hAnsi="Times New Roman" w:cs="Times New Roman"/>
              </w:rPr>
            </w:pPr>
            <w:r w:rsidRPr="009A3BB5">
              <w:rPr>
                <w:rFonts w:ascii="Times New Roman" w:hAnsi="Times New Roman" w:cs="Times New Roman"/>
              </w:rPr>
              <w:t>55-64</w:t>
            </w:r>
          </w:p>
        </w:tc>
        <w:tc>
          <w:tcPr>
            <w:tcW w:w="1965" w:type="dxa"/>
          </w:tcPr>
          <w:p w14:paraId="339A6EA8"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65 (3.52%)</w:t>
            </w:r>
          </w:p>
        </w:tc>
        <w:tc>
          <w:tcPr>
            <w:tcW w:w="2100" w:type="dxa"/>
          </w:tcPr>
          <w:p w14:paraId="339A6EA9"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53 (4.40%)</w:t>
            </w:r>
          </w:p>
        </w:tc>
        <w:tc>
          <w:tcPr>
            <w:tcW w:w="2190" w:type="dxa"/>
          </w:tcPr>
          <w:p w14:paraId="339A6EAA"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12 (1.87%)</w:t>
            </w:r>
          </w:p>
        </w:tc>
      </w:tr>
      <w:tr w:rsidR="005F05AC" w:rsidRPr="009A3BB5" w14:paraId="339A6EB0"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AC" w14:textId="77777777" w:rsidR="005F05AC" w:rsidRPr="009A3BB5" w:rsidRDefault="00C902E5">
            <w:pPr>
              <w:rPr>
                <w:rFonts w:ascii="Times New Roman" w:hAnsi="Times New Roman" w:cs="Times New Roman"/>
              </w:rPr>
            </w:pPr>
            <w:r w:rsidRPr="009A3BB5">
              <w:rPr>
                <w:rFonts w:ascii="Times New Roman" w:hAnsi="Times New Roman" w:cs="Times New Roman"/>
              </w:rPr>
              <w:t>65+</w:t>
            </w:r>
          </w:p>
        </w:tc>
        <w:tc>
          <w:tcPr>
            <w:tcW w:w="1965" w:type="dxa"/>
          </w:tcPr>
          <w:p w14:paraId="339A6EAD"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5 (0.27%)</w:t>
            </w:r>
          </w:p>
        </w:tc>
        <w:tc>
          <w:tcPr>
            <w:tcW w:w="2100" w:type="dxa"/>
          </w:tcPr>
          <w:p w14:paraId="339A6EAE"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 (0.33%)</w:t>
            </w:r>
          </w:p>
        </w:tc>
        <w:tc>
          <w:tcPr>
            <w:tcW w:w="2190" w:type="dxa"/>
          </w:tcPr>
          <w:p w14:paraId="339A6EAF"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 (0.16%)</w:t>
            </w:r>
          </w:p>
        </w:tc>
      </w:tr>
      <w:tr w:rsidR="005F05AC" w:rsidRPr="009A3BB5" w14:paraId="339A6EB5"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B1" w14:textId="77777777" w:rsidR="005F05AC" w:rsidRPr="009A3BB5" w:rsidRDefault="00C902E5">
            <w:pPr>
              <w:rPr>
                <w:rFonts w:ascii="Times New Roman" w:hAnsi="Times New Roman" w:cs="Times New Roman"/>
              </w:rPr>
            </w:pPr>
            <w:r w:rsidRPr="009A3BB5">
              <w:rPr>
                <w:rFonts w:ascii="Times New Roman" w:hAnsi="Times New Roman" w:cs="Times New Roman"/>
              </w:rPr>
              <w:t>Female</w:t>
            </w:r>
          </w:p>
        </w:tc>
        <w:tc>
          <w:tcPr>
            <w:tcW w:w="1965" w:type="dxa"/>
          </w:tcPr>
          <w:p w14:paraId="339A6EB2"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943 (51.03%)</w:t>
            </w:r>
          </w:p>
        </w:tc>
        <w:tc>
          <w:tcPr>
            <w:tcW w:w="2100" w:type="dxa"/>
          </w:tcPr>
          <w:p w14:paraId="339A6EB3"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632 (52.45%)</w:t>
            </w:r>
          </w:p>
        </w:tc>
        <w:tc>
          <w:tcPr>
            <w:tcW w:w="2190" w:type="dxa"/>
          </w:tcPr>
          <w:p w14:paraId="339A6EB4"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311 (48.37%)</w:t>
            </w:r>
          </w:p>
        </w:tc>
      </w:tr>
      <w:tr w:rsidR="005F05AC" w:rsidRPr="009A3BB5" w14:paraId="339A6EBA" w14:textId="77777777" w:rsidTr="005F05A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B6" w14:textId="77777777" w:rsidR="005F05AC" w:rsidRPr="009A3BB5" w:rsidRDefault="00C902E5">
            <w:pPr>
              <w:rPr>
                <w:rFonts w:ascii="Times New Roman" w:hAnsi="Times New Roman" w:cs="Times New Roman"/>
              </w:rPr>
            </w:pPr>
            <w:r w:rsidRPr="009A3BB5">
              <w:rPr>
                <w:rFonts w:ascii="Times New Roman" w:hAnsi="Times New Roman" w:cs="Times New Roman"/>
              </w:rPr>
              <w:t>Education level</w:t>
            </w:r>
          </w:p>
        </w:tc>
        <w:tc>
          <w:tcPr>
            <w:tcW w:w="1965" w:type="dxa"/>
          </w:tcPr>
          <w:p w14:paraId="339A6EB7"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00" w:type="dxa"/>
          </w:tcPr>
          <w:p w14:paraId="339A6EB8"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90" w:type="dxa"/>
          </w:tcPr>
          <w:p w14:paraId="339A6EB9"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05AC" w:rsidRPr="009A3BB5" w14:paraId="339A6EBF"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BB" w14:textId="77777777" w:rsidR="005F05AC" w:rsidRPr="009A3BB5" w:rsidRDefault="00C902E5">
            <w:pPr>
              <w:rPr>
                <w:rFonts w:ascii="Times New Roman" w:hAnsi="Times New Roman" w:cs="Times New Roman"/>
              </w:rPr>
            </w:pPr>
            <w:r w:rsidRPr="009A3BB5">
              <w:rPr>
                <w:rFonts w:ascii="Times New Roman" w:hAnsi="Times New Roman" w:cs="Times New Roman"/>
              </w:rPr>
              <w:t>Primary</w:t>
            </w:r>
          </w:p>
        </w:tc>
        <w:tc>
          <w:tcPr>
            <w:tcW w:w="1965" w:type="dxa"/>
          </w:tcPr>
          <w:p w14:paraId="339A6EBC"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37 (2%)</w:t>
            </w:r>
          </w:p>
        </w:tc>
        <w:tc>
          <w:tcPr>
            <w:tcW w:w="2100" w:type="dxa"/>
          </w:tcPr>
          <w:p w14:paraId="339A6EBD"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30 (2.49%)</w:t>
            </w:r>
          </w:p>
        </w:tc>
        <w:tc>
          <w:tcPr>
            <w:tcW w:w="2190" w:type="dxa"/>
          </w:tcPr>
          <w:p w14:paraId="339A6EBE"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7 (1.09%)</w:t>
            </w:r>
          </w:p>
        </w:tc>
      </w:tr>
      <w:tr w:rsidR="005F05AC" w:rsidRPr="009A3BB5" w14:paraId="339A6EC4" w14:textId="77777777" w:rsidTr="005F05A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C0" w14:textId="77777777" w:rsidR="005F05AC" w:rsidRPr="009A3BB5" w:rsidRDefault="00C902E5">
            <w:pPr>
              <w:rPr>
                <w:rFonts w:ascii="Times New Roman" w:hAnsi="Times New Roman" w:cs="Times New Roman"/>
              </w:rPr>
            </w:pPr>
            <w:r w:rsidRPr="009A3BB5">
              <w:rPr>
                <w:rFonts w:ascii="Times New Roman" w:hAnsi="Times New Roman" w:cs="Times New Roman"/>
              </w:rPr>
              <w:t>Secondary</w:t>
            </w:r>
          </w:p>
        </w:tc>
        <w:tc>
          <w:tcPr>
            <w:tcW w:w="1965" w:type="dxa"/>
          </w:tcPr>
          <w:p w14:paraId="339A6EC1"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541 (29.27%)</w:t>
            </w:r>
          </w:p>
        </w:tc>
        <w:tc>
          <w:tcPr>
            <w:tcW w:w="2100" w:type="dxa"/>
          </w:tcPr>
          <w:p w14:paraId="339A6EC2"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388 (32.20%)</w:t>
            </w:r>
          </w:p>
        </w:tc>
        <w:tc>
          <w:tcPr>
            <w:tcW w:w="2190" w:type="dxa"/>
          </w:tcPr>
          <w:p w14:paraId="339A6EC3"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153 (23.79%)</w:t>
            </w:r>
          </w:p>
        </w:tc>
      </w:tr>
      <w:tr w:rsidR="005F05AC" w:rsidRPr="009A3BB5" w14:paraId="339A6EC9"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C5" w14:textId="77777777" w:rsidR="005F05AC" w:rsidRPr="009A3BB5" w:rsidRDefault="00C902E5">
            <w:pPr>
              <w:rPr>
                <w:rFonts w:ascii="Times New Roman" w:hAnsi="Times New Roman" w:cs="Times New Roman"/>
              </w:rPr>
            </w:pPr>
            <w:r w:rsidRPr="009A3BB5">
              <w:rPr>
                <w:rFonts w:ascii="Times New Roman" w:hAnsi="Times New Roman" w:cs="Times New Roman"/>
              </w:rPr>
              <w:t>Further (A-levels, GNVQ’s)</w:t>
            </w:r>
          </w:p>
        </w:tc>
        <w:tc>
          <w:tcPr>
            <w:tcW w:w="1965" w:type="dxa"/>
          </w:tcPr>
          <w:p w14:paraId="339A6EC6"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555 (30.03%)</w:t>
            </w:r>
          </w:p>
        </w:tc>
        <w:tc>
          <w:tcPr>
            <w:tcW w:w="2100" w:type="dxa"/>
          </w:tcPr>
          <w:p w14:paraId="339A6EC7"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356 (29.54%)</w:t>
            </w:r>
          </w:p>
        </w:tc>
        <w:tc>
          <w:tcPr>
            <w:tcW w:w="2190" w:type="dxa"/>
          </w:tcPr>
          <w:p w14:paraId="339A6EC8"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199 (30.95%)</w:t>
            </w:r>
          </w:p>
        </w:tc>
      </w:tr>
      <w:tr w:rsidR="005F05AC" w:rsidRPr="009A3BB5" w14:paraId="339A6ECE"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CA" w14:textId="77777777" w:rsidR="005F05AC" w:rsidRPr="009A3BB5" w:rsidRDefault="00C902E5">
            <w:pPr>
              <w:rPr>
                <w:rFonts w:ascii="Times New Roman" w:hAnsi="Times New Roman" w:cs="Times New Roman"/>
              </w:rPr>
            </w:pPr>
            <w:r w:rsidRPr="009A3BB5">
              <w:rPr>
                <w:rFonts w:ascii="Times New Roman" w:hAnsi="Times New Roman" w:cs="Times New Roman"/>
              </w:rPr>
              <w:t>Higher (degree or more)</w:t>
            </w:r>
          </w:p>
        </w:tc>
        <w:tc>
          <w:tcPr>
            <w:tcW w:w="1965" w:type="dxa"/>
          </w:tcPr>
          <w:p w14:paraId="339A6ECB"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715 (38.69%)</w:t>
            </w:r>
          </w:p>
        </w:tc>
        <w:tc>
          <w:tcPr>
            <w:tcW w:w="2100" w:type="dxa"/>
          </w:tcPr>
          <w:p w14:paraId="339A6ECC"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431 (35.77%)</w:t>
            </w:r>
          </w:p>
        </w:tc>
        <w:tc>
          <w:tcPr>
            <w:tcW w:w="2190" w:type="dxa"/>
          </w:tcPr>
          <w:p w14:paraId="339A6ECD"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284 (44.17%)</w:t>
            </w:r>
          </w:p>
        </w:tc>
      </w:tr>
      <w:tr w:rsidR="005F05AC" w:rsidRPr="009A3BB5" w14:paraId="339A6ED3" w14:textId="77777777" w:rsidTr="005F05AC">
        <w:trPr>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CF" w14:textId="77777777" w:rsidR="005F05AC" w:rsidRPr="009A3BB5" w:rsidRDefault="00C902E5">
            <w:pPr>
              <w:rPr>
                <w:rFonts w:ascii="Times New Roman" w:hAnsi="Times New Roman" w:cs="Times New Roman"/>
              </w:rPr>
            </w:pPr>
            <w:r w:rsidRPr="009A3BB5">
              <w:rPr>
                <w:rFonts w:ascii="Times New Roman" w:hAnsi="Times New Roman" w:cs="Times New Roman"/>
              </w:rPr>
              <w:t>Employed</w:t>
            </w:r>
          </w:p>
        </w:tc>
        <w:tc>
          <w:tcPr>
            <w:tcW w:w="1965" w:type="dxa"/>
          </w:tcPr>
          <w:p w14:paraId="339A6ED0"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1,296 (70.13%)</w:t>
            </w:r>
          </w:p>
        </w:tc>
        <w:tc>
          <w:tcPr>
            <w:tcW w:w="2100" w:type="dxa"/>
          </w:tcPr>
          <w:p w14:paraId="339A6ED1"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814 (67.55%)</w:t>
            </w:r>
          </w:p>
        </w:tc>
        <w:tc>
          <w:tcPr>
            <w:tcW w:w="2190" w:type="dxa"/>
          </w:tcPr>
          <w:p w14:paraId="339A6ED2"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482 (74.96%)</w:t>
            </w:r>
          </w:p>
        </w:tc>
      </w:tr>
      <w:tr w:rsidR="005F05AC" w:rsidRPr="009A3BB5" w14:paraId="339A6ED8"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D4" w14:textId="77777777" w:rsidR="005F05AC" w:rsidRPr="009A3BB5" w:rsidRDefault="00C902E5">
            <w:pPr>
              <w:rPr>
                <w:rFonts w:ascii="Times New Roman" w:hAnsi="Times New Roman" w:cs="Times New Roman"/>
              </w:rPr>
            </w:pPr>
            <w:r w:rsidRPr="009A3BB5">
              <w:rPr>
                <w:rFonts w:ascii="Times New Roman" w:hAnsi="Times New Roman" w:cs="Times New Roman"/>
              </w:rPr>
              <w:t>Household income</w:t>
            </w:r>
          </w:p>
        </w:tc>
        <w:tc>
          <w:tcPr>
            <w:tcW w:w="1965" w:type="dxa"/>
          </w:tcPr>
          <w:p w14:paraId="339A6ED5"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00" w:type="dxa"/>
          </w:tcPr>
          <w:p w14:paraId="339A6ED6"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90" w:type="dxa"/>
          </w:tcPr>
          <w:p w14:paraId="339A6ED7" w14:textId="77777777" w:rsidR="005F05AC" w:rsidRPr="009A3BB5" w:rsidRDefault="005F0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05AC" w:rsidRPr="009A3BB5" w14:paraId="339A6EDD"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D9" w14:textId="77777777" w:rsidR="005F05AC" w:rsidRPr="009A3BB5" w:rsidRDefault="00C902E5">
            <w:pPr>
              <w:rPr>
                <w:rFonts w:ascii="Times New Roman" w:hAnsi="Times New Roman" w:cs="Times New Roman"/>
              </w:rPr>
            </w:pPr>
            <w:r w:rsidRPr="009A3BB5">
              <w:rPr>
                <w:rFonts w:ascii="Times New Roman" w:hAnsi="Times New Roman" w:cs="Times New Roman"/>
              </w:rPr>
              <w:t>£0-12,999</w:t>
            </w:r>
          </w:p>
        </w:tc>
        <w:tc>
          <w:tcPr>
            <w:tcW w:w="1965" w:type="dxa"/>
          </w:tcPr>
          <w:p w14:paraId="339A6EDA"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350 (18.94%)</w:t>
            </w:r>
          </w:p>
        </w:tc>
        <w:tc>
          <w:tcPr>
            <w:tcW w:w="2100" w:type="dxa"/>
          </w:tcPr>
          <w:p w14:paraId="339A6EDB"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242 (20.08%)</w:t>
            </w:r>
          </w:p>
        </w:tc>
        <w:tc>
          <w:tcPr>
            <w:tcW w:w="2190" w:type="dxa"/>
          </w:tcPr>
          <w:p w14:paraId="339A6EDC"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108 (16.80%)</w:t>
            </w:r>
          </w:p>
        </w:tc>
      </w:tr>
      <w:tr w:rsidR="005F05AC" w:rsidRPr="009A3BB5" w14:paraId="339A6EE2" w14:textId="77777777" w:rsidTr="005F05A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DE" w14:textId="77777777" w:rsidR="005F05AC" w:rsidRPr="009A3BB5" w:rsidRDefault="00C902E5">
            <w:pPr>
              <w:rPr>
                <w:rFonts w:ascii="Times New Roman" w:hAnsi="Times New Roman" w:cs="Times New Roman"/>
              </w:rPr>
            </w:pPr>
            <w:r w:rsidRPr="009A3BB5">
              <w:rPr>
                <w:rFonts w:ascii="Times New Roman" w:hAnsi="Times New Roman" w:cs="Times New Roman"/>
              </w:rPr>
              <w:t>£13,000-£16,999</w:t>
            </w:r>
          </w:p>
        </w:tc>
        <w:tc>
          <w:tcPr>
            <w:tcW w:w="1965" w:type="dxa"/>
          </w:tcPr>
          <w:p w14:paraId="339A6EDF"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155 (8.39%)</w:t>
            </w:r>
          </w:p>
        </w:tc>
        <w:tc>
          <w:tcPr>
            <w:tcW w:w="2100" w:type="dxa"/>
          </w:tcPr>
          <w:p w14:paraId="339A6EE0"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114 (9.46%)</w:t>
            </w:r>
          </w:p>
        </w:tc>
        <w:tc>
          <w:tcPr>
            <w:tcW w:w="2190" w:type="dxa"/>
          </w:tcPr>
          <w:p w14:paraId="339A6EE1"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41 (6.38%)</w:t>
            </w:r>
          </w:p>
        </w:tc>
      </w:tr>
      <w:tr w:rsidR="005F05AC" w:rsidRPr="009A3BB5" w14:paraId="339A6EE7"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E3" w14:textId="77777777" w:rsidR="005F05AC" w:rsidRPr="009A3BB5" w:rsidRDefault="00C902E5">
            <w:pPr>
              <w:rPr>
                <w:rFonts w:ascii="Times New Roman" w:hAnsi="Times New Roman" w:cs="Times New Roman"/>
              </w:rPr>
            </w:pPr>
            <w:r w:rsidRPr="009A3BB5">
              <w:rPr>
                <w:rFonts w:ascii="Times New Roman" w:hAnsi="Times New Roman" w:cs="Times New Roman"/>
              </w:rPr>
              <w:t>£17,000-£19,999</w:t>
            </w:r>
          </w:p>
        </w:tc>
        <w:tc>
          <w:tcPr>
            <w:tcW w:w="1965" w:type="dxa"/>
          </w:tcPr>
          <w:p w14:paraId="339A6EE4"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135 (7.31%)</w:t>
            </w:r>
          </w:p>
        </w:tc>
        <w:tc>
          <w:tcPr>
            <w:tcW w:w="2100" w:type="dxa"/>
          </w:tcPr>
          <w:p w14:paraId="339A6EE5"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99 (8.22%)</w:t>
            </w:r>
          </w:p>
        </w:tc>
        <w:tc>
          <w:tcPr>
            <w:tcW w:w="2190" w:type="dxa"/>
          </w:tcPr>
          <w:p w14:paraId="339A6EE6"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36 (5.60%)</w:t>
            </w:r>
          </w:p>
        </w:tc>
      </w:tr>
      <w:tr w:rsidR="005F05AC" w:rsidRPr="009A3BB5" w14:paraId="339A6EEC" w14:textId="77777777" w:rsidTr="005F05A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E8" w14:textId="77777777" w:rsidR="005F05AC" w:rsidRPr="009A3BB5" w:rsidRDefault="00C902E5">
            <w:pPr>
              <w:rPr>
                <w:rFonts w:ascii="Times New Roman" w:hAnsi="Times New Roman" w:cs="Times New Roman"/>
              </w:rPr>
            </w:pPr>
            <w:r w:rsidRPr="009A3BB5">
              <w:rPr>
                <w:rFonts w:ascii="Times New Roman" w:hAnsi="Times New Roman" w:cs="Times New Roman"/>
              </w:rPr>
              <w:t>£20,000-£22,999</w:t>
            </w:r>
          </w:p>
        </w:tc>
        <w:tc>
          <w:tcPr>
            <w:tcW w:w="1965" w:type="dxa"/>
          </w:tcPr>
          <w:p w14:paraId="339A6EE9"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133 (7.20%)</w:t>
            </w:r>
          </w:p>
        </w:tc>
        <w:tc>
          <w:tcPr>
            <w:tcW w:w="2100" w:type="dxa"/>
          </w:tcPr>
          <w:p w14:paraId="339A6EEA"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87 (7.22%)</w:t>
            </w:r>
          </w:p>
        </w:tc>
        <w:tc>
          <w:tcPr>
            <w:tcW w:w="2190" w:type="dxa"/>
          </w:tcPr>
          <w:p w14:paraId="339A6EEB"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46 (7.15%)</w:t>
            </w:r>
          </w:p>
        </w:tc>
      </w:tr>
      <w:tr w:rsidR="005F05AC" w:rsidRPr="009A3BB5" w14:paraId="339A6EF1"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ED" w14:textId="77777777" w:rsidR="005F05AC" w:rsidRPr="009A3BB5" w:rsidRDefault="00C902E5">
            <w:pPr>
              <w:rPr>
                <w:rFonts w:ascii="Times New Roman" w:hAnsi="Times New Roman" w:cs="Times New Roman"/>
              </w:rPr>
            </w:pPr>
            <w:r w:rsidRPr="009A3BB5">
              <w:rPr>
                <w:rFonts w:ascii="Times New Roman" w:hAnsi="Times New Roman" w:cs="Times New Roman"/>
              </w:rPr>
              <w:t>£23,000-£26,999</w:t>
            </w:r>
          </w:p>
        </w:tc>
        <w:tc>
          <w:tcPr>
            <w:tcW w:w="1965" w:type="dxa"/>
          </w:tcPr>
          <w:p w14:paraId="339A6EEE"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130 (7.03%)</w:t>
            </w:r>
          </w:p>
        </w:tc>
        <w:tc>
          <w:tcPr>
            <w:tcW w:w="2100" w:type="dxa"/>
          </w:tcPr>
          <w:p w14:paraId="339A6EEF"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92 (7.63%)</w:t>
            </w:r>
          </w:p>
        </w:tc>
        <w:tc>
          <w:tcPr>
            <w:tcW w:w="2190" w:type="dxa"/>
          </w:tcPr>
          <w:p w14:paraId="339A6EF0"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38 (5.91%)</w:t>
            </w:r>
          </w:p>
        </w:tc>
      </w:tr>
      <w:tr w:rsidR="005F05AC" w:rsidRPr="009A3BB5" w14:paraId="339A6EF6"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F2" w14:textId="77777777" w:rsidR="005F05AC" w:rsidRPr="009A3BB5" w:rsidRDefault="00C902E5">
            <w:pPr>
              <w:rPr>
                <w:rFonts w:ascii="Times New Roman" w:hAnsi="Times New Roman" w:cs="Times New Roman"/>
              </w:rPr>
            </w:pPr>
            <w:r w:rsidRPr="009A3BB5">
              <w:rPr>
                <w:rFonts w:ascii="Times New Roman" w:hAnsi="Times New Roman" w:cs="Times New Roman"/>
              </w:rPr>
              <w:t>£27,000-£30,999</w:t>
            </w:r>
          </w:p>
        </w:tc>
        <w:tc>
          <w:tcPr>
            <w:tcW w:w="1965" w:type="dxa"/>
          </w:tcPr>
          <w:p w14:paraId="339A6EF3"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165 (8.93%)</w:t>
            </w:r>
          </w:p>
        </w:tc>
        <w:tc>
          <w:tcPr>
            <w:tcW w:w="2100" w:type="dxa"/>
          </w:tcPr>
          <w:p w14:paraId="339A6EF4"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104 (8.63%)</w:t>
            </w:r>
          </w:p>
        </w:tc>
        <w:tc>
          <w:tcPr>
            <w:tcW w:w="2190" w:type="dxa"/>
          </w:tcPr>
          <w:p w14:paraId="339A6EF5"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61 (9.49%)</w:t>
            </w:r>
          </w:p>
        </w:tc>
      </w:tr>
      <w:tr w:rsidR="005F05AC" w:rsidRPr="009A3BB5" w14:paraId="339A6EFB" w14:textId="77777777" w:rsidTr="005F05AC">
        <w:trPr>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EF7" w14:textId="77777777" w:rsidR="005F05AC" w:rsidRPr="009A3BB5" w:rsidRDefault="00C902E5">
            <w:pPr>
              <w:rPr>
                <w:rFonts w:ascii="Times New Roman" w:hAnsi="Times New Roman" w:cs="Times New Roman"/>
              </w:rPr>
            </w:pPr>
            <w:r w:rsidRPr="009A3BB5">
              <w:rPr>
                <w:rFonts w:ascii="Times New Roman" w:hAnsi="Times New Roman" w:cs="Times New Roman"/>
              </w:rPr>
              <w:t>£31,000-£35,999</w:t>
            </w:r>
          </w:p>
        </w:tc>
        <w:tc>
          <w:tcPr>
            <w:tcW w:w="1965" w:type="dxa"/>
          </w:tcPr>
          <w:p w14:paraId="339A6EF8"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137 (7.41%)</w:t>
            </w:r>
          </w:p>
        </w:tc>
        <w:tc>
          <w:tcPr>
            <w:tcW w:w="2100" w:type="dxa"/>
          </w:tcPr>
          <w:p w14:paraId="339A6EF9"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85 (7.05%)</w:t>
            </w:r>
          </w:p>
        </w:tc>
        <w:tc>
          <w:tcPr>
            <w:tcW w:w="2190" w:type="dxa"/>
          </w:tcPr>
          <w:p w14:paraId="339A6EFA"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52 (8.09%)</w:t>
            </w:r>
          </w:p>
        </w:tc>
      </w:tr>
      <w:tr w:rsidR="005F05AC" w:rsidRPr="009A3BB5" w14:paraId="339A6F00"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EFC" w14:textId="77777777" w:rsidR="005F05AC" w:rsidRPr="009A3BB5" w:rsidRDefault="00C902E5">
            <w:pPr>
              <w:rPr>
                <w:rFonts w:ascii="Times New Roman" w:hAnsi="Times New Roman" w:cs="Times New Roman"/>
              </w:rPr>
            </w:pPr>
            <w:r w:rsidRPr="009A3BB5">
              <w:rPr>
                <w:rFonts w:ascii="Times New Roman" w:hAnsi="Times New Roman" w:cs="Times New Roman"/>
              </w:rPr>
              <w:t>£36,000-£43,999</w:t>
            </w:r>
          </w:p>
        </w:tc>
        <w:tc>
          <w:tcPr>
            <w:tcW w:w="1965" w:type="dxa"/>
          </w:tcPr>
          <w:p w14:paraId="339A6EFD"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174 (9.42%)</w:t>
            </w:r>
          </w:p>
        </w:tc>
        <w:tc>
          <w:tcPr>
            <w:tcW w:w="2100" w:type="dxa"/>
          </w:tcPr>
          <w:p w14:paraId="339A6EFE"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113 (9.38%)</w:t>
            </w:r>
          </w:p>
        </w:tc>
        <w:tc>
          <w:tcPr>
            <w:tcW w:w="2190" w:type="dxa"/>
          </w:tcPr>
          <w:p w14:paraId="339A6EFF"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61 (9.49%)</w:t>
            </w:r>
          </w:p>
        </w:tc>
      </w:tr>
      <w:tr w:rsidR="005F05AC" w:rsidRPr="009A3BB5" w14:paraId="339A6F05" w14:textId="77777777" w:rsidTr="005F05AC">
        <w:trPr>
          <w:trHeight w:val="282"/>
        </w:trPr>
        <w:tc>
          <w:tcPr>
            <w:cnfStyle w:val="001000000000" w:firstRow="0" w:lastRow="0" w:firstColumn="1" w:lastColumn="0" w:oddVBand="0" w:evenVBand="0" w:oddHBand="0" w:evenHBand="0" w:firstRowFirstColumn="0" w:firstRowLastColumn="0" w:lastRowFirstColumn="0" w:lastRowLastColumn="0"/>
            <w:tcW w:w="3060" w:type="dxa"/>
          </w:tcPr>
          <w:p w14:paraId="339A6F01" w14:textId="77777777" w:rsidR="005F05AC" w:rsidRPr="009A3BB5" w:rsidRDefault="00C902E5">
            <w:pPr>
              <w:rPr>
                <w:rFonts w:ascii="Times New Roman" w:hAnsi="Times New Roman" w:cs="Times New Roman"/>
              </w:rPr>
            </w:pPr>
            <w:r w:rsidRPr="009A3BB5">
              <w:rPr>
                <w:rFonts w:ascii="Times New Roman" w:hAnsi="Times New Roman" w:cs="Times New Roman"/>
              </w:rPr>
              <w:t>£44,000-£54,999</w:t>
            </w:r>
          </w:p>
        </w:tc>
        <w:tc>
          <w:tcPr>
            <w:tcW w:w="1965" w:type="dxa"/>
          </w:tcPr>
          <w:p w14:paraId="339A6F02"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193 (10.44%)</w:t>
            </w:r>
          </w:p>
        </w:tc>
        <w:tc>
          <w:tcPr>
            <w:tcW w:w="2100" w:type="dxa"/>
          </w:tcPr>
          <w:p w14:paraId="339A6F03"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105 (8.71%)</w:t>
            </w:r>
          </w:p>
        </w:tc>
        <w:tc>
          <w:tcPr>
            <w:tcW w:w="2190" w:type="dxa"/>
          </w:tcPr>
          <w:p w14:paraId="339A6F04"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88 (13.69%)</w:t>
            </w:r>
          </w:p>
        </w:tc>
      </w:tr>
      <w:tr w:rsidR="005F05AC" w:rsidRPr="009A3BB5" w14:paraId="339A6F0A" w14:textId="77777777" w:rsidTr="005F05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F06" w14:textId="77777777" w:rsidR="005F05AC" w:rsidRPr="009A3BB5" w:rsidRDefault="00C902E5">
            <w:pPr>
              <w:rPr>
                <w:rFonts w:ascii="Times New Roman" w:hAnsi="Times New Roman" w:cs="Times New Roman"/>
              </w:rPr>
            </w:pPr>
            <w:r w:rsidRPr="009A3BB5">
              <w:rPr>
                <w:rFonts w:ascii="Times New Roman" w:hAnsi="Times New Roman" w:cs="Times New Roman"/>
              </w:rPr>
              <w:t>£55,000+</w:t>
            </w:r>
          </w:p>
        </w:tc>
        <w:tc>
          <w:tcPr>
            <w:tcW w:w="1965" w:type="dxa"/>
          </w:tcPr>
          <w:p w14:paraId="339A6F07"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276 (14.94%)</w:t>
            </w:r>
          </w:p>
        </w:tc>
        <w:tc>
          <w:tcPr>
            <w:tcW w:w="2100" w:type="dxa"/>
          </w:tcPr>
          <w:p w14:paraId="339A6F08"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164 (13.61%)</w:t>
            </w:r>
          </w:p>
        </w:tc>
        <w:tc>
          <w:tcPr>
            <w:tcW w:w="2190" w:type="dxa"/>
          </w:tcPr>
          <w:p w14:paraId="339A6F09" w14:textId="77777777" w:rsidR="005F05AC" w:rsidRPr="009A3BB5" w:rsidRDefault="00C902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BB5">
              <w:rPr>
                <w:rFonts w:ascii="Times New Roman" w:hAnsi="Times New Roman" w:cs="Times New Roman"/>
              </w:rPr>
              <w:t>112 (17.42%)</w:t>
            </w:r>
          </w:p>
        </w:tc>
      </w:tr>
      <w:tr w:rsidR="005F05AC" w:rsidRPr="009A3BB5" w14:paraId="339A6F0F" w14:textId="77777777" w:rsidTr="005F05AC">
        <w:trPr>
          <w:trHeight w:val="269"/>
        </w:trPr>
        <w:tc>
          <w:tcPr>
            <w:cnfStyle w:val="001000000000" w:firstRow="0" w:lastRow="0" w:firstColumn="1" w:lastColumn="0" w:oddVBand="0" w:evenVBand="0" w:oddHBand="0" w:evenHBand="0" w:firstRowFirstColumn="0" w:firstRowLastColumn="0" w:lastRowFirstColumn="0" w:lastRowLastColumn="0"/>
            <w:tcW w:w="3060" w:type="dxa"/>
          </w:tcPr>
          <w:p w14:paraId="339A6F0B" w14:textId="77777777" w:rsidR="005F05AC" w:rsidRPr="009A3BB5" w:rsidRDefault="00C902E5">
            <w:pPr>
              <w:rPr>
                <w:rFonts w:ascii="Times New Roman" w:hAnsi="Times New Roman" w:cs="Times New Roman"/>
              </w:rPr>
            </w:pPr>
            <w:r w:rsidRPr="009A3BB5">
              <w:rPr>
                <w:rFonts w:ascii="Times New Roman" w:hAnsi="Times New Roman" w:cs="Times New Roman"/>
              </w:rPr>
              <w:t>N</w:t>
            </w:r>
          </w:p>
        </w:tc>
        <w:tc>
          <w:tcPr>
            <w:tcW w:w="1965" w:type="dxa"/>
          </w:tcPr>
          <w:p w14:paraId="339A6F0C"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3BB5">
              <w:rPr>
                <w:rFonts w:ascii="Times New Roman" w:hAnsi="Times New Roman" w:cs="Times New Roman"/>
                <w:b/>
              </w:rPr>
              <w:t>1,848</w:t>
            </w:r>
          </w:p>
        </w:tc>
        <w:tc>
          <w:tcPr>
            <w:tcW w:w="2100" w:type="dxa"/>
          </w:tcPr>
          <w:p w14:paraId="339A6F0D"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3BB5">
              <w:rPr>
                <w:rFonts w:ascii="Times New Roman" w:hAnsi="Times New Roman" w:cs="Times New Roman"/>
                <w:b/>
              </w:rPr>
              <w:t>1,205</w:t>
            </w:r>
          </w:p>
        </w:tc>
        <w:tc>
          <w:tcPr>
            <w:tcW w:w="2190" w:type="dxa"/>
          </w:tcPr>
          <w:p w14:paraId="339A6F0E" w14:textId="77777777" w:rsidR="005F05AC" w:rsidRPr="009A3BB5" w:rsidRDefault="00C902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3BB5">
              <w:rPr>
                <w:rFonts w:ascii="Times New Roman" w:hAnsi="Times New Roman" w:cs="Times New Roman"/>
                <w:b/>
              </w:rPr>
              <w:t>643</w:t>
            </w:r>
          </w:p>
        </w:tc>
      </w:tr>
    </w:tbl>
    <w:p w14:paraId="339A6F10" w14:textId="77777777" w:rsidR="005F05AC" w:rsidRPr="009A3BB5" w:rsidRDefault="00C902E5" w:rsidP="002E58E5">
      <w:pPr>
        <w:jc w:val="both"/>
        <w:rPr>
          <w:rFonts w:ascii="Times New Roman" w:hAnsi="Times New Roman" w:cs="Times New Roman"/>
        </w:rPr>
      </w:pPr>
      <w:r w:rsidRPr="009A3BB5">
        <w:rPr>
          <w:rFonts w:ascii="Times New Roman" w:hAnsi="Times New Roman" w:cs="Times New Roman"/>
        </w:rPr>
        <w:t>Notes: The first column represents the total sample in both waves. The other two columns represent participants’ characteristics across the two waves of the longitudinal study (Wave 1 and Wave 2).</w:t>
      </w:r>
    </w:p>
    <w:p w14:paraId="339A6F11" w14:textId="77777777" w:rsidR="005F05AC" w:rsidRPr="009A3BB5" w:rsidRDefault="00C902E5">
      <w:pPr>
        <w:pStyle w:val="Heading1"/>
        <w:spacing w:before="0" w:line="360" w:lineRule="auto"/>
        <w:rPr>
          <w:rFonts w:ascii="Times New Roman" w:hAnsi="Times New Roman" w:cs="Times New Roman"/>
          <w:sz w:val="32"/>
        </w:rPr>
      </w:pPr>
      <w:r w:rsidRPr="009A3BB5">
        <w:rPr>
          <w:rFonts w:ascii="Times New Roman" w:hAnsi="Times New Roman" w:cs="Times New Roman"/>
          <w:sz w:val="32"/>
        </w:rPr>
        <w:lastRenderedPageBreak/>
        <w:t xml:space="preserve">S2. Vaccination messages in Wave 1 </w:t>
      </w:r>
    </w:p>
    <w:p w14:paraId="339A6F12" w14:textId="77777777" w:rsidR="005F05AC" w:rsidRPr="009A3BB5" w:rsidRDefault="00C902E5" w:rsidP="002E58E5">
      <w:pPr>
        <w:pStyle w:val="Heading2"/>
        <w:jc w:val="both"/>
        <w:rPr>
          <w:rFonts w:ascii="Times New Roman" w:hAnsi="Times New Roman" w:cs="Times New Roman"/>
          <w:lang w:val="en-GB"/>
        </w:rPr>
      </w:pPr>
      <w:r w:rsidRPr="009A3BB5">
        <w:rPr>
          <w:rFonts w:ascii="Times New Roman" w:hAnsi="Times New Roman" w:cs="Times New Roman"/>
          <w:lang w:val="en-GB"/>
        </w:rPr>
        <w:t>S2.1 Vaccine efficacy condition</w:t>
      </w:r>
    </w:p>
    <w:p w14:paraId="339A6F13" w14:textId="77777777" w:rsidR="005F05AC" w:rsidRPr="009A3BB5" w:rsidRDefault="00C902E5" w:rsidP="002E58E5">
      <w:pPr>
        <w:jc w:val="both"/>
        <w:rPr>
          <w:rFonts w:ascii="Times New Roman" w:hAnsi="Times New Roman" w:cs="Times New Roman"/>
          <w:sz w:val="24"/>
          <w:szCs w:val="24"/>
        </w:rPr>
      </w:pPr>
      <w:r w:rsidRPr="009A3BB5">
        <w:rPr>
          <w:rFonts w:ascii="Times New Roman" w:hAnsi="Times New Roman" w:cs="Times New Roman"/>
          <w:sz w:val="24"/>
          <w:szCs w:val="24"/>
        </w:rPr>
        <w:t>Participants in the vaccine efficacy condition were exposed to the following information:</w:t>
      </w:r>
    </w:p>
    <w:p w14:paraId="339A6F14" w14:textId="77777777" w:rsidR="005F05AC" w:rsidRPr="009A3BB5" w:rsidRDefault="00C902E5">
      <w:r w:rsidRPr="009A3BB5">
        <w:rPr>
          <w:rFonts w:ascii="Cambria Math" w:eastAsia="Cambria Math" w:hAnsi="Cambria Math" w:cs="Cambria Math"/>
          <w:b/>
          <w:noProof/>
          <w:sz w:val="24"/>
          <w:szCs w:val="24"/>
        </w:rPr>
        <w:drawing>
          <wp:inline distT="0" distB="0" distL="0" distR="0" wp14:anchorId="339AC47B" wp14:editId="7599A6AD">
            <wp:extent cx="5760720" cy="3059430"/>
            <wp:effectExtent l="19050" t="19050" r="11430" b="26670"/>
            <wp:docPr id="94" name="image21.png" descr="Text,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Text, table&#10;&#10;Description automatically generated"/>
                    <pic:cNvPicPr preferRelativeResize="0"/>
                  </pic:nvPicPr>
                  <pic:blipFill>
                    <a:blip r:embed="rId9"/>
                    <a:srcRect/>
                    <a:stretch>
                      <a:fillRect/>
                    </a:stretch>
                  </pic:blipFill>
                  <pic:spPr>
                    <a:xfrm>
                      <a:off x="0" y="0"/>
                      <a:ext cx="5760720" cy="3059430"/>
                    </a:xfrm>
                    <a:prstGeom prst="rect">
                      <a:avLst/>
                    </a:prstGeom>
                    <a:ln>
                      <a:solidFill>
                        <a:schemeClr val="tx1"/>
                      </a:solidFill>
                    </a:ln>
                  </pic:spPr>
                </pic:pic>
              </a:graphicData>
            </a:graphic>
          </wp:inline>
        </w:drawing>
      </w:r>
    </w:p>
    <w:p w14:paraId="339A6F15" w14:textId="77777777" w:rsidR="005F05AC" w:rsidRPr="009A3BB5" w:rsidRDefault="005F05AC" w:rsidP="002E58E5">
      <w:pPr>
        <w:spacing w:after="0" w:line="240" w:lineRule="auto"/>
        <w:jc w:val="both"/>
        <w:rPr>
          <w:rFonts w:ascii="Times New Roman" w:hAnsi="Times New Roman" w:cs="Times New Roman"/>
          <w:sz w:val="20"/>
          <w:szCs w:val="20"/>
        </w:rPr>
      </w:pPr>
    </w:p>
    <w:p w14:paraId="339A6F16" w14:textId="77777777" w:rsidR="005F05AC" w:rsidRPr="009A3BB5" w:rsidRDefault="00C902E5" w:rsidP="002E58E5">
      <w:pPr>
        <w:pStyle w:val="Heading2"/>
        <w:jc w:val="both"/>
        <w:rPr>
          <w:rFonts w:ascii="Times New Roman" w:hAnsi="Times New Roman" w:cs="Times New Roman"/>
          <w:lang w:val="en-GB"/>
        </w:rPr>
      </w:pPr>
      <w:r w:rsidRPr="009A3BB5">
        <w:rPr>
          <w:rFonts w:ascii="Times New Roman" w:hAnsi="Times New Roman" w:cs="Times New Roman"/>
          <w:lang w:val="en-GB"/>
        </w:rPr>
        <w:t>S2.2 Vaccination certificate condition</w:t>
      </w:r>
    </w:p>
    <w:p w14:paraId="339A6F17" w14:textId="77777777" w:rsidR="005F05AC" w:rsidRPr="009A3BB5" w:rsidRDefault="00C902E5" w:rsidP="002E58E5">
      <w:pPr>
        <w:jc w:val="both"/>
        <w:rPr>
          <w:rFonts w:ascii="Times New Roman" w:hAnsi="Times New Roman" w:cs="Times New Roman"/>
          <w:sz w:val="24"/>
          <w:szCs w:val="24"/>
        </w:rPr>
      </w:pPr>
      <w:r w:rsidRPr="009A3BB5">
        <w:rPr>
          <w:rFonts w:ascii="Times New Roman" w:hAnsi="Times New Roman" w:cs="Times New Roman"/>
          <w:sz w:val="24"/>
          <w:szCs w:val="24"/>
        </w:rPr>
        <w:t>Participants in the vaccination certificate condition were exposed to the following information:</w:t>
      </w:r>
    </w:p>
    <w:p w14:paraId="339A6F19" w14:textId="53117899" w:rsidR="005F05AC" w:rsidRPr="009A3BB5" w:rsidRDefault="00C902E5" w:rsidP="00633F35">
      <w:r w:rsidRPr="009A3BB5">
        <w:rPr>
          <w:rFonts w:ascii="Cambria Math" w:eastAsia="Cambria Math" w:hAnsi="Cambria Math" w:cs="Cambria Math"/>
          <w:b/>
          <w:noProof/>
          <w:sz w:val="24"/>
          <w:szCs w:val="24"/>
        </w:rPr>
        <w:drawing>
          <wp:inline distT="0" distB="0" distL="0" distR="0" wp14:anchorId="339AC47D" wp14:editId="1C298DC9">
            <wp:extent cx="5760720" cy="2952750"/>
            <wp:effectExtent l="19050" t="19050" r="11430" b="19050"/>
            <wp:docPr id="96" name="image1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Graphical user interface, text, application, email&#10;&#10;Description automatically generated"/>
                    <pic:cNvPicPr preferRelativeResize="0"/>
                  </pic:nvPicPr>
                  <pic:blipFill>
                    <a:blip r:embed="rId10"/>
                    <a:srcRect/>
                    <a:stretch>
                      <a:fillRect/>
                    </a:stretch>
                  </pic:blipFill>
                  <pic:spPr>
                    <a:xfrm>
                      <a:off x="0" y="0"/>
                      <a:ext cx="5760720" cy="2952750"/>
                    </a:xfrm>
                    <a:prstGeom prst="rect">
                      <a:avLst/>
                    </a:prstGeom>
                    <a:ln>
                      <a:solidFill>
                        <a:schemeClr val="tx1"/>
                      </a:solidFill>
                    </a:ln>
                  </pic:spPr>
                </pic:pic>
              </a:graphicData>
            </a:graphic>
          </wp:inline>
        </w:drawing>
      </w:r>
    </w:p>
    <w:p w14:paraId="339A6F1A" w14:textId="77777777" w:rsidR="005F05AC" w:rsidRPr="009A3BB5" w:rsidRDefault="00C902E5" w:rsidP="002E58E5">
      <w:pPr>
        <w:pStyle w:val="Heading2"/>
        <w:jc w:val="both"/>
        <w:rPr>
          <w:rFonts w:ascii="Times New Roman" w:hAnsi="Times New Roman" w:cs="Times New Roman"/>
          <w:lang w:val="en-GB"/>
        </w:rPr>
      </w:pPr>
      <w:r w:rsidRPr="009A3BB5">
        <w:rPr>
          <w:rFonts w:ascii="Times New Roman" w:hAnsi="Times New Roman" w:cs="Times New Roman"/>
          <w:lang w:val="en-GB"/>
        </w:rPr>
        <w:lastRenderedPageBreak/>
        <w:t>S2.3 Collective benefits condition</w:t>
      </w:r>
    </w:p>
    <w:p w14:paraId="339A6F1B" w14:textId="77777777" w:rsidR="005F05AC" w:rsidRPr="009A3BB5" w:rsidRDefault="00C902E5" w:rsidP="002E58E5">
      <w:pPr>
        <w:jc w:val="both"/>
        <w:rPr>
          <w:rFonts w:ascii="Times New Roman" w:hAnsi="Times New Roman" w:cs="Times New Roman"/>
          <w:sz w:val="24"/>
          <w:szCs w:val="24"/>
        </w:rPr>
      </w:pPr>
      <w:r w:rsidRPr="009A3BB5">
        <w:rPr>
          <w:rFonts w:ascii="Times New Roman" w:hAnsi="Times New Roman" w:cs="Times New Roman"/>
          <w:sz w:val="24"/>
          <w:szCs w:val="24"/>
        </w:rPr>
        <w:t>Participants in the collective benefits of vaccination condition were exposed to the following information:</w:t>
      </w:r>
    </w:p>
    <w:p w14:paraId="339A6F1C" w14:textId="77777777" w:rsidR="005F05AC" w:rsidRPr="009A3BB5" w:rsidRDefault="00C902E5">
      <w:r w:rsidRPr="009A3BB5">
        <w:rPr>
          <w:rFonts w:ascii="Cambria Math" w:eastAsia="Cambria Math" w:hAnsi="Cambria Math" w:cs="Cambria Math"/>
          <w:b/>
          <w:noProof/>
          <w:sz w:val="24"/>
          <w:szCs w:val="24"/>
        </w:rPr>
        <w:drawing>
          <wp:inline distT="0" distB="0" distL="0" distR="0" wp14:anchorId="339AC47F" wp14:editId="1EE5A44C">
            <wp:extent cx="5760720" cy="3240405"/>
            <wp:effectExtent l="19050" t="19050" r="11430" b="17145"/>
            <wp:docPr id="95"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11"/>
                    <a:srcRect/>
                    <a:stretch>
                      <a:fillRect/>
                    </a:stretch>
                  </pic:blipFill>
                  <pic:spPr>
                    <a:xfrm>
                      <a:off x="0" y="0"/>
                      <a:ext cx="5760720" cy="3240405"/>
                    </a:xfrm>
                    <a:prstGeom prst="rect">
                      <a:avLst/>
                    </a:prstGeom>
                    <a:ln>
                      <a:solidFill>
                        <a:schemeClr val="tx1"/>
                      </a:solidFill>
                    </a:ln>
                  </pic:spPr>
                </pic:pic>
              </a:graphicData>
            </a:graphic>
          </wp:inline>
        </w:drawing>
      </w:r>
    </w:p>
    <w:p w14:paraId="339A6F1D" w14:textId="77777777" w:rsidR="005F05AC" w:rsidRPr="009A3BB5" w:rsidRDefault="005F05AC">
      <w:pPr>
        <w:rPr>
          <w:rFonts w:ascii="Times New Roman" w:hAnsi="Times New Roman" w:cs="Times New Roman"/>
        </w:rPr>
      </w:pPr>
    </w:p>
    <w:p w14:paraId="339A6F1E" w14:textId="77777777" w:rsidR="005F05AC" w:rsidRPr="009A3BB5" w:rsidRDefault="00C902E5">
      <w:pPr>
        <w:pStyle w:val="Heading1"/>
        <w:spacing w:line="360" w:lineRule="auto"/>
        <w:rPr>
          <w:rFonts w:ascii="Times New Roman" w:hAnsi="Times New Roman" w:cs="Times New Roman"/>
          <w:sz w:val="32"/>
        </w:rPr>
      </w:pPr>
      <w:r w:rsidRPr="009A3BB5">
        <w:rPr>
          <w:rFonts w:ascii="Times New Roman" w:hAnsi="Times New Roman" w:cs="Times New Roman"/>
          <w:sz w:val="32"/>
        </w:rPr>
        <w:t>S3. Procedure in Wave 1</w:t>
      </w:r>
    </w:p>
    <w:p w14:paraId="339A6F1F" w14:textId="77777777" w:rsidR="005F05AC" w:rsidRPr="009D0C21" w:rsidRDefault="00C902E5" w:rsidP="008A6B71">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t xml:space="preserve">Participants who took part in the first wave of the longitudinal study were asked to provide socio-demographic information including age, gender, education employment, household income and vaccination status. Vaccinated participants were excluded from wave 1. Unvaccinated participants who agreed to take part in wave 1 were randomly allocated into four different conditions: 1. control, where no information about vaccination was given 2. Vaccine efficacy condition 3. </w:t>
      </w:r>
      <w:r w:rsidRPr="009D0C21">
        <w:rPr>
          <w:rFonts w:ascii="Times New Roman" w:hAnsi="Times New Roman" w:cs="Times New Roman"/>
          <w:sz w:val="24"/>
          <w:szCs w:val="24"/>
        </w:rPr>
        <w:t xml:space="preserve">Vaccination certificate condition and 4. Collective benefits condition. Depending on the condition that participants were allocated into, they were asked attention-check questions. For instance, in the vaccine efficacy condition they were asked “How many people died from COVID-19 in the AstraZeneca group”. They were subsequently asked whether they would get vaccinated against COVID-19 in the next </w:t>
      </w:r>
      <w:proofErr w:type="gramStart"/>
      <w:r w:rsidRPr="009D0C21">
        <w:rPr>
          <w:rFonts w:ascii="Times New Roman" w:hAnsi="Times New Roman" w:cs="Times New Roman"/>
          <w:sz w:val="24"/>
          <w:szCs w:val="24"/>
        </w:rPr>
        <w:t>week, if</w:t>
      </w:r>
      <w:proofErr w:type="gramEnd"/>
      <w:r w:rsidRPr="009D0C21">
        <w:rPr>
          <w:rFonts w:ascii="Times New Roman" w:hAnsi="Times New Roman" w:cs="Times New Roman"/>
          <w:sz w:val="24"/>
          <w:szCs w:val="24"/>
        </w:rPr>
        <w:t xml:space="preserve"> they have the opportunity to do so. Finally, participants were asked a set of questions about the type of vaccine they would choose and the reasons for being unvaccinated.</w:t>
      </w:r>
    </w:p>
    <w:p w14:paraId="339A6F21" w14:textId="77777777" w:rsidR="005F05AC" w:rsidRPr="009A3BB5" w:rsidRDefault="005F05AC" w:rsidP="008A6B71">
      <w:pPr>
        <w:spacing w:after="0" w:line="276" w:lineRule="auto"/>
        <w:jc w:val="both"/>
        <w:rPr>
          <w:sz w:val="24"/>
          <w:szCs w:val="24"/>
        </w:rPr>
      </w:pPr>
    </w:p>
    <w:p w14:paraId="339A6F22" w14:textId="77777777" w:rsidR="005F05AC" w:rsidRPr="009A3BB5" w:rsidRDefault="00C902E5" w:rsidP="008A6B71">
      <w:pPr>
        <w:pStyle w:val="Heading1"/>
        <w:spacing w:before="0" w:line="360" w:lineRule="auto"/>
        <w:jc w:val="both"/>
        <w:rPr>
          <w:rFonts w:ascii="Times New Roman" w:hAnsi="Times New Roman" w:cs="Times New Roman"/>
          <w:sz w:val="32"/>
        </w:rPr>
      </w:pPr>
      <w:r w:rsidRPr="009A3BB5">
        <w:rPr>
          <w:rFonts w:ascii="Times New Roman" w:hAnsi="Times New Roman" w:cs="Times New Roman"/>
          <w:sz w:val="32"/>
        </w:rPr>
        <w:lastRenderedPageBreak/>
        <w:t>S4. Dependent variables in Wave 2</w:t>
      </w:r>
    </w:p>
    <w:p w14:paraId="339A6F23" w14:textId="77777777" w:rsidR="005F05AC" w:rsidRPr="009A3BB5" w:rsidRDefault="00C902E5" w:rsidP="008A6B71">
      <w:pPr>
        <w:pStyle w:val="Heading2"/>
        <w:jc w:val="both"/>
        <w:rPr>
          <w:rFonts w:ascii="Times New Roman" w:hAnsi="Times New Roman" w:cs="Times New Roman"/>
          <w:lang w:val="en-GB"/>
        </w:rPr>
      </w:pPr>
      <w:r w:rsidRPr="009A3BB5">
        <w:rPr>
          <w:rFonts w:ascii="Times New Roman" w:hAnsi="Times New Roman" w:cs="Times New Roman"/>
          <w:lang w:val="en-GB"/>
        </w:rPr>
        <w:t>S4.1 Protective behaviours</w:t>
      </w:r>
    </w:p>
    <w:p w14:paraId="339A6F24" w14:textId="77777777"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 xml:space="preserve">Participants were asked to what extent today and over the next two weeks they intend to engage in the following </w:t>
      </w:r>
      <w:proofErr w:type="gramStart"/>
      <w:r w:rsidRPr="009A3BB5">
        <w:rPr>
          <w:rFonts w:ascii="Times New Roman" w:hAnsi="Times New Roman" w:cs="Times New Roman"/>
          <w:sz w:val="24"/>
          <w:szCs w:val="24"/>
        </w:rPr>
        <w:t>behaviours</w:t>
      </w:r>
      <w:proofErr w:type="gramEnd"/>
    </w:p>
    <w:p w14:paraId="339A6F25"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Stay at home at all times unless I absolutely need to leave the </w:t>
      </w:r>
      <w:proofErr w:type="gramStart"/>
      <w:r w:rsidRPr="009A3BB5">
        <w:rPr>
          <w:rFonts w:ascii="Times New Roman" w:hAnsi="Times New Roman" w:cs="Times New Roman"/>
          <w:color w:val="000000"/>
          <w:sz w:val="24"/>
          <w:szCs w:val="24"/>
        </w:rPr>
        <w:t>house</w:t>
      </w:r>
      <w:proofErr w:type="gramEnd"/>
      <w:r w:rsidRPr="009A3BB5">
        <w:rPr>
          <w:rFonts w:ascii="Times New Roman" w:hAnsi="Times New Roman" w:cs="Times New Roman"/>
          <w:color w:val="000000"/>
          <w:sz w:val="24"/>
          <w:szCs w:val="24"/>
        </w:rPr>
        <w:t xml:space="preserve"> </w:t>
      </w:r>
    </w:p>
    <w:p w14:paraId="339A6F26"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Sanitise </w:t>
      </w:r>
      <w:proofErr w:type="gramStart"/>
      <w:r w:rsidRPr="009A3BB5">
        <w:rPr>
          <w:rFonts w:ascii="Times New Roman" w:hAnsi="Times New Roman" w:cs="Times New Roman"/>
          <w:color w:val="000000"/>
          <w:sz w:val="24"/>
          <w:szCs w:val="24"/>
        </w:rPr>
        <w:t>hands</w:t>
      </w:r>
      <w:proofErr w:type="gramEnd"/>
    </w:p>
    <w:p w14:paraId="339A6F27"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Wear a face mask when in public transport, in stores, at </w:t>
      </w:r>
      <w:proofErr w:type="gramStart"/>
      <w:r w:rsidRPr="009A3BB5">
        <w:rPr>
          <w:rFonts w:ascii="Times New Roman" w:hAnsi="Times New Roman" w:cs="Times New Roman"/>
          <w:color w:val="000000"/>
          <w:sz w:val="24"/>
          <w:szCs w:val="24"/>
        </w:rPr>
        <w:t>work</w:t>
      </w:r>
      <w:proofErr w:type="gramEnd"/>
    </w:p>
    <w:p w14:paraId="339A6F28"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Avoid meeting friends and family unless they live together with </w:t>
      </w:r>
      <w:proofErr w:type="gramStart"/>
      <w:r w:rsidRPr="009A3BB5">
        <w:rPr>
          <w:rFonts w:ascii="Times New Roman" w:hAnsi="Times New Roman" w:cs="Times New Roman"/>
          <w:color w:val="000000"/>
          <w:sz w:val="24"/>
          <w:szCs w:val="24"/>
        </w:rPr>
        <w:t>me</w:t>
      </w:r>
      <w:proofErr w:type="gramEnd"/>
    </w:p>
    <w:p w14:paraId="339A6F29"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Keep two metres distance from others when </w:t>
      </w:r>
      <w:proofErr w:type="gramStart"/>
      <w:r w:rsidRPr="009A3BB5">
        <w:rPr>
          <w:rFonts w:ascii="Times New Roman" w:hAnsi="Times New Roman" w:cs="Times New Roman"/>
          <w:color w:val="000000"/>
          <w:sz w:val="24"/>
          <w:szCs w:val="24"/>
        </w:rPr>
        <w:t>outside</w:t>
      </w:r>
      <w:proofErr w:type="gramEnd"/>
    </w:p>
    <w:p w14:paraId="339A6F2A"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Disinfect goods brought into the </w:t>
      </w:r>
      <w:proofErr w:type="gramStart"/>
      <w:r w:rsidRPr="009A3BB5">
        <w:rPr>
          <w:rFonts w:ascii="Times New Roman" w:hAnsi="Times New Roman" w:cs="Times New Roman"/>
          <w:color w:val="000000"/>
          <w:sz w:val="24"/>
          <w:szCs w:val="24"/>
        </w:rPr>
        <w:t>house</w:t>
      </w:r>
      <w:proofErr w:type="gramEnd"/>
    </w:p>
    <w:p w14:paraId="339A6F2B"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Follow the rule of six for indoor </w:t>
      </w:r>
      <w:proofErr w:type="gramStart"/>
      <w:r w:rsidRPr="009A3BB5">
        <w:rPr>
          <w:rFonts w:ascii="Times New Roman" w:hAnsi="Times New Roman" w:cs="Times New Roman"/>
          <w:color w:val="000000"/>
          <w:sz w:val="24"/>
          <w:szCs w:val="24"/>
        </w:rPr>
        <w:t>gatherings</w:t>
      </w:r>
      <w:proofErr w:type="gramEnd"/>
    </w:p>
    <w:p w14:paraId="339A6F2C"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Check in with Track and Trace app in restaurants and </w:t>
      </w:r>
      <w:proofErr w:type="gramStart"/>
      <w:r w:rsidRPr="009A3BB5">
        <w:rPr>
          <w:rFonts w:ascii="Times New Roman" w:hAnsi="Times New Roman" w:cs="Times New Roman"/>
          <w:color w:val="000000"/>
          <w:sz w:val="24"/>
          <w:szCs w:val="24"/>
        </w:rPr>
        <w:t>pubs</w:t>
      </w:r>
      <w:proofErr w:type="gramEnd"/>
    </w:p>
    <w:p w14:paraId="339A6F2D"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Avoid trips outside local </w:t>
      </w:r>
      <w:proofErr w:type="gramStart"/>
      <w:r w:rsidRPr="009A3BB5">
        <w:rPr>
          <w:rFonts w:ascii="Times New Roman" w:hAnsi="Times New Roman" w:cs="Times New Roman"/>
          <w:color w:val="000000"/>
          <w:sz w:val="24"/>
          <w:szCs w:val="24"/>
        </w:rPr>
        <w:t>district</w:t>
      </w:r>
      <w:proofErr w:type="gramEnd"/>
    </w:p>
    <w:p w14:paraId="339A6F2E"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Avoid international </w:t>
      </w:r>
      <w:proofErr w:type="gramStart"/>
      <w:r w:rsidRPr="009A3BB5">
        <w:rPr>
          <w:rFonts w:ascii="Times New Roman" w:hAnsi="Times New Roman" w:cs="Times New Roman"/>
          <w:color w:val="000000"/>
          <w:sz w:val="24"/>
          <w:szCs w:val="24"/>
        </w:rPr>
        <w:t>holiday</w:t>
      </w:r>
      <w:proofErr w:type="gramEnd"/>
    </w:p>
    <w:p w14:paraId="339A6F2F"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Wear a face mask when </w:t>
      </w:r>
      <w:proofErr w:type="gramStart"/>
      <w:r w:rsidRPr="009A3BB5">
        <w:rPr>
          <w:rFonts w:ascii="Times New Roman" w:hAnsi="Times New Roman" w:cs="Times New Roman"/>
          <w:color w:val="000000"/>
          <w:sz w:val="24"/>
          <w:szCs w:val="24"/>
        </w:rPr>
        <w:t>outside</w:t>
      </w:r>
      <w:proofErr w:type="gramEnd"/>
    </w:p>
    <w:p w14:paraId="339A6F30"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Monitor physical symptoms of COVID-19</w:t>
      </w:r>
    </w:p>
    <w:p w14:paraId="339A6F31"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Avoid touching </w:t>
      </w:r>
      <w:proofErr w:type="gramStart"/>
      <w:r w:rsidRPr="009A3BB5">
        <w:rPr>
          <w:rFonts w:ascii="Times New Roman" w:hAnsi="Times New Roman" w:cs="Times New Roman"/>
          <w:color w:val="000000"/>
          <w:sz w:val="24"/>
          <w:szCs w:val="24"/>
        </w:rPr>
        <w:t>face</w:t>
      </w:r>
      <w:proofErr w:type="gramEnd"/>
    </w:p>
    <w:p w14:paraId="339A6F32" w14:textId="77777777" w:rsidR="005F05AC" w:rsidRPr="009A3BB5" w:rsidRDefault="00C902E5" w:rsidP="008A6B71">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Cough and sneeze into elbow or </w:t>
      </w:r>
      <w:proofErr w:type="gramStart"/>
      <w:r w:rsidRPr="009A3BB5">
        <w:rPr>
          <w:rFonts w:ascii="Times New Roman" w:hAnsi="Times New Roman" w:cs="Times New Roman"/>
          <w:color w:val="000000"/>
          <w:sz w:val="24"/>
          <w:szCs w:val="24"/>
        </w:rPr>
        <w:t>tissue</w:t>
      </w:r>
      <w:proofErr w:type="gramEnd"/>
    </w:p>
    <w:p w14:paraId="339A6F33" w14:textId="77777777" w:rsidR="005F05AC" w:rsidRPr="009A3BB5" w:rsidRDefault="00C902E5" w:rsidP="008A6B71">
      <w:pPr>
        <w:numPr>
          <w:ilvl w:val="0"/>
          <w:numId w:val="2"/>
        </w:numPr>
        <w:pBdr>
          <w:top w:val="nil"/>
          <w:left w:val="nil"/>
          <w:bottom w:val="nil"/>
          <w:right w:val="nil"/>
          <w:between w:val="nil"/>
        </w:pBdr>
        <w:spacing w:after="20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Avoid hoarding groceries and household </w:t>
      </w:r>
      <w:proofErr w:type="gramStart"/>
      <w:r w:rsidRPr="009A3BB5">
        <w:rPr>
          <w:rFonts w:ascii="Times New Roman" w:hAnsi="Times New Roman" w:cs="Times New Roman"/>
          <w:color w:val="000000"/>
          <w:sz w:val="24"/>
          <w:szCs w:val="24"/>
        </w:rPr>
        <w:t>goods</w:t>
      </w:r>
      <w:proofErr w:type="gramEnd"/>
    </w:p>
    <w:p w14:paraId="339A6F34" w14:textId="639AC731"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Protective behaviours were measured on a 5-point scale (1 = Never, 2 = Rarely, 3 = Sometimes, 4 = Often, 5 = Always)</w:t>
      </w:r>
    </w:p>
    <w:p w14:paraId="43D89092" w14:textId="77777777" w:rsidR="00654244" w:rsidRPr="009A3BB5" w:rsidRDefault="00654244" w:rsidP="008A6B71">
      <w:pPr>
        <w:jc w:val="both"/>
        <w:rPr>
          <w:rFonts w:ascii="Times New Roman" w:hAnsi="Times New Roman" w:cs="Times New Roman"/>
        </w:rPr>
      </w:pPr>
    </w:p>
    <w:p w14:paraId="339A6F35" w14:textId="77777777" w:rsidR="005F05AC" w:rsidRPr="009A3BB5" w:rsidRDefault="00C902E5" w:rsidP="008A6B71">
      <w:pPr>
        <w:pStyle w:val="Heading2"/>
        <w:jc w:val="both"/>
        <w:rPr>
          <w:rFonts w:ascii="Times New Roman" w:hAnsi="Times New Roman" w:cs="Times New Roman"/>
          <w:lang w:val="en-GB"/>
        </w:rPr>
      </w:pPr>
      <w:r w:rsidRPr="009A3BB5">
        <w:rPr>
          <w:rFonts w:ascii="Times New Roman" w:hAnsi="Times New Roman" w:cs="Times New Roman"/>
          <w:lang w:val="en-GB"/>
        </w:rPr>
        <w:t>S4.2 Compliance behaviours</w:t>
      </w:r>
    </w:p>
    <w:p w14:paraId="339A6F36" w14:textId="77777777"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 xml:space="preserve">Participants were asked to what extent today and over the next two weeks they intend to engage in the following behaviours, in case of exhibiting mild symptoms of illness (e.g., coughing). </w:t>
      </w:r>
    </w:p>
    <w:p w14:paraId="339A6F37" w14:textId="77777777" w:rsidR="005F05AC" w:rsidRPr="009A3BB5" w:rsidRDefault="00C902E5" w:rsidP="008A6B71">
      <w:pPr>
        <w:numPr>
          <w:ilvl w:val="0"/>
          <w:numId w:val="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Self-quarantine</w:t>
      </w:r>
    </w:p>
    <w:p w14:paraId="339A6F38" w14:textId="77777777" w:rsidR="005F05AC" w:rsidRPr="009A3BB5" w:rsidRDefault="00C902E5" w:rsidP="008A6B71">
      <w:pPr>
        <w:numPr>
          <w:ilvl w:val="0"/>
          <w:numId w:val="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Immediately inform people who had contact with </w:t>
      </w:r>
      <w:proofErr w:type="gramStart"/>
      <w:r w:rsidRPr="009A3BB5">
        <w:rPr>
          <w:rFonts w:ascii="Times New Roman" w:hAnsi="Times New Roman" w:cs="Times New Roman"/>
          <w:color w:val="000000"/>
          <w:sz w:val="24"/>
          <w:szCs w:val="24"/>
        </w:rPr>
        <w:t>me</w:t>
      </w:r>
      <w:proofErr w:type="gramEnd"/>
    </w:p>
    <w:p w14:paraId="339A6F39" w14:textId="77777777" w:rsidR="005F05AC" w:rsidRPr="009A3BB5" w:rsidRDefault="00C902E5" w:rsidP="008A6B71">
      <w:pPr>
        <w:numPr>
          <w:ilvl w:val="0"/>
          <w:numId w:val="3"/>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Wear a face mask if I have to leave </w:t>
      </w:r>
      <w:proofErr w:type="gramStart"/>
      <w:r w:rsidRPr="009A3BB5">
        <w:rPr>
          <w:rFonts w:ascii="Times New Roman" w:hAnsi="Times New Roman" w:cs="Times New Roman"/>
          <w:color w:val="000000"/>
          <w:sz w:val="24"/>
          <w:szCs w:val="24"/>
        </w:rPr>
        <w:t>home</w:t>
      </w:r>
      <w:proofErr w:type="gramEnd"/>
    </w:p>
    <w:p w14:paraId="339A6F3A" w14:textId="77777777" w:rsidR="005F05AC" w:rsidRPr="009A3BB5" w:rsidRDefault="00C902E5" w:rsidP="008A6B71">
      <w:pPr>
        <w:numPr>
          <w:ilvl w:val="0"/>
          <w:numId w:val="3"/>
        </w:numPr>
        <w:pBdr>
          <w:top w:val="nil"/>
          <w:left w:val="nil"/>
          <w:bottom w:val="nil"/>
          <w:right w:val="nil"/>
          <w:between w:val="nil"/>
        </w:pBdr>
        <w:spacing w:after="20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Refrain from visiting NHS </w:t>
      </w:r>
      <w:proofErr w:type="gramStart"/>
      <w:r w:rsidRPr="009A3BB5">
        <w:rPr>
          <w:rFonts w:ascii="Times New Roman" w:hAnsi="Times New Roman" w:cs="Times New Roman"/>
          <w:color w:val="000000"/>
          <w:sz w:val="24"/>
          <w:szCs w:val="24"/>
        </w:rPr>
        <w:t>practices</w:t>
      </w:r>
      <w:proofErr w:type="gramEnd"/>
    </w:p>
    <w:p w14:paraId="339A6F3B" w14:textId="77777777"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Compliance behaviours were measured on a 5-point scale with verbal anchors “Does not apply at all” (1) and “It completely applies” (5).</w:t>
      </w:r>
    </w:p>
    <w:p w14:paraId="339A6F3C" w14:textId="77777777" w:rsidR="005F05AC" w:rsidRPr="009A3BB5" w:rsidRDefault="005F05AC" w:rsidP="008A6B71">
      <w:pPr>
        <w:jc w:val="both"/>
        <w:rPr>
          <w:rFonts w:ascii="Times New Roman" w:hAnsi="Times New Roman" w:cs="Times New Roman"/>
        </w:rPr>
      </w:pPr>
    </w:p>
    <w:p w14:paraId="339A6F3D" w14:textId="77777777" w:rsidR="005F05AC" w:rsidRPr="009A3BB5" w:rsidRDefault="00C902E5" w:rsidP="008A6B71">
      <w:pPr>
        <w:pStyle w:val="Heading2"/>
        <w:jc w:val="both"/>
        <w:rPr>
          <w:rFonts w:ascii="Times New Roman" w:hAnsi="Times New Roman" w:cs="Times New Roman"/>
          <w:lang w:val="en-GB"/>
        </w:rPr>
      </w:pPr>
      <w:r w:rsidRPr="009A3BB5">
        <w:rPr>
          <w:rFonts w:ascii="Times New Roman" w:hAnsi="Times New Roman" w:cs="Times New Roman"/>
          <w:lang w:val="en-GB"/>
        </w:rPr>
        <w:t>S4.3 Prosocial behaviours</w:t>
      </w:r>
    </w:p>
    <w:p w14:paraId="339A6F3E" w14:textId="77777777"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Participants were asked whether in the next two weeks they intend to engage in the following behaviours:</w:t>
      </w:r>
    </w:p>
    <w:p w14:paraId="339A6F3F"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lastRenderedPageBreak/>
        <w:t>Actively encourage friends and family in the UK to get vaccinated against COVID-19</w:t>
      </w:r>
    </w:p>
    <w:p w14:paraId="339A6F40"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Donate money to charities raising funds for COVID-19</w:t>
      </w:r>
    </w:p>
    <w:p w14:paraId="339A6F41"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Donate blood to the NHS</w:t>
      </w:r>
    </w:p>
    <w:p w14:paraId="339A6F42"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color w:val="000000"/>
          <w:sz w:val="24"/>
          <w:szCs w:val="24"/>
        </w:rPr>
        <w:t xml:space="preserve">Volunteer to help the </w:t>
      </w:r>
      <w:proofErr w:type="gramStart"/>
      <w:r w:rsidRPr="009A3BB5">
        <w:rPr>
          <w:rFonts w:ascii="Times New Roman" w:hAnsi="Times New Roman" w:cs="Times New Roman"/>
          <w:color w:val="000000"/>
          <w:sz w:val="24"/>
          <w:szCs w:val="24"/>
        </w:rPr>
        <w:t>NHS</w:t>
      </w:r>
      <w:proofErr w:type="gramEnd"/>
    </w:p>
    <w:p w14:paraId="339A6F43"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9A3BB5">
        <w:rPr>
          <w:rFonts w:ascii="Times New Roman" w:hAnsi="Times New Roman" w:cs="Times New Roman"/>
          <w:sz w:val="24"/>
          <w:szCs w:val="24"/>
        </w:rPr>
        <w:t xml:space="preserve">Volunteer to help the local community, e.g., vulnerable people, people out of </w:t>
      </w:r>
      <w:proofErr w:type="gramStart"/>
      <w:r w:rsidRPr="009A3BB5">
        <w:rPr>
          <w:rFonts w:ascii="Times New Roman" w:hAnsi="Times New Roman" w:cs="Times New Roman"/>
          <w:sz w:val="24"/>
          <w:szCs w:val="24"/>
        </w:rPr>
        <w:t>jobs</w:t>
      </w:r>
      <w:proofErr w:type="gramEnd"/>
    </w:p>
    <w:p w14:paraId="339A6F44" w14:textId="77777777" w:rsidR="005F05AC" w:rsidRPr="009A3BB5" w:rsidRDefault="00C902E5" w:rsidP="008A6B71">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A3BB5">
        <w:rPr>
          <w:rFonts w:ascii="Times New Roman" w:hAnsi="Times New Roman" w:cs="Times New Roman"/>
          <w:sz w:val="24"/>
          <w:szCs w:val="24"/>
        </w:rPr>
        <w:t xml:space="preserve">Campaign to donate COVID-19 vaccines to poorer </w:t>
      </w:r>
      <w:proofErr w:type="gramStart"/>
      <w:r w:rsidRPr="009A3BB5">
        <w:rPr>
          <w:rFonts w:ascii="Times New Roman" w:hAnsi="Times New Roman" w:cs="Times New Roman"/>
          <w:sz w:val="24"/>
          <w:szCs w:val="24"/>
        </w:rPr>
        <w:t>countries</w:t>
      </w:r>
      <w:proofErr w:type="gramEnd"/>
    </w:p>
    <w:p w14:paraId="339A6F45" w14:textId="77777777" w:rsidR="005F05AC" w:rsidRPr="009A3BB5" w:rsidRDefault="00C902E5" w:rsidP="008A6B71">
      <w:pPr>
        <w:numPr>
          <w:ilvl w:val="0"/>
          <w:numId w:val="1"/>
        </w:numPr>
        <w:pBdr>
          <w:top w:val="nil"/>
          <w:left w:val="nil"/>
          <w:bottom w:val="nil"/>
          <w:right w:val="nil"/>
          <w:between w:val="nil"/>
        </w:pBdr>
        <w:spacing w:after="200" w:line="276" w:lineRule="auto"/>
        <w:jc w:val="both"/>
        <w:rPr>
          <w:rFonts w:ascii="Times New Roman" w:hAnsi="Times New Roman" w:cs="Times New Roman"/>
          <w:color w:val="000000"/>
          <w:sz w:val="24"/>
          <w:szCs w:val="24"/>
        </w:rPr>
      </w:pPr>
      <w:r w:rsidRPr="009A3BB5">
        <w:rPr>
          <w:rFonts w:ascii="Times New Roman" w:hAnsi="Times New Roman" w:cs="Times New Roman"/>
          <w:sz w:val="24"/>
          <w:szCs w:val="24"/>
        </w:rPr>
        <w:t>Donate 20% of the money paid for survey participation to NHS Charities Together</w:t>
      </w:r>
    </w:p>
    <w:p w14:paraId="339A6F46" w14:textId="77777777" w:rsidR="005F05AC" w:rsidRPr="009A3BB5" w:rsidRDefault="00C902E5" w:rsidP="008A6B71">
      <w:pPr>
        <w:jc w:val="both"/>
        <w:rPr>
          <w:rFonts w:ascii="Times New Roman" w:hAnsi="Times New Roman" w:cs="Times New Roman"/>
          <w:sz w:val="24"/>
          <w:szCs w:val="24"/>
        </w:rPr>
      </w:pPr>
      <w:r w:rsidRPr="009A3BB5">
        <w:rPr>
          <w:rFonts w:ascii="Times New Roman" w:hAnsi="Times New Roman" w:cs="Times New Roman"/>
          <w:sz w:val="24"/>
          <w:szCs w:val="24"/>
        </w:rPr>
        <w:t>The first prosocial behaviour (i.e., actively encouraging COVID-19 vaccination) was a 5-point categorical variable, measured on the same scale as in the protective behaviours. The rest of the prosocial behaviours were dichotomous variables, with possible values of 0 for “No” and 1 for “Yes”.</w:t>
      </w:r>
    </w:p>
    <w:p w14:paraId="339A6F47" w14:textId="77777777" w:rsidR="005F05AC" w:rsidRPr="009A3BB5" w:rsidRDefault="005F05AC" w:rsidP="008A6B71">
      <w:pPr>
        <w:jc w:val="both"/>
        <w:rPr>
          <w:rFonts w:ascii="Times New Roman" w:hAnsi="Times New Roman" w:cs="Times New Roman"/>
        </w:rPr>
      </w:pPr>
    </w:p>
    <w:p w14:paraId="1F55049C" w14:textId="3D03EEC5" w:rsidR="00FF36F0" w:rsidRPr="00241603" w:rsidRDefault="00C902E5" w:rsidP="00241603">
      <w:pPr>
        <w:pStyle w:val="Heading1"/>
        <w:spacing w:before="0" w:line="360" w:lineRule="auto"/>
        <w:jc w:val="both"/>
        <w:rPr>
          <w:rFonts w:ascii="Times New Roman" w:hAnsi="Times New Roman" w:cs="Times New Roman"/>
          <w:sz w:val="32"/>
        </w:rPr>
      </w:pPr>
      <w:r w:rsidRPr="009A3BB5">
        <w:rPr>
          <w:rFonts w:ascii="Times New Roman" w:hAnsi="Times New Roman" w:cs="Times New Roman"/>
          <w:sz w:val="32"/>
        </w:rPr>
        <w:t>S</w:t>
      </w:r>
      <w:r w:rsidR="00432374">
        <w:rPr>
          <w:rFonts w:ascii="Times New Roman" w:hAnsi="Times New Roman" w:cs="Times New Roman"/>
          <w:sz w:val="32"/>
        </w:rPr>
        <w:t>5</w:t>
      </w:r>
      <w:r w:rsidRPr="009A3BB5">
        <w:rPr>
          <w:rFonts w:ascii="Times New Roman" w:hAnsi="Times New Roman" w:cs="Times New Roman"/>
          <w:sz w:val="32"/>
        </w:rPr>
        <w:t xml:space="preserve">. Exploratory analyses and sociodemographic factors </w:t>
      </w:r>
    </w:p>
    <w:p w14:paraId="19ACB877" w14:textId="7764DF50" w:rsidR="001E1F0C" w:rsidRDefault="001E1F0C" w:rsidP="002C3231">
      <w:pPr>
        <w:spacing w:after="0" w:line="360" w:lineRule="auto"/>
        <w:jc w:val="both"/>
        <w:rPr>
          <w:rFonts w:ascii="Times New Roman" w:hAnsi="Times New Roman" w:cs="Times New Roman"/>
          <w:sz w:val="24"/>
          <w:szCs w:val="24"/>
        </w:rPr>
      </w:pPr>
      <w:r w:rsidRPr="00C9251B">
        <w:rPr>
          <w:rFonts w:ascii="Times New Roman" w:hAnsi="Times New Roman" w:cs="Times New Roman"/>
          <w:sz w:val="24"/>
          <w:szCs w:val="24"/>
        </w:rPr>
        <w:t>In all the multiple regression models, we controlled for sociodemographic factors such as age, gender, education, employment status and household income. Across the three comparisons, gender was found to be the most consistent significant determinant that was associated with most of the behaviours (i.e., women were more likely to engage in protective and compliance behaviours).</w:t>
      </w:r>
      <w:r>
        <w:rPr>
          <w:rFonts w:ascii="Times New Roman" w:hAnsi="Times New Roman" w:cs="Times New Roman"/>
          <w:sz w:val="24"/>
          <w:szCs w:val="24"/>
        </w:rPr>
        <w:t xml:space="preserve"> </w:t>
      </w:r>
    </w:p>
    <w:p w14:paraId="122D6B33" w14:textId="77777777" w:rsidR="001E1F0C" w:rsidRDefault="001E1F0C" w:rsidP="00512F93">
      <w:pPr>
        <w:spacing w:after="0" w:line="360" w:lineRule="auto"/>
        <w:jc w:val="both"/>
        <w:rPr>
          <w:rFonts w:ascii="Times New Roman" w:hAnsi="Times New Roman" w:cs="Times New Roman"/>
          <w:sz w:val="24"/>
          <w:szCs w:val="24"/>
        </w:rPr>
      </w:pPr>
    </w:p>
    <w:p w14:paraId="73763F51" w14:textId="722B2333" w:rsidR="001E1F0C" w:rsidRDefault="001E1F0C" w:rsidP="002C3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comparison by message condition (H1), apart from the sociodemographic factors we controlled for another explanatory variable, namely vaccination willingness. The reason for including this control in the comparison by condition (and not in the other two comparisons) was that this variable was measured only for participants who took part in wave 1, which included only unvaccinated people at that time. Like vaccination status, vaccination willingness was found to be significantly associated with various behaviours of interest. This finding complements the previous finding that vaccinated participants were more likely to engage in most of the protective, compliance, and prosocial behaviours: if not vaccinated, those willing to get vaccinated were also more likely to engage in such behaviours (Fig. </w:t>
      </w:r>
      <w:r w:rsidR="002C3231">
        <w:rPr>
          <w:rFonts w:ascii="Times New Roman" w:hAnsi="Times New Roman" w:cs="Times New Roman"/>
          <w:sz w:val="24"/>
          <w:szCs w:val="24"/>
        </w:rPr>
        <w:t>1-3</w:t>
      </w:r>
      <w:r>
        <w:rPr>
          <w:rFonts w:ascii="Times New Roman" w:hAnsi="Times New Roman" w:cs="Times New Roman"/>
          <w:sz w:val="24"/>
          <w:szCs w:val="24"/>
        </w:rPr>
        <w:t>). We further ran three subgroup analyses for H1, H2 and H3, dividing the sample by age, gender, and education respectivel</w:t>
      </w:r>
      <w:r w:rsidRPr="00E4171A">
        <w:rPr>
          <w:rFonts w:ascii="Times New Roman" w:hAnsi="Times New Roman" w:cs="Times New Roman"/>
          <w:sz w:val="24"/>
          <w:szCs w:val="24"/>
        </w:rPr>
        <w:t xml:space="preserve">y. Overall, the subgroup analyses yielded similar results to the main analyses and are therefore reported in </w:t>
      </w:r>
      <w:r>
        <w:rPr>
          <w:rFonts w:ascii="Times New Roman" w:hAnsi="Times New Roman" w:cs="Times New Roman"/>
          <w:sz w:val="24"/>
          <w:szCs w:val="24"/>
        </w:rPr>
        <w:t>(OSF link will be provided)</w:t>
      </w:r>
      <w:r w:rsidRPr="00E4171A">
        <w:rPr>
          <w:rFonts w:ascii="Times New Roman" w:hAnsi="Times New Roman" w:cs="Times New Roman"/>
          <w:sz w:val="24"/>
          <w:szCs w:val="24"/>
        </w:rPr>
        <w:t xml:space="preserve">. </w:t>
      </w:r>
      <w:r w:rsidRPr="00E4171A">
        <w:rPr>
          <w:rFonts w:ascii="Times New Roman" w:hAnsi="Times New Roman" w:cs="Times New Roman"/>
          <w:color w:val="000000"/>
          <w:sz w:val="24"/>
          <w:szCs w:val="24"/>
        </w:rPr>
        <w:t>We also used linear regression models as robustness checks and these, overall, yielded similar results to the ones presented above for logistic and ordered probit models regressions.</w:t>
      </w:r>
    </w:p>
    <w:p w14:paraId="4B4E3CDC" w14:textId="77777777" w:rsidR="001E1F0C" w:rsidRDefault="001E1F0C" w:rsidP="001E1F0C">
      <w:pPr>
        <w:keepNext/>
        <w:pBdr>
          <w:top w:val="nil"/>
          <w:left w:val="nil"/>
          <w:bottom w:val="nil"/>
          <w:right w:val="nil"/>
          <w:between w:val="nil"/>
        </w:pBdr>
        <w:spacing w:after="0" w:line="480" w:lineRule="auto"/>
        <w:contextualSpacing/>
        <w:jc w:val="both"/>
        <w:rPr>
          <w:rFonts w:ascii="Arial" w:hAnsi="Arial" w:cs="Arial"/>
          <w:b/>
          <w:color w:val="000000"/>
          <w:sz w:val="20"/>
          <w:szCs w:val="20"/>
        </w:rPr>
      </w:pPr>
    </w:p>
    <w:p w14:paraId="7813B980" w14:textId="77777777" w:rsidR="006B01CB" w:rsidRDefault="006B01CB" w:rsidP="006B01CB">
      <w:pPr>
        <w:spacing w:after="0" w:line="360" w:lineRule="auto"/>
        <w:rPr>
          <w:sz w:val="24"/>
          <w:szCs w:val="24"/>
        </w:rPr>
      </w:pPr>
      <w:r>
        <w:rPr>
          <w:noProof/>
        </w:rPr>
        <w:drawing>
          <wp:inline distT="0" distB="0" distL="0" distR="0" wp14:anchorId="58517A43" wp14:editId="48CC380D">
            <wp:extent cx="5731510" cy="4084320"/>
            <wp:effectExtent l="0" t="0" r="2540" b="11430"/>
            <wp:docPr id="12" name="Chart 12">
              <a:extLst xmlns:a="http://schemas.openxmlformats.org/drawingml/2006/main">
                <a:ext uri="{FF2B5EF4-FFF2-40B4-BE49-F238E27FC236}">
                  <a16:creationId xmlns:a16="http://schemas.microsoft.com/office/drawing/2014/main" id="{FF69F9E6-6D6A-4C90-98B1-B49C6C044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C06115" w14:textId="14780771" w:rsidR="006B01CB" w:rsidRPr="00D67F79" w:rsidRDefault="006B01CB" w:rsidP="006B01CB">
      <w:pPr>
        <w:pBdr>
          <w:top w:val="nil"/>
          <w:left w:val="nil"/>
          <w:bottom w:val="nil"/>
          <w:right w:val="nil"/>
          <w:between w:val="nil"/>
        </w:pBdr>
        <w:spacing w:after="0" w:line="240" w:lineRule="auto"/>
        <w:jc w:val="both"/>
        <w:rPr>
          <w:rFonts w:ascii="Times New Roman" w:hAnsi="Times New Roman" w:cs="Times New Roman"/>
          <w:b/>
          <w:color w:val="000000"/>
          <w:sz w:val="20"/>
          <w:szCs w:val="20"/>
        </w:rPr>
      </w:pPr>
      <w:bookmarkStart w:id="5" w:name="_heading=h.3dy6vkm" w:colFirst="0" w:colLast="0"/>
      <w:bookmarkEnd w:id="5"/>
      <w:r w:rsidRPr="00D67F79">
        <w:rPr>
          <w:rFonts w:ascii="Times New Roman" w:hAnsi="Times New Roman" w:cs="Times New Roman"/>
          <w:b/>
          <w:color w:val="000000"/>
          <w:sz w:val="20"/>
          <w:szCs w:val="20"/>
        </w:rPr>
        <w:t xml:space="preserve">Fig. </w:t>
      </w:r>
      <w:r w:rsidR="002C3231">
        <w:rPr>
          <w:rFonts w:ascii="Times New Roman" w:hAnsi="Times New Roman" w:cs="Times New Roman"/>
          <w:b/>
          <w:color w:val="000000"/>
          <w:sz w:val="20"/>
          <w:szCs w:val="20"/>
        </w:rPr>
        <w:t>1</w:t>
      </w:r>
      <w:r w:rsidRPr="00D67F79">
        <w:rPr>
          <w:rFonts w:ascii="Times New Roman" w:hAnsi="Times New Roman" w:cs="Times New Roman"/>
          <w:b/>
          <w:color w:val="000000"/>
          <w:sz w:val="20"/>
          <w:szCs w:val="20"/>
        </w:rPr>
        <w:t xml:space="preserve"> | Effect sizes of vaccination willingness on protective behaviours.</w:t>
      </w:r>
    </w:p>
    <w:p w14:paraId="1A592697" w14:textId="77777777" w:rsidR="006B01CB" w:rsidRDefault="006B01CB" w:rsidP="006B01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The dots represent regression coefficients. Error bars represent 95% Confidence Intervals. * The effect of participants’ vaccination willingness on the variables </w:t>
      </w:r>
      <w:r w:rsidRPr="00921BCE">
        <w:rPr>
          <w:rFonts w:ascii="Times New Roman" w:hAnsi="Times New Roman" w:cs="Times New Roman"/>
          <w:sz w:val="20"/>
          <w:szCs w:val="20"/>
        </w:rPr>
        <w:t>“Avoid international holiday”</w:t>
      </w:r>
      <w:r>
        <w:rPr>
          <w:rFonts w:ascii="Times New Roman" w:hAnsi="Times New Roman" w:cs="Times New Roman"/>
          <w:sz w:val="20"/>
          <w:szCs w:val="20"/>
        </w:rPr>
        <w:t xml:space="preserve"> and </w:t>
      </w:r>
      <w:r w:rsidRPr="00921BCE">
        <w:rPr>
          <w:rFonts w:ascii="Times New Roman" w:hAnsi="Times New Roman" w:cs="Times New Roman"/>
          <w:sz w:val="20"/>
          <w:szCs w:val="20"/>
        </w:rPr>
        <w:t>“Sneeze into elbow or tissue”</w:t>
      </w:r>
      <w:r>
        <w:rPr>
          <w:rFonts w:ascii="Times New Roman" w:hAnsi="Times New Roman" w:cs="Times New Roman"/>
          <w:sz w:val="20"/>
          <w:szCs w:val="20"/>
        </w:rPr>
        <w:t xml:space="preserve"> became non-significant after Bonferroni correction for multiple hypotheses testing.</w:t>
      </w:r>
    </w:p>
    <w:p w14:paraId="692A3F07" w14:textId="77777777" w:rsidR="006B01CB" w:rsidRDefault="006B01CB" w:rsidP="006B01CB">
      <w:pPr>
        <w:spacing w:line="480" w:lineRule="auto"/>
      </w:pPr>
    </w:p>
    <w:p w14:paraId="14C0D706" w14:textId="77777777" w:rsidR="006B01CB" w:rsidRDefault="006B01CB" w:rsidP="006B01CB">
      <w:pPr>
        <w:spacing w:after="0" w:line="360" w:lineRule="auto"/>
      </w:pPr>
      <w:r>
        <w:rPr>
          <w:noProof/>
        </w:rPr>
        <w:drawing>
          <wp:inline distT="0" distB="0" distL="0" distR="0" wp14:anchorId="5D8F3126" wp14:editId="595D6442">
            <wp:extent cx="5731510" cy="2560320"/>
            <wp:effectExtent l="0" t="0" r="2540" b="11430"/>
            <wp:docPr id="13" name="Chart 13">
              <a:extLst xmlns:a="http://schemas.openxmlformats.org/drawingml/2006/main">
                <a:ext uri="{FF2B5EF4-FFF2-40B4-BE49-F238E27FC236}">
                  <a16:creationId xmlns:a16="http://schemas.microsoft.com/office/drawing/2014/main" id="{8DE48EFB-AF63-4F42-AB48-D3D77A45D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05AEBC" w14:textId="1893CC96" w:rsidR="006B01CB" w:rsidRPr="00D67F79" w:rsidRDefault="006B01CB" w:rsidP="006B01CB">
      <w:pPr>
        <w:pBdr>
          <w:top w:val="nil"/>
          <w:left w:val="nil"/>
          <w:bottom w:val="nil"/>
          <w:right w:val="nil"/>
          <w:between w:val="nil"/>
        </w:pBdr>
        <w:spacing w:after="0" w:line="240" w:lineRule="auto"/>
        <w:jc w:val="both"/>
        <w:rPr>
          <w:rFonts w:ascii="Times New Roman" w:hAnsi="Times New Roman" w:cs="Times New Roman"/>
          <w:b/>
          <w:color w:val="000000"/>
          <w:sz w:val="20"/>
          <w:szCs w:val="20"/>
        </w:rPr>
      </w:pPr>
      <w:bookmarkStart w:id="6" w:name="_heading=h.1t3h5sf" w:colFirst="0" w:colLast="0"/>
      <w:bookmarkEnd w:id="6"/>
      <w:r w:rsidRPr="00D67F79">
        <w:rPr>
          <w:rFonts w:ascii="Times New Roman" w:hAnsi="Times New Roman" w:cs="Times New Roman"/>
          <w:b/>
          <w:color w:val="000000"/>
          <w:sz w:val="20"/>
          <w:szCs w:val="20"/>
        </w:rPr>
        <w:lastRenderedPageBreak/>
        <w:t xml:space="preserve">Fig. </w:t>
      </w:r>
      <w:r w:rsidR="002C3231">
        <w:rPr>
          <w:rFonts w:ascii="Times New Roman" w:hAnsi="Times New Roman" w:cs="Times New Roman"/>
          <w:b/>
          <w:color w:val="000000"/>
          <w:sz w:val="20"/>
          <w:szCs w:val="20"/>
        </w:rPr>
        <w:t>2</w:t>
      </w:r>
      <w:r w:rsidRPr="00D67F79">
        <w:rPr>
          <w:rFonts w:ascii="Times New Roman" w:hAnsi="Times New Roman" w:cs="Times New Roman"/>
          <w:b/>
          <w:color w:val="000000"/>
          <w:sz w:val="20"/>
          <w:szCs w:val="20"/>
        </w:rPr>
        <w:t xml:space="preserve"> | Effect sizes of vaccination willingness on compliance behaviours.</w:t>
      </w:r>
    </w:p>
    <w:p w14:paraId="060D4CEC" w14:textId="77777777" w:rsidR="006B01CB" w:rsidRDefault="006B01CB" w:rsidP="006B01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The dots represent regression coefficients. Error bars are 95% Confidence Intervals. </w:t>
      </w:r>
      <w:r>
        <w:rPr>
          <w:rFonts w:ascii="Times New Roman" w:hAnsi="Times New Roman" w:cs="Times New Roman"/>
          <w:b/>
          <w:bCs/>
          <w:sz w:val="20"/>
          <w:szCs w:val="20"/>
        </w:rPr>
        <w:t>*</w:t>
      </w:r>
      <w:r>
        <w:rPr>
          <w:rFonts w:ascii="Times New Roman" w:hAnsi="Times New Roman" w:cs="Times New Roman"/>
          <w:sz w:val="20"/>
          <w:szCs w:val="20"/>
        </w:rPr>
        <w:t xml:space="preserve"> The effect of vaccination willingness on the variable </w:t>
      </w:r>
      <w:r w:rsidRPr="00921BCE">
        <w:rPr>
          <w:rFonts w:ascii="Times New Roman" w:hAnsi="Times New Roman" w:cs="Times New Roman"/>
          <w:sz w:val="20"/>
          <w:szCs w:val="20"/>
        </w:rPr>
        <w:t>“Self-quarantine”</w:t>
      </w:r>
      <w:r>
        <w:rPr>
          <w:rFonts w:ascii="Times New Roman" w:hAnsi="Times New Roman" w:cs="Times New Roman"/>
          <w:sz w:val="20"/>
          <w:szCs w:val="20"/>
        </w:rPr>
        <w:t xml:space="preserve"> became non-significant after Bonferroni correction for multiple hypotheses testing.</w:t>
      </w:r>
    </w:p>
    <w:p w14:paraId="474CBF6B" w14:textId="77777777" w:rsidR="006B01CB" w:rsidRDefault="006B01CB" w:rsidP="006B01CB">
      <w:pPr>
        <w:spacing w:line="480" w:lineRule="auto"/>
      </w:pPr>
    </w:p>
    <w:p w14:paraId="665842DC" w14:textId="77777777" w:rsidR="006B01CB" w:rsidRDefault="006B01CB" w:rsidP="006B01CB">
      <w:pPr>
        <w:spacing w:after="0" w:line="360" w:lineRule="auto"/>
      </w:pPr>
      <w:r>
        <w:rPr>
          <w:noProof/>
        </w:rPr>
        <w:drawing>
          <wp:inline distT="0" distB="0" distL="0" distR="0" wp14:anchorId="6EDC0F91" wp14:editId="0B4E147B">
            <wp:extent cx="5731510" cy="3093720"/>
            <wp:effectExtent l="0" t="0" r="2540" b="11430"/>
            <wp:docPr id="14" name="Chart 14">
              <a:extLst xmlns:a="http://schemas.openxmlformats.org/drawingml/2006/main">
                <a:ext uri="{FF2B5EF4-FFF2-40B4-BE49-F238E27FC236}">
                  <a16:creationId xmlns:a16="http://schemas.microsoft.com/office/drawing/2014/main" id="{52D0DD8E-9D49-4A26-B618-CAD0AF489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09EDB4" w14:textId="299C9C9E" w:rsidR="006B01CB" w:rsidRPr="00D67F79" w:rsidRDefault="006B01CB" w:rsidP="006B01CB">
      <w:pPr>
        <w:pBdr>
          <w:top w:val="nil"/>
          <w:left w:val="nil"/>
          <w:bottom w:val="nil"/>
          <w:right w:val="nil"/>
          <w:between w:val="nil"/>
        </w:pBdr>
        <w:spacing w:after="0" w:line="240" w:lineRule="auto"/>
        <w:jc w:val="both"/>
        <w:rPr>
          <w:rFonts w:ascii="Times New Roman" w:hAnsi="Times New Roman" w:cs="Times New Roman"/>
          <w:b/>
          <w:color w:val="000000"/>
          <w:sz w:val="20"/>
          <w:szCs w:val="20"/>
        </w:rPr>
      </w:pPr>
      <w:bookmarkStart w:id="7" w:name="_heading=h.4d34og8" w:colFirst="0" w:colLast="0"/>
      <w:bookmarkEnd w:id="7"/>
      <w:r w:rsidRPr="00D67F79">
        <w:rPr>
          <w:rFonts w:ascii="Times New Roman" w:hAnsi="Times New Roman" w:cs="Times New Roman"/>
          <w:b/>
          <w:color w:val="000000"/>
          <w:sz w:val="20"/>
          <w:szCs w:val="20"/>
        </w:rPr>
        <w:t xml:space="preserve">Fig. </w:t>
      </w:r>
      <w:r w:rsidR="002C3231">
        <w:rPr>
          <w:rFonts w:ascii="Times New Roman" w:hAnsi="Times New Roman" w:cs="Times New Roman"/>
          <w:b/>
          <w:color w:val="000000"/>
          <w:sz w:val="20"/>
          <w:szCs w:val="20"/>
        </w:rPr>
        <w:t>3</w:t>
      </w:r>
      <w:r w:rsidRPr="00D67F79">
        <w:rPr>
          <w:rFonts w:ascii="Times New Roman" w:hAnsi="Times New Roman" w:cs="Times New Roman"/>
          <w:b/>
          <w:color w:val="000000"/>
          <w:sz w:val="20"/>
          <w:szCs w:val="20"/>
        </w:rPr>
        <w:t xml:space="preserve"> | Effect sizes of vaccination willingness on prosocial behaviours.</w:t>
      </w:r>
    </w:p>
    <w:p w14:paraId="0EF0EEEE" w14:textId="77777777" w:rsidR="006B01CB" w:rsidRDefault="006B01CB" w:rsidP="006B01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The dots represent Odds Ratio. Error bars are 95% Confidence Intervals. The symbol </w:t>
      </w:r>
      <w:r>
        <w:rPr>
          <w:rFonts w:ascii="Times New Roman" w:hAnsi="Times New Roman" w:cs="Times New Roman"/>
          <w:b/>
          <w:bCs/>
          <w:sz w:val="20"/>
          <w:szCs w:val="20"/>
        </w:rPr>
        <w:t>*</w:t>
      </w:r>
      <w:r>
        <w:rPr>
          <w:rFonts w:ascii="Times New Roman" w:hAnsi="Times New Roman" w:cs="Times New Roman"/>
          <w:sz w:val="20"/>
          <w:szCs w:val="20"/>
        </w:rPr>
        <w:t xml:space="preserve"> indicates that the effects remained significant after Bonferroni correction for multiple hypotheses testing. The symbol </w:t>
      </w:r>
      <w:r>
        <w:rPr>
          <w:rFonts w:ascii="Times New Roman" w:hAnsi="Times New Roman" w:cs="Times New Roman"/>
          <w:b/>
          <w:bCs/>
          <w:sz w:val="20"/>
          <w:szCs w:val="20"/>
        </w:rPr>
        <w:t>†</w:t>
      </w:r>
      <w:r>
        <w:rPr>
          <w:rFonts w:ascii="Times New Roman" w:hAnsi="Times New Roman" w:cs="Times New Roman"/>
          <w:sz w:val="20"/>
          <w:szCs w:val="20"/>
        </w:rPr>
        <w:t xml:space="preserve"> represents the </w:t>
      </w:r>
      <w:r w:rsidRPr="007B4ECD">
        <w:rPr>
          <w:rFonts w:ascii="Times New Roman" w:hAnsi="Times New Roman" w:cs="Times New Roman"/>
          <w:sz w:val="20"/>
          <w:szCs w:val="20"/>
        </w:rPr>
        <w:t>“Encourage friends to get vaccinated</w:t>
      </w:r>
      <w:r>
        <w:rPr>
          <w:rFonts w:ascii="Times New Roman" w:hAnsi="Times New Roman" w:cs="Times New Roman"/>
          <w:sz w:val="20"/>
          <w:szCs w:val="20"/>
        </w:rPr>
        <w:t>” variable, which was a 5-level categorical variable regressed on vaccination willingness in an ordered probit model. The dot for this variable therefore represents the regression coefficient and not Odds Ratio. The effect was significant (b=1.06, CI 0.91-1.20, p&lt;0.001).</w:t>
      </w:r>
    </w:p>
    <w:p w14:paraId="4C0AE073" w14:textId="77777777" w:rsidR="006B01CB" w:rsidRDefault="006B01CB" w:rsidP="006B01CB">
      <w:pPr>
        <w:spacing w:after="0" w:line="360" w:lineRule="auto"/>
        <w:jc w:val="both"/>
        <w:rPr>
          <w:rFonts w:ascii="Times New Roman" w:hAnsi="Times New Roman" w:cs="Times New Roman"/>
          <w:sz w:val="24"/>
          <w:szCs w:val="24"/>
        </w:rPr>
      </w:pPr>
    </w:p>
    <w:p w14:paraId="53B36E76" w14:textId="77777777" w:rsidR="00241603" w:rsidRDefault="00241603" w:rsidP="006B01CB">
      <w:pPr>
        <w:spacing w:after="0" w:line="360" w:lineRule="auto"/>
        <w:jc w:val="both"/>
        <w:rPr>
          <w:rFonts w:ascii="Times New Roman" w:hAnsi="Times New Roman" w:cs="Times New Roman"/>
          <w:sz w:val="24"/>
          <w:szCs w:val="24"/>
        </w:rPr>
      </w:pPr>
    </w:p>
    <w:p w14:paraId="138197C5" w14:textId="77777777" w:rsidR="001E1F0C" w:rsidRDefault="001E1F0C" w:rsidP="002C3231">
      <w:pPr>
        <w:spacing w:after="0" w:line="360" w:lineRule="auto"/>
        <w:jc w:val="both"/>
        <w:rPr>
          <w:rFonts w:ascii="Times New Roman" w:hAnsi="Times New Roman" w:cs="Times New Roman"/>
          <w:bCs/>
          <w:i/>
          <w:iCs/>
          <w:sz w:val="24"/>
          <w:szCs w:val="24"/>
        </w:rPr>
      </w:pPr>
      <w:r w:rsidRPr="003959B5">
        <w:rPr>
          <w:rFonts w:ascii="Times New Roman" w:hAnsi="Times New Roman" w:cs="Times New Roman"/>
          <w:bCs/>
          <w:i/>
          <w:iCs/>
          <w:sz w:val="24"/>
          <w:szCs w:val="24"/>
        </w:rPr>
        <w:t>Effects on participants’ actual donations to the NHS</w:t>
      </w:r>
    </w:p>
    <w:p w14:paraId="6DA81DDB" w14:textId="3388F982" w:rsidR="001E1F0C" w:rsidRDefault="001E1F0C" w:rsidP="002C3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completing wave 2, participants were asked whether they wished to donate 20</w:t>
      </w:r>
      <w:r w:rsidR="00FF36F0">
        <w:rPr>
          <w:rFonts w:ascii="Times New Roman" w:hAnsi="Times New Roman" w:cs="Times New Roman"/>
          <w:sz w:val="24"/>
          <w:szCs w:val="24"/>
        </w:rPr>
        <w:t>%</w:t>
      </w:r>
      <w:r>
        <w:rPr>
          <w:rFonts w:ascii="Times New Roman" w:hAnsi="Times New Roman" w:cs="Times New Roman"/>
          <w:sz w:val="24"/>
          <w:szCs w:val="24"/>
        </w:rPr>
        <w:t xml:space="preserve"> of their study participation fee 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NHS charity. 80</w:t>
      </w:r>
      <w:r w:rsidR="00FF36F0">
        <w:rPr>
          <w:rFonts w:ascii="Times New Roman" w:hAnsi="Times New Roman" w:cs="Times New Roman"/>
          <w:sz w:val="24"/>
          <w:szCs w:val="24"/>
        </w:rPr>
        <w:t>%</w:t>
      </w:r>
      <w:r>
        <w:rPr>
          <w:rFonts w:ascii="Times New Roman" w:hAnsi="Times New Roman" w:cs="Times New Roman"/>
          <w:sz w:val="24"/>
          <w:szCs w:val="24"/>
        </w:rPr>
        <w:t xml:space="preserve"> of the participants (795/983) chose not to donate. None of the predictors or the explanatory variables described above was significantly associated with the choice to donate to the NHS charity, suggesting that, despite the observed effects of vaccination status, there were no significant differences between vaccinated and unvaccinated for this behavioural measure. To further measure participants’ behaviour, we also included a link to redirect them to the NHS Charities Together website. We subsequently tracked whether participants clicked on the link. None of the participants clicked on the link and, since the outcome did not vary, no statistical analysis was performed.</w:t>
      </w:r>
    </w:p>
    <w:p w14:paraId="74FFA6CB" w14:textId="77777777" w:rsidR="00561E92" w:rsidRPr="00D63135" w:rsidRDefault="00561E92" w:rsidP="00512F93">
      <w:pPr>
        <w:spacing w:after="0" w:line="360" w:lineRule="auto"/>
        <w:jc w:val="both"/>
        <w:rPr>
          <w:rFonts w:ascii="Times New Roman" w:hAnsi="Times New Roman" w:cs="Times New Roman"/>
          <w:sz w:val="24"/>
          <w:szCs w:val="24"/>
        </w:rPr>
      </w:pPr>
    </w:p>
    <w:p w14:paraId="339AC296" w14:textId="77777777" w:rsidR="005F05AC" w:rsidRPr="009A3BB5" w:rsidRDefault="00C902E5" w:rsidP="00632BFE">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t>Gender was included as an explanatory variable in all the regression models and found to be the most consistent determinant compared to other socio-demographic factors like age, education, household income and employment. Specifically, in the first comparison (by message condition), females were more likely to engage in nine out of the 15 protective behaviours (60%) and in all the compliance behaviours. This trend was reversed for prosocial behaviours, suggesting that females were less likely to donate money to charities (OR=1.016, CI 0.74-1.38, p&lt;0.001), volunteer to the NHS (OR=1.71, CI 1.30-2.24, p=0.003) and campaign for donating vaccines to other countries (OR=1.66, CI 1.27-2.17, p=0.005). Overall, gender was associated with 16 out of the 26 behaviours (61.50%).</w:t>
      </w:r>
    </w:p>
    <w:p w14:paraId="339AC297" w14:textId="77777777" w:rsidR="005F05AC" w:rsidRPr="009A3BB5" w:rsidRDefault="005F05AC" w:rsidP="00632BFE">
      <w:pPr>
        <w:spacing w:after="0" w:line="360" w:lineRule="auto"/>
        <w:jc w:val="both"/>
        <w:rPr>
          <w:rFonts w:ascii="Times New Roman" w:hAnsi="Times New Roman" w:cs="Times New Roman"/>
          <w:sz w:val="24"/>
          <w:szCs w:val="24"/>
        </w:rPr>
      </w:pPr>
    </w:p>
    <w:p w14:paraId="339AC298" w14:textId="77777777" w:rsidR="005F05AC" w:rsidRPr="009A3BB5" w:rsidRDefault="00C902E5" w:rsidP="00632BFE">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t xml:space="preserve">In the comparison by survey participation, gender was found to be associated with </w:t>
      </w:r>
      <w:proofErr w:type="gramStart"/>
      <w:r w:rsidRPr="009A3BB5">
        <w:rPr>
          <w:rFonts w:ascii="Times New Roman" w:hAnsi="Times New Roman" w:cs="Times New Roman"/>
          <w:sz w:val="24"/>
          <w:szCs w:val="24"/>
        </w:rPr>
        <w:t>exactly the same</w:t>
      </w:r>
      <w:proofErr w:type="gramEnd"/>
      <w:r w:rsidRPr="009A3BB5">
        <w:rPr>
          <w:rFonts w:ascii="Times New Roman" w:hAnsi="Times New Roman" w:cs="Times New Roman"/>
          <w:sz w:val="24"/>
          <w:szCs w:val="24"/>
        </w:rPr>
        <w:t xml:space="preserve"> behaviours as in the comparison by message condition, since the sample included all the participants from the first comparison. In the last comparison by vaccination status, gender was associated with only six out of the 26 behaviours of interest (23%). The mean differences between males and females are presented in the figures below. </w:t>
      </w:r>
    </w:p>
    <w:p w14:paraId="339AC299" w14:textId="77777777" w:rsidR="005F05AC" w:rsidRPr="009A3BB5" w:rsidRDefault="005F05AC" w:rsidP="00632BFE">
      <w:pPr>
        <w:spacing w:after="0" w:line="360" w:lineRule="auto"/>
        <w:jc w:val="both"/>
        <w:rPr>
          <w:rFonts w:ascii="Times New Roman" w:hAnsi="Times New Roman" w:cs="Times New Roman"/>
        </w:rPr>
      </w:pPr>
    </w:p>
    <w:p w14:paraId="339AC29A" w14:textId="2291FE1D" w:rsidR="005F05AC" w:rsidRPr="009A3BB5" w:rsidRDefault="00231CFA" w:rsidP="00D409D5">
      <w:pPr>
        <w:spacing w:after="0" w:line="360" w:lineRule="auto"/>
        <w:rPr>
          <w:rFonts w:ascii="Times New Roman" w:hAnsi="Times New Roman" w:cs="Times New Roman"/>
        </w:rPr>
      </w:pPr>
      <w:r w:rsidRPr="009A3BB5">
        <w:rPr>
          <w:noProof/>
        </w:rPr>
        <w:lastRenderedPageBreak/>
        <w:drawing>
          <wp:inline distT="0" distB="0" distL="0" distR="0" wp14:anchorId="55CE6C4F" wp14:editId="609DBBC0">
            <wp:extent cx="5943600" cy="4004310"/>
            <wp:effectExtent l="0" t="0" r="0" b="15240"/>
            <wp:docPr id="19" name="Chart 19">
              <a:extLst xmlns:a="http://schemas.openxmlformats.org/drawingml/2006/main">
                <a:ext uri="{FF2B5EF4-FFF2-40B4-BE49-F238E27FC236}">
                  <a16:creationId xmlns:a16="http://schemas.microsoft.com/office/drawing/2014/main" id="{0653FAC7-5211-4B83-9C4B-45244187DE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9AC29B" w14:textId="5869BD45" w:rsidR="005F05AC" w:rsidRPr="009A3BB5" w:rsidRDefault="00C902E5" w:rsidP="00632BFE">
      <w:pPr>
        <w:spacing w:after="0" w:line="240" w:lineRule="auto"/>
        <w:jc w:val="both"/>
        <w:rPr>
          <w:rFonts w:ascii="Times New Roman" w:hAnsi="Times New Roman" w:cs="Times New Roman"/>
          <w:b/>
          <w:sz w:val="20"/>
          <w:szCs w:val="20"/>
        </w:rPr>
      </w:pPr>
      <w:bookmarkStart w:id="8" w:name="_heading=h.3znysh7" w:colFirst="0" w:colLast="0"/>
      <w:bookmarkEnd w:id="8"/>
      <w:r w:rsidRPr="009A3BB5">
        <w:rPr>
          <w:rFonts w:ascii="Times New Roman" w:hAnsi="Times New Roman" w:cs="Times New Roman"/>
          <w:b/>
          <w:sz w:val="20"/>
          <w:szCs w:val="20"/>
        </w:rPr>
        <w:t>Fig</w:t>
      </w:r>
      <w:r w:rsidR="00B949B4">
        <w:rPr>
          <w:rFonts w:ascii="Times New Roman" w:hAnsi="Times New Roman" w:cs="Times New Roman"/>
          <w:b/>
          <w:sz w:val="20"/>
          <w:szCs w:val="20"/>
        </w:rPr>
        <w:t>.</w:t>
      </w:r>
      <w:r w:rsidR="002C3231">
        <w:rPr>
          <w:rFonts w:ascii="Times New Roman" w:hAnsi="Times New Roman" w:cs="Times New Roman"/>
          <w:b/>
          <w:sz w:val="20"/>
          <w:szCs w:val="20"/>
        </w:rPr>
        <w:t>4</w:t>
      </w:r>
      <w:r w:rsidRPr="009A3BB5">
        <w:rPr>
          <w:rFonts w:ascii="Times New Roman" w:hAnsi="Times New Roman" w:cs="Times New Roman"/>
          <w:b/>
          <w:sz w:val="20"/>
          <w:szCs w:val="20"/>
        </w:rPr>
        <w:t>. Means of intention to engage in protective behaviours by gender.</w:t>
      </w:r>
    </w:p>
    <w:p w14:paraId="339AC29C" w14:textId="675F4490" w:rsidR="005F05AC" w:rsidRPr="009A3BB5" w:rsidRDefault="00C902E5" w:rsidP="00632BFE">
      <w:pPr>
        <w:spacing w:after="0" w:line="240" w:lineRule="auto"/>
        <w:jc w:val="both"/>
        <w:rPr>
          <w:rFonts w:ascii="Times New Roman" w:hAnsi="Times New Roman" w:cs="Times New Roman"/>
        </w:rPr>
      </w:pPr>
      <w:r w:rsidRPr="009A3BB5">
        <w:rPr>
          <w:rFonts w:ascii="Times New Roman" w:hAnsi="Times New Roman" w:cs="Times New Roman"/>
          <w:sz w:val="20"/>
          <w:szCs w:val="20"/>
        </w:rPr>
        <w:t xml:space="preserve">Notes: This chart includes all the participants across the three comparisons. Protective behaviours were measured on a 1-5 scale with anchors from “Never” to “Always”. Higher values indicate higher engagement in protective behaviours. * </w:t>
      </w:r>
      <w:r w:rsidR="00650837" w:rsidRPr="009A3BB5">
        <w:rPr>
          <w:rFonts w:ascii="Times New Roman" w:hAnsi="Times New Roman" w:cs="Times New Roman"/>
          <w:sz w:val="20"/>
          <w:szCs w:val="20"/>
        </w:rPr>
        <w:t>“</w:t>
      </w:r>
      <w:r w:rsidRPr="009A3BB5">
        <w:rPr>
          <w:rFonts w:ascii="Times New Roman" w:hAnsi="Times New Roman" w:cs="Times New Roman"/>
          <w:sz w:val="20"/>
          <w:szCs w:val="20"/>
        </w:rPr>
        <w:t>Encouraging others to get vaccinated</w:t>
      </w:r>
      <w:r w:rsidR="00650837" w:rsidRPr="009A3BB5">
        <w:rPr>
          <w:rFonts w:ascii="Times New Roman" w:hAnsi="Times New Roman" w:cs="Times New Roman"/>
          <w:sz w:val="20"/>
          <w:szCs w:val="20"/>
        </w:rPr>
        <w:t>”</w:t>
      </w:r>
      <w:r w:rsidRPr="009A3BB5">
        <w:rPr>
          <w:rFonts w:ascii="Times New Roman" w:hAnsi="Times New Roman" w:cs="Times New Roman"/>
          <w:sz w:val="20"/>
          <w:szCs w:val="20"/>
        </w:rPr>
        <w:t xml:space="preserve"> was conceptualised as a prosocial behaviour. Due to its measure (i.e., 1-5 scale), it has been included in this graph, and not in the graph about prosocial behaviours, where results are presented in percentages (Fig</w:t>
      </w:r>
      <w:r w:rsidR="00B949B4">
        <w:rPr>
          <w:rFonts w:ascii="Times New Roman" w:hAnsi="Times New Roman" w:cs="Times New Roman"/>
          <w:sz w:val="20"/>
          <w:szCs w:val="20"/>
        </w:rPr>
        <w:t>.</w:t>
      </w:r>
      <w:r w:rsidRPr="009A3BB5">
        <w:rPr>
          <w:rFonts w:ascii="Times New Roman" w:hAnsi="Times New Roman" w:cs="Times New Roman"/>
          <w:sz w:val="20"/>
          <w:szCs w:val="20"/>
        </w:rPr>
        <w:t xml:space="preserve"> </w:t>
      </w:r>
      <w:r w:rsidR="002C3231">
        <w:rPr>
          <w:rFonts w:ascii="Times New Roman" w:hAnsi="Times New Roman" w:cs="Times New Roman"/>
          <w:sz w:val="20"/>
          <w:szCs w:val="20"/>
        </w:rPr>
        <w:t>6</w:t>
      </w:r>
      <w:r w:rsidRPr="009A3BB5">
        <w:rPr>
          <w:rFonts w:ascii="Times New Roman" w:hAnsi="Times New Roman" w:cs="Times New Roman"/>
          <w:sz w:val="20"/>
          <w:szCs w:val="20"/>
        </w:rPr>
        <w:t>).</w:t>
      </w:r>
    </w:p>
    <w:p w14:paraId="339AC29F" w14:textId="27913A6A" w:rsidR="005F05AC" w:rsidRPr="009A3BB5" w:rsidRDefault="005F05AC">
      <w:pPr>
        <w:spacing w:after="0" w:line="480" w:lineRule="auto"/>
        <w:rPr>
          <w:rFonts w:ascii="Times New Roman" w:hAnsi="Times New Roman" w:cs="Times New Roman"/>
        </w:rPr>
      </w:pPr>
    </w:p>
    <w:p w14:paraId="1824C140" w14:textId="5B323E44" w:rsidR="00313EFF" w:rsidRPr="009A3BB5" w:rsidRDefault="00F61A29" w:rsidP="00080D8D">
      <w:pPr>
        <w:spacing w:after="0" w:line="360" w:lineRule="auto"/>
        <w:rPr>
          <w:rFonts w:ascii="Times New Roman" w:hAnsi="Times New Roman" w:cs="Times New Roman"/>
          <w:b/>
          <w:sz w:val="20"/>
          <w:szCs w:val="20"/>
        </w:rPr>
      </w:pPr>
      <w:bookmarkStart w:id="9" w:name="_heading=h.2et92p0" w:colFirst="0" w:colLast="0"/>
      <w:bookmarkEnd w:id="9"/>
      <w:r w:rsidRPr="009A3BB5">
        <w:rPr>
          <w:noProof/>
        </w:rPr>
        <w:lastRenderedPageBreak/>
        <w:drawing>
          <wp:inline distT="0" distB="0" distL="0" distR="0" wp14:anchorId="318BAEBD" wp14:editId="2A892A12">
            <wp:extent cx="5775960" cy="3390900"/>
            <wp:effectExtent l="0" t="0" r="15240" b="0"/>
            <wp:docPr id="20" name="Chart 20">
              <a:extLst xmlns:a="http://schemas.openxmlformats.org/drawingml/2006/main">
                <a:ext uri="{FF2B5EF4-FFF2-40B4-BE49-F238E27FC236}">
                  <a16:creationId xmlns:a16="http://schemas.microsoft.com/office/drawing/2014/main" id="{59DFB584-CAC9-4D4C-960D-BB33D1223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9AC2A0" w14:textId="793324FB" w:rsidR="005F05AC" w:rsidRPr="009A3BB5" w:rsidRDefault="00C902E5" w:rsidP="00630B5C">
      <w:pPr>
        <w:spacing w:after="0" w:line="240" w:lineRule="auto"/>
        <w:jc w:val="both"/>
        <w:rPr>
          <w:rFonts w:ascii="Times New Roman" w:hAnsi="Times New Roman" w:cs="Times New Roman"/>
          <w:b/>
          <w:sz w:val="20"/>
          <w:szCs w:val="20"/>
        </w:rPr>
      </w:pPr>
      <w:r w:rsidRPr="009A3BB5">
        <w:rPr>
          <w:rFonts w:ascii="Times New Roman" w:hAnsi="Times New Roman" w:cs="Times New Roman"/>
          <w:b/>
          <w:sz w:val="20"/>
          <w:szCs w:val="20"/>
        </w:rPr>
        <w:t>Fig</w:t>
      </w:r>
      <w:r w:rsidR="00B949B4">
        <w:rPr>
          <w:rFonts w:ascii="Times New Roman" w:hAnsi="Times New Roman" w:cs="Times New Roman"/>
          <w:b/>
          <w:sz w:val="20"/>
          <w:szCs w:val="20"/>
        </w:rPr>
        <w:t>.</w:t>
      </w:r>
      <w:r w:rsidR="002C3231">
        <w:rPr>
          <w:rFonts w:ascii="Times New Roman" w:hAnsi="Times New Roman" w:cs="Times New Roman"/>
          <w:b/>
          <w:sz w:val="20"/>
          <w:szCs w:val="20"/>
        </w:rPr>
        <w:t>5</w:t>
      </w:r>
      <w:r w:rsidRPr="009A3BB5">
        <w:rPr>
          <w:rFonts w:ascii="Times New Roman" w:hAnsi="Times New Roman" w:cs="Times New Roman"/>
          <w:b/>
          <w:sz w:val="20"/>
          <w:szCs w:val="20"/>
        </w:rPr>
        <w:t>. Means of intention to engage in compliance behaviours by gender.</w:t>
      </w:r>
    </w:p>
    <w:p w14:paraId="339AC2A3" w14:textId="413BC7AF" w:rsidR="005F05AC" w:rsidRPr="009A3BB5" w:rsidRDefault="00C902E5" w:rsidP="00080D8D">
      <w:pPr>
        <w:spacing w:after="0" w:line="240" w:lineRule="auto"/>
        <w:ind w:right="288"/>
        <w:jc w:val="both"/>
        <w:rPr>
          <w:rFonts w:ascii="Times New Roman" w:hAnsi="Times New Roman" w:cs="Times New Roman"/>
          <w:sz w:val="20"/>
          <w:szCs w:val="20"/>
        </w:rPr>
      </w:pPr>
      <w:r w:rsidRPr="009A3BB5">
        <w:rPr>
          <w:rFonts w:ascii="Times New Roman" w:hAnsi="Times New Roman" w:cs="Times New Roman"/>
          <w:sz w:val="20"/>
          <w:szCs w:val="20"/>
        </w:rPr>
        <w:t>Notes: This chart includes all the participants across the three comparisons. Compliance was measured on a 1-5 scale with anchors from “Never” to “Always”. Higher values indicate higher compliance.</w:t>
      </w:r>
    </w:p>
    <w:p w14:paraId="2D68568C" w14:textId="320AFE62" w:rsidR="00F61A29" w:rsidRPr="009A3BB5" w:rsidRDefault="00F61A29" w:rsidP="00080D8D">
      <w:pPr>
        <w:spacing w:after="0" w:line="240" w:lineRule="auto"/>
        <w:ind w:right="288"/>
        <w:jc w:val="both"/>
        <w:rPr>
          <w:rFonts w:ascii="Times New Roman" w:hAnsi="Times New Roman" w:cs="Times New Roman"/>
          <w:sz w:val="20"/>
          <w:szCs w:val="20"/>
        </w:rPr>
      </w:pPr>
    </w:p>
    <w:p w14:paraId="6ACDB37D" w14:textId="274FE5E5" w:rsidR="00F61A29" w:rsidRPr="009A3BB5" w:rsidRDefault="00F61A29" w:rsidP="00080D8D">
      <w:pPr>
        <w:spacing w:after="0" w:line="240" w:lineRule="auto"/>
        <w:ind w:right="288"/>
        <w:jc w:val="both"/>
        <w:rPr>
          <w:rFonts w:ascii="Times New Roman" w:hAnsi="Times New Roman" w:cs="Times New Roman"/>
          <w:sz w:val="20"/>
          <w:szCs w:val="20"/>
        </w:rPr>
      </w:pPr>
    </w:p>
    <w:p w14:paraId="3F33403B" w14:textId="77777777" w:rsidR="005020A4" w:rsidRPr="009A3BB5" w:rsidRDefault="005020A4" w:rsidP="00080D8D">
      <w:pPr>
        <w:spacing w:after="0" w:line="240" w:lineRule="auto"/>
        <w:ind w:right="288"/>
        <w:jc w:val="both"/>
        <w:rPr>
          <w:rFonts w:ascii="Times New Roman" w:hAnsi="Times New Roman" w:cs="Times New Roman"/>
          <w:sz w:val="20"/>
          <w:szCs w:val="20"/>
        </w:rPr>
      </w:pPr>
    </w:p>
    <w:p w14:paraId="339AC2A4" w14:textId="7455DA5A" w:rsidR="005F05AC" w:rsidRPr="009A3BB5" w:rsidRDefault="005020A4" w:rsidP="00F063F1">
      <w:pPr>
        <w:spacing w:after="0" w:line="360" w:lineRule="auto"/>
        <w:rPr>
          <w:rFonts w:ascii="Times New Roman" w:hAnsi="Times New Roman" w:cs="Times New Roman"/>
        </w:rPr>
      </w:pPr>
      <w:r w:rsidRPr="009A3BB5">
        <w:rPr>
          <w:noProof/>
        </w:rPr>
        <w:drawing>
          <wp:inline distT="0" distB="0" distL="0" distR="0" wp14:anchorId="1CA69580" wp14:editId="6B1FAC35">
            <wp:extent cx="5774400" cy="2819400"/>
            <wp:effectExtent l="0" t="0" r="17145" b="0"/>
            <wp:docPr id="21" name="Chart 21">
              <a:extLst xmlns:a="http://schemas.openxmlformats.org/drawingml/2006/main">
                <a:ext uri="{FF2B5EF4-FFF2-40B4-BE49-F238E27FC236}">
                  <a16:creationId xmlns:a16="http://schemas.microsoft.com/office/drawing/2014/main" id="{86F63879-CD82-4B88-9B52-9548094F6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9AC2A5" w14:textId="78F3D3D7" w:rsidR="005F05AC" w:rsidRPr="009A3BB5" w:rsidRDefault="00C902E5" w:rsidP="00F063F1">
      <w:pPr>
        <w:spacing w:after="0" w:line="240" w:lineRule="auto"/>
        <w:ind w:right="288"/>
        <w:jc w:val="both"/>
        <w:rPr>
          <w:rFonts w:ascii="Times New Roman" w:hAnsi="Times New Roman" w:cs="Times New Roman"/>
          <w:b/>
          <w:sz w:val="20"/>
          <w:szCs w:val="20"/>
        </w:rPr>
      </w:pPr>
      <w:bookmarkStart w:id="10" w:name="_heading=h.tyjcwt" w:colFirst="0" w:colLast="0"/>
      <w:bookmarkEnd w:id="10"/>
      <w:r w:rsidRPr="009A3BB5">
        <w:rPr>
          <w:rFonts w:ascii="Times New Roman" w:hAnsi="Times New Roman" w:cs="Times New Roman"/>
          <w:b/>
          <w:sz w:val="20"/>
          <w:szCs w:val="20"/>
        </w:rPr>
        <w:t>Fig</w:t>
      </w:r>
      <w:r w:rsidR="00B949B4">
        <w:rPr>
          <w:rFonts w:ascii="Times New Roman" w:hAnsi="Times New Roman" w:cs="Times New Roman"/>
          <w:b/>
          <w:sz w:val="20"/>
          <w:szCs w:val="20"/>
        </w:rPr>
        <w:t>.</w:t>
      </w:r>
      <w:r w:rsidR="002C3231">
        <w:rPr>
          <w:rFonts w:ascii="Times New Roman" w:hAnsi="Times New Roman" w:cs="Times New Roman"/>
          <w:b/>
          <w:sz w:val="20"/>
          <w:szCs w:val="20"/>
        </w:rPr>
        <w:t>6</w:t>
      </w:r>
      <w:r w:rsidRPr="009A3BB5">
        <w:rPr>
          <w:rFonts w:ascii="Times New Roman" w:hAnsi="Times New Roman" w:cs="Times New Roman"/>
          <w:b/>
          <w:sz w:val="20"/>
          <w:szCs w:val="20"/>
        </w:rPr>
        <w:t>. Percentages of intention to engage in prosocial behaviours by gender.</w:t>
      </w:r>
    </w:p>
    <w:p w14:paraId="339AC2A6" w14:textId="77777777" w:rsidR="005F05AC" w:rsidRPr="009A3BB5" w:rsidRDefault="00C902E5" w:rsidP="00F063F1">
      <w:pPr>
        <w:spacing w:after="0" w:line="240" w:lineRule="auto"/>
        <w:ind w:right="288"/>
        <w:jc w:val="both"/>
        <w:rPr>
          <w:rFonts w:ascii="Times New Roman" w:hAnsi="Times New Roman" w:cs="Times New Roman"/>
          <w:sz w:val="20"/>
          <w:szCs w:val="20"/>
        </w:rPr>
      </w:pPr>
      <w:r w:rsidRPr="009A3BB5">
        <w:rPr>
          <w:rFonts w:ascii="Times New Roman" w:hAnsi="Times New Roman" w:cs="Times New Roman"/>
          <w:sz w:val="20"/>
          <w:szCs w:val="20"/>
        </w:rPr>
        <w:t>Notes: This chart includes all the participants across the three comparisons. Prosocial behaviours were dichotomous variables with possible answers “Yes” or “No”. Results are presented in percentages. Higher percentage indicates higher engagement in prosocial behaviours.</w:t>
      </w:r>
    </w:p>
    <w:p w14:paraId="339AC2A7" w14:textId="77777777" w:rsidR="005F05AC" w:rsidRPr="009A3BB5" w:rsidRDefault="005F05AC">
      <w:pPr>
        <w:spacing w:after="0" w:line="480" w:lineRule="auto"/>
        <w:rPr>
          <w:rFonts w:ascii="Times New Roman" w:hAnsi="Times New Roman" w:cs="Times New Roman"/>
        </w:rPr>
      </w:pPr>
    </w:p>
    <w:p w14:paraId="339AC2A8" w14:textId="77777777" w:rsidR="005F05AC" w:rsidRPr="009A3BB5" w:rsidRDefault="00C902E5" w:rsidP="00F063F1">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lastRenderedPageBreak/>
        <w:t xml:space="preserve">Another factor that was found to be associated with some behaviours was age. However, there were only a few associations. Amongst them, the most consistent associations across the three comparisons were with the use of the NHS Track and Trace app and the encouragement of other people to get vaccinated. Specifically, younger participants were more likely to use the Track and Trace app and encourage other people to get vaccinated (p &lt; 0.001 in all three comparisons). For the rest of the sociodemographic factors (i.e., education, </w:t>
      </w:r>
      <w:proofErr w:type="gramStart"/>
      <w:r w:rsidRPr="009A3BB5">
        <w:rPr>
          <w:rFonts w:ascii="Times New Roman" w:hAnsi="Times New Roman" w:cs="Times New Roman"/>
          <w:sz w:val="24"/>
          <w:szCs w:val="24"/>
        </w:rPr>
        <w:t>employment</w:t>
      </w:r>
      <w:proofErr w:type="gramEnd"/>
      <w:r w:rsidRPr="009A3BB5">
        <w:rPr>
          <w:rFonts w:ascii="Times New Roman" w:hAnsi="Times New Roman" w:cs="Times New Roman"/>
          <w:sz w:val="24"/>
          <w:szCs w:val="24"/>
        </w:rPr>
        <w:t xml:space="preserve"> and income) the associations with the behaviours of interest were very limited, without any consistent result. The regression tables can be found in S5 (Main analyses). The effect of vaccination status on protective and compliance behaviours remained significant after controlling for sociodemographic factors.</w:t>
      </w:r>
    </w:p>
    <w:p w14:paraId="339AC2A9" w14:textId="77777777" w:rsidR="005F05AC" w:rsidRPr="009A3BB5" w:rsidRDefault="005F05AC">
      <w:pPr>
        <w:spacing w:after="0" w:line="480" w:lineRule="auto"/>
        <w:rPr>
          <w:rFonts w:ascii="Times New Roman" w:hAnsi="Times New Roman" w:cs="Times New Roman"/>
        </w:rPr>
      </w:pPr>
    </w:p>
    <w:p w14:paraId="339AC2AA" w14:textId="7FEC50DA" w:rsidR="005F05AC" w:rsidRPr="009A3BB5" w:rsidRDefault="00C902E5" w:rsidP="00F063F1">
      <w:pPr>
        <w:pStyle w:val="Heading2"/>
        <w:jc w:val="both"/>
        <w:rPr>
          <w:rFonts w:ascii="Times New Roman" w:hAnsi="Times New Roman" w:cs="Times New Roman"/>
          <w:lang w:val="en-GB"/>
        </w:rPr>
      </w:pPr>
      <w:bookmarkStart w:id="11" w:name="_heading=h.2bt0uqf76hjt" w:colFirst="0" w:colLast="0"/>
      <w:bookmarkEnd w:id="11"/>
      <w:r w:rsidRPr="009A3BB5">
        <w:rPr>
          <w:rFonts w:ascii="Times New Roman" w:hAnsi="Times New Roman" w:cs="Times New Roman"/>
          <w:sz w:val="28"/>
          <w:szCs w:val="28"/>
          <w:u w:val="single"/>
          <w:lang w:val="en-GB"/>
        </w:rPr>
        <w:t>S</w:t>
      </w:r>
      <w:r w:rsidR="001815CD">
        <w:rPr>
          <w:rFonts w:ascii="Times New Roman" w:hAnsi="Times New Roman" w:cs="Times New Roman"/>
          <w:sz w:val="28"/>
          <w:szCs w:val="28"/>
          <w:u w:val="single"/>
          <w:lang w:val="en-GB"/>
        </w:rPr>
        <w:t>5</w:t>
      </w:r>
      <w:r w:rsidRPr="009A3BB5">
        <w:rPr>
          <w:rFonts w:ascii="Times New Roman" w:hAnsi="Times New Roman" w:cs="Times New Roman"/>
          <w:sz w:val="28"/>
          <w:szCs w:val="28"/>
          <w:u w:val="single"/>
          <w:lang w:val="en-GB"/>
        </w:rPr>
        <w:t>.1 Discussion of the exploratory analyses</w:t>
      </w:r>
    </w:p>
    <w:p w14:paraId="339AC2AB" w14:textId="2DDF198D" w:rsidR="005F05AC" w:rsidRPr="009A3BB5" w:rsidRDefault="00C902E5" w:rsidP="00F063F1">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t>In line with previous research, our study detected a gender effect, suggesting that females were more likely to engage in protective and compliance behaviours</w:t>
      </w:r>
      <w:r w:rsidR="004A242A"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"DOI" : "10.1073/pnas.2012520117", "ISSN" : "0027-8424", "PMID" : "33060298", "abstract" : "Public health response to COVID-19 requires behavior changes\u2014isolation at home, wearing masks. Its effectiveness depends on generalized compliance. Original data from two waves of a survey conducted in March\u2212April 2020 in eight Organisation for Economic Co-operation and Development countries ( n = 21,649) show large gender differences in COVID-19\u2212related beliefs and behaviors. Women are more likely to perceive the pandemic as a very serious health problem and to agree and comply with restraining measures. These differences are only partially mitigated for individuals cohabiting or directly exposed to COVID-19. This behavioral factor contributes to substantial gender differences in mortality and is consistent with women-led countries responding more effectively to the pandemic. It calls for gender-based public health policies and communication.", "author" : [ { "dropping-particle" : "", "family" : "Galasso", "given" : "Vincenzo", "non-dropping-particle" : "", "parse-names" : false, "suffix" : "" }, { "dropping-particle" : "", "family" : "Pons", "given" : "Vincent", "non-dropping-particle" : "", "parse-names" : false, "suffix" : "" }, { "dropping-particle" : "", "family" : "Profeta", "given" : "Paola", "non-dropping-particle" : "", "parse-names" : false, "suffix" : "" }, { "dropping-particle" : "", "family" : "Becher", "given" : "Michael", "non-dropping-particle" : "", "parse-names" : false, "suffix" : "" }, { "dropping-particle" : "", "family" : "Brouard", "given" : "Sylvain", "non-dropping-particle" : "", "parse-names" : false, "suffix" : "" }, { "dropping-particle" : "", "family" : "Foucault", "given" : "Martial", "non-dropping-particle" : "", "parse-names" : false, "suffix" : "" } ], "container-title" : "Proceedings of the National Academy of Sciences", "id" : "ITEM-1", "issue" : "44", "issued" : { "date-parts" : [ [ "2020", "11", "3" ] ] }, "page" : "27285-27291", "title" : "Gender differences in COVID-19 attitudes and behavior: Panel evidence from eight countries", "type" : "article-journal", "volume" : "117" }, "uris" : [ "http://www.mendeley.com/documents/?uuid=a9160f82-6672-4cca-9008-12c2d6b59844" ] }, { "id" : "ITEM-2", "itemData" : { "DOI" : "10.1353/bsp.2020.0022", "ISSN" : "2379-4615", "abstract" : "The prevailing trend of Korean Pop culture, Hallyu, has spread rapidly to Asian countries such Malaysia, Japan, China, Indonesia, Thailand, Vietnam and Taiwan. The influenced of such culture has further reached to other countries such as the Middle East, Europe and America. As the result, the Korean dramas, fashions, and music becoming a hot trend and culture in Asian nations. The study examines the relationship between celebrity and audience characteristics on TV drama satisfaction and repeats watch intention. A total of 596 young Malaysian consumers participated in this study. Attractiveness, credibility, commitment, and connectedness were found to effect the satisfaction of watching Korean drama. In addition, consumer satisfaction toward Korean TV drama does influence their repeat watch intention. However, an involvement of audience was not found to affect TV drama satisfaction. Recommendation and suggestion for future research were also discussed to improve audience satisfaction and ultimately increased the repeat watch intention towards Korean TV drama.", "author" : [ { "dropping-particle" : "", "family" : "Okten", "given" : "Irmak Olcaysoy", "non-dropping-particle" : "", "parse-names" : false, "suffix" : "" }, { "dropping-particle" : "", "family" : "Gollwitzer", "given" : "Anton", "non-dropping-particle" : "", "parse-names" : false, "suffix" : "" }, { "dropping-particle" : "", "family" : "Oettingen", "given" : "Gabriele", "non-dropping-particle" : "", "parse-names" : false, "suffix" : "" } ], "container-title" : "Behavioral Science &amp; Policy", "id" : "ITEM-2", "issue" : "2", "issued" : { "date-parts" : [ [ "2020" ] ] }, "page" : "109-122", "title" : "Gender differences in preventing the spread of coronavirus", "type" : "article-journal", "volume" : "6" }, "uris" : [ "http://www.mendeley.com/documents/?uuid=32055a5a-10d7-4171-978a-bc2868e1e27a" ] } ], "mendeley" : { "formattedCitation" : "&lt;sup&gt;1,2&lt;/sup&gt;", "plainTextFormattedCitation" : "1,2", "previouslyFormattedCitation" : "(1, 2)" }, "properties" : {  }, "schema" : "https://github.com/citation-style-language/schema/raw/master/csl-citation.json" }</w:instrText>
      </w:r>
      <w:r w:rsidR="004A242A"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1,2</w:t>
      </w:r>
      <w:r w:rsidR="004A242A" w:rsidRPr="009A3BB5">
        <w:rPr>
          <w:rFonts w:ascii="Times New Roman" w:hAnsi="Times New Roman" w:cs="Times New Roman"/>
          <w:sz w:val="24"/>
          <w:szCs w:val="24"/>
        </w:rPr>
        <w:fldChar w:fldCharType="end"/>
      </w:r>
      <w:r w:rsidRPr="009A3BB5">
        <w:rPr>
          <w:rFonts w:ascii="Times New Roman" w:hAnsi="Times New Roman" w:cs="Times New Roman"/>
          <w:sz w:val="24"/>
          <w:szCs w:val="24"/>
        </w:rPr>
        <w:t>. The opposite pattern was found in prosocial behaviours, suggesting that females were less likely to donate money and volunteer to the NHS. However, this could not be explained by the idea of cognitive consistency, given that females were less willing to get vaccinated</w:t>
      </w:r>
      <w:r w:rsidR="004A242A"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"DOI" : "10.1126/sciadv.abm9825", "ISSN" : "2375-2548", "abstract" : "We examine heterogeneity in COVID-19 vaccine hesitancy across eight European countries. We reveal striking differences across countries, ranging from 6.4% of adults in Spain to 61.8% in Bulgaria reporting being hesitant. We experimentally assess the effectiveness of different messages designed to reduce COVID-19 vaccine hesitancy. Receiving messages emphasizing either the medical benefits or the hedonistic benefits of vaccination significantly increases COVID-19 vaccination willingness in Germany, whereas highlighting privileges contingent on holding a vaccination certificate increases vaccination willingness in both Germany and the United Kingdom. No message has significant positive effects in any other country. Machine learning\u2013based heterogeneity analyses reveal that treatment effects are smaller or even negative in settings marked by high conspiracy beliefs and low health literacy. In contrast, trust in government increases treatment effects in some groups. The heterogeneity in vaccine hesitancy and responses to different messages suggests that health authorities should avoid one-size-fits-all vaccination campaigns.", "author" : [ { "dropping-particle" : "", "family" : "Steinert", "given" : "Janina I.", "non-dropping-particle" : "", "parse-names" : false, "suffix" : "" }, { "dropping-particle" : "", "family" : "Sternberg", "given" : "Henrike", "non-dropping-particle" : "", "parse-names" : false, "suffix" : "" }, { "dropping-particle" : "", "family" : "Prince", "given" : "Hannah", "non-dropping-particle" : "", "parse-names" : false, "suffix" : "" }, { "dropping-particle" : "", "family" : "Fasolo", "given" : "Barbara", "non-dropping-particle" : "", "parse-names" : false, "suffix" : "" }, { "dropping-particle" : "", "family" : "Galizzi", "given" : "Matteo M.", "non-dropping-particle" : "", "parse-names" : false, "suffix" : "" }, { "dropping-particle" : "", "family" : "B\u00fcthe", "given" : "Tim", "non-dropping-particle" : "", "parse-names" : false, "suffix" : "" }, { "dropping-particle" : "", "family" : "Veltri", "given" : "Giuseppe A.", "non-dropping-particle" : "", "parse-names" : false, "suffix" : "" } ], "container-title" : "Science Advances", "id" : "ITEM-1", "issue" : "17", "issued" : { "date-parts" : [ [ "2022", "4", "29" ] ] }, "page" : "1-15", "title" : "COVID-19 vaccine hesitancy in eight European countries: Prevalence, determinants, and heterogeneity", "type" : "article-journal", "volume" : "8" }, "uris" : [ "http://www.mendeley.com/documents/?uuid=482382f8-fc5c-421e-b8fb-943e050eec32" ] } ], "mendeley" : { "formattedCitation" : "&lt;sup&gt;3&lt;/sup&gt;", "plainTextFormattedCitation" : "3", "previouslyFormattedCitation" : "(3)" }, "properties" : {  }, "schema" : "https://github.com/citation-style-language/schema/raw/master/csl-citation.json" }</w:instrText>
      </w:r>
      <w:r w:rsidR="004A242A"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3</w:t>
      </w:r>
      <w:r w:rsidR="004A242A" w:rsidRPr="009A3BB5">
        <w:rPr>
          <w:rFonts w:ascii="Times New Roman" w:hAnsi="Times New Roman" w:cs="Times New Roman"/>
          <w:sz w:val="24"/>
          <w:szCs w:val="24"/>
        </w:rPr>
        <w:fldChar w:fldCharType="end"/>
      </w:r>
      <w:r w:rsidRPr="009A3BB5">
        <w:rPr>
          <w:rFonts w:ascii="Times New Roman" w:hAnsi="Times New Roman" w:cs="Times New Roman"/>
          <w:sz w:val="24"/>
          <w:szCs w:val="24"/>
        </w:rPr>
        <w:t>. Being hesitant to get vaccinated but more willing to engage in protective and compliance behaviours does not necessarily imply cognitive inconsistency; it could be rather interpreted as a purging spillover, given that females were found to be more hesitant to get vaccinated than males</w:t>
      </w:r>
      <w:r w:rsidR="001D7C13"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"DOI" : "10.1126/sciadv.abm9825", "ISSN" : "2375-2548", "abstract" : "We examine heterogeneity in COVID-19 vaccine hesitancy across eight European countries. We reveal striking differences across countries, ranging from 6.4% of adults in Spain to 61.8% in Bulgaria reporting being hesitant. We experimentally assess the effectiveness of different messages designed to reduce COVID-19 vaccine hesitancy. Receiving messages emphasizing either the medical benefits or the hedonistic benefits of vaccination significantly increases COVID-19 vaccination willingness in Germany, whereas highlighting privileges contingent on holding a vaccination certificate increases vaccination willingness in both Germany and the United Kingdom. No message has significant positive effects in any other country. Machine learning\u2013based heterogeneity analyses reveal that treatment effects are smaller or even negative in settings marked by high conspiracy beliefs and low health literacy. In contrast, trust in government increases treatment effects in some groups. The heterogeneity in vaccine hesitancy and responses to different messages suggests that health authorities should avoid one-size-fits-all vaccination campaigns.", "author" : [ { "dropping-particle" : "", "family" : "Steinert", "given" : "Janina I.", "non-dropping-particle" : "", "parse-names" : false, "suffix" : "" }, { "dropping-particle" : "", "family" : "Sternberg", "given" : "Henrike", "non-dropping-particle" : "", "parse-names" : false, "suffix" : "" }, { "dropping-particle" : "", "family" : "Prince", "given" : "Hannah", "non-dropping-particle" : "", "parse-names" : false, "suffix" : "" }, { "dropping-particle" : "", "family" : "Fasolo", "given" : "Barbara", "non-dropping-particle" : "", "parse-names" : false, "suffix" : "" }, { "dropping-particle" : "", "family" : "Galizzi", "given" : "Matteo M.", "non-dropping-particle" : "", "parse-names" : false, "suffix" : "" }, { "dropping-particle" : "", "family" : "B\u00fcthe", "given" : "Tim", "non-dropping-particle" : "", "parse-names" : false, "suffix" : "" }, { "dropping-particle" : "", "family" : "Veltri", "given" : "Giuseppe A.", "non-dropping-particle" : "", "parse-names" : false, "suffix" : "" } ], "container-title" : "Science Advances", "id" : "ITEM-1", "issue" : "17", "issued" : { "date-parts" : [ [ "2022", "4", "29" ] ] }, "page" : "1-15", "title" : "COVID-19 vaccine hesitancy in eight European countries: Prevalence, determinants, and heterogeneity", "type" : "article-journal", "volume" : "8" }, "uris" : [ "http://www.mendeley.com/documents/?uuid=482382f8-fc5c-421e-b8fb-943e050eec32" ] }, { "id" : "ITEM-2", "itemData" : { "DOI" : "10.1007/s10389-021-01677-w", "ISSN" : "2198-1833", "author" : [ { "dropping-particle" : "", "family" : "Zintel", "given" : "Stephanie", "non-dropping-particle" : "", "parse-names" : false, "suffix" : "" }, { "dropping-particle" : "", "family" : "Flock", "given" : "Charlotte", "non-dropping-particle" : "", "parse-names" : false, "suffix" : "" }, { "dropping-particle" : "", "family" : "Arbogast", "given" : "Anna Lisa", "non-dropping-particle" : "", "parse-names" : false, "suffix" : "" }, { "dropping-particle" : "", "family" : "Forster", "given" : "Alice", "non-dropping-particle" : "", "parse-names" : false, "suffix" : "" }, { "dropping-particle" : "", "family" : "Wagner", "given" : "Christian", "non-dropping-particle" : "von", "parse-names" : false, "suffix" : "" }, { "dropping-particle" : "", "family" : "Sieverding", "given" : "Monika", "non-dropping-particle" : "", "parse-names" : false, "suffix" : "" } ], "container-title" : "Journal of Public Health", "id" : "ITEM-2", "issued" : { "date-parts" : [ [ "2022", "1", "7" ] ] }, "page" : "1-25", "title" : "Gender differences in the intention to get vaccinated against COVID-19: a systematic review and meta-analysis", "type" : "article-journal", "volume" : "7" }, "uris" : [ "http://www.mendeley.com/documents/?uuid=4f5ccbe5-c2db-4d89-adca-1ef3e1a746fc" ] } ], "mendeley" : { "formattedCitation" : "&lt;sup&gt;3,4&lt;/sup&gt;", "plainTextFormattedCitation" : "3,4", "previouslyFormattedCitation" : "(3, 4)" }, "properties" : {  }, "schema" : "https://github.com/citation-style-language/schema/raw/master/csl-citation.json" }</w:instrText>
      </w:r>
      <w:r w:rsidR="001D7C13"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3,4</w:t>
      </w:r>
      <w:r w:rsidR="001D7C13" w:rsidRPr="009A3BB5">
        <w:rPr>
          <w:rFonts w:ascii="Times New Roman" w:hAnsi="Times New Roman" w:cs="Times New Roman"/>
          <w:sz w:val="24"/>
          <w:szCs w:val="24"/>
        </w:rPr>
        <w:fldChar w:fldCharType="end"/>
      </w:r>
      <w:r w:rsidRPr="009A3BB5">
        <w:rPr>
          <w:rFonts w:ascii="Times New Roman" w:hAnsi="Times New Roman" w:cs="Times New Roman"/>
          <w:sz w:val="24"/>
          <w:szCs w:val="24"/>
        </w:rPr>
        <w:t>. For instance, if females did not contribute to the common good by being vaccine hesitant, then they might have tried to restore their contribution by being more compliant. This gender effect could also be explained by the fact that females appeared to generally be more risk-averse than their male counterparts and, therefore, more likely to engage in behaviours that minimise the risk of COVID-19 infection</w:t>
      </w:r>
      <w:r w:rsidR="00291F7F"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"DOI" : "10.1037/0033-2909.125.3.367", "ISSN" : "0033-2909", "abstract" : "The authors conducted a meta-analysis of 150 studies in which the risk-taking tendencies of male and female participants were compared. Studies were coded with respect to type of task (e.g., self-reported behaviors vs. observed behaviors), task content (e.g., smoking vs. sex), and 5 age levels. Results showed that the average effects for 14 out of 16 types of risk taking were significantly larger than 0 (indicating greater risk taking in male participants) and that nearly half of the effects were greater than .20. However, certain topics (e.g., intellectual risk taking and physical skills) produced larger gender differences than others (e.g., smoking). In addition, the authors found that (a) there were significant shifts in the size of the gender gap between successive age levels, and (b) the gender gap seems to be growing smaller over time. The discussion focuses on the meaning of the results for theories of risk taking and the need for additional studies to clarify age trends.", "author" : [ { "dropping-particle" : "", "family" : "Byrnes", "given" : "James P.", "non-dropping-particle" : "", "parse-names" : false, "suffix" : "" }, { "dropping-particle" : "", "family" : "Miller", "given" : "David C.", "non-dropping-particle" : "", "parse-names" : false, "suffix" : "" }, { "dropping-particle" : "", "family" : "Schafer", "given" : "William D.", "non-dropping-particle" : "", "parse-names" : false, "suffix" : "" } ], "container-title" : "Psychological Bulletin", "id" : "ITEM-1", "issue" : "3", "issued" : { "date-parts" : [ [ "1999" ] ] }, "page" : "367-383", "title" : "Gender differences in risk taking: A meta-analysis", "type" : "article-journal", "volume" : "125" }, "uris" : [ "http://www.mendeley.com/documents/?uuid=5f9067a2-9a08-4b66-88de-79308bd28c5b" ] }, { "id" : "ITEM-2", "itemData" : { "DOI" : "10.1177/147470490800600104", "ISSN" : "1474-7049", "abstract" : "Sexual selection theory predicts that males will tend to behave in ways that are more risky than females. We explored this in humans by studying two everyday situations (catching a bus and crossing a busy road). We show that humans are competent optimizers on such tasks, adjusting their arrival times at a bus stop so as to minimize waiting time. Nonetheless, single males pursue a more risky strategy than single females by cutting waiting times much finer. Males are also more likely than females to cross busy roads when it is risky to do so. More importantly, males are more likely to initiate a crossing in high risk conditions when there are females present in the immediate vicinity, but females do not show a comparable effect in relation to the number of males present. These results support the suggestion that risk-taking is a form of \u201cshowing off\u201d used as mate advertisement.", "author" : [ { "dropping-particle" : "", "family" : "Pawlowski", "given" : "B", "non-dropping-particle" : "", "parse-names" : false, "suffix" : "" }, { "dropping-particle" : "", "family" : "Atwal", "given" : "Rajinder", "non-dropping-particle" : "", "parse-names" : false, "suffix" : "" }, { "dropping-particle" : "", "family" : "Dunbar", "given" : "R.I.M", "non-dropping-particle" : "", "parse-names" : false, "suffix" : "" } ], "container-title" : "Evolutionary Psychology", "id" : "ITEM-2", "issue" : "1", "issued" : { "date-parts" : [ [ "2008", "1", "1" ] ] }, "page" : "29-42", "title" : "Sex Differences in Everyday Risk-Taking Behavior in Humans", "type" : "article-journal", "volume" : "6" }, "uris" : [ "http://www.mendeley.com/documents/?uuid=1335c879-1f7b-4e54-8802-c7a0214c12b4" ] }, { "id" : "ITEM-3", "itemData" : { "DOI" : "10.1016/j.joep.2019.06.005", "ISSN" : "01674870", "abstract" : "Women in Western societies are typically more risk averse than men in individual risk taking decisions. In real life, however, risk taking decisions are usually made in a social context. So far, empirical evidence whether gender differences are also present in the social risk taking domain is missing. We use a controlled experiment to analyze gender differences in social risk taking. We find that inequality aversion is the main driver for risk aversion in social risk taking. Disaggregating the data for males and females shows that this effect is mainly driven by strong inequality aversion of women. Moreover, by running the experiment with non-standard subjects from an egalitarian small-scale society, our results suggest that gender differences in social risk taking are culture-specific.", "author" : [ { "dropping-particle" : "", "family" : "Friedl", "given" : "Andreas", "non-dropping-particle" : "", "parse-names" : false, "suffix" : "" }, { "dropping-particle" : "", "family" : "Pondorfer", "given" : "Andreas", "non-dropping-particle" : "", "parse-names" : false, "suffix" : "" }, { "dropping-particle" : "", "family" : "Schmidt", "given" : "Ulrich", "non-dropping-particle" : "", "parse-names" : false, "suffix" : "" } ], "container-title" : "Journal of Economic Psychology", "id" : "ITEM-3", "issued" : { "date-parts" : [ [ "2020", "3" ] ] }, "page" : "102182", "publisher" : "Elsevier", "title" : "Gender differences in social risk taking", "type" : "article-journal", "volume" : "77" }, "uris" : [ "http://www.mendeley.com/documents/?uuid=a8258a05-f174-4f4f-afb2-bee46323ede6" ] } ], "mendeley" : { "formattedCitation" : "&lt;sup&gt;5\u20137&lt;/sup&gt;", "plainTextFormattedCitation" : "5\u20137", "previouslyFormattedCitation" : "(5\u20137)" }, "properties" : {  }, "schema" : "https://github.com/citation-style-language/schema/raw/master/csl-citation.json" }</w:instrText>
      </w:r>
      <w:r w:rsidR="00291F7F"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5–7</w:t>
      </w:r>
      <w:r w:rsidR="00291F7F" w:rsidRPr="009A3BB5">
        <w:rPr>
          <w:rFonts w:ascii="Times New Roman" w:hAnsi="Times New Roman" w:cs="Times New Roman"/>
          <w:sz w:val="24"/>
          <w:szCs w:val="24"/>
        </w:rPr>
        <w:fldChar w:fldCharType="end"/>
      </w:r>
      <w:r w:rsidRPr="009A3BB5">
        <w:rPr>
          <w:rFonts w:ascii="Times New Roman" w:hAnsi="Times New Roman" w:cs="Times New Roman"/>
          <w:sz w:val="24"/>
          <w:szCs w:val="24"/>
        </w:rPr>
        <w:t>.</w:t>
      </w:r>
    </w:p>
    <w:p w14:paraId="339AC2AC" w14:textId="77777777" w:rsidR="005F05AC" w:rsidRPr="009A3BB5" w:rsidRDefault="005F05AC" w:rsidP="00F063F1">
      <w:pPr>
        <w:spacing w:after="0" w:line="360" w:lineRule="auto"/>
        <w:jc w:val="both"/>
        <w:rPr>
          <w:rFonts w:ascii="Times New Roman" w:hAnsi="Times New Roman" w:cs="Times New Roman"/>
          <w:sz w:val="24"/>
          <w:szCs w:val="24"/>
        </w:rPr>
      </w:pPr>
    </w:p>
    <w:p w14:paraId="339AC2AD" w14:textId="77406BE7" w:rsidR="005F05AC" w:rsidRPr="009A3BB5" w:rsidRDefault="00C902E5" w:rsidP="00F063F1">
      <w:pPr>
        <w:spacing w:after="0" w:line="360" w:lineRule="auto"/>
        <w:jc w:val="both"/>
        <w:rPr>
          <w:rFonts w:ascii="Times New Roman" w:hAnsi="Times New Roman" w:cs="Times New Roman"/>
          <w:sz w:val="24"/>
          <w:szCs w:val="24"/>
        </w:rPr>
      </w:pPr>
      <w:r w:rsidRPr="009A3BB5">
        <w:rPr>
          <w:rFonts w:ascii="Times New Roman" w:hAnsi="Times New Roman" w:cs="Times New Roman"/>
          <w:sz w:val="24"/>
          <w:szCs w:val="24"/>
        </w:rPr>
        <w:t>Given that vaccination minimises the risk of infection, females, as risk-averse, would be expected to be more willing to get vaccinated than males. However, since recent evidence suggests the opposite</w:t>
      </w:r>
      <w:r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"DOI" : "10.1126/sciadv.abm9825", "ISSN" : "2375-2548", "abstract" : "We examine heterogeneity in COVID-19 vaccine hesitancy across eight European countries. We reveal striking differences across countries, ranging from 6.4% of adults in Spain to 61.8% in Bulgaria reporting being hesitant. We experimentally assess the effectiveness of different messages designed to reduce COVID-19 vaccine hesitancy. Receiving messages emphasizing either the medical benefits or the hedonistic benefits of vaccination significantly increases COVID-19 vaccination willingness in Germany, whereas highlighting privileges contingent on holding a vaccination certificate increases vaccination willingness in both Germany and the United Kingdom. No message has significant positive effects in any other country. Machine learning\u2013based heterogeneity analyses reveal that treatment effects are smaller or even negative in settings marked by high conspiracy beliefs and low health literacy. In contrast, trust in government increases treatment effects in some groups. The heterogeneity in vaccine hesitancy and responses to different messages suggests that health authorities should avoid one-size-fits-all vaccination campaigns.", "author" : [ { "dropping-particle" : "", "family" : "Steinert", "given" : "Janina I.", "non-dropping-particle" : "", "parse-names" : false, "suffix" : "" }, { "dropping-particle" : "", "family" : "Sternberg", "given" : "Henrike", "non-dropping-particle" : "", "parse-names" : false, "suffix" : "" }, { "dropping-particle" : "", "family" : "Prince", "given" : "Hannah", "non-dropping-particle" : "", "parse-names" : false, "suffix" : "" }, { "dropping-particle" : "", "family" : "Fasolo", "given" : "Barbara", "non-dropping-particle" : "", "parse-names" : false, "suffix" : "" }, { "dropping-particle" : "", "family" : "Galizzi", "given" : "Matteo M.", "non-dropping-particle" : "", "parse-names" : false, "suffix" : "" }, { "dropping-particle" : "", "family" : "B\u00fcthe", "given" : "Tim", "non-dropping-particle" : "", "parse-names" : false, "suffix" : "" }, { "dropping-particle" : "", "family" : "Veltri", "given" : "Giuseppe A.", "non-dropping-particle" : "", "parse-names" : false, "suffix" : "" } ], "container-title" : "Science Advances", "id" : "ITEM-1", "issue" : "17", "issued" : { "date-parts" : [ [ "2022", "4", "29" ] ] }, "page" : "1-15", "title" : "COVID-19 vaccine hesitancy in eight European countries: Prevalence, determinants, and heterogeneity", "type" : "article-journal", "volume" : "8" }, "uris" : [ "http://www.mendeley.com/documents/?uuid=482382f8-fc5c-421e-b8fb-943e050eec32" ] } ], "mendeley" : { "formattedCitation" : "&lt;sup&gt;3&lt;/sup&gt;", "plainTextFormattedCitation" : "3", "previouslyFormattedCitation" : "(3)" }, "properties" : {  }, "schema" : "https://github.com/citation-style-language/schema/raw/master/csl-citation.json" }</w:instrText>
      </w:r>
      <w:r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3</w:t>
      </w:r>
      <w:r w:rsidRPr="009A3BB5">
        <w:rPr>
          <w:rFonts w:ascii="Times New Roman" w:hAnsi="Times New Roman" w:cs="Times New Roman"/>
          <w:sz w:val="24"/>
          <w:szCs w:val="24"/>
        </w:rPr>
        <w:fldChar w:fldCharType="end"/>
      </w:r>
      <w:r w:rsidRPr="009A3BB5">
        <w:rPr>
          <w:rFonts w:ascii="Times New Roman" w:hAnsi="Times New Roman" w:cs="Times New Roman"/>
          <w:sz w:val="24"/>
          <w:szCs w:val="24"/>
        </w:rPr>
        <w:t xml:space="preserve">, one could argue that risk aversion does not explain females’ vaccine hesitancy. On the other hand, despite the fact that vaccine hesitancy could be considered a risk-taking choice, given that unvaccinated people expose themselves to </w:t>
      </w:r>
      <w:r w:rsidR="00B873D4">
        <w:rPr>
          <w:rFonts w:ascii="Times New Roman" w:hAnsi="Times New Roman" w:cs="Times New Roman"/>
          <w:sz w:val="24"/>
          <w:szCs w:val="24"/>
        </w:rPr>
        <w:t xml:space="preserve">a </w:t>
      </w:r>
      <w:r w:rsidRPr="009A3BB5">
        <w:rPr>
          <w:rFonts w:ascii="Times New Roman" w:hAnsi="Times New Roman" w:cs="Times New Roman"/>
          <w:sz w:val="24"/>
          <w:szCs w:val="24"/>
        </w:rPr>
        <w:t xml:space="preserve">greater risk, it is yet still a passive one, which in </w:t>
      </w:r>
      <w:r w:rsidRPr="009A3BB5">
        <w:rPr>
          <w:rFonts w:ascii="Times New Roman" w:hAnsi="Times New Roman" w:cs="Times New Roman"/>
          <w:sz w:val="24"/>
          <w:szCs w:val="24"/>
        </w:rPr>
        <w:lastRenderedPageBreak/>
        <w:t>principle requires less effort, generates less regret</w:t>
      </w:r>
      <w:r w:rsidR="00F7329A">
        <w:rPr>
          <w:rFonts w:ascii="Times New Roman" w:hAnsi="Times New Roman" w:cs="Times New Roman"/>
          <w:sz w:val="24"/>
          <w:szCs w:val="24"/>
        </w:rPr>
        <w:t>,</w:t>
      </w:r>
      <w:r w:rsidRPr="009A3BB5">
        <w:rPr>
          <w:rFonts w:ascii="Times New Roman" w:hAnsi="Times New Roman" w:cs="Times New Roman"/>
          <w:sz w:val="24"/>
          <w:szCs w:val="24"/>
        </w:rPr>
        <w:t xml:space="preserve"> and feels safer</w:t>
      </w:r>
      <w:r w:rsidRPr="009A3BB5">
        <w:rPr>
          <w:rFonts w:ascii="Times New Roman" w:hAnsi="Times New Roman" w:cs="Times New Roman"/>
          <w:sz w:val="24"/>
          <w:szCs w:val="24"/>
        </w:rPr>
        <w:fldChar w:fldCharType="begin" w:fldLock="1"/>
      </w:r>
      <w:r w:rsidR="005B2C85" w:rsidRPr="009A3BB5">
        <w:rPr>
          <w:rFonts w:ascii="Times New Roman" w:hAnsi="Times New Roman" w:cs="Times New Roman"/>
          <w:sz w:val="24"/>
          <w:szCs w:val="24"/>
        </w:rPr>
        <w:instrText>ADDIN CSL_CITATION { "citationItems" : [ { "id" : "ITEM-1", "itemData" : { "author" : [ { "dropping-particle" : "", "family" : "Keinan", "given" : "Ruty", "non-dropping-particle" : "", "parse-names" : false, "suffix" : "" }, { "dropping-particle" : "", "family" : "Bereby-Meyer", "given" : "Yoella", "non-dropping-particle" : "", "parse-names" : false, "suffix" : "" } ], "container-title" : "Judgment and Decision Making", "id" : "ITEM-1", "issue" : "6", "issued" : { "date-parts" : [ [ "2012" ] ] }, "page" : "705-715", "title" : "\u201cLeaving it to chance\u201d - Passive risk taking in everyday life", "type" : "article-journal", "volume" : "7" }, "uris" : [ "http://www.mendeley.com/documents/?uuid=9232d038-0e61-467e-b1a3-1e3330848785" ] } ], "mendeley" : { "formattedCitation" : "&lt;sup&gt;8&lt;/sup&gt;", "plainTextFormattedCitation" : "8", "previouslyFormattedCitation" : "(8)" }, "properties" : {  }, "schema" : "https://github.com/citation-style-language/schema/raw/master/csl-citation.json" }</w:instrText>
      </w:r>
      <w:r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vertAlign w:val="superscript"/>
        </w:rPr>
        <w:t>8</w:t>
      </w:r>
      <w:r w:rsidRPr="009A3BB5">
        <w:rPr>
          <w:rFonts w:ascii="Times New Roman" w:hAnsi="Times New Roman" w:cs="Times New Roman"/>
          <w:sz w:val="24"/>
          <w:szCs w:val="24"/>
        </w:rPr>
        <w:fldChar w:fldCharType="end"/>
      </w:r>
      <w:r w:rsidRPr="009A3BB5">
        <w:rPr>
          <w:rFonts w:ascii="Times New Roman" w:hAnsi="Times New Roman" w:cs="Times New Roman"/>
          <w:sz w:val="24"/>
          <w:szCs w:val="24"/>
        </w:rPr>
        <w:t>. If this is the case, then females’ vaccine hesitancy could be explained on the grounds of passive risk-taking.</w:t>
      </w:r>
    </w:p>
    <w:p w14:paraId="3D654ED5" w14:textId="0B6C2FEF" w:rsidR="00C14D98" w:rsidRPr="009A3BB5" w:rsidRDefault="00C14D98" w:rsidP="00F063F1">
      <w:pPr>
        <w:spacing w:after="0" w:line="480" w:lineRule="auto"/>
        <w:jc w:val="both"/>
        <w:rPr>
          <w:rFonts w:ascii="Times New Roman" w:hAnsi="Times New Roman" w:cs="Times New Roman"/>
          <w:b/>
          <w:sz w:val="24"/>
          <w:szCs w:val="24"/>
        </w:rPr>
      </w:pPr>
    </w:p>
    <w:p w14:paraId="339AC472" w14:textId="7DA27928" w:rsidR="005F05AC" w:rsidRPr="009A3BB5" w:rsidRDefault="00C902E5" w:rsidP="00F063F1">
      <w:pPr>
        <w:spacing w:after="0" w:line="480" w:lineRule="auto"/>
        <w:jc w:val="both"/>
        <w:rPr>
          <w:rFonts w:ascii="Times New Roman" w:hAnsi="Times New Roman" w:cs="Times New Roman"/>
          <w:b/>
          <w:sz w:val="26"/>
          <w:szCs w:val="26"/>
        </w:rPr>
      </w:pPr>
      <w:r w:rsidRPr="009A3BB5">
        <w:rPr>
          <w:rFonts w:ascii="Times New Roman" w:hAnsi="Times New Roman" w:cs="Times New Roman"/>
          <w:b/>
          <w:sz w:val="26"/>
          <w:szCs w:val="26"/>
        </w:rPr>
        <w:t>References</w:t>
      </w:r>
    </w:p>
    <w:p w14:paraId="6E10D776" w14:textId="74FC70E8" w:rsidR="005B2C85" w:rsidRPr="009A3BB5" w:rsidRDefault="00C902E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sz w:val="24"/>
          <w:szCs w:val="24"/>
        </w:rPr>
        <w:fldChar w:fldCharType="begin" w:fldLock="1"/>
      </w:r>
      <w:r w:rsidRPr="009A3BB5">
        <w:rPr>
          <w:rFonts w:ascii="Times New Roman" w:hAnsi="Times New Roman" w:cs="Times New Roman"/>
          <w:sz w:val="24"/>
          <w:szCs w:val="24"/>
        </w:rPr>
        <w:instrText xml:space="preserve">ADDIN Mendeley Bibliography CSL_BIBLIOGRAPHY </w:instrText>
      </w:r>
      <w:r w:rsidRPr="009A3BB5">
        <w:rPr>
          <w:rFonts w:ascii="Times New Roman" w:hAnsi="Times New Roman" w:cs="Times New Roman"/>
          <w:sz w:val="24"/>
          <w:szCs w:val="24"/>
        </w:rPr>
        <w:fldChar w:fldCharType="separate"/>
      </w:r>
      <w:r w:rsidR="005B2C85" w:rsidRPr="009A3BB5">
        <w:rPr>
          <w:rFonts w:ascii="Times New Roman" w:hAnsi="Times New Roman" w:cs="Times New Roman"/>
          <w:noProof/>
          <w:sz w:val="24"/>
          <w:szCs w:val="24"/>
        </w:rPr>
        <w:t>1.</w:t>
      </w:r>
      <w:r w:rsidR="005B2C85" w:rsidRPr="009A3BB5">
        <w:rPr>
          <w:rFonts w:ascii="Times New Roman" w:hAnsi="Times New Roman" w:cs="Times New Roman"/>
          <w:noProof/>
          <w:sz w:val="24"/>
          <w:szCs w:val="24"/>
        </w:rPr>
        <w:tab/>
        <w:t xml:space="preserve">Galasso, V. et al. Gender differences in COVID-19 attitudes and behavior: Panel evidence from eight countries. Proc. Natl. Acad. Sci. </w:t>
      </w:r>
      <w:r w:rsidR="005B2C85" w:rsidRPr="009A3BB5">
        <w:rPr>
          <w:rFonts w:ascii="Times New Roman" w:hAnsi="Times New Roman" w:cs="Times New Roman"/>
          <w:b/>
          <w:bCs/>
          <w:noProof/>
          <w:sz w:val="24"/>
          <w:szCs w:val="24"/>
        </w:rPr>
        <w:t>117,</w:t>
      </w:r>
      <w:r w:rsidR="005B2C85" w:rsidRPr="009A3BB5">
        <w:rPr>
          <w:rFonts w:ascii="Times New Roman" w:hAnsi="Times New Roman" w:cs="Times New Roman"/>
          <w:noProof/>
          <w:sz w:val="24"/>
          <w:szCs w:val="24"/>
        </w:rPr>
        <w:t xml:space="preserve"> 27285–27291 (2020).</w:t>
      </w:r>
    </w:p>
    <w:p w14:paraId="1726BD8F"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2.</w:t>
      </w:r>
      <w:r w:rsidRPr="009A3BB5">
        <w:rPr>
          <w:rFonts w:ascii="Times New Roman" w:hAnsi="Times New Roman" w:cs="Times New Roman"/>
          <w:noProof/>
          <w:sz w:val="24"/>
          <w:szCs w:val="24"/>
        </w:rPr>
        <w:tab/>
        <w:t xml:space="preserve">Okten, I. O., Gollwitzer, A. &amp; Oettingen, G. Gender differences in preventing the spread of coronavirus. Behav. Sci. Policy </w:t>
      </w:r>
      <w:r w:rsidRPr="009A3BB5">
        <w:rPr>
          <w:rFonts w:ascii="Times New Roman" w:hAnsi="Times New Roman" w:cs="Times New Roman"/>
          <w:b/>
          <w:bCs/>
          <w:noProof/>
          <w:sz w:val="24"/>
          <w:szCs w:val="24"/>
        </w:rPr>
        <w:t>6,</w:t>
      </w:r>
      <w:r w:rsidRPr="009A3BB5">
        <w:rPr>
          <w:rFonts w:ascii="Times New Roman" w:hAnsi="Times New Roman" w:cs="Times New Roman"/>
          <w:noProof/>
          <w:sz w:val="24"/>
          <w:szCs w:val="24"/>
        </w:rPr>
        <w:t xml:space="preserve"> 109–122 (2020).</w:t>
      </w:r>
    </w:p>
    <w:p w14:paraId="4442DBCF"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3.</w:t>
      </w:r>
      <w:r w:rsidRPr="009A3BB5">
        <w:rPr>
          <w:rFonts w:ascii="Times New Roman" w:hAnsi="Times New Roman" w:cs="Times New Roman"/>
          <w:noProof/>
          <w:sz w:val="24"/>
          <w:szCs w:val="24"/>
        </w:rPr>
        <w:tab/>
        <w:t xml:space="preserve">Steinert, J. I. et al. COVID-19 vaccine hesitancy in eight European countries: Prevalence, determinants, and heterogeneity. Sci. Adv. </w:t>
      </w:r>
      <w:r w:rsidRPr="009A3BB5">
        <w:rPr>
          <w:rFonts w:ascii="Times New Roman" w:hAnsi="Times New Roman" w:cs="Times New Roman"/>
          <w:b/>
          <w:bCs/>
          <w:noProof/>
          <w:sz w:val="24"/>
          <w:szCs w:val="24"/>
        </w:rPr>
        <w:t>8,</w:t>
      </w:r>
      <w:r w:rsidRPr="009A3BB5">
        <w:rPr>
          <w:rFonts w:ascii="Times New Roman" w:hAnsi="Times New Roman" w:cs="Times New Roman"/>
          <w:noProof/>
          <w:sz w:val="24"/>
          <w:szCs w:val="24"/>
        </w:rPr>
        <w:t xml:space="preserve"> 1–15 (2022).</w:t>
      </w:r>
    </w:p>
    <w:p w14:paraId="53F76B44"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4.</w:t>
      </w:r>
      <w:r w:rsidRPr="009A3BB5">
        <w:rPr>
          <w:rFonts w:ascii="Times New Roman" w:hAnsi="Times New Roman" w:cs="Times New Roman"/>
          <w:noProof/>
          <w:sz w:val="24"/>
          <w:szCs w:val="24"/>
        </w:rPr>
        <w:tab/>
        <w:t xml:space="preserve">Zintel, S. et al. Gender differences in the intention to get vaccinated against COVID-19: a systematic review and meta-analysis. J. Public Health (Bangkok). </w:t>
      </w:r>
      <w:r w:rsidRPr="009A3BB5">
        <w:rPr>
          <w:rFonts w:ascii="Times New Roman" w:hAnsi="Times New Roman" w:cs="Times New Roman"/>
          <w:b/>
          <w:bCs/>
          <w:noProof/>
          <w:sz w:val="24"/>
          <w:szCs w:val="24"/>
        </w:rPr>
        <w:t>7,</w:t>
      </w:r>
      <w:r w:rsidRPr="009A3BB5">
        <w:rPr>
          <w:rFonts w:ascii="Times New Roman" w:hAnsi="Times New Roman" w:cs="Times New Roman"/>
          <w:noProof/>
          <w:sz w:val="24"/>
          <w:szCs w:val="24"/>
        </w:rPr>
        <w:t xml:space="preserve"> 1–25 (2022).</w:t>
      </w:r>
    </w:p>
    <w:p w14:paraId="55DAEC17"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5.</w:t>
      </w:r>
      <w:r w:rsidRPr="009A3BB5">
        <w:rPr>
          <w:rFonts w:ascii="Times New Roman" w:hAnsi="Times New Roman" w:cs="Times New Roman"/>
          <w:noProof/>
          <w:sz w:val="24"/>
          <w:szCs w:val="24"/>
        </w:rPr>
        <w:tab/>
        <w:t xml:space="preserve">Byrnes, J. P., Miller, D. C. &amp; Schafer, W. D. Gender differences in risk taking: A meta-analysis. Psychol. Bull. </w:t>
      </w:r>
      <w:r w:rsidRPr="009A3BB5">
        <w:rPr>
          <w:rFonts w:ascii="Times New Roman" w:hAnsi="Times New Roman" w:cs="Times New Roman"/>
          <w:b/>
          <w:bCs/>
          <w:noProof/>
          <w:sz w:val="24"/>
          <w:szCs w:val="24"/>
        </w:rPr>
        <w:t>125,</w:t>
      </w:r>
      <w:r w:rsidRPr="009A3BB5">
        <w:rPr>
          <w:rFonts w:ascii="Times New Roman" w:hAnsi="Times New Roman" w:cs="Times New Roman"/>
          <w:noProof/>
          <w:sz w:val="24"/>
          <w:szCs w:val="24"/>
        </w:rPr>
        <w:t xml:space="preserve"> 367–383 (1999).</w:t>
      </w:r>
    </w:p>
    <w:p w14:paraId="4AA006C5"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6.</w:t>
      </w:r>
      <w:r w:rsidRPr="009A3BB5">
        <w:rPr>
          <w:rFonts w:ascii="Times New Roman" w:hAnsi="Times New Roman" w:cs="Times New Roman"/>
          <w:noProof/>
          <w:sz w:val="24"/>
          <w:szCs w:val="24"/>
        </w:rPr>
        <w:tab/>
        <w:t xml:space="preserve">Pawlowski, B., Atwal, R. &amp; Dunbar, R. I. . Sex Differences in Everyday Risk-Taking Behavior in Humans. Evol. Psychol. </w:t>
      </w:r>
      <w:r w:rsidRPr="009A3BB5">
        <w:rPr>
          <w:rFonts w:ascii="Times New Roman" w:hAnsi="Times New Roman" w:cs="Times New Roman"/>
          <w:b/>
          <w:bCs/>
          <w:noProof/>
          <w:sz w:val="24"/>
          <w:szCs w:val="24"/>
        </w:rPr>
        <w:t>6,</w:t>
      </w:r>
      <w:r w:rsidRPr="009A3BB5">
        <w:rPr>
          <w:rFonts w:ascii="Times New Roman" w:hAnsi="Times New Roman" w:cs="Times New Roman"/>
          <w:noProof/>
          <w:sz w:val="24"/>
          <w:szCs w:val="24"/>
        </w:rPr>
        <w:t xml:space="preserve"> 29–42 (2008).</w:t>
      </w:r>
    </w:p>
    <w:p w14:paraId="78309A4A"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szCs w:val="24"/>
        </w:rPr>
      </w:pPr>
      <w:r w:rsidRPr="009A3BB5">
        <w:rPr>
          <w:rFonts w:ascii="Times New Roman" w:hAnsi="Times New Roman" w:cs="Times New Roman"/>
          <w:noProof/>
          <w:sz w:val="24"/>
          <w:szCs w:val="24"/>
        </w:rPr>
        <w:t>7.</w:t>
      </w:r>
      <w:r w:rsidRPr="009A3BB5">
        <w:rPr>
          <w:rFonts w:ascii="Times New Roman" w:hAnsi="Times New Roman" w:cs="Times New Roman"/>
          <w:noProof/>
          <w:sz w:val="24"/>
          <w:szCs w:val="24"/>
        </w:rPr>
        <w:tab/>
        <w:t xml:space="preserve">Friedl, A., Pondorfer, A. &amp; Schmidt, U. Gender differences in social risk taking. J. Econ. Psychol. </w:t>
      </w:r>
      <w:r w:rsidRPr="009A3BB5">
        <w:rPr>
          <w:rFonts w:ascii="Times New Roman" w:hAnsi="Times New Roman" w:cs="Times New Roman"/>
          <w:b/>
          <w:bCs/>
          <w:noProof/>
          <w:sz w:val="24"/>
          <w:szCs w:val="24"/>
        </w:rPr>
        <w:t>77,</w:t>
      </w:r>
      <w:r w:rsidRPr="009A3BB5">
        <w:rPr>
          <w:rFonts w:ascii="Times New Roman" w:hAnsi="Times New Roman" w:cs="Times New Roman"/>
          <w:noProof/>
          <w:sz w:val="24"/>
          <w:szCs w:val="24"/>
        </w:rPr>
        <w:t xml:space="preserve"> 102182 (2020).</w:t>
      </w:r>
    </w:p>
    <w:p w14:paraId="7B9C0A35" w14:textId="77777777" w:rsidR="005B2C85" w:rsidRPr="009A3BB5" w:rsidRDefault="005B2C85" w:rsidP="005B2C85">
      <w:pPr>
        <w:widowControl w:val="0"/>
        <w:autoSpaceDE w:val="0"/>
        <w:autoSpaceDN w:val="0"/>
        <w:adjustRightInd w:val="0"/>
        <w:spacing w:line="360" w:lineRule="auto"/>
        <w:ind w:left="640" w:hanging="640"/>
        <w:rPr>
          <w:rFonts w:ascii="Times New Roman" w:hAnsi="Times New Roman" w:cs="Times New Roman"/>
          <w:noProof/>
          <w:sz w:val="24"/>
        </w:rPr>
      </w:pPr>
      <w:r w:rsidRPr="009A3BB5">
        <w:rPr>
          <w:rFonts w:ascii="Times New Roman" w:hAnsi="Times New Roman" w:cs="Times New Roman"/>
          <w:noProof/>
          <w:sz w:val="24"/>
          <w:szCs w:val="24"/>
        </w:rPr>
        <w:t>8.</w:t>
      </w:r>
      <w:r w:rsidRPr="009A3BB5">
        <w:rPr>
          <w:rFonts w:ascii="Times New Roman" w:hAnsi="Times New Roman" w:cs="Times New Roman"/>
          <w:noProof/>
          <w:sz w:val="24"/>
          <w:szCs w:val="24"/>
        </w:rPr>
        <w:tab/>
        <w:t xml:space="preserve">Keinan, R. &amp; Bereby-Meyer, Y. ‘Leaving it to chance’ - Passive risk taking in everyday life. Judgm. Decis. Mak. </w:t>
      </w:r>
      <w:r w:rsidRPr="009A3BB5">
        <w:rPr>
          <w:rFonts w:ascii="Times New Roman" w:hAnsi="Times New Roman" w:cs="Times New Roman"/>
          <w:b/>
          <w:bCs/>
          <w:noProof/>
          <w:sz w:val="24"/>
          <w:szCs w:val="24"/>
        </w:rPr>
        <w:t>7,</w:t>
      </w:r>
      <w:r w:rsidRPr="009A3BB5">
        <w:rPr>
          <w:rFonts w:ascii="Times New Roman" w:hAnsi="Times New Roman" w:cs="Times New Roman"/>
          <w:noProof/>
          <w:sz w:val="24"/>
          <w:szCs w:val="24"/>
        </w:rPr>
        <w:t xml:space="preserve"> 705–715 (2012).</w:t>
      </w:r>
    </w:p>
    <w:p w14:paraId="339AC47A" w14:textId="419CE153" w:rsidR="005F05AC" w:rsidRPr="009A3BB5" w:rsidRDefault="00C902E5" w:rsidP="005B2C85">
      <w:pPr>
        <w:widowControl w:val="0"/>
        <w:autoSpaceDE w:val="0"/>
        <w:autoSpaceDN w:val="0"/>
        <w:adjustRightInd w:val="0"/>
        <w:spacing w:line="360" w:lineRule="auto"/>
        <w:ind w:left="640" w:hanging="640"/>
        <w:jc w:val="both"/>
        <w:rPr>
          <w:rFonts w:ascii="Times New Roman" w:hAnsi="Times New Roman" w:cs="Times New Roman"/>
          <w:sz w:val="24"/>
          <w:szCs w:val="24"/>
        </w:rPr>
      </w:pPr>
      <w:r w:rsidRPr="009A3BB5">
        <w:rPr>
          <w:rFonts w:ascii="Times New Roman" w:hAnsi="Times New Roman" w:cs="Times New Roman"/>
          <w:sz w:val="24"/>
          <w:szCs w:val="24"/>
        </w:rPr>
        <w:fldChar w:fldCharType="end"/>
      </w:r>
    </w:p>
    <w:sectPr w:rsidR="005F05AC" w:rsidRPr="009A3BB5">
      <w:footerReference w:type="default" r:id="rId1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CCD3" w14:textId="77777777" w:rsidR="00142E01" w:rsidRDefault="00142E01">
      <w:pPr>
        <w:spacing w:after="0" w:line="240" w:lineRule="auto"/>
      </w:pPr>
      <w:r>
        <w:separator/>
      </w:r>
    </w:p>
  </w:endnote>
  <w:endnote w:type="continuationSeparator" w:id="0">
    <w:p w14:paraId="4AB713D7" w14:textId="77777777" w:rsidR="00142E01" w:rsidRDefault="0014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C4E1" w14:textId="3747D177" w:rsidR="005F05AC" w:rsidRDefault="00C902E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7B37">
      <w:rPr>
        <w:noProof/>
        <w:color w:val="000000"/>
      </w:rPr>
      <w:t>1</w:t>
    </w:r>
    <w:r>
      <w:rPr>
        <w:color w:val="000000"/>
      </w:rPr>
      <w:fldChar w:fldCharType="end"/>
    </w:r>
  </w:p>
  <w:p w14:paraId="339AC4E2" w14:textId="77777777" w:rsidR="005F05AC" w:rsidRDefault="005F05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7068" w14:textId="77777777" w:rsidR="00142E01" w:rsidRDefault="00142E01">
      <w:pPr>
        <w:spacing w:after="0" w:line="240" w:lineRule="auto"/>
      </w:pPr>
      <w:r>
        <w:separator/>
      </w:r>
    </w:p>
  </w:footnote>
  <w:footnote w:type="continuationSeparator" w:id="0">
    <w:p w14:paraId="3539D5C1" w14:textId="77777777" w:rsidR="00142E01" w:rsidRDefault="0014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1AF7"/>
    <w:multiLevelType w:val="multilevel"/>
    <w:tmpl w:val="6ECC0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8D5AB9"/>
    <w:multiLevelType w:val="multilevel"/>
    <w:tmpl w:val="82A47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B5863"/>
    <w:multiLevelType w:val="multilevel"/>
    <w:tmpl w:val="3294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8915601">
    <w:abstractNumId w:val="1"/>
  </w:num>
  <w:num w:numId="2" w16cid:durableId="1996378106">
    <w:abstractNumId w:val="0"/>
  </w:num>
  <w:num w:numId="3" w16cid:durableId="174202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AC"/>
    <w:rsid w:val="000439AB"/>
    <w:rsid w:val="00080D8D"/>
    <w:rsid w:val="000D56C4"/>
    <w:rsid w:val="00101380"/>
    <w:rsid w:val="00105CC3"/>
    <w:rsid w:val="00142E01"/>
    <w:rsid w:val="001815CD"/>
    <w:rsid w:val="0019647F"/>
    <w:rsid w:val="001D7C13"/>
    <w:rsid w:val="001E1F0C"/>
    <w:rsid w:val="001F723F"/>
    <w:rsid w:val="00231CFA"/>
    <w:rsid w:val="00241603"/>
    <w:rsid w:val="00263953"/>
    <w:rsid w:val="00287177"/>
    <w:rsid w:val="00291F7F"/>
    <w:rsid w:val="002C3231"/>
    <w:rsid w:val="002D44EC"/>
    <w:rsid w:val="002E58E5"/>
    <w:rsid w:val="00313EFF"/>
    <w:rsid w:val="00327C58"/>
    <w:rsid w:val="00332A80"/>
    <w:rsid w:val="00341239"/>
    <w:rsid w:val="00387FB5"/>
    <w:rsid w:val="003A32FD"/>
    <w:rsid w:val="003C7A80"/>
    <w:rsid w:val="003D683E"/>
    <w:rsid w:val="003F0EE4"/>
    <w:rsid w:val="00425B3F"/>
    <w:rsid w:val="00432374"/>
    <w:rsid w:val="00447B37"/>
    <w:rsid w:val="00494E80"/>
    <w:rsid w:val="004A242A"/>
    <w:rsid w:val="004B5CED"/>
    <w:rsid w:val="004E13B7"/>
    <w:rsid w:val="004E572C"/>
    <w:rsid w:val="004F16D7"/>
    <w:rsid w:val="004F6678"/>
    <w:rsid w:val="005020A4"/>
    <w:rsid w:val="00505B80"/>
    <w:rsid w:val="00512F93"/>
    <w:rsid w:val="00557C5F"/>
    <w:rsid w:val="00561E92"/>
    <w:rsid w:val="005B2C85"/>
    <w:rsid w:val="005C3908"/>
    <w:rsid w:val="005F05AC"/>
    <w:rsid w:val="005F360E"/>
    <w:rsid w:val="0063065C"/>
    <w:rsid w:val="00630B5C"/>
    <w:rsid w:val="00632BFE"/>
    <w:rsid w:val="00633F35"/>
    <w:rsid w:val="00650837"/>
    <w:rsid w:val="00654244"/>
    <w:rsid w:val="006728D8"/>
    <w:rsid w:val="006B01CB"/>
    <w:rsid w:val="006D5650"/>
    <w:rsid w:val="00776301"/>
    <w:rsid w:val="007F1304"/>
    <w:rsid w:val="00821A77"/>
    <w:rsid w:val="00831534"/>
    <w:rsid w:val="00846C01"/>
    <w:rsid w:val="00882636"/>
    <w:rsid w:val="008A2D37"/>
    <w:rsid w:val="008A6B71"/>
    <w:rsid w:val="008C74E5"/>
    <w:rsid w:val="009670F5"/>
    <w:rsid w:val="009A3BB5"/>
    <w:rsid w:val="009D0C21"/>
    <w:rsid w:val="009E121D"/>
    <w:rsid w:val="00A41661"/>
    <w:rsid w:val="00A80255"/>
    <w:rsid w:val="00AC4E26"/>
    <w:rsid w:val="00B873D4"/>
    <w:rsid w:val="00B949B4"/>
    <w:rsid w:val="00BB40F7"/>
    <w:rsid w:val="00BD5CFB"/>
    <w:rsid w:val="00C07B12"/>
    <w:rsid w:val="00C14D98"/>
    <w:rsid w:val="00C332A0"/>
    <w:rsid w:val="00C902E5"/>
    <w:rsid w:val="00CA5FF8"/>
    <w:rsid w:val="00CF2D96"/>
    <w:rsid w:val="00D24C31"/>
    <w:rsid w:val="00D409D5"/>
    <w:rsid w:val="00DE4C14"/>
    <w:rsid w:val="00DE5E92"/>
    <w:rsid w:val="00DF063F"/>
    <w:rsid w:val="00E174FD"/>
    <w:rsid w:val="00E356EB"/>
    <w:rsid w:val="00EE2ACC"/>
    <w:rsid w:val="00F063F1"/>
    <w:rsid w:val="00F25F54"/>
    <w:rsid w:val="00F61A29"/>
    <w:rsid w:val="00F70B65"/>
    <w:rsid w:val="00F7329A"/>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A6E82"/>
  <w15:docId w15:val="{D4326A76-A38D-4710-9DC0-E8AF090D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D2F"/>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55F79"/>
    <w:pPr>
      <w:keepNext/>
      <w:keepLines/>
      <w:spacing w:before="120" w:after="120" w:line="276" w:lineRule="auto"/>
      <w:outlineLvl w:val="1"/>
    </w:pPr>
    <w:rPr>
      <w:rFonts w:eastAsiaTheme="majorEastAsia" w:cstheme="majorBidi"/>
      <w:b/>
      <w:bCs/>
      <w:color w:val="000000" w:themeColor="text1"/>
      <w:sz w:val="24"/>
      <w:szCs w:val="26"/>
      <w:lang w:val="en-US"/>
    </w:rPr>
  </w:style>
  <w:style w:type="paragraph" w:styleId="Heading3">
    <w:name w:val="heading 3"/>
    <w:basedOn w:val="Normal"/>
    <w:next w:val="Normal"/>
    <w:link w:val="Heading3Char"/>
    <w:uiPriority w:val="9"/>
    <w:unhideWhenUsed/>
    <w:qFormat/>
    <w:rsid w:val="00B650FA"/>
    <w:pPr>
      <w:keepNext/>
      <w:keepLines/>
      <w:spacing w:before="80" w:after="80" w:line="276" w:lineRule="auto"/>
      <w:outlineLvl w:val="2"/>
    </w:pPr>
    <w:rPr>
      <w:rFonts w:eastAsiaTheme="majorEastAsia" w:cstheme="majorBidi"/>
      <w:b/>
      <w:bCs/>
      <w:color w:val="000000" w:themeColor="text1"/>
      <w:sz w:val="24"/>
      <w:lang w:val="en-US"/>
    </w:rPr>
  </w:style>
  <w:style w:type="paragraph" w:styleId="Heading4">
    <w:name w:val="heading 4"/>
    <w:basedOn w:val="Normal"/>
    <w:next w:val="Normal"/>
    <w:link w:val="Heading4Char"/>
    <w:uiPriority w:val="9"/>
    <w:semiHidden/>
    <w:unhideWhenUsed/>
    <w:qFormat/>
    <w:rsid w:val="00A464B6"/>
    <w:pPr>
      <w:keepNext/>
      <w:keepLines/>
      <w:spacing w:before="80" w:after="80" w:line="276" w:lineRule="auto"/>
      <w:outlineLvl w:val="3"/>
    </w:pPr>
    <w:rPr>
      <w:rFonts w:eastAsiaTheme="majorEastAsia" w:cstheme="majorBidi"/>
      <w:b/>
      <w:bCs/>
      <w:iCs/>
      <w:color w:val="000000" w:themeColor="text1"/>
      <w:sz w:val="24"/>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D2F"/>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71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D854D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D9629B"/>
    <w:pPr>
      <w:spacing w:after="200" w:line="240" w:lineRule="auto"/>
    </w:pPr>
    <w:rPr>
      <w:b/>
      <w:iCs/>
      <w:color w:val="000000" w:themeColor="text1"/>
      <w:sz w:val="24"/>
      <w:szCs w:val="18"/>
    </w:rPr>
  </w:style>
  <w:style w:type="character" w:customStyle="1" w:styleId="Heading1Char">
    <w:name w:val="Heading 1 Char"/>
    <w:basedOn w:val="DefaultParagraphFont"/>
    <w:link w:val="Heading1"/>
    <w:uiPriority w:val="9"/>
    <w:rsid w:val="004D1D2F"/>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55F79"/>
    <w:rPr>
      <w:rFonts w:eastAsiaTheme="majorEastAsia" w:cstheme="majorBidi"/>
      <w:b/>
      <w:bCs/>
      <w:color w:val="000000" w:themeColor="text1"/>
      <w:sz w:val="24"/>
      <w:szCs w:val="26"/>
      <w:lang w:val="en-US"/>
    </w:rPr>
  </w:style>
  <w:style w:type="character" w:customStyle="1" w:styleId="Heading3Char">
    <w:name w:val="Heading 3 Char"/>
    <w:basedOn w:val="DefaultParagraphFont"/>
    <w:link w:val="Heading3"/>
    <w:uiPriority w:val="9"/>
    <w:rsid w:val="00B650FA"/>
    <w:rPr>
      <w:rFonts w:eastAsiaTheme="majorEastAsia" w:cstheme="majorBidi"/>
      <w:b/>
      <w:bCs/>
      <w:color w:val="000000" w:themeColor="text1"/>
      <w:sz w:val="24"/>
      <w:lang w:val="en-US"/>
    </w:rPr>
  </w:style>
  <w:style w:type="character" w:customStyle="1" w:styleId="Heading4Char">
    <w:name w:val="Heading 4 Char"/>
    <w:basedOn w:val="DefaultParagraphFont"/>
    <w:link w:val="Heading4"/>
    <w:uiPriority w:val="9"/>
    <w:rsid w:val="00A464B6"/>
    <w:rPr>
      <w:rFonts w:eastAsiaTheme="majorEastAsia" w:cstheme="majorBidi"/>
      <w:b/>
      <w:bCs/>
      <w:iCs/>
      <w:color w:val="000000" w:themeColor="text1"/>
      <w:sz w:val="24"/>
      <w:lang w:val="en-US"/>
    </w:rPr>
  </w:style>
  <w:style w:type="paragraph" w:styleId="Header">
    <w:name w:val="header"/>
    <w:basedOn w:val="Normal"/>
    <w:link w:val="HeaderChar"/>
    <w:uiPriority w:val="99"/>
    <w:unhideWhenUsed/>
    <w:rsid w:val="004D1D2F"/>
    <w:pPr>
      <w:tabs>
        <w:tab w:val="center" w:pos="4680"/>
        <w:tab w:val="right" w:pos="9360"/>
      </w:tabs>
      <w:spacing w:after="200" w:line="276" w:lineRule="auto"/>
    </w:pPr>
    <w:rPr>
      <w:lang w:val="en-US"/>
    </w:rPr>
  </w:style>
  <w:style w:type="character" w:customStyle="1" w:styleId="HeaderChar">
    <w:name w:val="Header Char"/>
    <w:basedOn w:val="DefaultParagraphFont"/>
    <w:link w:val="Header"/>
    <w:uiPriority w:val="99"/>
    <w:rsid w:val="004D1D2F"/>
    <w:rPr>
      <w:lang w:val="en-US"/>
    </w:rPr>
  </w:style>
  <w:style w:type="paragraph" w:styleId="NormalIndent">
    <w:name w:val="Normal Indent"/>
    <w:basedOn w:val="Normal"/>
    <w:uiPriority w:val="99"/>
    <w:unhideWhenUsed/>
    <w:rsid w:val="004D1D2F"/>
    <w:pPr>
      <w:spacing w:after="200" w:line="276" w:lineRule="auto"/>
      <w:ind w:left="720"/>
    </w:pPr>
    <w:rPr>
      <w:lang w:val="en-US"/>
    </w:rPr>
  </w:style>
  <w:style w:type="paragraph" w:styleId="Subtitle">
    <w:name w:val="Subtitle"/>
    <w:basedOn w:val="Normal"/>
    <w:next w:val="Normal"/>
    <w:link w:val="SubtitleChar"/>
    <w:uiPriority w:val="11"/>
    <w:qFormat/>
    <w:pPr>
      <w:spacing w:after="200" w:line="276" w:lineRule="auto"/>
      <w:ind w:left="86"/>
    </w:pPr>
    <w:rPr>
      <w:i/>
      <w:color w:val="4472C4"/>
      <w:sz w:val="24"/>
      <w:szCs w:val="24"/>
    </w:rPr>
  </w:style>
  <w:style w:type="character" w:customStyle="1" w:styleId="SubtitleChar">
    <w:name w:val="Subtitle Char"/>
    <w:basedOn w:val="DefaultParagraphFont"/>
    <w:link w:val="Subtitle"/>
    <w:uiPriority w:val="11"/>
    <w:rsid w:val="004D1D2F"/>
    <w:rPr>
      <w:rFonts w:asciiTheme="majorHAnsi" w:eastAsiaTheme="majorEastAsia" w:hAnsiTheme="majorHAnsi" w:cstheme="majorBidi"/>
      <w:i/>
      <w:iCs/>
      <w:color w:val="4472C4" w:themeColor="accent1"/>
      <w:spacing w:val="15"/>
      <w:sz w:val="24"/>
      <w:szCs w:val="24"/>
      <w:lang w:val="en-US"/>
    </w:rPr>
  </w:style>
  <w:style w:type="character" w:customStyle="1" w:styleId="TitleChar">
    <w:name w:val="Title Char"/>
    <w:basedOn w:val="DefaultParagraphFont"/>
    <w:link w:val="Title"/>
    <w:uiPriority w:val="10"/>
    <w:rsid w:val="004D1D2F"/>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4D1D2F"/>
    <w:rPr>
      <w:i/>
      <w:iCs/>
    </w:rPr>
  </w:style>
  <w:style w:type="character" w:styleId="Hyperlink">
    <w:name w:val="Hyperlink"/>
    <w:basedOn w:val="DefaultParagraphFont"/>
    <w:uiPriority w:val="99"/>
    <w:unhideWhenUsed/>
    <w:rsid w:val="004D1D2F"/>
    <w:rPr>
      <w:color w:val="0563C1" w:themeColor="hyperlink"/>
      <w:u w:val="single"/>
    </w:rPr>
  </w:style>
  <w:style w:type="paragraph" w:styleId="ListParagraph">
    <w:name w:val="List Paragraph"/>
    <w:basedOn w:val="Normal"/>
    <w:uiPriority w:val="99"/>
    <w:rsid w:val="004D1D2F"/>
    <w:pPr>
      <w:spacing w:after="200" w:line="276" w:lineRule="auto"/>
      <w:ind w:left="720"/>
      <w:contextualSpacing/>
    </w:pPr>
    <w:rPr>
      <w:lang w:val="en-US"/>
    </w:rPr>
  </w:style>
  <w:style w:type="table" w:customStyle="1" w:styleId="TableGrid-BR2">
    <w:name w:val="TableGrid-BR2"/>
    <w:basedOn w:val="TableNormal"/>
    <w:uiPriority w:val="59"/>
    <w:rsid w:val="000E1D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D1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771"/>
  </w:style>
  <w:style w:type="character" w:styleId="CommentReference">
    <w:name w:val="annotation reference"/>
    <w:basedOn w:val="DefaultParagraphFont"/>
    <w:uiPriority w:val="99"/>
    <w:semiHidden/>
    <w:unhideWhenUsed/>
    <w:rsid w:val="00672B4F"/>
    <w:rPr>
      <w:sz w:val="16"/>
      <w:szCs w:val="16"/>
    </w:rPr>
  </w:style>
  <w:style w:type="paragraph" w:styleId="CommentText">
    <w:name w:val="annotation text"/>
    <w:basedOn w:val="Normal"/>
    <w:link w:val="CommentTextChar"/>
    <w:uiPriority w:val="99"/>
    <w:semiHidden/>
    <w:unhideWhenUsed/>
    <w:rsid w:val="00672B4F"/>
    <w:pPr>
      <w:spacing w:line="240" w:lineRule="auto"/>
    </w:pPr>
    <w:rPr>
      <w:sz w:val="20"/>
      <w:szCs w:val="20"/>
    </w:rPr>
  </w:style>
  <w:style w:type="character" w:customStyle="1" w:styleId="CommentTextChar">
    <w:name w:val="Comment Text Char"/>
    <w:basedOn w:val="DefaultParagraphFont"/>
    <w:link w:val="CommentText"/>
    <w:uiPriority w:val="99"/>
    <w:semiHidden/>
    <w:rsid w:val="00672B4F"/>
    <w:rPr>
      <w:sz w:val="20"/>
      <w:szCs w:val="20"/>
    </w:rPr>
  </w:style>
  <w:style w:type="paragraph" w:styleId="NormalWeb">
    <w:name w:val="Normal (Web)"/>
    <w:basedOn w:val="Normal"/>
    <w:uiPriority w:val="99"/>
    <w:semiHidden/>
    <w:unhideWhenUsed/>
    <w:rsid w:val="002914C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pPr>
      <w:spacing w:after="0" w:line="240" w:lineRule="auto"/>
    </w:pPr>
    <w:rPr>
      <w:color w:val="000000"/>
    </w:rPr>
    <w:tblPr>
      <w:tblStyleRowBandSize w:val="1"/>
      <w:tblStyleColBandSize w:val="1"/>
    </w:tblPr>
  </w:style>
  <w:style w:type="table" w:customStyle="1" w:styleId="a5">
    <w:basedOn w:val="TableNormal"/>
    <w:pPr>
      <w:spacing w:after="0" w:line="240" w:lineRule="auto"/>
    </w:pPr>
    <w:rPr>
      <w:color w:val="000000"/>
    </w:rPr>
    <w:tblPr>
      <w:tblStyleRowBandSize w:val="1"/>
      <w:tblStyleColBandSize w:val="1"/>
    </w:tblPr>
  </w:style>
  <w:style w:type="table" w:customStyle="1" w:styleId="a6">
    <w:basedOn w:val="TableNormal"/>
    <w:pPr>
      <w:spacing w:after="0" w:line="240" w:lineRule="auto"/>
    </w:pPr>
    <w:rPr>
      <w:color w:val="000000"/>
    </w:rPr>
    <w:tblPr>
      <w:tblStyleRowBandSize w:val="1"/>
      <w:tblStyleColBandSize w:val="1"/>
    </w:tblPr>
  </w:style>
  <w:style w:type="table" w:customStyle="1" w:styleId="a7">
    <w:basedOn w:val="TableNormal"/>
    <w:pPr>
      <w:spacing w:after="0" w:line="240" w:lineRule="auto"/>
    </w:pPr>
    <w:rPr>
      <w:color w:val="000000"/>
    </w:rPr>
    <w:tblPr>
      <w:tblStyleRowBandSize w:val="1"/>
      <w:tblStyleColBandSize w:val="1"/>
    </w:tblPr>
  </w:style>
  <w:style w:type="table" w:customStyle="1" w:styleId="a8">
    <w:basedOn w:val="TableNormal"/>
    <w:pPr>
      <w:spacing w:after="0" w:line="240" w:lineRule="auto"/>
    </w:pPr>
    <w:rPr>
      <w:color w:val="000000"/>
    </w:rPr>
    <w:tblPr>
      <w:tblStyleRowBandSize w:val="1"/>
      <w:tblStyleColBandSize w:val="1"/>
    </w:tblPr>
  </w:style>
  <w:style w:type="table" w:customStyle="1" w:styleId="a9">
    <w:basedOn w:val="TableNormal"/>
    <w:pPr>
      <w:spacing w:after="0" w:line="240" w:lineRule="auto"/>
    </w:pPr>
    <w:rPr>
      <w:color w:val="000000"/>
    </w:rPr>
    <w:tblPr>
      <w:tblStyleRowBandSize w:val="1"/>
      <w:tblStyleColBandSize w:val="1"/>
    </w:tblPr>
  </w:style>
  <w:style w:type="table" w:customStyle="1" w:styleId="aa">
    <w:basedOn w:val="TableNormal"/>
    <w:pPr>
      <w:spacing w:after="0" w:line="240" w:lineRule="auto"/>
    </w:pPr>
    <w:rPr>
      <w:color w:val="000000"/>
    </w:rPr>
    <w:tblPr>
      <w:tblStyleRowBandSize w:val="1"/>
      <w:tblStyleColBandSize w:val="1"/>
    </w:tblPr>
  </w:style>
  <w:style w:type="table" w:customStyle="1" w:styleId="ab">
    <w:basedOn w:val="TableNormal"/>
    <w:pPr>
      <w:spacing w:after="0" w:line="240" w:lineRule="auto"/>
    </w:pPr>
    <w:rPr>
      <w:color w:val="000000"/>
    </w:rPr>
    <w:tblPr>
      <w:tblStyleRowBandSize w:val="1"/>
      <w:tblStyleColBandSize w:val="1"/>
    </w:tblPr>
  </w:style>
  <w:style w:type="table" w:customStyle="1" w:styleId="ac">
    <w:basedOn w:val="TableNormal"/>
    <w:pPr>
      <w:spacing w:after="0" w:line="240" w:lineRule="auto"/>
    </w:pPr>
    <w:rPr>
      <w:color w:val="000000"/>
    </w:rPr>
    <w:tblPr>
      <w:tblStyleRowBandSize w:val="1"/>
      <w:tblStyleColBandSize w:val="1"/>
    </w:tblPr>
  </w:style>
  <w:style w:type="table" w:customStyle="1" w:styleId="ad">
    <w:basedOn w:val="TableNormal"/>
    <w:pPr>
      <w:spacing w:after="0" w:line="240" w:lineRule="auto"/>
    </w:pPr>
    <w:rPr>
      <w:color w:val="000000"/>
    </w:rPr>
    <w:tblPr>
      <w:tblStyleRowBandSize w:val="1"/>
      <w:tblStyleColBandSize w:val="1"/>
    </w:tblPr>
  </w:style>
  <w:style w:type="table" w:customStyle="1" w:styleId="ae">
    <w:basedOn w:val="TableNormal"/>
    <w:pPr>
      <w:spacing w:after="0" w:line="240" w:lineRule="auto"/>
    </w:pPr>
    <w:rPr>
      <w:color w:val="000000"/>
    </w:rPr>
    <w:tblPr>
      <w:tblStyleRowBandSize w:val="1"/>
      <w:tblStyleColBandSize w:val="1"/>
    </w:tblPr>
  </w:style>
  <w:style w:type="table" w:customStyle="1" w:styleId="af">
    <w:basedOn w:val="TableNormal"/>
    <w:pPr>
      <w:spacing w:after="0" w:line="240" w:lineRule="auto"/>
    </w:pPr>
    <w:rPr>
      <w:color w:val="000000"/>
    </w:rPr>
    <w:tblPr>
      <w:tblStyleRowBandSize w:val="1"/>
      <w:tblStyleColBandSize w:val="1"/>
    </w:tblPr>
  </w:style>
  <w:style w:type="table" w:customStyle="1" w:styleId="af0">
    <w:basedOn w:val="TableNormal"/>
    <w:pPr>
      <w:spacing w:after="0" w:line="240" w:lineRule="auto"/>
    </w:pPr>
    <w:rPr>
      <w:color w:val="000000"/>
    </w:rPr>
    <w:tblPr>
      <w:tblStyleRowBandSize w:val="1"/>
      <w:tblStyleColBandSize w:val="1"/>
    </w:tblPr>
  </w:style>
  <w:style w:type="table" w:customStyle="1" w:styleId="af1">
    <w:basedOn w:val="TableNormal"/>
    <w:pPr>
      <w:spacing w:after="0" w:line="240" w:lineRule="auto"/>
    </w:pPr>
    <w:rPr>
      <w:color w:val="000000"/>
    </w:rPr>
    <w:tblPr>
      <w:tblStyleRowBandSize w:val="1"/>
      <w:tblStyleColBandSize w:val="1"/>
    </w:tblPr>
  </w:style>
  <w:style w:type="table" w:customStyle="1" w:styleId="af2">
    <w:basedOn w:val="TableNormal"/>
    <w:pPr>
      <w:spacing w:after="0" w:line="240" w:lineRule="auto"/>
    </w:pPr>
    <w:rPr>
      <w:color w:val="000000"/>
    </w:rPr>
    <w:tblPr>
      <w:tblStyleRowBandSize w:val="1"/>
      <w:tblStyleColBandSize w:val="1"/>
    </w:tblPr>
  </w:style>
  <w:style w:type="table" w:customStyle="1" w:styleId="af3">
    <w:basedOn w:val="TableNormal"/>
    <w:pPr>
      <w:spacing w:after="0" w:line="240" w:lineRule="auto"/>
    </w:pPr>
    <w:rPr>
      <w:color w:val="000000"/>
    </w:rPr>
    <w:tblPr>
      <w:tblStyleRowBandSize w:val="1"/>
      <w:tblStyleColBandSize w:val="1"/>
    </w:tblPr>
  </w:style>
  <w:style w:type="table" w:customStyle="1" w:styleId="af4">
    <w:basedOn w:val="TableNormal"/>
    <w:pPr>
      <w:spacing w:after="0" w:line="240" w:lineRule="auto"/>
    </w:pPr>
    <w:rPr>
      <w:color w:val="000000"/>
    </w:rPr>
    <w:tblPr>
      <w:tblStyleRowBandSize w:val="1"/>
      <w:tblStyleColBandSize w:val="1"/>
    </w:tblPr>
  </w:style>
  <w:style w:type="table" w:customStyle="1" w:styleId="af5">
    <w:basedOn w:val="TableNormal"/>
    <w:pPr>
      <w:spacing w:after="0" w:line="240" w:lineRule="auto"/>
    </w:pPr>
    <w:rPr>
      <w:color w:val="000000"/>
    </w:rPr>
    <w:tblPr>
      <w:tblStyleRowBandSize w:val="1"/>
      <w:tblStyleColBandSize w:val="1"/>
    </w:tblPr>
  </w:style>
  <w:style w:type="table" w:customStyle="1" w:styleId="af6">
    <w:basedOn w:val="TableNormal"/>
    <w:pPr>
      <w:spacing w:after="0" w:line="240" w:lineRule="auto"/>
    </w:pPr>
    <w:rPr>
      <w:color w:val="000000"/>
    </w:rPr>
    <w:tblPr>
      <w:tblStyleRowBandSize w:val="1"/>
      <w:tblStyleColBandSize w:val="1"/>
    </w:tblPr>
  </w:style>
  <w:style w:type="table" w:customStyle="1" w:styleId="af7">
    <w:basedOn w:val="TableNormal"/>
    <w:pPr>
      <w:spacing w:after="0" w:line="240" w:lineRule="auto"/>
    </w:pPr>
    <w:rPr>
      <w:color w:val="000000"/>
    </w:rPr>
    <w:tblPr>
      <w:tblStyleRowBandSize w:val="1"/>
      <w:tblStyleColBandSize w:val="1"/>
    </w:tblPr>
  </w:style>
  <w:style w:type="table" w:customStyle="1" w:styleId="af8">
    <w:basedOn w:val="TableNormal"/>
    <w:pPr>
      <w:spacing w:after="0" w:line="240" w:lineRule="auto"/>
    </w:pPr>
    <w:rPr>
      <w:color w:val="000000"/>
    </w:rPr>
    <w:tblPr>
      <w:tblStyleRowBandSize w:val="1"/>
      <w:tblStyleColBandSize w:val="1"/>
    </w:tblPr>
  </w:style>
  <w:style w:type="table" w:customStyle="1" w:styleId="af9">
    <w:basedOn w:val="TableNormal"/>
    <w:pPr>
      <w:spacing w:after="0" w:line="240" w:lineRule="auto"/>
    </w:pPr>
    <w:rPr>
      <w:color w:val="000000"/>
    </w:rPr>
    <w:tblPr>
      <w:tblStyleRowBandSize w:val="1"/>
      <w:tblStyleColBandSize w:val="1"/>
    </w:tblPr>
  </w:style>
  <w:style w:type="table" w:customStyle="1" w:styleId="afa">
    <w:basedOn w:val="TableNormal"/>
    <w:pPr>
      <w:spacing w:after="0" w:line="240" w:lineRule="auto"/>
    </w:pPr>
    <w:rPr>
      <w:color w:val="000000"/>
    </w:rPr>
    <w:tblPr>
      <w:tblStyleRowBandSize w:val="1"/>
      <w:tblStyleColBandSize w:val="1"/>
    </w:tblPr>
  </w:style>
  <w:style w:type="table" w:customStyle="1" w:styleId="afb">
    <w:basedOn w:val="TableNormal"/>
    <w:pPr>
      <w:spacing w:after="0" w:line="240" w:lineRule="auto"/>
    </w:pPr>
    <w:rPr>
      <w:color w:val="000000"/>
    </w:rPr>
    <w:tblPr>
      <w:tblStyleRowBandSize w:val="1"/>
      <w:tblStyleColBandSize w:val="1"/>
    </w:tblPr>
  </w:style>
  <w:style w:type="table" w:customStyle="1" w:styleId="afc">
    <w:basedOn w:val="TableNormal"/>
    <w:pPr>
      <w:spacing w:after="0" w:line="240" w:lineRule="auto"/>
    </w:pPr>
    <w:rPr>
      <w:color w:val="000000"/>
    </w:rPr>
    <w:tblPr>
      <w:tblStyleRowBandSize w:val="1"/>
      <w:tblStyleColBandSize w:val="1"/>
    </w:tblPr>
  </w:style>
  <w:style w:type="table" w:customStyle="1" w:styleId="afd">
    <w:basedOn w:val="TableNormal"/>
    <w:pPr>
      <w:spacing w:after="0" w:line="240" w:lineRule="auto"/>
    </w:pPr>
    <w:rPr>
      <w:color w:val="000000"/>
    </w:rPr>
    <w:tblPr>
      <w:tblStyleRowBandSize w:val="1"/>
      <w:tblStyleColBandSize w:val="1"/>
    </w:tblPr>
  </w:style>
  <w:style w:type="table" w:customStyle="1" w:styleId="afe">
    <w:basedOn w:val="TableNormal"/>
    <w:pPr>
      <w:spacing w:after="0" w:line="240" w:lineRule="auto"/>
    </w:pPr>
    <w:rPr>
      <w:color w:val="000000"/>
    </w:rPr>
    <w:tblPr>
      <w:tblStyleRowBandSize w:val="1"/>
      <w:tblStyleColBandSize w:val="1"/>
    </w:tblPr>
  </w:style>
  <w:style w:type="table" w:customStyle="1" w:styleId="aff">
    <w:basedOn w:val="TableNormal"/>
    <w:pPr>
      <w:spacing w:after="0" w:line="240" w:lineRule="auto"/>
    </w:pPr>
    <w:rPr>
      <w:color w:val="000000"/>
    </w:rPr>
    <w:tblPr>
      <w:tblStyleRowBandSize w:val="1"/>
      <w:tblStyleColBandSize w:val="1"/>
    </w:tblPr>
  </w:style>
  <w:style w:type="table" w:customStyle="1" w:styleId="aff0">
    <w:basedOn w:val="TableNormal"/>
    <w:pPr>
      <w:spacing w:after="0" w:line="240" w:lineRule="auto"/>
    </w:pPr>
    <w:rPr>
      <w:color w:val="000000"/>
    </w:rPr>
    <w:tblPr>
      <w:tblStyleRowBandSize w:val="1"/>
      <w:tblStyleColBandSize w:val="1"/>
    </w:tblPr>
  </w:style>
  <w:style w:type="table" w:customStyle="1" w:styleId="aff1">
    <w:basedOn w:val="TableNormal"/>
    <w:pPr>
      <w:spacing w:after="0" w:line="240" w:lineRule="auto"/>
    </w:pPr>
    <w:rPr>
      <w:color w:val="000000"/>
    </w:rPr>
    <w:tblPr>
      <w:tblStyleRowBandSize w:val="1"/>
      <w:tblStyleColBandSize w:val="1"/>
    </w:tblPr>
  </w:style>
  <w:style w:type="table" w:customStyle="1" w:styleId="aff2">
    <w:basedOn w:val="TableNormal"/>
    <w:pPr>
      <w:spacing w:after="0" w:line="240" w:lineRule="auto"/>
    </w:pPr>
    <w:rPr>
      <w:color w:val="000000"/>
    </w:rPr>
    <w:tblPr>
      <w:tblStyleRowBandSize w:val="1"/>
      <w:tblStyleColBandSize w:val="1"/>
    </w:tblPr>
  </w:style>
  <w:style w:type="table" w:customStyle="1" w:styleId="aff3">
    <w:basedOn w:val="TableNormal"/>
    <w:pPr>
      <w:spacing w:after="0" w:line="240" w:lineRule="auto"/>
    </w:pPr>
    <w:rPr>
      <w:color w:val="000000"/>
    </w:rPr>
    <w:tblPr>
      <w:tblStyleRowBandSize w:val="1"/>
      <w:tblStyleColBandSize w:val="1"/>
    </w:tblPr>
  </w:style>
  <w:style w:type="table" w:customStyle="1" w:styleId="aff4">
    <w:basedOn w:val="TableNormal"/>
    <w:pPr>
      <w:spacing w:after="0" w:line="240" w:lineRule="auto"/>
    </w:pPr>
    <w:rPr>
      <w:color w:val="000000"/>
    </w:rPr>
    <w:tblPr>
      <w:tblStyleRowBandSize w:val="1"/>
      <w:tblStyleColBandSize w:val="1"/>
    </w:tblPr>
  </w:style>
  <w:style w:type="table" w:customStyle="1" w:styleId="aff5">
    <w:basedOn w:val="TableNormal"/>
    <w:pPr>
      <w:spacing w:after="0" w:line="240" w:lineRule="auto"/>
    </w:pPr>
    <w:rPr>
      <w:color w:val="000000"/>
    </w:rPr>
    <w:tblPr>
      <w:tblStyleRowBandSize w:val="1"/>
      <w:tblStyleColBandSize w:val="1"/>
    </w:tblPr>
  </w:style>
  <w:style w:type="table" w:customStyle="1" w:styleId="aff6">
    <w:basedOn w:val="TableNormal"/>
    <w:pPr>
      <w:spacing w:after="0" w:line="240" w:lineRule="auto"/>
    </w:pPr>
    <w:rPr>
      <w:color w:val="000000"/>
    </w:rPr>
    <w:tblPr>
      <w:tblStyleRowBandSize w:val="1"/>
      <w:tblStyleColBandSize w:val="1"/>
    </w:tblPr>
  </w:style>
  <w:style w:type="table" w:customStyle="1" w:styleId="aff7">
    <w:basedOn w:val="TableNormal"/>
    <w:pPr>
      <w:spacing w:after="0" w:line="240" w:lineRule="auto"/>
    </w:pPr>
    <w:rPr>
      <w:color w:val="000000"/>
    </w:rPr>
    <w:tblPr>
      <w:tblStyleRowBandSize w:val="1"/>
      <w:tblStyleColBandSize w:val="1"/>
    </w:tblPr>
  </w:style>
  <w:style w:type="table" w:customStyle="1" w:styleId="aff8">
    <w:basedOn w:val="TableNormal"/>
    <w:pPr>
      <w:spacing w:after="0" w:line="240" w:lineRule="auto"/>
    </w:pPr>
    <w:rPr>
      <w:color w:val="000000"/>
    </w:rPr>
    <w:tblPr>
      <w:tblStyleRowBandSize w:val="1"/>
      <w:tblStyleColBandSize w:val="1"/>
    </w:tblPr>
  </w:style>
  <w:style w:type="table" w:customStyle="1" w:styleId="aff9">
    <w:basedOn w:val="TableNormal"/>
    <w:pPr>
      <w:spacing w:after="0" w:line="240" w:lineRule="auto"/>
    </w:pPr>
    <w:rPr>
      <w:color w:val="000000"/>
    </w:rPr>
    <w:tblPr>
      <w:tblStyleRowBandSize w:val="1"/>
      <w:tblStyleColBandSize w:val="1"/>
    </w:tblPr>
  </w:style>
  <w:style w:type="table" w:customStyle="1" w:styleId="affa">
    <w:basedOn w:val="TableNormal"/>
    <w:pPr>
      <w:spacing w:after="0" w:line="240" w:lineRule="auto"/>
    </w:pPr>
    <w:rPr>
      <w:color w:val="000000"/>
    </w:rPr>
    <w:tblPr>
      <w:tblStyleRowBandSize w:val="1"/>
      <w:tblStyleColBandSize w:val="1"/>
    </w:tblPr>
  </w:style>
  <w:style w:type="table" w:customStyle="1" w:styleId="affb">
    <w:basedOn w:val="TableNormal"/>
    <w:pPr>
      <w:spacing w:after="0" w:line="240" w:lineRule="auto"/>
    </w:pPr>
    <w:rPr>
      <w:color w:val="000000"/>
    </w:rPr>
    <w:tblPr>
      <w:tblStyleRowBandSize w:val="1"/>
      <w:tblStyleColBandSize w:val="1"/>
    </w:tblPr>
  </w:style>
  <w:style w:type="table" w:customStyle="1" w:styleId="affc">
    <w:basedOn w:val="TableNormal"/>
    <w:pPr>
      <w:spacing w:after="0" w:line="240" w:lineRule="auto"/>
    </w:pPr>
    <w:rPr>
      <w:color w:val="000000"/>
    </w:rPr>
    <w:tblPr>
      <w:tblStyleRowBandSize w:val="1"/>
      <w:tblStyleColBandSize w:val="1"/>
    </w:tblPr>
  </w:style>
  <w:style w:type="table" w:customStyle="1" w:styleId="affd">
    <w:basedOn w:val="TableNormal"/>
    <w:pPr>
      <w:spacing w:after="0" w:line="240" w:lineRule="auto"/>
    </w:pPr>
    <w:rPr>
      <w:color w:val="000000"/>
    </w:rPr>
    <w:tblPr>
      <w:tblStyleRowBandSize w:val="1"/>
      <w:tblStyleColBandSize w:val="1"/>
    </w:tblPr>
  </w:style>
  <w:style w:type="table" w:customStyle="1" w:styleId="affe">
    <w:basedOn w:val="TableNormal"/>
    <w:pPr>
      <w:spacing w:after="0" w:line="240" w:lineRule="auto"/>
    </w:pPr>
    <w:rPr>
      <w:color w:val="000000"/>
    </w:rPr>
    <w:tblPr>
      <w:tblStyleRowBandSize w:val="1"/>
      <w:tblStyleColBandSize w:val="1"/>
    </w:tblPr>
  </w:style>
  <w:style w:type="table" w:customStyle="1" w:styleId="afff">
    <w:basedOn w:val="TableNormal"/>
    <w:pPr>
      <w:spacing w:after="0" w:line="240" w:lineRule="auto"/>
    </w:pPr>
    <w:rPr>
      <w:color w:val="000000"/>
    </w:rPr>
    <w:tblPr>
      <w:tblStyleRowBandSize w:val="1"/>
      <w:tblStyleColBandSize w:val="1"/>
    </w:tblPr>
  </w:style>
  <w:style w:type="table" w:customStyle="1" w:styleId="afff0">
    <w:basedOn w:val="TableNormal"/>
    <w:pPr>
      <w:spacing w:after="0" w:line="240" w:lineRule="auto"/>
    </w:pPr>
    <w:rPr>
      <w:color w:val="000000"/>
    </w:rPr>
    <w:tblPr>
      <w:tblStyleRowBandSize w:val="1"/>
      <w:tblStyleColBandSize w:val="1"/>
    </w:tblPr>
  </w:style>
  <w:style w:type="table" w:customStyle="1" w:styleId="afff1">
    <w:basedOn w:val="TableNormal"/>
    <w:pPr>
      <w:spacing w:after="0" w:line="240" w:lineRule="auto"/>
    </w:pPr>
    <w:rPr>
      <w:color w:val="000000"/>
    </w:rPr>
    <w:tblPr>
      <w:tblStyleRowBandSize w:val="1"/>
      <w:tblStyleColBandSize w:val="1"/>
    </w:tblPr>
  </w:style>
  <w:style w:type="table" w:customStyle="1" w:styleId="afff2">
    <w:basedOn w:val="TableNormal"/>
    <w:pPr>
      <w:spacing w:after="0" w:line="240" w:lineRule="auto"/>
    </w:pPr>
    <w:rPr>
      <w:color w:val="000000"/>
    </w:rPr>
    <w:tblPr>
      <w:tblStyleRowBandSize w:val="1"/>
      <w:tblStyleColBandSize w:val="1"/>
    </w:tblPr>
  </w:style>
  <w:style w:type="table" w:customStyle="1" w:styleId="afff3">
    <w:basedOn w:val="TableNormal"/>
    <w:pPr>
      <w:spacing w:after="0" w:line="240" w:lineRule="auto"/>
    </w:pPr>
    <w:rPr>
      <w:color w:val="000000"/>
    </w:rPr>
    <w:tblPr>
      <w:tblStyleRowBandSize w:val="1"/>
      <w:tblStyleColBandSize w:val="1"/>
    </w:tblPr>
  </w:style>
  <w:style w:type="table" w:customStyle="1" w:styleId="afff4">
    <w:basedOn w:val="TableNormal"/>
    <w:pPr>
      <w:spacing w:after="0" w:line="240" w:lineRule="auto"/>
    </w:pPr>
    <w:rPr>
      <w:color w:val="000000"/>
    </w:rPr>
    <w:tblPr>
      <w:tblStyleRowBandSize w:val="1"/>
      <w:tblStyleColBandSize w:val="1"/>
    </w:tblPr>
  </w:style>
  <w:style w:type="table" w:customStyle="1" w:styleId="afff5">
    <w:basedOn w:val="TableNormal"/>
    <w:pPr>
      <w:spacing w:after="0" w:line="240" w:lineRule="auto"/>
    </w:pPr>
    <w:rPr>
      <w:color w:val="000000"/>
    </w:rPr>
    <w:tblPr>
      <w:tblStyleRowBandSize w:val="1"/>
      <w:tblStyleColBandSize w:val="1"/>
    </w:tblPr>
  </w:style>
  <w:style w:type="table" w:customStyle="1" w:styleId="afff6">
    <w:basedOn w:val="TableNormal"/>
    <w:pPr>
      <w:spacing w:after="0" w:line="240" w:lineRule="auto"/>
    </w:pPr>
    <w:rPr>
      <w:color w:val="000000"/>
    </w:rPr>
    <w:tblPr>
      <w:tblStyleRowBandSize w:val="1"/>
      <w:tblStyleColBandSize w:val="1"/>
    </w:tblPr>
  </w:style>
  <w:style w:type="table" w:customStyle="1" w:styleId="afff7">
    <w:basedOn w:val="TableNormal"/>
    <w:pPr>
      <w:spacing w:after="0" w:line="240" w:lineRule="auto"/>
    </w:pPr>
    <w:rPr>
      <w:color w:val="000000"/>
    </w:rPr>
    <w:tblPr>
      <w:tblStyleRowBandSize w:val="1"/>
      <w:tblStyleColBandSize w:val="1"/>
    </w:tblPr>
  </w:style>
  <w:style w:type="table" w:customStyle="1" w:styleId="afff8">
    <w:basedOn w:val="TableNormal"/>
    <w:pPr>
      <w:spacing w:after="0" w:line="240" w:lineRule="auto"/>
    </w:pPr>
    <w:rPr>
      <w:color w:val="000000"/>
    </w:rPr>
    <w:tblPr>
      <w:tblStyleRowBandSize w:val="1"/>
      <w:tblStyleColBandSize w:val="1"/>
    </w:tblPr>
  </w:style>
  <w:style w:type="table" w:customStyle="1" w:styleId="afff9">
    <w:basedOn w:val="TableNormal"/>
    <w:pPr>
      <w:spacing w:after="0" w:line="240" w:lineRule="auto"/>
    </w:pPr>
    <w:rPr>
      <w:color w:val="000000"/>
    </w:rPr>
    <w:tblPr>
      <w:tblStyleRowBandSize w:val="1"/>
      <w:tblStyleColBandSize w:val="1"/>
    </w:tblPr>
  </w:style>
  <w:style w:type="table" w:customStyle="1" w:styleId="afffa">
    <w:basedOn w:val="TableNormal"/>
    <w:pPr>
      <w:spacing w:after="0" w:line="240" w:lineRule="auto"/>
    </w:pPr>
    <w:rPr>
      <w:color w:val="000000"/>
    </w:rPr>
    <w:tblPr>
      <w:tblStyleRowBandSize w:val="1"/>
      <w:tblStyleColBandSize w:val="1"/>
    </w:tblPr>
  </w:style>
  <w:style w:type="table" w:customStyle="1" w:styleId="afffb">
    <w:basedOn w:val="TableNormal"/>
    <w:pPr>
      <w:spacing w:after="0" w:line="240" w:lineRule="auto"/>
    </w:pPr>
    <w:rPr>
      <w:color w:val="000000"/>
    </w:rPr>
    <w:tblPr>
      <w:tblStyleRowBandSize w:val="1"/>
      <w:tblStyleColBandSize w:val="1"/>
    </w:tblPr>
  </w:style>
  <w:style w:type="table" w:customStyle="1" w:styleId="afffc">
    <w:basedOn w:val="TableNormal"/>
    <w:pPr>
      <w:spacing w:after="0" w:line="240" w:lineRule="auto"/>
    </w:pPr>
    <w:rPr>
      <w:color w:val="000000"/>
    </w:rPr>
    <w:tblPr>
      <w:tblStyleRowBandSize w:val="1"/>
      <w:tblStyleColBandSize w:val="1"/>
    </w:tblPr>
  </w:style>
  <w:style w:type="table" w:customStyle="1" w:styleId="afffd">
    <w:basedOn w:val="TableNormal"/>
    <w:pPr>
      <w:spacing w:after="0" w:line="240" w:lineRule="auto"/>
    </w:pPr>
    <w:rPr>
      <w:color w:val="000000"/>
    </w:rPr>
    <w:tblPr>
      <w:tblStyleRowBandSize w:val="1"/>
      <w:tblStyleColBandSize w:val="1"/>
    </w:tblPr>
  </w:style>
  <w:style w:type="table" w:customStyle="1" w:styleId="afffe">
    <w:basedOn w:val="TableNormal"/>
    <w:pPr>
      <w:spacing w:after="0" w:line="240" w:lineRule="auto"/>
    </w:pPr>
    <w:rPr>
      <w:color w:val="000000"/>
    </w:rPr>
    <w:tblPr>
      <w:tblStyleRowBandSize w:val="1"/>
      <w:tblStyleColBandSize w:val="1"/>
    </w:tblPr>
  </w:style>
  <w:style w:type="table" w:customStyle="1" w:styleId="affff">
    <w:basedOn w:val="TableNormal"/>
    <w:pPr>
      <w:spacing w:after="0" w:line="240" w:lineRule="auto"/>
    </w:pPr>
    <w:rPr>
      <w:color w:val="000000"/>
    </w:rPr>
    <w:tblPr>
      <w:tblStyleRowBandSize w:val="1"/>
      <w:tblStyleColBandSize w:val="1"/>
    </w:tblPr>
  </w:style>
  <w:style w:type="table" w:customStyle="1" w:styleId="affff0">
    <w:basedOn w:val="TableNormal"/>
    <w:pPr>
      <w:spacing w:after="0" w:line="240" w:lineRule="auto"/>
    </w:pPr>
    <w:rPr>
      <w:color w:val="000000"/>
    </w:rPr>
    <w:tblPr>
      <w:tblStyleRowBandSize w:val="1"/>
      <w:tblStyleColBandSize w:val="1"/>
    </w:tblPr>
  </w:style>
  <w:style w:type="table" w:customStyle="1" w:styleId="affff1">
    <w:basedOn w:val="TableNormal"/>
    <w:pPr>
      <w:spacing w:after="0" w:line="240" w:lineRule="auto"/>
    </w:pPr>
    <w:rPr>
      <w:color w:val="000000"/>
    </w:rPr>
    <w:tblPr>
      <w:tblStyleRowBandSize w:val="1"/>
      <w:tblStyleColBandSize w:val="1"/>
    </w:tblPr>
  </w:style>
  <w:style w:type="table" w:customStyle="1" w:styleId="affff2">
    <w:basedOn w:val="TableNormal"/>
    <w:pPr>
      <w:spacing w:after="0" w:line="240" w:lineRule="auto"/>
    </w:pPr>
    <w:rPr>
      <w:color w:val="000000"/>
    </w:rPr>
    <w:tblPr>
      <w:tblStyleRowBandSize w:val="1"/>
      <w:tblStyleColBandSize w:val="1"/>
    </w:tblPr>
  </w:style>
  <w:style w:type="table" w:customStyle="1" w:styleId="affff3">
    <w:basedOn w:val="TableNormal"/>
    <w:pPr>
      <w:spacing w:after="0" w:line="240" w:lineRule="auto"/>
    </w:pPr>
    <w:rPr>
      <w:color w:val="000000"/>
    </w:rPr>
    <w:tblPr>
      <w:tblStyleRowBandSize w:val="1"/>
      <w:tblStyleColBandSize w:val="1"/>
    </w:tblPr>
  </w:style>
  <w:style w:type="table" w:customStyle="1" w:styleId="affff4">
    <w:basedOn w:val="TableNormal"/>
    <w:pPr>
      <w:spacing w:after="0" w:line="240" w:lineRule="auto"/>
    </w:pPr>
    <w:rPr>
      <w:color w:val="000000"/>
    </w:rPr>
    <w:tblPr>
      <w:tblStyleRowBandSize w:val="1"/>
      <w:tblStyleColBandSize w:val="1"/>
    </w:tblPr>
  </w:style>
  <w:style w:type="table" w:customStyle="1" w:styleId="affff5">
    <w:basedOn w:val="TableNormal"/>
    <w:pPr>
      <w:spacing w:after="0" w:line="240" w:lineRule="auto"/>
    </w:pPr>
    <w:rPr>
      <w:color w:val="000000"/>
    </w:rPr>
    <w:tblPr>
      <w:tblStyleRowBandSize w:val="1"/>
      <w:tblStyleColBandSize w:val="1"/>
    </w:tblPr>
  </w:style>
  <w:style w:type="table" w:customStyle="1" w:styleId="affff6">
    <w:basedOn w:val="TableNormal"/>
    <w:pPr>
      <w:spacing w:after="0" w:line="240" w:lineRule="auto"/>
    </w:pPr>
    <w:rPr>
      <w:color w:val="000000"/>
    </w:rPr>
    <w:tblPr>
      <w:tblStyleRowBandSize w:val="1"/>
      <w:tblStyleColBandSize w:val="1"/>
    </w:tblPr>
  </w:style>
  <w:style w:type="table" w:customStyle="1" w:styleId="affff7">
    <w:basedOn w:val="TableNormal"/>
    <w:pPr>
      <w:spacing w:after="0" w:line="240" w:lineRule="auto"/>
    </w:pPr>
    <w:rPr>
      <w:color w:val="000000"/>
    </w:rPr>
    <w:tblPr>
      <w:tblStyleRowBandSize w:val="1"/>
      <w:tblStyleColBandSize w:val="1"/>
    </w:tblPr>
  </w:style>
  <w:style w:type="table" w:customStyle="1" w:styleId="affff8">
    <w:basedOn w:val="TableNormal"/>
    <w:pPr>
      <w:spacing w:after="0" w:line="240" w:lineRule="auto"/>
    </w:pPr>
    <w:rPr>
      <w:color w:val="000000"/>
    </w:rPr>
    <w:tblPr>
      <w:tblStyleRowBandSize w:val="1"/>
      <w:tblStyleColBandSize w:val="1"/>
    </w:tblPr>
  </w:style>
  <w:style w:type="table" w:customStyle="1" w:styleId="affff9">
    <w:basedOn w:val="TableNormal"/>
    <w:pPr>
      <w:spacing w:after="0" w:line="240" w:lineRule="auto"/>
    </w:pPr>
    <w:rPr>
      <w:color w:val="000000"/>
    </w:rPr>
    <w:tblPr>
      <w:tblStyleRowBandSize w:val="1"/>
      <w:tblStyleColBandSize w:val="1"/>
    </w:tblPr>
  </w:style>
  <w:style w:type="table" w:customStyle="1" w:styleId="affffa">
    <w:basedOn w:val="TableNormal"/>
    <w:pPr>
      <w:spacing w:after="0" w:line="240" w:lineRule="auto"/>
    </w:pPr>
    <w:rPr>
      <w:color w:val="000000"/>
    </w:rPr>
    <w:tblPr>
      <w:tblStyleRowBandSize w:val="1"/>
      <w:tblStyleColBandSize w:val="1"/>
    </w:tblPr>
  </w:style>
  <w:style w:type="table" w:customStyle="1" w:styleId="affffb">
    <w:basedOn w:val="TableNormal"/>
    <w:pPr>
      <w:spacing w:after="0" w:line="240" w:lineRule="auto"/>
    </w:pPr>
    <w:rPr>
      <w:color w:val="000000"/>
    </w:rPr>
    <w:tblPr>
      <w:tblStyleRowBandSize w:val="1"/>
      <w:tblStyleColBandSize w:val="1"/>
    </w:tblPr>
  </w:style>
  <w:style w:type="table" w:customStyle="1" w:styleId="affffc">
    <w:basedOn w:val="TableNormal"/>
    <w:pPr>
      <w:spacing w:after="0" w:line="240" w:lineRule="auto"/>
    </w:pPr>
    <w:rPr>
      <w:color w:val="000000"/>
    </w:rPr>
    <w:tblPr>
      <w:tblStyleRowBandSize w:val="1"/>
      <w:tblStyleColBandSize w:val="1"/>
    </w:tblPr>
  </w:style>
  <w:style w:type="table" w:customStyle="1" w:styleId="affffd">
    <w:basedOn w:val="TableNormal"/>
    <w:pPr>
      <w:spacing w:after="0" w:line="240" w:lineRule="auto"/>
    </w:pPr>
    <w:rPr>
      <w:color w:val="000000"/>
    </w:rPr>
    <w:tblPr>
      <w:tblStyleRowBandSize w:val="1"/>
      <w:tblStyleColBandSize w:val="1"/>
    </w:tblPr>
  </w:style>
  <w:style w:type="table" w:customStyle="1" w:styleId="affffe">
    <w:basedOn w:val="TableNormal"/>
    <w:pPr>
      <w:spacing w:after="0" w:line="240" w:lineRule="auto"/>
    </w:pPr>
    <w:rPr>
      <w:color w:val="000000"/>
    </w:rPr>
    <w:tblPr>
      <w:tblStyleRowBandSize w:val="1"/>
      <w:tblStyleColBandSize w:val="1"/>
    </w:tblPr>
  </w:style>
  <w:style w:type="table" w:customStyle="1" w:styleId="afffff">
    <w:basedOn w:val="TableNormal"/>
    <w:pPr>
      <w:spacing w:after="0" w:line="240" w:lineRule="auto"/>
    </w:pPr>
    <w:rPr>
      <w:color w:val="000000"/>
    </w:rPr>
    <w:tblPr>
      <w:tblStyleRowBandSize w:val="1"/>
      <w:tblStyleColBandSize w:val="1"/>
    </w:tblPr>
  </w:style>
  <w:style w:type="table" w:customStyle="1" w:styleId="afffff0">
    <w:basedOn w:val="TableNormal"/>
    <w:pPr>
      <w:spacing w:after="0" w:line="240" w:lineRule="auto"/>
    </w:pPr>
    <w:rPr>
      <w:color w:val="000000"/>
    </w:rPr>
    <w:tblPr>
      <w:tblStyleRowBandSize w:val="1"/>
      <w:tblStyleColBandSize w:val="1"/>
    </w:tblPr>
  </w:style>
  <w:style w:type="table" w:customStyle="1" w:styleId="afffff1">
    <w:basedOn w:val="TableNormal"/>
    <w:pPr>
      <w:spacing w:after="0" w:line="240" w:lineRule="auto"/>
    </w:pPr>
    <w:rPr>
      <w:color w:val="000000"/>
    </w:rPr>
    <w:tblPr>
      <w:tblStyleRowBandSize w:val="1"/>
      <w:tblStyleColBandSize w:val="1"/>
    </w:tblPr>
  </w:style>
  <w:style w:type="table" w:customStyle="1" w:styleId="afffff2">
    <w:basedOn w:val="TableNormal"/>
    <w:pPr>
      <w:spacing w:after="0" w:line="240" w:lineRule="auto"/>
    </w:pPr>
    <w:rPr>
      <w:color w:val="000000"/>
    </w:rPr>
    <w:tblPr>
      <w:tblStyleRowBandSize w:val="1"/>
      <w:tblStyleColBandSize w:val="1"/>
    </w:tblPr>
  </w:style>
  <w:style w:type="table" w:customStyle="1" w:styleId="afffff3">
    <w:basedOn w:val="TableNormal"/>
    <w:pPr>
      <w:spacing w:after="0" w:line="240" w:lineRule="auto"/>
    </w:pPr>
    <w:rPr>
      <w:color w:val="000000"/>
    </w:rPr>
    <w:tblPr>
      <w:tblStyleRowBandSize w:val="1"/>
      <w:tblStyleColBandSize w:val="1"/>
    </w:tblPr>
  </w:style>
  <w:style w:type="table" w:customStyle="1" w:styleId="afffff4">
    <w:basedOn w:val="TableNormal"/>
    <w:pPr>
      <w:spacing w:after="0" w:line="240" w:lineRule="auto"/>
    </w:pPr>
    <w:rPr>
      <w:color w:val="000000"/>
    </w:rPr>
    <w:tblPr>
      <w:tblStyleRowBandSize w:val="1"/>
      <w:tblStyleColBandSize w:val="1"/>
    </w:tblPr>
  </w:style>
  <w:style w:type="table" w:customStyle="1" w:styleId="afffff5">
    <w:basedOn w:val="TableNormal"/>
    <w:pPr>
      <w:spacing w:after="0" w:line="240" w:lineRule="auto"/>
    </w:pPr>
    <w:rPr>
      <w:color w:val="000000"/>
    </w:rPr>
    <w:tblPr>
      <w:tblStyleRowBandSize w:val="1"/>
      <w:tblStyleColBandSize w:val="1"/>
    </w:tblPr>
  </w:style>
  <w:style w:type="table" w:customStyle="1" w:styleId="afffff6">
    <w:basedOn w:val="TableNormal"/>
    <w:pPr>
      <w:spacing w:after="0" w:line="240" w:lineRule="auto"/>
    </w:pPr>
    <w:rPr>
      <w:color w:val="000000"/>
    </w:rPr>
    <w:tblPr>
      <w:tblStyleRowBandSize w:val="1"/>
      <w:tblStyleColBandSize w:val="1"/>
    </w:tblPr>
  </w:style>
  <w:style w:type="table" w:customStyle="1" w:styleId="afffff7">
    <w:basedOn w:val="TableNormal"/>
    <w:pPr>
      <w:spacing w:after="0" w:line="240" w:lineRule="auto"/>
    </w:pPr>
    <w:rPr>
      <w:color w:val="000000"/>
    </w:rPr>
    <w:tblPr>
      <w:tblStyleRowBandSize w:val="1"/>
      <w:tblStyleColBandSize w:val="1"/>
    </w:tblPr>
  </w:style>
  <w:style w:type="table" w:customStyle="1" w:styleId="afffff8">
    <w:basedOn w:val="TableNormal"/>
    <w:pPr>
      <w:spacing w:after="0" w:line="240" w:lineRule="auto"/>
    </w:pPr>
    <w:rPr>
      <w:color w:val="000000"/>
    </w:rPr>
    <w:tblPr>
      <w:tblStyleRowBandSize w:val="1"/>
      <w:tblStyleColBandSize w:val="1"/>
    </w:tblPr>
  </w:style>
  <w:style w:type="table" w:customStyle="1" w:styleId="afffff9">
    <w:basedOn w:val="TableNormal"/>
    <w:pPr>
      <w:spacing w:after="0" w:line="240" w:lineRule="auto"/>
    </w:pPr>
    <w:rPr>
      <w:color w:val="000000"/>
    </w:rPr>
    <w:tblPr>
      <w:tblStyleRowBandSize w:val="1"/>
      <w:tblStyleColBandSize w:val="1"/>
    </w:tblPr>
  </w:style>
  <w:style w:type="table" w:customStyle="1" w:styleId="afffffa">
    <w:basedOn w:val="TableNormal"/>
    <w:pPr>
      <w:spacing w:after="0" w:line="240" w:lineRule="auto"/>
    </w:pPr>
    <w:rPr>
      <w:color w:val="000000"/>
    </w:rPr>
    <w:tblPr>
      <w:tblStyleRowBandSize w:val="1"/>
      <w:tblStyleColBandSize w:val="1"/>
    </w:tblPr>
  </w:style>
  <w:style w:type="table" w:customStyle="1" w:styleId="afffffb">
    <w:basedOn w:val="TableNormal"/>
    <w:pPr>
      <w:spacing w:after="0" w:line="240" w:lineRule="auto"/>
    </w:pPr>
    <w:rPr>
      <w:color w:val="000000"/>
    </w:rPr>
    <w:tblPr>
      <w:tblStyleRowBandSize w:val="1"/>
      <w:tblStyleColBandSize w:val="1"/>
    </w:tblPr>
  </w:style>
  <w:style w:type="table" w:customStyle="1" w:styleId="afffffc">
    <w:basedOn w:val="TableNormal"/>
    <w:pPr>
      <w:spacing w:after="0" w:line="240" w:lineRule="auto"/>
    </w:pPr>
    <w:rPr>
      <w:color w:val="000000"/>
    </w:rPr>
    <w:tblPr>
      <w:tblStyleRowBandSize w:val="1"/>
      <w:tblStyleColBandSize w:val="1"/>
    </w:tblPr>
  </w:style>
  <w:style w:type="table" w:customStyle="1" w:styleId="afffffd">
    <w:basedOn w:val="TableNormal"/>
    <w:pPr>
      <w:spacing w:after="0" w:line="240" w:lineRule="auto"/>
    </w:pPr>
    <w:rPr>
      <w:color w:val="000000"/>
    </w:rPr>
    <w:tblPr>
      <w:tblStyleRowBandSize w:val="1"/>
      <w:tblStyleColBandSize w:val="1"/>
    </w:tblPr>
  </w:style>
  <w:style w:type="table" w:customStyle="1" w:styleId="afffffe">
    <w:basedOn w:val="TableNormal"/>
    <w:pPr>
      <w:spacing w:after="0" w:line="240" w:lineRule="auto"/>
    </w:pPr>
    <w:rPr>
      <w:color w:val="000000"/>
    </w:rPr>
    <w:tblPr>
      <w:tblStyleRowBandSize w:val="1"/>
      <w:tblStyleColBandSize w:val="1"/>
    </w:tblPr>
  </w:style>
  <w:style w:type="table" w:customStyle="1" w:styleId="affffff">
    <w:basedOn w:val="TableNormal"/>
    <w:pPr>
      <w:spacing w:after="0" w:line="240" w:lineRule="auto"/>
    </w:pPr>
    <w:rPr>
      <w:color w:val="000000"/>
    </w:rPr>
    <w:tblPr>
      <w:tblStyleRowBandSize w:val="1"/>
      <w:tblStyleColBandSize w:val="1"/>
    </w:tblPr>
  </w:style>
  <w:style w:type="table" w:customStyle="1" w:styleId="affffff0">
    <w:basedOn w:val="TableNormal"/>
    <w:pPr>
      <w:spacing w:after="0" w:line="240" w:lineRule="auto"/>
    </w:pPr>
    <w:rPr>
      <w:color w:val="000000"/>
    </w:rPr>
    <w:tblPr>
      <w:tblStyleRowBandSize w:val="1"/>
      <w:tblStyleColBandSize w:val="1"/>
    </w:tblPr>
  </w:style>
  <w:style w:type="table" w:customStyle="1" w:styleId="affffff1">
    <w:basedOn w:val="TableNormal"/>
    <w:pPr>
      <w:spacing w:after="0" w:line="240" w:lineRule="auto"/>
    </w:pPr>
    <w:rPr>
      <w:color w:val="000000"/>
    </w:rPr>
    <w:tblPr>
      <w:tblStyleRowBandSize w:val="1"/>
      <w:tblStyleColBandSize w:val="1"/>
    </w:tblPr>
  </w:style>
  <w:style w:type="table" w:customStyle="1" w:styleId="affffff2">
    <w:basedOn w:val="TableNormal"/>
    <w:pPr>
      <w:spacing w:after="0" w:line="240" w:lineRule="auto"/>
    </w:pPr>
    <w:rPr>
      <w:color w:val="000000"/>
    </w:rPr>
    <w:tblPr>
      <w:tblStyleRowBandSize w:val="1"/>
      <w:tblStyleColBandSize w:val="1"/>
    </w:tblPr>
  </w:style>
  <w:style w:type="table" w:customStyle="1" w:styleId="affffff3">
    <w:basedOn w:val="TableNormal"/>
    <w:pPr>
      <w:spacing w:after="0" w:line="240" w:lineRule="auto"/>
    </w:pPr>
    <w:rPr>
      <w:color w:val="000000"/>
    </w:rPr>
    <w:tblPr>
      <w:tblStyleRowBandSize w:val="1"/>
      <w:tblStyleColBandSize w:val="1"/>
    </w:tblPr>
  </w:style>
  <w:style w:type="table" w:customStyle="1" w:styleId="affffff4">
    <w:basedOn w:val="TableNormal"/>
    <w:pPr>
      <w:spacing w:after="0" w:line="240" w:lineRule="auto"/>
    </w:pPr>
    <w:rPr>
      <w:color w:val="000000"/>
    </w:rPr>
    <w:tblPr>
      <w:tblStyleRowBandSize w:val="1"/>
      <w:tblStyleColBandSize w:val="1"/>
    </w:tblPr>
  </w:style>
  <w:style w:type="table" w:customStyle="1" w:styleId="affffff5">
    <w:basedOn w:val="TableNormal"/>
    <w:pPr>
      <w:spacing w:after="0" w:line="240" w:lineRule="auto"/>
    </w:pPr>
    <w:rPr>
      <w:color w:val="000000"/>
    </w:rPr>
    <w:tblPr>
      <w:tblStyleRowBandSize w:val="1"/>
      <w:tblStyleColBandSize w:val="1"/>
    </w:tblPr>
  </w:style>
  <w:style w:type="table" w:customStyle="1" w:styleId="affffff6">
    <w:basedOn w:val="TableNormal"/>
    <w:pPr>
      <w:spacing w:after="0" w:line="240" w:lineRule="auto"/>
    </w:pPr>
    <w:rPr>
      <w:color w:val="000000"/>
    </w:rPr>
    <w:tblPr>
      <w:tblStyleRowBandSize w:val="1"/>
      <w:tblStyleColBandSize w:val="1"/>
    </w:tblPr>
  </w:style>
  <w:style w:type="table" w:customStyle="1" w:styleId="affffff7">
    <w:basedOn w:val="TableNormal"/>
    <w:pPr>
      <w:spacing w:after="0" w:line="240" w:lineRule="auto"/>
    </w:pPr>
    <w:rPr>
      <w:color w:val="000000"/>
    </w:rPr>
    <w:tblPr>
      <w:tblStyleRowBandSize w:val="1"/>
      <w:tblStyleColBandSize w:val="1"/>
    </w:tblPr>
  </w:style>
  <w:style w:type="table" w:customStyle="1" w:styleId="affffff8">
    <w:basedOn w:val="TableNormal"/>
    <w:pPr>
      <w:spacing w:after="0" w:line="240" w:lineRule="auto"/>
    </w:pPr>
    <w:rPr>
      <w:color w:val="000000"/>
    </w:rPr>
    <w:tblPr>
      <w:tblStyleRowBandSize w:val="1"/>
      <w:tblStyleColBandSize w:val="1"/>
    </w:tblPr>
  </w:style>
  <w:style w:type="table" w:customStyle="1" w:styleId="affffff9">
    <w:basedOn w:val="TableNormal"/>
    <w:pPr>
      <w:spacing w:after="0" w:line="240" w:lineRule="auto"/>
    </w:pPr>
    <w:rPr>
      <w:color w:val="000000"/>
    </w:rPr>
    <w:tblPr>
      <w:tblStyleRowBandSize w:val="1"/>
      <w:tblStyleColBandSize w:val="1"/>
    </w:tblPr>
  </w:style>
  <w:style w:type="table" w:customStyle="1" w:styleId="affffffa">
    <w:basedOn w:val="TableNormal"/>
    <w:pPr>
      <w:spacing w:after="0" w:line="240" w:lineRule="auto"/>
    </w:pPr>
    <w:rPr>
      <w:color w:val="000000"/>
    </w:rPr>
    <w:tblPr>
      <w:tblStyleRowBandSize w:val="1"/>
      <w:tblStyleColBandSize w:val="1"/>
    </w:tblPr>
  </w:style>
  <w:style w:type="table" w:customStyle="1" w:styleId="affffffb">
    <w:basedOn w:val="TableNormal"/>
    <w:pPr>
      <w:spacing w:after="0" w:line="240" w:lineRule="auto"/>
    </w:pPr>
    <w:rPr>
      <w:color w:val="000000"/>
    </w:rPr>
    <w:tblPr>
      <w:tblStyleRowBandSize w:val="1"/>
      <w:tblStyleColBandSize w:val="1"/>
    </w:tblPr>
  </w:style>
  <w:style w:type="table" w:customStyle="1" w:styleId="affffffc">
    <w:basedOn w:val="TableNormal"/>
    <w:pPr>
      <w:spacing w:after="0" w:line="240" w:lineRule="auto"/>
    </w:pPr>
    <w:rPr>
      <w:color w:val="000000"/>
    </w:rPr>
    <w:tblPr>
      <w:tblStyleRowBandSize w:val="1"/>
      <w:tblStyleColBandSize w:val="1"/>
    </w:tblPr>
  </w:style>
  <w:style w:type="table" w:customStyle="1" w:styleId="affffffd">
    <w:basedOn w:val="TableNormal"/>
    <w:pPr>
      <w:spacing w:after="0" w:line="240" w:lineRule="auto"/>
    </w:pPr>
    <w:rPr>
      <w:color w:val="000000"/>
    </w:rPr>
    <w:tblPr>
      <w:tblStyleRowBandSize w:val="1"/>
      <w:tblStyleColBandSize w:val="1"/>
    </w:tblPr>
  </w:style>
  <w:style w:type="table" w:customStyle="1" w:styleId="affffffe">
    <w:basedOn w:val="TableNormal"/>
    <w:pPr>
      <w:spacing w:after="0" w:line="240" w:lineRule="auto"/>
    </w:pPr>
    <w:rPr>
      <w:color w:val="000000"/>
    </w:rPr>
    <w:tblPr>
      <w:tblStyleRowBandSize w:val="1"/>
      <w:tblStyleColBandSize w:val="1"/>
    </w:tblPr>
  </w:style>
  <w:style w:type="table" w:customStyle="1" w:styleId="afffffff">
    <w:basedOn w:val="TableNormal"/>
    <w:pPr>
      <w:spacing w:after="0" w:line="240" w:lineRule="auto"/>
    </w:pPr>
    <w:rPr>
      <w:color w:val="000000"/>
    </w:rPr>
    <w:tblPr>
      <w:tblStyleRowBandSize w:val="1"/>
      <w:tblStyleColBandSize w:val="1"/>
    </w:tblPr>
  </w:style>
  <w:style w:type="table" w:customStyle="1" w:styleId="afffffff0">
    <w:basedOn w:val="TableNormal"/>
    <w:pPr>
      <w:spacing w:after="0" w:line="240" w:lineRule="auto"/>
    </w:pPr>
    <w:rPr>
      <w:color w:val="000000"/>
    </w:rPr>
    <w:tblPr>
      <w:tblStyleRowBandSize w:val="1"/>
      <w:tblStyleColBandSize w:val="1"/>
    </w:tblPr>
  </w:style>
  <w:style w:type="table" w:customStyle="1" w:styleId="afffffff1">
    <w:basedOn w:val="TableNormal"/>
    <w:pPr>
      <w:spacing w:after="0" w:line="240" w:lineRule="auto"/>
    </w:pPr>
    <w:rPr>
      <w:color w:val="000000"/>
    </w:rPr>
    <w:tblPr>
      <w:tblStyleRowBandSize w:val="1"/>
      <w:tblStyleColBandSize w:val="1"/>
    </w:tblPr>
  </w:style>
  <w:style w:type="table" w:customStyle="1" w:styleId="afffffff2">
    <w:basedOn w:val="TableNormal"/>
    <w:pPr>
      <w:spacing w:after="0" w:line="240" w:lineRule="auto"/>
    </w:pPr>
    <w:rPr>
      <w:color w:val="000000"/>
    </w:rPr>
    <w:tblPr>
      <w:tblStyleRowBandSize w:val="1"/>
      <w:tblStyleColBandSize w:val="1"/>
    </w:tblPr>
  </w:style>
  <w:style w:type="table" w:customStyle="1" w:styleId="afffffff3">
    <w:basedOn w:val="TableNormal"/>
    <w:pPr>
      <w:spacing w:after="0" w:line="240" w:lineRule="auto"/>
    </w:pPr>
    <w:rPr>
      <w:color w:val="000000"/>
    </w:rPr>
    <w:tblPr>
      <w:tblStyleRowBandSize w:val="1"/>
      <w:tblStyleColBandSize w:val="1"/>
    </w:tblPr>
  </w:style>
  <w:style w:type="table" w:customStyle="1" w:styleId="afffffff4">
    <w:basedOn w:val="TableNormal"/>
    <w:pPr>
      <w:spacing w:after="0" w:line="240" w:lineRule="auto"/>
    </w:pPr>
    <w:rPr>
      <w:color w:val="000000"/>
    </w:rPr>
    <w:tblPr>
      <w:tblStyleRowBandSize w:val="1"/>
      <w:tblStyleColBandSize w:val="1"/>
    </w:tblPr>
  </w:style>
  <w:style w:type="table" w:customStyle="1" w:styleId="afffffff5">
    <w:basedOn w:val="TableNormal"/>
    <w:pPr>
      <w:spacing w:after="0" w:line="240" w:lineRule="auto"/>
    </w:pPr>
    <w:rPr>
      <w:color w:val="000000"/>
    </w:rPr>
    <w:tblPr>
      <w:tblStyleRowBandSize w:val="1"/>
      <w:tblStyleColBandSize w:val="1"/>
    </w:tblPr>
  </w:style>
  <w:style w:type="table" w:customStyle="1" w:styleId="afffffff6">
    <w:basedOn w:val="TableNormal"/>
    <w:pPr>
      <w:spacing w:after="0" w:line="240" w:lineRule="auto"/>
    </w:pPr>
    <w:rPr>
      <w:color w:val="000000"/>
    </w:rPr>
    <w:tblPr>
      <w:tblStyleRowBandSize w:val="1"/>
      <w:tblStyleColBandSize w:val="1"/>
    </w:tblPr>
  </w:style>
  <w:style w:type="table" w:customStyle="1" w:styleId="afffffff7">
    <w:basedOn w:val="TableNormal"/>
    <w:pPr>
      <w:spacing w:after="0" w:line="240" w:lineRule="auto"/>
    </w:pPr>
    <w:rPr>
      <w:color w:val="000000"/>
    </w:rPr>
    <w:tblPr>
      <w:tblStyleRowBandSize w:val="1"/>
      <w:tblStyleColBandSize w:val="1"/>
    </w:tblPr>
  </w:style>
  <w:style w:type="table" w:customStyle="1" w:styleId="afffffff8">
    <w:basedOn w:val="TableNormal"/>
    <w:pPr>
      <w:spacing w:after="0" w:line="240" w:lineRule="auto"/>
    </w:pPr>
    <w:rPr>
      <w:color w:val="000000"/>
    </w:rPr>
    <w:tblPr>
      <w:tblStyleRowBandSize w:val="1"/>
      <w:tblStyleColBandSize w:val="1"/>
    </w:tblPr>
  </w:style>
  <w:style w:type="table" w:customStyle="1" w:styleId="afffffff9">
    <w:basedOn w:val="TableNormal"/>
    <w:pPr>
      <w:spacing w:after="0" w:line="240" w:lineRule="auto"/>
    </w:pPr>
    <w:rPr>
      <w:color w:val="000000"/>
    </w:rPr>
    <w:tblPr>
      <w:tblStyleRowBandSize w:val="1"/>
      <w:tblStyleColBandSize w:val="1"/>
    </w:tblPr>
  </w:style>
  <w:style w:type="table" w:customStyle="1" w:styleId="afffffffa">
    <w:basedOn w:val="TableNormal"/>
    <w:pPr>
      <w:spacing w:after="0" w:line="240" w:lineRule="auto"/>
    </w:pPr>
    <w:rPr>
      <w:color w:val="000000"/>
    </w:rPr>
    <w:tblPr>
      <w:tblStyleRowBandSize w:val="1"/>
      <w:tblStyleColBandSize w:val="1"/>
    </w:tblPr>
  </w:style>
  <w:style w:type="table" w:customStyle="1" w:styleId="afffffffb">
    <w:basedOn w:val="TableNormal"/>
    <w:pPr>
      <w:spacing w:after="0" w:line="240" w:lineRule="auto"/>
    </w:pPr>
    <w:rPr>
      <w:color w:val="000000"/>
    </w:rPr>
    <w:tblPr>
      <w:tblStyleRowBandSize w:val="1"/>
      <w:tblStyleColBandSize w:val="1"/>
    </w:tblPr>
  </w:style>
  <w:style w:type="table" w:customStyle="1" w:styleId="afffffffc">
    <w:basedOn w:val="TableNormal"/>
    <w:pPr>
      <w:spacing w:after="0" w:line="240" w:lineRule="auto"/>
    </w:pPr>
    <w:rPr>
      <w:color w:val="000000"/>
    </w:rPr>
    <w:tblPr>
      <w:tblStyleRowBandSize w:val="1"/>
      <w:tblStyleColBandSize w:val="1"/>
    </w:tblPr>
  </w:style>
  <w:style w:type="table" w:customStyle="1" w:styleId="afffffffd">
    <w:basedOn w:val="TableNormal"/>
    <w:pPr>
      <w:spacing w:after="0" w:line="240" w:lineRule="auto"/>
    </w:pPr>
    <w:rPr>
      <w:color w:val="000000"/>
    </w:rPr>
    <w:tblPr>
      <w:tblStyleRowBandSize w:val="1"/>
      <w:tblStyleColBandSize w:val="1"/>
    </w:tblPr>
  </w:style>
  <w:style w:type="table" w:customStyle="1" w:styleId="afffffffe">
    <w:basedOn w:val="TableNormal"/>
    <w:pPr>
      <w:spacing w:after="0" w:line="240" w:lineRule="auto"/>
    </w:pPr>
    <w:rPr>
      <w:color w:val="000000"/>
    </w:rPr>
    <w:tblPr>
      <w:tblStyleRowBandSize w:val="1"/>
      <w:tblStyleColBandSize w:val="1"/>
    </w:tblPr>
  </w:style>
  <w:style w:type="table" w:customStyle="1" w:styleId="affffffff">
    <w:basedOn w:val="TableNormal"/>
    <w:pPr>
      <w:spacing w:after="0" w:line="240" w:lineRule="auto"/>
    </w:pPr>
    <w:rPr>
      <w:color w:val="000000"/>
    </w:rPr>
    <w:tblPr>
      <w:tblStyleRowBandSize w:val="1"/>
      <w:tblStyleColBandSize w:val="1"/>
    </w:tblPr>
  </w:style>
  <w:style w:type="table" w:customStyle="1" w:styleId="affffffff0">
    <w:basedOn w:val="TableNormal"/>
    <w:pPr>
      <w:spacing w:after="0" w:line="240" w:lineRule="auto"/>
    </w:pPr>
    <w:rPr>
      <w:color w:val="000000"/>
    </w:rPr>
    <w:tblPr>
      <w:tblStyleRowBandSize w:val="1"/>
      <w:tblStyleColBandSize w:val="1"/>
    </w:tblPr>
  </w:style>
  <w:style w:type="table" w:customStyle="1" w:styleId="affffffff1">
    <w:basedOn w:val="TableNormal"/>
    <w:pPr>
      <w:spacing w:after="0" w:line="240" w:lineRule="auto"/>
    </w:pPr>
    <w:rPr>
      <w:color w:val="000000"/>
    </w:rPr>
    <w:tblPr>
      <w:tblStyleRowBandSize w:val="1"/>
      <w:tblStyleColBandSize w:val="1"/>
    </w:tblPr>
  </w:style>
  <w:style w:type="table" w:customStyle="1" w:styleId="affffffff2">
    <w:basedOn w:val="TableNormal"/>
    <w:pPr>
      <w:spacing w:after="0" w:line="240" w:lineRule="auto"/>
    </w:pPr>
    <w:rPr>
      <w:color w:val="000000"/>
    </w:rPr>
    <w:tblPr>
      <w:tblStyleRowBandSize w:val="1"/>
      <w:tblStyleColBandSize w:val="1"/>
    </w:tblPr>
  </w:style>
  <w:style w:type="table" w:customStyle="1" w:styleId="affffffff3">
    <w:basedOn w:val="TableNormal"/>
    <w:pPr>
      <w:spacing w:after="0" w:line="240" w:lineRule="auto"/>
    </w:pPr>
    <w:rPr>
      <w:color w:val="000000"/>
    </w:rPr>
    <w:tblPr>
      <w:tblStyleRowBandSize w:val="1"/>
      <w:tblStyleColBandSize w:val="1"/>
    </w:tblPr>
  </w:style>
  <w:style w:type="table" w:customStyle="1" w:styleId="affffffff4">
    <w:basedOn w:val="TableNormal"/>
    <w:pPr>
      <w:spacing w:after="0" w:line="240" w:lineRule="auto"/>
    </w:pPr>
    <w:rPr>
      <w:color w:val="000000"/>
    </w:rPr>
    <w:tblPr>
      <w:tblStyleRowBandSize w:val="1"/>
      <w:tblStyleColBandSize w:val="1"/>
    </w:tblPr>
  </w:style>
  <w:style w:type="table" w:customStyle="1" w:styleId="affffffff5">
    <w:basedOn w:val="TableNormal"/>
    <w:pPr>
      <w:spacing w:after="0" w:line="240" w:lineRule="auto"/>
    </w:pPr>
    <w:rPr>
      <w:color w:val="000000"/>
    </w:rPr>
    <w:tblPr>
      <w:tblStyleRowBandSize w:val="1"/>
      <w:tblStyleColBandSize w:val="1"/>
    </w:tblPr>
  </w:style>
  <w:style w:type="table" w:customStyle="1" w:styleId="affffffff6">
    <w:basedOn w:val="TableNormal"/>
    <w:pPr>
      <w:spacing w:after="0" w:line="240" w:lineRule="auto"/>
    </w:pPr>
    <w:rPr>
      <w:color w:val="000000"/>
    </w:rPr>
    <w:tblPr>
      <w:tblStyleRowBandSize w:val="1"/>
      <w:tblStyleColBandSize w:val="1"/>
    </w:tblPr>
  </w:style>
  <w:style w:type="table" w:customStyle="1" w:styleId="affffffff7">
    <w:basedOn w:val="TableNormal"/>
    <w:pPr>
      <w:spacing w:after="0" w:line="240" w:lineRule="auto"/>
    </w:pPr>
    <w:rPr>
      <w:color w:val="000000"/>
    </w:rPr>
    <w:tblPr>
      <w:tblStyleRowBandSize w:val="1"/>
      <w:tblStyleColBandSize w:val="1"/>
    </w:tblPr>
  </w:style>
  <w:style w:type="table" w:customStyle="1" w:styleId="affffffff8">
    <w:basedOn w:val="TableNormal"/>
    <w:pPr>
      <w:spacing w:after="0" w:line="240" w:lineRule="auto"/>
    </w:pPr>
    <w:rPr>
      <w:color w:val="000000"/>
    </w:rPr>
    <w:tblPr>
      <w:tblStyleRowBandSize w:val="1"/>
      <w:tblStyleColBandSize w:val="1"/>
    </w:tblPr>
  </w:style>
  <w:style w:type="table" w:customStyle="1" w:styleId="affffffff9">
    <w:basedOn w:val="TableNormal"/>
    <w:pPr>
      <w:spacing w:after="0" w:line="240" w:lineRule="auto"/>
    </w:pPr>
    <w:rPr>
      <w:color w:val="000000"/>
    </w:rPr>
    <w:tblPr>
      <w:tblStyleRowBandSize w:val="1"/>
      <w:tblStyleColBandSize w:val="1"/>
    </w:tblPr>
  </w:style>
  <w:style w:type="table" w:customStyle="1" w:styleId="affffffffa">
    <w:basedOn w:val="TableNormal"/>
    <w:pPr>
      <w:spacing w:after="0" w:line="240" w:lineRule="auto"/>
    </w:pPr>
    <w:rPr>
      <w:color w:val="000000"/>
    </w:rPr>
    <w:tblPr>
      <w:tblStyleRowBandSize w:val="1"/>
      <w:tblStyleColBandSize w:val="1"/>
    </w:tblPr>
  </w:style>
  <w:style w:type="table" w:customStyle="1" w:styleId="affffffffb">
    <w:basedOn w:val="TableNormal"/>
    <w:pPr>
      <w:spacing w:after="0" w:line="240" w:lineRule="auto"/>
    </w:pPr>
    <w:rPr>
      <w:color w:val="000000"/>
    </w:rPr>
    <w:tblPr>
      <w:tblStyleRowBandSize w:val="1"/>
      <w:tblStyleColBandSize w:val="1"/>
    </w:tblPr>
  </w:style>
  <w:style w:type="table" w:customStyle="1" w:styleId="affffffffc">
    <w:basedOn w:val="TableNormal"/>
    <w:pPr>
      <w:spacing w:after="0" w:line="240" w:lineRule="auto"/>
    </w:pPr>
    <w:rPr>
      <w:color w:val="000000"/>
    </w:rPr>
    <w:tblPr>
      <w:tblStyleRowBandSize w:val="1"/>
      <w:tblStyleColBandSize w:val="1"/>
    </w:tblPr>
  </w:style>
  <w:style w:type="table" w:customStyle="1" w:styleId="affffffffd">
    <w:basedOn w:val="TableNormal"/>
    <w:pPr>
      <w:spacing w:after="0" w:line="240" w:lineRule="auto"/>
    </w:pPr>
    <w:rPr>
      <w:color w:val="000000"/>
    </w:rPr>
    <w:tblPr>
      <w:tblStyleRowBandSize w:val="1"/>
      <w:tblStyleColBandSize w:val="1"/>
    </w:tblPr>
  </w:style>
  <w:style w:type="table" w:customStyle="1" w:styleId="affffffffe">
    <w:basedOn w:val="TableNormal"/>
    <w:pPr>
      <w:spacing w:after="0" w:line="240" w:lineRule="auto"/>
    </w:pPr>
    <w:rPr>
      <w:color w:val="000000"/>
    </w:rPr>
    <w:tblPr>
      <w:tblStyleRowBandSize w:val="1"/>
      <w:tblStyleColBandSize w:val="1"/>
    </w:tblPr>
  </w:style>
  <w:style w:type="table" w:customStyle="1" w:styleId="afffffffff">
    <w:basedOn w:val="TableNormal"/>
    <w:pPr>
      <w:spacing w:after="0" w:line="240" w:lineRule="auto"/>
    </w:pPr>
    <w:rPr>
      <w:color w:val="000000"/>
    </w:rPr>
    <w:tblPr>
      <w:tblStyleRowBandSize w:val="1"/>
      <w:tblStyleColBandSize w:val="1"/>
    </w:tblPr>
  </w:style>
  <w:style w:type="table" w:customStyle="1" w:styleId="afffffffff0">
    <w:basedOn w:val="TableNormal"/>
    <w:pPr>
      <w:spacing w:after="0" w:line="240" w:lineRule="auto"/>
    </w:pPr>
    <w:rPr>
      <w:color w:val="000000"/>
    </w:rPr>
    <w:tblPr>
      <w:tblStyleRowBandSize w:val="1"/>
      <w:tblStyleColBandSize w:val="1"/>
    </w:tblPr>
  </w:style>
  <w:style w:type="table" w:customStyle="1" w:styleId="afffffffff1">
    <w:basedOn w:val="TableNormal"/>
    <w:pPr>
      <w:spacing w:after="0" w:line="240" w:lineRule="auto"/>
    </w:pPr>
    <w:rPr>
      <w:color w:val="000000"/>
    </w:rPr>
    <w:tblPr>
      <w:tblStyleRowBandSize w:val="1"/>
      <w:tblStyleColBandSize w:val="1"/>
    </w:tblPr>
  </w:style>
  <w:style w:type="table" w:customStyle="1" w:styleId="afffffffff2">
    <w:basedOn w:val="TableNormal"/>
    <w:pPr>
      <w:spacing w:after="0" w:line="240" w:lineRule="auto"/>
    </w:pPr>
    <w:rPr>
      <w:color w:val="000000"/>
    </w:rPr>
    <w:tblPr>
      <w:tblStyleRowBandSize w:val="1"/>
      <w:tblStyleColBandSize w:val="1"/>
    </w:tblPr>
  </w:style>
  <w:style w:type="table" w:customStyle="1" w:styleId="afffffffff3">
    <w:basedOn w:val="TableNormal"/>
    <w:pPr>
      <w:spacing w:after="0" w:line="240" w:lineRule="auto"/>
    </w:pPr>
    <w:rPr>
      <w:color w:val="000000"/>
    </w:rPr>
    <w:tblPr>
      <w:tblStyleRowBandSize w:val="1"/>
      <w:tblStyleColBandSize w:val="1"/>
    </w:tblPr>
  </w:style>
  <w:style w:type="table" w:customStyle="1" w:styleId="afffffffff4">
    <w:basedOn w:val="TableNormal"/>
    <w:pPr>
      <w:spacing w:after="0" w:line="240" w:lineRule="auto"/>
    </w:pPr>
    <w:rPr>
      <w:color w:val="000000"/>
    </w:rPr>
    <w:tblPr>
      <w:tblStyleRowBandSize w:val="1"/>
      <w:tblStyleColBandSize w:val="1"/>
    </w:tblPr>
  </w:style>
  <w:style w:type="table" w:customStyle="1" w:styleId="afffffffff5">
    <w:basedOn w:val="TableNormal"/>
    <w:pPr>
      <w:spacing w:after="0" w:line="240" w:lineRule="auto"/>
    </w:pPr>
    <w:rPr>
      <w:color w:val="000000"/>
    </w:rPr>
    <w:tblPr>
      <w:tblStyleRowBandSize w:val="1"/>
      <w:tblStyleColBandSize w:val="1"/>
    </w:tblPr>
  </w:style>
  <w:style w:type="table" w:customStyle="1" w:styleId="afffffffff6">
    <w:basedOn w:val="TableNormal"/>
    <w:pPr>
      <w:spacing w:after="0" w:line="240" w:lineRule="auto"/>
    </w:pPr>
    <w:rPr>
      <w:color w:val="000000"/>
    </w:rPr>
    <w:tblPr>
      <w:tblStyleRowBandSize w:val="1"/>
      <w:tblStyleColBandSize w:val="1"/>
    </w:tblPr>
  </w:style>
  <w:style w:type="table" w:customStyle="1" w:styleId="afffffffff7">
    <w:basedOn w:val="TableNormal"/>
    <w:pPr>
      <w:spacing w:after="0" w:line="240" w:lineRule="auto"/>
    </w:pPr>
    <w:rPr>
      <w:color w:val="000000"/>
    </w:rPr>
    <w:tblPr>
      <w:tblStyleRowBandSize w:val="1"/>
      <w:tblStyleColBandSize w:val="1"/>
    </w:tblPr>
  </w:style>
  <w:style w:type="table" w:customStyle="1" w:styleId="afffffffff8">
    <w:basedOn w:val="TableNormal"/>
    <w:pPr>
      <w:spacing w:after="0" w:line="240" w:lineRule="auto"/>
    </w:pPr>
    <w:rPr>
      <w:color w:val="000000"/>
    </w:rPr>
    <w:tblPr>
      <w:tblStyleRowBandSize w:val="1"/>
      <w:tblStyleColBandSize w:val="1"/>
    </w:tblPr>
  </w:style>
  <w:style w:type="table" w:customStyle="1" w:styleId="afffffffff9">
    <w:basedOn w:val="TableNormal"/>
    <w:pPr>
      <w:spacing w:after="0" w:line="240" w:lineRule="auto"/>
    </w:pPr>
    <w:rPr>
      <w:color w:val="000000"/>
    </w:rPr>
    <w:tblPr>
      <w:tblStyleRowBandSize w:val="1"/>
      <w:tblStyleColBandSize w:val="1"/>
    </w:tblPr>
  </w:style>
  <w:style w:type="table" w:customStyle="1" w:styleId="afffffffffa">
    <w:basedOn w:val="TableNormal"/>
    <w:pPr>
      <w:spacing w:after="0" w:line="240" w:lineRule="auto"/>
    </w:pPr>
    <w:rPr>
      <w:color w:val="000000"/>
    </w:rPr>
    <w:tblPr>
      <w:tblStyleRowBandSize w:val="1"/>
      <w:tblStyleColBandSize w:val="1"/>
    </w:tblPr>
  </w:style>
  <w:style w:type="table" w:customStyle="1" w:styleId="afffffffffb">
    <w:basedOn w:val="TableNormal"/>
    <w:pPr>
      <w:spacing w:after="0" w:line="240" w:lineRule="auto"/>
    </w:pPr>
    <w:rPr>
      <w:color w:val="000000"/>
    </w:rPr>
    <w:tblPr>
      <w:tblStyleRowBandSize w:val="1"/>
      <w:tblStyleColBandSize w:val="1"/>
    </w:tblPr>
  </w:style>
  <w:style w:type="table" w:customStyle="1" w:styleId="afffffffffc">
    <w:basedOn w:val="TableNormal"/>
    <w:pPr>
      <w:spacing w:after="0" w:line="240" w:lineRule="auto"/>
    </w:pPr>
    <w:rPr>
      <w:color w:val="000000"/>
    </w:rPr>
    <w:tblPr>
      <w:tblStyleRowBandSize w:val="1"/>
      <w:tblStyleColBandSize w:val="1"/>
    </w:tblPr>
  </w:style>
  <w:style w:type="table" w:customStyle="1" w:styleId="afffffffffd">
    <w:basedOn w:val="TableNormal"/>
    <w:pPr>
      <w:spacing w:after="0" w:line="240" w:lineRule="auto"/>
    </w:pPr>
    <w:rPr>
      <w:color w:val="000000"/>
    </w:rPr>
    <w:tblPr>
      <w:tblStyleRowBandSize w:val="1"/>
      <w:tblStyleColBandSize w:val="1"/>
    </w:tblPr>
  </w:style>
  <w:style w:type="table" w:customStyle="1" w:styleId="afffffffffe">
    <w:basedOn w:val="TableNormal"/>
    <w:pPr>
      <w:spacing w:after="0" w:line="240" w:lineRule="auto"/>
    </w:pPr>
    <w:rPr>
      <w:color w:val="000000"/>
    </w:rPr>
    <w:tblPr>
      <w:tblStyleRowBandSize w:val="1"/>
      <w:tblStyleColBandSize w:val="1"/>
    </w:tblPr>
  </w:style>
  <w:style w:type="table" w:customStyle="1" w:styleId="affffffffff">
    <w:basedOn w:val="TableNormal"/>
    <w:pPr>
      <w:spacing w:after="0" w:line="240" w:lineRule="auto"/>
    </w:pPr>
    <w:rPr>
      <w:color w:val="000000"/>
    </w:rPr>
    <w:tblPr>
      <w:tblStyleRowBandSize w:val="1"/>
      <w:tblStyleColBandSize w:val="1"/>
    </w:tblPr>
  </w:style>
  <w:style w:type="table" w:customStyle="1" w:styleId="affffffffff0">
    <w:basedOn w:val="TableNormal"/>
    <w:pPr>
      <w:spacing w:after="0" w:line="240" w:lineRule="auto"/>
    </w:pPr>
    <w:rPr>
      <w:color w:val="000000"/>
    </w:rPr>
    <w:tblPr>
      <w:tblStyleRowBandSize w:val="1"/>
      <w:tblStyleColBandSize w:val="1"/>
    </w:tblPr>
  </w:style>
  <w:style w:type="table" w:customStyle="1" w:styleId="affffffffff1">
    <w:basedOn w:val="TableNormal"/>
    <w:pPr>
      <w:spacing w:after="0" w:line="240" w:lineRule="auto"/>
    </w:pPr>
    <w:rPr>
      <w:color w:val="000000"/>
    </w:rPr>
    <w:tblPr>
      <w:tblStyleRowBandSize w:val="1"/>
      <w:tblStyleColBandSize w:val="1"/>
    </w:tblPr>
  </w:style>
  <w:style w:type="table" w:customStyle="1" w:styleId="affffffffff2">
    <w:basedOn w:val="TableNormal"/>
    <w:pPr>
      <w:spacing w:after="0" w:line="240" w:lineRule="auto"/>
    </w:pPr>
    <w:rPr>
      <w:color w:val="000000"/>
    </w:rPr>
    <w:tblPr>
      <w:tblStyleRowBandSize w:val="1"/>
      <w:tblStyleColBandSize w:val="1"/>
    </w:tblPr>
  </w:style>
  <w:style w:type="table" w:customStyle="1" w:styleId="affffffffff3">
    <w:basedOn w:val="TableNormal"/>
    <w:pPr>
      <w:spacing w:after="0" w:line="240" w:lineRule="auto"/>
    </w:pPr>
    <w:rPr>
      <w:color w:val="000000"/>
    </w:rPr>
    <w:tblPr>
      <w:tblStyleRowBandSize w:val="1"/>
      <w:tblStyleColBandSize w:val="1"/>
    </w:tblPr>
  </w:style>
  <w:style w:type="table" w:customStyle="1" w:styleId="affffffffff4">
    <w:basedOn w:val="TableNormal"/>
    <w:pPr>
      <w:spacing w:after="0" w:line="240" w:lineRule="auto"/>
    </w:pPr>
    <w:rPr>
      <w:color w:val="000000"/>
    </w:rPr>
    <w:tblPr>
      <w:tblStyleRowBandSize w:val="1"/>
      <w:tblStyleColBandSize w:val="1"/>
    </w:tblPr>
  </w:style>
  <w:style w:type="table" w:customStyle="1" w:styleId="affffffffff5">
    <w:basedOn w:val="TableNormal"/>
    <w:pPr>
      <w:spacing w:after="0" w:line="240" w:lineRule="auto"/>
    </w:pPr>
    <w:rPr>
      <w:color w:val="000000"/>
    </w:rPr>
    <w:tblPr>
      <w:tblStyleRowBandSize w:val="1"/>
      <w:tblStyleColBandSize w:val="1"/>
    </w:tblPr>
  </w:style>
  <w:style w:type="table" w:customStyle="1" w:styleId="affffffffff6">
    <w:basedOn w:val="TableNormal"/>
    <w:pPr>
      <w:spacing w:after="0" w:line="240" w:lineRule="auto"/>
    </w:pPr>
    <w:rPr>
      <w:color w:val="000000"/>
    </w:rPr>
    <w:tblPr>
      <w:tblStyleRowBandSize w:val="1"/>
      <w:tblStyleColBandSize w:val="1"/>
    </w:tblPr>
  </w:style>
  <w:style w:type="table" w:customStyle="1" w:styleId="affffffffff7">
    <w:basedOn w:val="TableNormal"/>
    <w:pPr>
      <w:spacing w:after="0" w:line="240" w:lineRule="auto"/>
    </w:pPr>
    <w:rPr>
      <w:color w:val="000000"/>
    </w:rPr>
    <w:tblPr>
      <w:tblStyleRowBandSize w:val="1"/>
      <w:tblStyleColBandSize w:val="1"/>
    </w:tblPr>
  </w:style>
  <w:style w:type="table" w:customStyle="1" w:styleId="affffffffff8">
    <w:basedOn w:val="TableNormal"/>
    <w:pPr>
      <w:spacing w:after="0" w:line="240" w:lineRule="auto"/>
    </w:pPr>
    <w:rPr>
      <w:color w:val="000000"/>
    </w:rPr>
    <w:tblPr>
      <w:tblStyleRowBandSize w:val="1"/>
      <w:tblStyleColBandSize w:val="1"/>
    </w:tblPr>
  </w:style>
  <w:style w:type="table" w:customStyle="1" w:styleId="affffffffff9">
    <w:basedOn w:val="TableNormal"/>
    <w:pPr>
      <w:spacing w:after="0" w:line="240" w:lineRule="auto"/>
    </w:pPr>
    <w:rPr>
      <w:color w:val="000000"/>
    </w:rPr>
    <w:tblPr>
      <w:tblStyleRowBandSize w:val="1"/>
      <w:tblStyleColBandSize w:val="1"/>
    </w:tblPr>
  </w:style>
  <w:style w:type="table" w:customStyle="1" w:styleId="affffffffffa">
    <w:basedOn w:val="TableNormal"/>
    <w:pPr>
      <w:spacing w:after="0" w:line="240" w:lineRule="auto"/>
    </w:pPr>
    <w:rPr>
      <w:color w:val="000000"/>
    </w:rPr>
    <w:tblPr>
      <w:tblStyleRowBandSize w:val="1"/>
      <w:tblStyleColBandSize w:val="1"/>
    </w:tblPr>
  </w:style>
  <w:style w:type="table" w:customStyle="1" w:styleId="affffffffffb">
    <w:basedOn w:val="TableNormal"/>
    <w:pPr>
      <w:spacing w:after="0" w:line="240" w:lineRule="auto"/>
    </w:pPr>
    <w:rPr>
      <w:color w:val="000000"/>
    </w:rPr>
    <w:tblPr>
      <w:tblStyleRowBandSize w:val="1"/>
      <w:tblStyleColBandSize w:val="1"/>
    </w:tblPr>
  </w:style>
  <w:style w:type="table" w:customStyle="1" w:styleId="affffffffffc">
    <w:basedOn w:val="TableNormal"/>
    <w:pPr>
      <w:spacing w:after="0" w:line="240" w:lineRule="auto"/>
    </w:pPr>
    <w:rPr>
      <w:color w:val="000000"/>
    </w:rPr>
    <w:tblPr>
      <w:tblStyleRowBandSize w:val="1"/>
      <w:tblStyleColBandSize w:val="1"/>
    </w:tblPr>
  </w:style>
  <w:style w:type="table" w:customStyle="1" w:styleId="affffffffffd">
    <w:basedOn w:val="TableNormal"/>
    <w:pPr>
      <w:spacing w:after="0" w:line="240" w:lineRule="auto"/>
    </w:pPr>
    <w:rPr>
      <w:color w:val="000000"/>
    </w:rPr>
    <w:tblPr>
      <w:tblStyleRowBandSize w:val="1"/>
      <w:tblStyleColBandSize w:val="1"/>
    </w:tblPr>
  </w:style>
  <w:style w:type="table" w:customStyle="1" w:styleId="affffffffffe">
    <w:basedOn w:val="TableNormal"/>
    <w:pPr>
      <w:spacing w:after="0" w:line="240" w:lineRule="auto"/>
    </w:pPr>
    <w:rPr>
      <w:color w:val="000000"/>
    </w:rPr>
    <w:tblPr>
      <w:tblStyleRowBandSize w:val="1"/>
      <w:tblStyleColBandSize w:val="1"/>
    </w:tblPr>
  </w:style>
  <w:style w:type="table" w:customStyle="1" w:styleId="afffffffffff">
    <w:basedOn w:val="TableNormal"/>
    <w:pPr>
      <w:spacing w:after="0" w:line="240" w:lineRule="auto"/>
    </w:pPr>
    <w:rPr>
      <w:color w:val="000000"/>
    </w:rPr>
    <w:tblPr>
      <w:tblStyleRowBandSize w:val="1"/>
      <w:tblStyleColBandSize w:val="1"/>
    </w:tblPr>
  </w:style>
  <w:style w:type="table" w:customStyle="1" w:styleId="afffffffffff0">
    <w:basedOn w:val="TableNormal"/>
    <w:pPr>
      <w:spacing w:after="0" w:line="240" w:lineRule="auto"/>
    </w:pPr>
    <w:rPr>
      <w:color w:val="000000"/>
    </w:rPr>
    <w:tblPr>
      <w:tblStyleRowBandSize w:val="1"/>
      <w:tblStyleColBandSize w:val="1"/>
    </w:tblPr>
  </w:style>
  <w:style w:type="table" w:customStyle="1" w:styleId="afffffffffff1">
    <w:basedOn w:val="TableNormal"/>
    <w:pPr>
      <w:spacing w:after="0" w:line="240" w:lineRule="auto"/>
    </w:pPr>
    <w:rPr>
      <w:color w:val="000000"/>
    </w:rPr>
    <w:tblPr>
      <w:tblStyleRowBandSize w:val="1"/>
      <w:tblStyleColBandSize w:val="1"/>
    </w:tblPr>
  </w:style>
  <w:style w:type="table" w:customStyle="1" w:styleId="afffffffffff2">
    <w:basedOn w:val="TableNormal"/>
    <w:pPr>
      <w:spacing w:after="0" w:line="240" w:lineRule="auto"/>
    </w:pPr>
    <w:rPr>
      <w:color w:val="000000"/>
    </w:rPr>
    <w:tblPr>
      <w:tblStyleRowBandSize w:val="1"/>
      <w:tblStyleColBandSize w:val="1"/>
    </w:tblPr>
  </w:style>
  <w:style w:type="table" w:customStyle="1" w:styleId="afffffffffff3">
    <w:basedOn w:val="TableNormal"/>
    <w:pPr>
      <w:spacing w:after="0" w:line="240" w:lineRule="auto"/>
    </w:pPr>
    <w:rPr>
      <w:color w:val="000000"/>
    </w:rPr>
    <w:tblPr>
      <w:tblStyleRowBandSize w:val="1"/>
      <w:tblStyleColBandSize w:val="1"/>
    </w:tblPr>
  </w:style>
  <w:style w:type="table" w:customStyle="1" w:styleId="afffffffffff4">
    <w:basedOn w:val="TableNormal"/>
    <w:pPr>
      <w:spacing w:after="0" w:line="240" w:lineRule="auto"/>
    </w:pPr>
    <w:rPr>
      <w:color w:val="000000"/>
    </w:rPr>
    <w:tblPr>
      <w:tblStyleRowBandSize w:val="1"/>
      <w:tblStyleColBandSize w:val="1"/>
    </w:tblPr>
  </w:style>
  <w:style w:type="table" w:customStyle="1" w:styleId="afffffffffff5">
    <w:basedOn w:val="TableNormal"/>
    <w:pPr>
      <w:spacing w:after="0" w:line="240" w:lineRule="auto"/>
    </w:pPr>
    <w:rPr>
      <w:color w:val="000000"/>
    </w:rPr>
    <w:tblPr>
      <w:tblStyleRowBandSize w:val="1"/>
      <w:tblStyleColBandSize w:val="1"/>
    </w:tblPr>
  </w:style>
  <w:style w:type="table" w:customStyle="1" w:styleId="afffffffffff6">
    <w:basedOn w:val="TableNormal"/>
    <w:pPr>
      <w:spacing w:after="0" w:line="240" w:lineRule="auto"/>
    </w:pPr>
    <w:rPr>
      <w:color w:val="000000"/>
    </w:rPr>
    <w:tblPr>
      <w:tblStyleRowBandSize w:val="1"/>
      <w:tblStyleColBandSize w:val="1"/>
    </w:tblPr>
  </w:style>
  <w:style w:type="table" w:customStyle="1" w:styleId="afffffffffff7">
    <w:basedOn w:val="TableNormal"/>
    <w:pPr>
      <w:spacing w:after="0" w:line="240" w:lineRule="auto"/>
    </w:pPr>
    <w:rPr>
      <w:color w:val="000000"/>
    </w:rPr>
    <w:tblPr>
      <w:tblStyleRowBandSize w:val="1"/>
      <w:tblStyleColBandSize w:val="1"/>
    </w:tblPr>
  </w:style>
  <w:style w:type="table" w:customStyle="1" w:styleId="afffffffffff8">
    <w:basedOn w:val="TableNormal"/>
    <w:pPr>
      <w:spacing w:after="0" w:line="240" w:lineRule="auto"/>
    </w:pPr>
    <w:rPr>
      <w:color w:val="000000"/>
    </w:rPr>
    <w:tblPr>
      <w:tblStyleRowBandSize w:val="1"/>
      <w:tblStyleColBandSize w:val="1"/>
    </w:tblPr>
  </w:style>
  <w:style w:type="table" w:customStyle="1" w:styleId="afffffffffff9">
    <w:basedOn w:val="TableNormal"/>
    <w:pPr>
      <w:spacing w:after="0" w:line="240" w:lineRule="auto"/>
    </w:pPr>
    <w:rPr>
      <w:color w:val="000000"/>
    </w:rPr>
    <w:tblPr>
      <w:tblStyleRowBandSize w:val="1"/>
      <w:tblStyleColBandSize w:val="1"/>
    </w:tblPr>
  </w:style>
  <w:style w:type="table" w:customStyle="1" w:styleId="afffffffffffa">
    <w:basedOn w:val="TableNormal"/>
    <w:pPr>
      <w:spacing w:after="0" w:line="240" w:lineRule="auto"/>
    </w:pPr>
    <w:rPr>
      <w:color w:val="000000"/>
    </w:rPr>
    <w:tblPr>
      <w:tblStyleRowBandSize w:val="1"/>
      <w:tblStyleColBandSize w:val="1"/>
    </w:tblPr>
  </w:style>
  <w:style w:type="table" w:customStyle="1" w:styleId="afffffffffffb">
    <w:basedOn w:val="TableNormal"/>
    <w:pPr>
      <w:spacing w:after="0" w:line="240" w:lineRule="auto"/>
    </w:pPr>
    <w:rPr>
      <w:color w:val="000000"/>
    </w:rPr>
    <w:tblPr>
      <w:tblStyleRowBandSize w:val="1"/>
      <w:tblStyleColBandSize w:val="1"/>
    </w:tblPr>
  </w:style>
  <w:style w:type="table" w:customStyle="1" w:styleId="afffffffffffc">
    <w:basedOn w:val="TableNormal"/>
    <w:pPr>
      <w:spacing w:after="0" w:line="240" w:lineRule="auto"/>
    </w:pPr>
    <w:rPr>
      <w:color w:val="000000"/>
    </w:rPr>
    <w:tblPr>
      <w:tblStyleRowBandSize w:val="1"/>
      <w:tblStyleColBandSize w:val="1"/>
    </w:tblPr>
  </w:style>
  <w:style w:type="table" w:customStyle="1" w:styleId="afffffffffffd">
    <w:basedOn w:val="TableNormal"/>
    <w:pPr>
      <w:spacing w:after="0" w:line="240" w:lineRule="auto"/>
    </w:pPr>
    <w:rPr>
      <w:color w:val="000000"/>
    </w:rPr>
    <w:tblPr>
      <w:tblStyleRowBandSize w:val="1"/>
      <w:tblStyleColBandSize w:val="1"/>
    </w:tblPr>
  </w:style>
  <w:style w:type="table" w:customStyle="1" w:styleId="afffffffffffe">
    <w:basedOn w:val="TableNormal"/>
    <w:pPr>
      <w:spacing w:after="0" w:line="240" w:lineRule="auto"/>
    </w:pPr>
    <w:rPr>
      <w:color w:val="000000"/>
    </w:rPr>
    <w:tblPr>
      <w:tblStyleRowBandSize w:val="1"/>
      <w:tblStyleColBandSize w:val="1"/>
    </w:tblPr>
  </w:style>
  <w:style w:type="table" w:customStyle="1" w:styleId="affffffffffff">
    <w:basedOn w:val="TableNormal"/>
    <w:pPr>
      <w:spacing w:after="0" w:line="240" w:lineRule="auto"/>
    </w:pPr>
    <w:rPr>
      <w:color w:val="000000"/>
    </w:rPr>
    <w:tblPr>
      <w:tblStyleRowBandSize w:val="1"/>
      <w:tblStyleColBandSize w:val="1"/>
    </w:tblPr>
  </w:style>
  <w:style w:type="table" w:customStyle="1" w:styleId="affffffffffff0">
    <w:basedOn w:val="TableNormal"/>
    <w:pPr>
      <w:spacing w:after="0" w:line="240" w:lineRule="auto"/>
    </w:pPr>
    <w:rPr>
      <w:color w:val="000000"/>
    </w:rPr>
    <w:tblPr>
      <w:tblStyleRowBandSize w:val="1"/>
      <w:tblStyleColBandSize w:val="1"/>
    </w:tblPr>
  </w:style>
  <w:style w:type="table" w:customStyle="1" w:styleId="affffffffffff1">
    <w:basedOn w:val="TableNormal"/>
    <w:pPr>
      <w:spacing w:after="0" w:line="240" w:lineRule="auto"/>
    </w:pPr>
    <w:rPr>
      <w:color w:val="000000"/>
    </w:rPr>
    <w:tblPr>
      <w:tblStyleRowBandSize w:val="1"/>
      <w:tblStyleColBandSize w:val="1"/>
    </w:tblPr>
  </w:style>
  <w:style w:type="table" w:customStyle="1" w:styleId="affffffffffff2">
    <w:basedOn w:val="TableNormal"/>
    <w:pPr>
      <w:spacing w:after="0" w:line="240" w:lineRule="auto"/>
    </w:pPr>
    <w:rPr>
      <w:color w:val="000000"/>
    </w:rPr>
    <w:tblPr>
      <w:tblStyleRowBandSize w:val="1"/>
      <w:tblStyleColBandSize w:val="1"/>
    </w:tblPr>
  </w:style>
  <w:style w:type="table" w:customStyle="1" w:styleId="affffffffffff3">
    <w:basedOn w:val="TableNormal"/>
    <w:pPr>
      <w:spacing w:after="0" w:line="240" w:lineRule="auto"/>
    </w:pPr>
    <w:rPr>
      <w:color w:val="000000"/>
    </w:rPr>
    <w:tblPr>
      <w:tblStyleRowBandSize w:val="1"/>
      <w:tblStyleColBandSize w:val="1"/>
    </w:tblPr>
  </w:style>
  <w:style w:type="table" w:customStyle="1" w:styleId="affffffffffff4">
    <w:basedOn w:val="TableNormal"/>
    <w:pPr>
      <w:spacing w:after="0" w:line="240" w:lineRule="auto"/>
    </w:pPr>
    <w:rPr>
      <w:color w:val="000000"/>
    </w:rPr>
    <w:tblPr>
      <w:tblStyleRowBandSize w:val="1"/>
      <w:tblStyleColBandSize w:val="1"/>
    </w:tblPr>
  </w:style>
  <w:style w:type="table" w:customStyle="1" w:styleId="affffffffffff5">
    <w:basedOn w:val="TableNormal"/>
    <w:pPr>
      <w:spacing w:after="0" w:line="240" w:lineRule="auto"/>
    </w:pPr>
    <w:rPr>
      <w:color w:val="000000"/>
    </w:rPr>
    <w:tblPr>
      <w:tblStyleRowBandSize w:val="1"/>
      <w:tblStyleColBandSize w:val="1"/>
    </w:tblPr>
  </w:style>
  <w:style w:type="table" w:customStyle="1" w:styleId="affffffffffff6">
    <w:basedOn w:val="TableNormal"/>
    <w:pPr>
      <w:spacing w:after="0" w:line="240" w:lineRule="auto"/>
    </w:pPr>
    <w:rPr>
      <w:color w:val="000000"/>
    </w:rPr>
    <w:tblPr>
      <w:tblStyleRowBandSize w:val="1"/>
      <w:tblStyleColBandSize w:val="1"/>
    </w:tblPr>
  </w:style>
  <w:style w:type="table" w:customStyle="1" w:styleId="affffffffffff7">
    <w:basedOn w:val="TableNormal"/>
    <w:pPr>
      <w:spacing w:after="0" w:line="240" w:lineRule="auto"/>
    </w:pPr>
    <w:rPr>
      <w:color w:val="000000"/>
    </w:rPr>
    <w:tblPr>
      <w:tblStyleRowBandSize w:val="1"/>
      <w:tblStyleColBandSize w:val="1"/>
    </w:tblPr>
  </w:style>
  <w:style w:type="table" w:customStyle="1" w:styleId="affffffffffff8">
    <w:basedOn w:val="TableNormal"/>
    <w:pPr>
      <w:spacing w:after="0" w:line="240" w:lineRule="auto"/>
    </w:pPr>
    <w:rPr>
      <w:color w:val="000000"/>
    </w:rPr>
    <w:tblPr>
      <w:tblStyleRowBandSize w:val="1"/>
      <w:tblStyleColBandSize w:val="1"/>
    </w:tblPr>
  </w:style>
  <w:style w:type="table" w:customStyle="1" w:styleId="affffffffffff9">
    <w:basedOn w:val="TableNormal"/>
    <w:pPr>
      <w:spacing w:after="0" w:line="240" w:lineRule="auto"/>
    </w:pPr>
    <w:rPr>
      <w:color w:val="000000"/>
    </w:rPr>
    <w:tblPr>
      <w:tblStyleRowBandSize w:val="1"/>
      <w:tblStyleColBandSize w:val="1"/>
    </w:tblPr>
  </w:style>
  <w:style w:type="table" w:customStyle="1" w:styleId="affffffffffffa">
    <w:basedOn w:val="TableNormal"/>
    <w:pPr>
      <w:spacing w:after="0" w:line="240" w:lineRule="auto"/>
    </w:pPr>
    <w:rPr>
      <w:color w:val="000000"/>
    </w:rPr>
    <w:tblPr>
      <w:tblStyleRowBandSize w:val="1"/>
      <w:tblStyleColBandSize w:val="1"/>
    </w:tblPr>
  </w:style>
  <w:style w:type="table" w:customStyle="1" w:styleId="affffffffffffb">
    <w:basedOn w:val="TableNormal"/>
    <w:pPr>
      <w:spacing w:after="0" w:line="240" w:lineRule="auto"/>
    </w:pPr>
    <w:rPr>
      <w:color w:val="000000"/>
    </w:rPr>
    <w:tblPr>
      <w:tblStyleRowBandSize w:val="1"/>
      <w:tblStyleColBandSize w:val="1"/>
    </w:tblPr>
  </w:style>
  <w:style w:type="table" w:customStyle="1" w:styleId="affffffffffffc">
    <w:basedOn w:val="TableNormal"/>
    <w:pPr>
      <w:spacing w:after="0" w:line="240" w:lineRule="auto"/>
    </w:pPr>
    <w:rPr>
      <w:color w:val="000000"/>
    </w:rPr>
    <w:tblPr>
      <w:tblStyleRowBandSize w:val="1"/>
      <w:tblStyleColBandSize w:val="1"/>
    </w:tblPr>
  </w:style>
  <w:style w:type="table" w:customStyle="1" w:styleId="affffffffffffd">
    <w:basedOn w:val="TableNormal"/>
    <w:pPr>
      <w:spacing w:after="0" w:line="240" w:lineRule="auto"/>
    </w:pPr>
    <w:rPr>
      <w:color w:val="000000"/>
    </w:rPr>
    <w:tblPr>
      <w:tblStyleRowBandSize w:val="1"/>
      <w:tblStyleColBandSize w:val="1"/>
    </w:tblPr>
  </w:style>
  <w:style w:type="table" w:customStyle="1" w:styleId="affffffffffffe">
    <w:basedOn w:val="TableNormal"/>
    <w:pPr>
      <w:spacing w:after="0" w:line="240" w:lineRule="auto"/>
    </w:pPr>
    <w:rPr>
      <w:color w:val="000000"/>
    </w:rPr>
    <w:tblPr>
      <w:tblStyleRowBandSize w:val="1"/>
      <w:tblStyleColBandSize w:val="1"/>
    </w:tblPr>
  </w:style>
  <w:style w:type="table" w:customStyle="1" w:styleId="afffffffffffff">
    <w:basedOn w:val="TableNormal"/>
    <w:pPr>
      <w:spacing w:after="0" w:line="240" w:lineRule="auto"/>
    </w:pPr>
    <w:rPr>
      <w:color w:val="000000"/>
    </w:rPr>
    <w:tblPr>
      <w:tblStyleRowBandSize w:val="1"/>
      <w:tblStyleColBandSize w:val="1"/>
    </w:tblPr>
  </w:style>
  <w:style w:type="table" w:customStyle="1" w:styleId="afffffffffffff0">
    <w:basedOn w:val="TableNormal"/>
    <w:pPr>
      <w:spacing w:after="0" w:line="240" w:lineRule="auto"/>
    </w:pPr>
    <w:rPr>
      <w:color w:val="000000"/>
    </w:rPr>
    <w:tblPr>
      <w:tblStyleRowBandSize w:val="1"/>
      <w:tblStyleColBandSize w:val="1"/>
    </w:tblPr>
  </w:style>
  <w:style w:type="table" w:customStyle="1" w:styleId="afffffffffffff1">
    <w:basedOn w:val="TableNormal"/>
    <w:pPr>
      <w:spacing w:after="0" w:line="240" w:lineRule="auto"/>
    </w:pPr>
    <w:rPr>
      <w:color w:val="000000"/>
    </w:rPr>
    <w:tblPr>
      <w:tblStyleRowBandSize w:val="1"/>
      <w:tblStyleColBandSize w:val="1"/>
    </w:tblPr>
  </w:style>
  <w:style w:type="table" w:customStyle="1" w:styleId="afffffffffffff2">
    <w:basedOn w:val="TableNormal"/>
    <w:pPr>
      <w:spacing w:after="0" w:line="240" w:lineRule="auto"/>
    </w:pPr>
    <w:rPr>
      <w:color w:val="000000"/>
    </w:rPr>
    <w:tblPr>
      <w:tblStyleRowBandSize w:val="1"/>
      <w:tblStyleColBandSize w:val="1"/>
    </w:tblPr>
  </w:style>
  <w:style w:type="table" w:customStyle="1" w:styleId="afffffffffffff3">
    <w:basedOn w:val="TableNormal"/>
    <w:pPr>
      <w:spacing w:after="0" w:line="240" w:lineRule="auto"/>
    </w:pPr>
    <w:rPr>
      <w:color w:val="000000"/>
    </w:rPr>
    <w:tblPr>
      <w:tblStyleRowBandSize w:val="1"/>
      <w:tblStyleColBandSize w:val="1"/>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Statistical_analysis/forestplots_gender_charts_subgroup_analy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Statistical_analysis/forestplots_gender_charts_subgroup_analy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Statistical_analysis/forestplots_gender_charts_subgroup_analy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PNAS_submission/graphs_with_corrected_error_ba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PNAS_submission/graphs_with_corrected_error_ba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secloud-my.sharepoint.com/personal/k_ploutarchos_lse_ac_uk/Documents/Post_doc_back_up/LSE%20(Post-Doc)/PERISCOPE_project/Spillover_study/PNAS_submission/graphs_with_corrected_error_bar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a:solidFill>
                  <a:schemeClr val="tx1"/>
                </a:solidFill>
                <a:latin typeface="Times New Roman" panose="02020603050405020304" pitchFamily="18" charset="0"/>
                <a:cs typeface="Times New Roman" panose="02020603050405020304" pitchFamily="18" charset="0"/>
              </a:rPr>
              <a:t>Forest</a:t>
            </a:r>
            <a:r>
              <a:rPr lang="en-GB" sz="1100" b="1" baseline="0">
                <a:solidFill>
                  <a:schemeClr val="tx1"/>
                </a:solidFill>
                <a:latin typeface="Times New Roman" panose="02020603050405020304" pitchFamily="18" charset="0"/>
                <a:cs typeface="Times New Roman" panose="02020603050405020304" pitchFamily="18" charset="0"/>
              </a:rPr>
              <a:t> plot for the effect of vaccination willingness on protective behaviours</a:t>
            </a:r>
            <a:endParaRPr lang="en-GB" sz="11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noFill/>
            <a:ln>
              <a:noFill/>
            </a:ln>
            <a:effectLst/>
          </c:spPr>
          <c:invertIfNegative val="0"/>
          <c:cat>
            <c:strRef>
              <c:f>forestplots_by_vacc_will!$B$3:$B$17</c:f>
              <c:strCache>
                <c:ptCount val="15"/>
                <c:pt idx="0">
                  <c:v>Stay at home</c:v>
                </c:pt>
                <c:pt idx="1">
                  <c:v>Sanitise hands</c:v>
                </c:pt>
                <c:pt idx="2">
                  <c:v>Wear a face mask indoors</c:v>
                </c:pt>
                <c:pt idx="3">
                  <c:v>Avoid meeting people</c:v>
                </c:pt>
                <c:pt idx="4">
                  <c:v>Keeping 2 metres distance</c:v>
                </c:pt>
                <c:pt idx="5">
                  <c:v>Disinfect goods brought in house</c:v>
                </c:pt>
                <c:pt idx="6">
                  <c:v>Follow rule of six</c:v>
                </c:pt>
                <c:pt idx="7">
                  <c:v>Use NHS Track and Trace app</c:v>
                </c:pt>
                <c:pt idx="8">
                  <c:v>Avoid trips outside local district</c:v>
                </c:pt>
                <c:pt idx="9">
                  <c:v>Avoid international holiday*</c:v>
                </c:pt>
                <c:pt idx="10">
                  <c:v>Wear a face mask when outside</c:v>
                </c:pt>
                <c:pt idx="11">
                  <c:v>Monitor symptoms</c:v>
                </c:pt>
                <c:pt idx="12">
                  <c:v>Avoid touching face</c:v>
                </c:pt>
                <c:pt idx="13">
                  <c:v>Sneeze into elbow or tissue*</c:v>
                </c:pt>
                <c:pt idx="14">
                  <c:v>Avoid hoarding of household goods</c:v>
                </c:pt>
              </c:strCache>
            </c:strRef>
          </c:cat>
          <c:val>
            <c:numRef>
              <c:f>forestplots_by_vacc_will!$C$3:$C$17</c:f>
              <c:numCache>
                <c:formatCode>0.000</c:formatCode>
                <c:ptCount val="15"/>
                <c:pt idx="0">
                  <c:v>0.29632950000000002</c:v>
                </c:pt>
                <c:pt idx="1">
                  <c:v>0.24908959999999999</c:v>
                </c:pt>
                <c:pt idx="2">
                  <c:v>0.38829190000000002</c:v>
                </c:pt>
                <c:pt idx="3">
                  <c:v>0.4643177</c:v>
                </c:pt>
                <c:pt idx="4">
                  <c:v>0.34658630000000001</c:v>
                </c:pt>
                <c:pt idx="5">
                  <c:v>0.32019890000000001</c:v>
                </c:pt>
                <c:pt idx="6">
                  <c:v>0.28941820000000001</c:v>
                </c:pt>
                <c:pt idx="7">
                  <c:v>0.48995689999999997</c:v>
                </c:pt>
                <c:pt idx="8">
                  <c:v>0.37999240000000001</c:v>
                </c:pt>
                <c:pt idx="9">
                  <c:v>0.22239970000000001</c:v>
                </c:pt>
                <c:pt idx="10">
                  <c:v>0.37462050000000002</c:v>
                </c:pt>
                <c:pt idx="11">
                  <c:v>0.44362200000000002</c:v>
                </c:pt>
                <c:pt idx="12">
                  <c:v>0.32793640000000002</c:v>
                </c:pt>
                <c:pt idx="13">
                  <c:v>0.19600000000000001</c:v>
                </c:pt>
                <c:pt idx="14">
                  <c:v>0.3097685</c:v>
                </c:pt>
              </c:numCache>
            </c:numRef>
          </c:val>
          <c:extLst>
            <c:ext xmlns:c16="http://schemas.microsoft.com/office/drawing/2014/chart" uri="{C3380CC4-5D6E-409C-BE32-E72D297353CC}">
              <c16:uniqueId val="{00000000-3F6B-4668-8A01-A551C2DCD336}"/>
            </c:ext>
          </c:extLst>
        </c:ser>
        <c:dLbls>
          <c:showLegendKey val="0"/>
          <c:showVal val="0"/>
          <c:showCatName val="0"/>
          <c:showSerName val="0"/>
          <c:showPercent val="0"/>
          <c:showBubbleSize val="0"/>
        </c:dLbls>
        <c:gapWidth val="182"/>
        <c:axId val="749996104"/>
        <c:axId val="749997416"/>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forestplots_by_vacc_will!$F$3:$F$17</c:f>
                <c:numCache>
                  <c:formatCode>General</c:formatCode>
                  <c:ptCount val="15"/>
                  <c:pt idx="0">
                    <c:v>0.13493049999999995</c:v>
                  </c:pt>
                  <c:pt idx="1">
                    <c:v>0.1392089</c:v>
                  </c:pt>
                  <c:pt idx="2">
                    <c:v>0.14913100000000001</c:v>
                  </c:pt>
                  <c:pt idx="3">
                    <c:v>0.13351640000000004</c:v>
                  </c:pt>
                  <c:pt idx="4">
                    <c:v>0.1310866</c:v>
                  </c:pt>
                  <c:pt idx="5">
                    <c:v>0.13667699999999999</c:v>
                  </c:pt>
                  <c:pt idx="6">
                    <c:v>0.13697749999999997</c:v>
                  </c:pt>
                  <c:pt idx="7">
                    <c:v>0.1472986</c:v>
                  </c:pt>
                  <c:pt idx="8">
                    <c:v>0.13396419999999998</c:v>
                  </c:pt>
                  <c:pt idx="9">
                    <c:v>0.14460759999999998</c:v>
                  </c:pt>
                  <c:pt idx="10">
                    <c:v>0.14060129999999993</c:v>
                  </c:pt>
                  <c:pt idx="11">
                    <c:v>0.14254099999999997</c:v>
                  </c:pt>
                  <c:pt idx="12">
                    <c:v>0.13003969999999998</c:v>
                  </c:pt>
                  <c:pt idx="13">
                    <c:v>0.1449838</c:v>
                  </c:pt>
                  <c:pt idx="14">
                    <c:v>0.14516580000000001</c:v>
                  </c:pt>
                </c:numCache>
              </c:numRef>
            </c:plus>
            <c:minus>
              <c:numRef>
                <c:f>forestplots_by_vacc_will!$E$3:$E$17</c:f>
                <c:numCache>
                  <c:formatCode>General</c:formatCode>
                  <c:ptCount val="15"/>
                  <c:pt idx="0">
                    <c:v>0.13493060000000001</c:v>
                  </c:pt>
                  <c:pt idx="1">
                    <c:v>0.13920879999999999</c:v>
                  </c:pt>
                  <c:pt idx="2">
                    <c:v>0.14913110000000002</c:v>
                  </c:pt>
                  <c:pt idx="3">
                    <c:v>0.13351639999999998</c:v>
                  </c:pt>
                  <c:pt idx="4">
                    <c:v>0.13108650000000002</c:v>
                  </c:pt>
                  <c:pt idx="5">
                    <c:v>0.1366771</c:v>
                  </c:pt>
                  <c:pt idx="6">
                    <c:v>0.1369776</c:v>
                  </c:pt>
                  <c:pt idx="7">
                    <c:v>0.14729869999999995</c:v>
                  </c:pt>
                  <c:pt idx="8">
                    <c:v>0.1339641</c:v>
                  </c:pt>
                  <c:pt idx="9">
                    <c:v>0.1446076</c:v>
                  </c:pt>
                  <c:pt idx="10">
                    <c:v>0.14060140000000002</c:v>
                  </c:pt>
                  <c:pt idx="11">
                    <c:v>0.14254090000000003</c:v>
                  </c:pt>
                  <c:pt idx="12">
                    <c:v>0.13003970000000001</c:v>
                  </c:pt>
                  <c:pt idx="13">
                    <c:v>0.14396600000000001</c:v>
                  </c:pt>
                  <c:pt idx="14">
                    <c:v>0.14516580000000001</c:v>
                  </c:pt>
                </c:numCache>
              </c:numRef>
            </c:minus>
            <c:spPr>
              <a:noFill/>
              <a:ln w="9525" cap="flat" cmpd="sng" algn="ctr">
                <a:solidFill>
                  <a:schemeClr val="bg1">
                    <a:lumMod val="75000"/>
                  </a:schemeClr>
                </a:solidFill>
                <a:round/>
              </a:ln>
              <a:effectLst/>
            </c:spPr>
          </c:errBars>
          <c:xVal>
            <c:numRef>
              <c:f>forestplots_by_vacc_will!$C$3:$C$17</c:f>
              <c:numCache>
                <c:formatCode>0.000</c:formatCode>
                <c:ptCount val="15"/>
                <c:pt idx="0">
                  <c:v>0.29632950000000002</c:v>
                </c:pt>
                <c:pt idx="1">
                  <c:v>0.24908959999999999</c:v>
                </c:pt>
                <c:pt idx="2">
                  <c:v>0.38829190000000002</c:v>
                </c:pt>
                <c:pt idx="3">
                  <c:v>0.4643177</c:v>
                </c:pt>
                <c:pt idx="4">
                  <c:v>0.34658630000000001</c:v>
                </c:pt>
                <c:pt idx="5">
                  <c:v>0.32019890000000001</c:v>
                </c:pt>
                <c:pt idx="6">
                  <c:v>0.28941820000000001</c:v>
                </c:pt>
                <c:pt idx="7">
                  <c:v>0.48995689999999997</c:v>
                </c:pt>
                <c:pt idx="8">
                  <c:v>0.37999240000000001</c:v>
                </c:pt>
                <c:pt idx="9">
                  <c:v>0.22239970000000001</c:v>
                </c:pt>
                <c:pt idx="10">
                  <c:v>0.37462050000000002</c:v>
                </c:pt>
                <c:pt idx="11">
                  <c:v>0.44362200000000002</c:v>
                </c:pt>
                <c:pt idx="12">
                  <c:v>0.32793640000000002</c:v>
                </c:pt>
                <c:pt idx="13">
                  <c:v>0.19600000000000001</c:v>
                </c:pt>
                <c:pt idx="14">
                  <c:v>0.3097685</c:v>
                </c:pt>
              </c:numCache>
            </c:numRef>
          </c:xVal>
          <c:yVal>
            <c:numRef>
              <c:f>forestplots_by_vacc_will!$H$3:$H$17</c:f>
              <c:numCache>
                <c:formatCode>General</c:formatCode>
                <c:ptCount val="15"/>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numCache>
            </c:numRef>
          </c:yVal>
          <c:smooth val="0"/>
          <c:extLst>
            <c:ext xmlns:c16="http://schemas.microsoft.com/office/drawing/2014/chart" uri="{C3380CC4-5D6E-409C-BE32-E72D297353CC}">
              <c16:uniqueId val="{00000001-3F6B-4668-8A01-A551C2DCD336}"/>
            </c:ext>
          </c:extLst>
        </c:ser>
        <c:dLbls>
          <c:showLegendKey val="0"/>
          <c:showVal val="0"/>
          <c:showCatName val="0"/>
          <c:showSerName val="0"/>
          <c:showPercent val="0"/>
          <c:showBubbleSize val="0"/>
        </c:dLbls>
        <c:axId val="773516904"/>
        <c:axId val="773516576"/>
      </c:scatterChart>
      <c:catAx>
        <c:axId val="749996104"/>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9997416"/>
        <c:crosses val="autoZero"/>
        <c:auto val="1"/>
        <c:lblAlgn val="ctr"/>
        <c:lblOffset val="100"/>
        <c:noMultiLvlLbl val="0"/>
      </c:catAx>
      <c:valAx>
        <c:axId val="749997416"/>
        <c:scaling>
          <c:orientation val="minMax"/>
          <c:max val="0.8"/>
          <c:min val="-0.1"/>
        </c:scaling>
        <c:delete val="0"/>
        <c:axPos val="b"/>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49996104"/>
        <c:crosses val="max"/>
        <c:crossBetween val="between"/>
        <c:majorUnit val="0.1"/>
      </c:valAx>
      <c:valAx>
        <c:axId val="773516576"/>
        <c:scaling>
          <c:orientation val="maxMin"/>
          <c:max val="15"/>
        </c:scaling>
        <c:delete val="1"/>
        <c:axPos val="r"/>
        <c:numFmt formatCode="General" sourceLinked="1"/>
        <c:majorTickMark val="out"/>
        <c:minorTickMark val="none"/>
        <c:tickLblPos val="high"/>
        <c:crossAx val="773516904"/>
        <c:crosses val="max"/>
        <c:crossBetween val="midCat"/>
        <c:majorUnit val="1"/>
        <c:minorUnit val="0.1"/>
      </c:valAx>
      <c:valAx>
        <c:axId val="773516904"/>
        <c:scaling>
          <c:orientation val="minMax"/>
        </c:scaling>
        <c:delete val="1"/>
        <c:axPos val="t"/>
        <c:numFmt formatCode="0.000" sourceLinked="1"/>
        <c:majorTickMark val="out"/>
        <c:minorTickMark val="none"/>
        <c:tickLblPos val="nextTo"/>
        <c:crossAx val="7735165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GB" sz="1050" b="1" i="0" baseline="0">
                <a:solidFill>
                  <a:schemeClr val="tx1"/>
                </a:solidFill>
                <a:effectLst/>
                <a:latin typeface="Times New Roman" panose="02020603050405020304" pitchFamily="18" charset="0"/>
                <a:cs typeface="Times New Roman" panose="02020603050405020304" pitchFamily="18" charset="0"/>
              </a:rPr>
              <a:t>Forest plot for the effect of vaccination willingness on compliance behaviours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noFill/>
            <a:ln>
              <a:noFill/>
            </a:ln>
            <a:effectLst/>
          </c:spPr>
          <c:invertIfNegative val="0"/>
          <c:cat>
            <c:strRef>
              <c:f>forestplots_by_vacc_will!$B$30:$B$33</c:f>
              <c:strCache>
                <c:ptCount val="4"/>
                <c:pt idx="0">
                  <c:v>Self-quarantine*</c:v>
                </c:pt>
                <c:pt idx="1">
                  <c:v>Inform people in contact with me</c:v>
                </c:pt>
                <c:pt idx="2">
                  <c:v>Wear a face mask if leave home</c:v>
                </c:pt>
                <c:pt idx="3">
                  <c:v>Refrain from visiting NHS practices</c:v>
                </c:pt>
              </c:strCache>
            </c:strRef>
          </c:cat>
          <c:val>
            <c:numRef>
              <c:f>forestplots_by_vacc_will!$C$30:$C$33</c:f>
              <c:numCache>
                <c:formatCode>0.000</c:formatCode>
                <c:ptCount val="4"/>
                <c:pt idx="0">
                  <c:v>0.19592960000000001</c:v>
                </c:pt>
                <c:pt idx="1">
                  <c:v>0.24255489999999999</c:v>
                </c:pt>
                <c:pt idx="2">
                  <c:v>0.2663972</c:v>
                </c:pt>
                <c:pt idx="3">
                  <c:v>0.1118492</c:v>
                </c:pt>
              </c:numCache>
            </c:numRef>
          </c:val>
          <c:extLst>
            <c:ext xmlns:c16="http://schemas.microsoft.com/office/drawing/2014/chart" uri="{C3380CC4-5D6E-409C-BE32-E72D297353CC}">
              <c16:uniqueId val="{00000000-DF62-4467-89BB-56639CA60B5F}"/>
            </c:ext>
          </c:extLst>
        </c:ser>
        <c:dLbls>
          <c:showLegendKey val="0"/>
          <c:showVal val="0"/>
          <c:showCatName val="0"/>
          <c:showSerName val="0"/>
          <c:showPercent val="0"/>
          <c:showBubbleSize val="0"/>
        </c:dLbls>
        <c:gapWidth val="182"/>
        <c:axId val="756463408"/>
        <c:axId val="756460128"/>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forestplots_by_vacc_will!$F$30:$F$33</c:f>
                <c:numCache>
                  <c:formatCode>General</c:formatCode>
                  <c:ptCount val="4"/>
                  <c:pt idx="0">
                    <c:v>0.14984939999999999</c:v>
                  </c:pt>
                  <c:pt idx="1">
                    <c:v>0.1421703</c:v>
                  </c:pt>
                  <c:pt idx="2">
                    <c:v>0.15313969999999999</c:v>
                  </c:pt>
                  <c:pt idx="3">
                    <c:v>0.14329770000000003</c:v>
                  </c:pt>
                </c:numCache>
              </c:numRef>
            </c:plus>
            <c:minus>
              <c:numRef>
                <c:f>forestplots_by_vacc_will!$E$30:$E$33</c:f>
                <c:numCache>
                  <c:formatCode>General</c:formatCode>
                  <c:ptCount val="4"/>
                  <c:pt idx="0">
                    <c:v>0.14984839999999999</c:v>
                  </c:pt>
                  <c:pt idx="1">
                    <c:v>0.14217029999999997</c:v>
                  </c:pt>
                  <c:pt idx="2">
                    <c:v>0.15313969999999999</c:v>
                  </c:pt>
                  <c:pt idx="3">
                    <c:v>0.1432978</c:v>
                  </c:pt>
                </c:numCache>
              </c:numRef>
            </c:minus>
            <c:spPr>
              <a:noFill/>
              <a:ln w="9525" cap="flat" cmpd="sng" algn="ctr">
                <a:solidFill>
                  <a:schemeClr val="bg1">
                    <a:lumMod val="75000"/>
                  </a:schemeClr>
                </a:solidFill>
                <a:round/>
              </a:ln>
              <a:effectLst/>
            </c:spPr>
          </c:errBars>
          <c:xVal>
            <c:numRef>
              <c:f>forestplots_by_vacc_will!$C$30:$C$33</c:f>
              <c:numCache>
                <c:formatCode>0.000</c:formatCode>
                <c:ptCount val="4"/>
                <c:pt idx="0">
                  <c:v>0.19592960000000001</c:v>
                </c:pt>
                <c:pt idx="1">
                  <c:v>0.24255489999999999</c:v>
                </c:pt>
                <c:pt idx="2">
                  <c:v>0.2663972</c:v>
                </c:pt>
                <c:pt idx="3">
                  <c:v>0.1118492</c:v>
                </c:pt>
              </c:numCache>
            </c:numRef>
          </c:xVal>
          <c:yVal>
            <c:numRef>
              <c:f>forestplots_by_vacc_will!$H$30:$H$33</c:f>
              <c:numCache>
                <c:formatCode>General</c:formatCode>
                <c:ptCount val="4"/>
                <c:pt idx="0">
                  <c:v>0.5</c:v>
                </c:pt>
                <c:pt idx="1">
                  <c:v>1.5</c:v>
                </c:pt>
                <c:pt idx="2">
                  <c:v>2.5</c:v>
                </c:pt>
                <c:pt idx="3">
                  <c:v>3.5</c:v>
                </c:pt>
              </c:numCache>
            </c:numRef>
          </c:yVal>
          <c:smooth val="0"/>
          <c:extLst>
            <c:ext xmlns:c16="http://schemas.microsoft.com/office/drawing/2014/chart" uri="{C3380CC4-5D6E-409C-BE32-E72D297353CC}">
              <c16:uniqueId val="{00000001-DF62-4467-89BB-56639CA60B5F}"/>
            </c:ext>
          </c:extLst>
        </c:ser>
        <c:dLbls>
          <c:showLegendKey val="0"/>
          <c:showVal val="0"/>
          <c:showCatName val="0"/>
          <c:showSerName val="0"/>
          <c:showPercent val="0"/>
          <c:showBubbleSize val="0"/>
        </c:dLbls>
        <c:axId val="766204080"/>
        <c:axId val="766203096"/>
      </c:scatterChart>
      <c:catAx>
        <c:axId val="756463408"/>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56460128"/>
        <c:crosses val="autoZero"/>
        <c:auto val="1"/>
        <c:lblAlgn val="ctr"/>
        <c:lblOffset val="100"/>
        <c:noMultiLvlLbl val="0"/>
      </c:catAx>
      <c:valAx>
        <c:axId val="756460128"/>
        <c:scaling>
          <c:orientation val="minMax"/>
          <c:min val="-0.1"/>
        </c:scaling>
        <c:delete val="0"/>
        <c:axPos val="b"/>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56463408"/>
        <c:crosses val="max"/>
        <c:crossBetween val="between"/>
      </c:valAx>
      <c:valAx>
        <c:axId val="766203096"/>
        <c:scaling>
          <c:orientation val="maxMin"/>
        </c:scaling>
        <c:delete val="1"/>
        <c:axPos val="r"/>
        <c:numFmt formatCode="General" sourceLinked="1"/>
        <c:majorTickMark val="out"/>
        <c:minorTickMark val="none"/>
        <c:tickLblPos val="nextTo"/>
        <c:crossAx val="766204080"/>
        <c:crosses val="max"/>
        <c:crossBetween val="midCat"/>
      </c:valAx>
      <c:valAx>
        <c:axId val="766204080"/>
        <c:scaling>
          <c:orientation val="minMax"/>
        </c:scaling>
        <c:delete val="1"/>
        <c:axPos val="t"/>
        <c:numFmt formatCode="0.000" sourceLinked="1"/>
        <c:majorTickMark val="out"/>
        <c:minorTickMark val="none"/>
        <c:tickLblPos val="nextTo"/>
        <c:crossAx val="7662030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i="0" baseline="0">
                <a:solidFill>
                  <a:schemeClr val="tx1"/>
                </a:solidFill>
                <a:effectLst/>
                <a:latin typeface="Times New Roman" panose="02020603050405020304" pitchFamily="18" charset="0"/>
                <a:cs typeface="Times New Roman" panose="02020603050405020304" pitchFamily="18" charset="0"/>
              </a:rPr>
              <a:t>Forest plot for the effect of vaccination willingness on prosocial behaviours</a:t>
            </a:r>
            <a:endParaRPr lang="en-GB" sz="11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spPr>
            <a:noFill/>
            <a:ln>
              <a:noFill/>
            </a:ln>
            <a:effectLst/>
          </c:spPr>
          <c:invertIfNegative val="0"/>
          <c:cat>
            <c:strRef>
              <c:f>forestplots_by_vacc_will!$B$45:$B$51</c:f>
              <c:strCache>
                <c:ptCount val="7"/>
                <c:pt idx="0">
                  <c:v>Donate money to charities for covid*</c:v>
                </c:pt>
                <c:pt idx="1">
                  <c:v>Donate blood to the NHS</c:v>
                </c:pt>
                <c:pt idx="2">
                  <c:v>Volunteer to the NHS</c:v>
                </c:pt>
                <c:pt idx="3">
                  <c:v>Campaign for donating vaccines*</c:v>
                </c:pt>
                <c:pt idx="4">
                  <c:v>Volunteer to local community</c:v>
                </c:pt>
                <c:pt idx="5">
                  <c:v>Donate money to the NHS</c:v>
                </c:pt>
                <c:pt idx="6">
                  <c:v>Encourage friends to get vaccinated†</c:v>
                </c:pt>
              </c:strCache>
            </c:strRef>
          </c:cat>
          <c:val>
            <c:numRef>
              <c:f>forestplots_by_vacc_will!$C$45:$C$51</c:f>
              <c:numCache>
                <c:formatCode>General</c:formatCode>
                <c:ptCount val="7"/>
                <c:pt idx="0">
                  <c:v>1.986475</c:v>
                </c:pt>
                <c:pt idx="1">
                  <c:v>1.69669</c:v>
                </c:pt>
                <c:pt idx="2">
                  <c:v>1.6884950000000001</c:v>
                </c:pt>
                <c:pt idx="3">
                  <c:v>2.0791810000000002</c:v>
                </c:pt>
                <c:pt idx="4">
                  <c:v>1.4464999999999999</c:v>
                </c:pt>
                <c:pt idx="5">
                  <c:v>2.102484</c:v>
                </c:pt>
                <c:pt idx="6">
                  <c:v>1.0596840000000001</c:v>
                </c:pt>
              </c:numCache>
            </c:numRef>
          </c:val>
          <c:extLst>
            <c:ext xmlns:c16="http://schemas.microsoft.com/office/drawing/2014/chart" uri="{C3380CC4-5D6E-409C-BE32-E72D297353CC}">
              <c16:uniqueId val="{00000000-C8DF-4261-896E-FA7DAFC1183B}"/>
            </c:ext>
          </c:extLst>
        </c:ser>
        <c:dLbls>
          <c:showLegendKey val="0"/>
          <c:showVal val="0"/>
          <c:showCatName val="0"/>
          <c:showSerName val="0"/>
          <c:showPercent val="0"/>
          <c:showBubbleSize val="0"/>
        </c:dLbls>
        <c:gapWidth val="182"/>
        <c:axId val="677490736"/>
        <c:axId val="677491064"/>
      </c:barChart>
      <c:scatterChart>
        <c:scatterStyle val="lineMarker"/>
        <c:varyColors val="0"/>
        <c:ser>
          <c:idx val="1"/>
          <c:order val="1"/>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forestplots_by_vacc_will!$F$45:$F$51</c:f>
                <c:numCache>
                  <c:formatCode>General</c:formatCode>
                  <c:ptCount val="7"/>
                  <c:pt idx="0">
                    <c:v>0.74311300000000013</c:v>
                  </c:pt>
                  <c:pt idx="1">
                    <c:v>0.70719700000000008</c:v>
                  </c:pt>
                  <c:pt idx="2">
                    <c:v>0.70450400000000002</c:v>
                  </c:pt>
                  <c:pt idx="3">
                    <c:v>0.84665699999999999</c:v>
                  </c:pt>
                  <c:pt idx="4">
                    <c:v>0.52196400000000009</c:v>
                  </c:pt>
                  <c:pt idx="5">
                    <c:v>1.3220879999999999</c:v>
                  </c:pt>
                  <c:pt idx="6">
                    <c:v>0.14419499999999985</c:v>
                  </c:pt>
                </c:numCache>
              </c:numRef>
            </c:plus>
            <c:minus>
              <c:numRef>
                <c:f>forestplots_by_vacc_will!$E$45:$E$51</c:f>
                <c:numCache>
                  <c:formatCode>General</c:formatCode>
                  <c:ptCount val="7"/>
                  <c:pt idx="0">
                    <c:v>0.54080499999999998</c:v>
                  </c:pt>
                  <c:pt idx="1">
                    <c:v>0.49914700000000001</c:v>
                  </c:pt>
                  <c:pt idx="2">
                    <c:v>0.49709700000000012</c:v>
                  </c:pt>
                  <c:pt idx="3">
                    <c:v>0.60165800000000025</c:v>
                  </c:pt>
                  <c:pt idx="4">
                    <c:v>0.38355899999999998</c:v>
                  </c:pt>
                  <c:pt idx="5">
                    <c:v>0.81168299999999993</c:v>
                  </c:pt>
                  <c:pt idx="6">
                    <c:v>0.14419510000000002</c:v>
                  </c:pt>
                </c:numCache>
              </c:numRef>
            </c:minus>
            <c:spPr>
              <a:noFill/>
              <a:ln w="9525" cap="flat" cmpd="sng" algn="ctr">
                <a:solidFill>
                  <a:schemeClr val="bg1">
                    <a:lumMod val="75000"/>
                  </a:schemeClr>
                </a:solidFill>
                <a:round/>
              </a:ln>
              <a:effectLst/>
            </c:spPr>
          </c:errBars>
          <c:xVal>
            <c:numRef>
              <c:f>forestplots_by_vacc_will!$C$45:$C$51</c:f>
              <c:numCache>
                <c:formatCode>General</c:formatCode>
                <c:ptCount val="7"/>
                <c:pt idx="0">
                  <c:v>1.986475</c:v>
                </c:pt>
                <c:pt idx="1">
                  <c:v>1.69669</c:v>
                </c:pt>
                <c:pt idx="2">
                  <c:v>1.6884950000000001</c:v>
                </c:pt>
                <c:pt idx="3">
                  <c:v>2.0791810000000002</c:v>
                </c:pt>
                <c:pt idx="4">
                  <c:v>1.4464999999999999</c:v>
                </c:pt>
                <c:pt idx="5">
                  <c:v>2.102484</c:v>
                </c:pt>
                <c:pt idx="6">
                  <c:v>1.0596840000000001</c:v>
                </c:pt>
              </c:numCache>
            </c:numRef>
          </c:xVal>
          <c:yVal>
            <c:numRef>
              <c:f>forestplots_by_vacc_will!$H$45:$H$51</c:f>
              <c:numCache>
                <c:formatCode>General</c:formatCode>
                <c:ptCount val="7"/>
                <c:pt idx="0">
                  <c:v>0.5</c:v>
                </c:pt>
                <c:pt idx="1">
                  <c:v>1.5</c:v>
                </c:pt>
                <c:pt idx="2">
                  <c:v>2.5</c:v>
                </c:pt>
                <c:pt idx="3">
                  <c:v>3.5</c:v>
                </c:pt>
                <c:pt idx="4">
                  <c:v>4.5</c:v>
                </c:pt>
                <c:pt idx="5">
                  <c:v>5.5</c:v>
                </c:pt>
                <c:pt idx="6">
                  <c:v>6.5</c:v>
                </c:pt>
              </c:numCache>
            </c:numRef>
          </c:yVal>
          <c:smooth val="0"/>
          <c:extLst>
            <c:ext xmlns:c16="http://schemas.microsoft.com/office/drawing/2014/chart" uri="{C3380CC4-5D6E-409C-BE32-E72D297353CC}">
              <c16:uniqueId val="{00000001-C8DF-4261-896E-FA7DAFC1183B}"/>
            </c:ext>
          </c:extLst>
        </c:ser>
        <c:dLbls>
          <c:showLegendKey val="0"/>
          <c:showVal val="0"/>
          <c:showCatName val="0"/>
          <c:showSerName val="0"/>
          <c:showPercent val="0"/>
          <c:showBubbleSize val="0"/>
        </c:dLbls>
        <c:axId val="765835496"/>
        <c:axId val="765835168"/>
      </c:scatterChart>
      <c:catAx>
        <c:axId val="677490736"/>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77491064"/>
        <c:crosses val="autoZero"/>
        <c:auto val="1"/>
        <c:lblAlgn val="ctr"/>
        <c:lblOffset val="100"/>
        <c:noMultiLvlLbl val="0"/>
      </c:catAx>
      <c:valAx>
        <c:axId val="677491064"/>
        <c:scaling>
          <c:orientation val="minMax"/>
          <c:max val="4"/>
        </c:scaling>
        <c:delete val="0"/>
        <c:axPos val="b"/>
        <c:numFmt formatCode="#,##0.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77490736"/>
        <c:crosses val="max"/>
        <c:crossBetween val="between"/>
        <c:majorUnit val="0.5"/>
      </c:valAx>
      <c:valAx>
        <c:axId val="765835168"/>
        <c:scaling>
          <c:orientation val="maxMin"/>
        </c:scaling>
        <c:delete val="1"/>
        <c:axPos val="r"/>
        <c:numFmt formatCode="General" sourceLinked="1"/>
        <c:majorTickMark val="out"/>
        <c:minorTickMark val="none"/>
        <c:tickLblPos val="nextTo"/>
        <c:crossAx val="765835496"/>
        <c:crosses val="max"/>
        <c:crossBetween val="midCat"/>
      </c:valAx>
      <c:valAx>
        <c:axId val="765835496"/>
        <c:scaling>
          <c:orientation val="minMax"/>
        </c:scaling>
        <c:delete val="1"/>
        <c:axPos val="t"/>
        <c:numFmt formatCode="General" sourceLinked="1"/>
        <c:majorTickMark val="out"/>
        <c:minorTickMark val="none"/>
        <c:tickLblPos val="nextTo"/>
        <c:crossAx val="7658351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GB" sz="1200" b="1">
                <a:solidFill>
                  <a:schemeClr val="tx1"/>
                </a:solidFill>
              </a:rPr>
              <a:t>Protective behaviours by gender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bar_charts_by_gender!$C$3</c:f>
              <c:strCache>
                <c:ptCount val="1"/>
                <c:pt idx="0">
                  <c:v>Females</c:v>
                </c:pt>
              </c:strCache>
            </c:strRef>
          </c:tx>
          <c:spPr>
            <a:solidFill>
              <a:srgbClr val="FF0000"/>
            </a:solidFill>
            <a:ln>
              <a:solidFill>
                <a:srgbClr val="FF0000"/>
              </a:solidFill>
            </a:ln>
            <a:effectLst/>
          </c:spPr>
          <c:invertIfNegative val="0"/>
          <c:errBars>
            <c:errBarType val="both"/>
            <c:errValType val="cust"/>
            <c:noEndCap val="0"/>
            <c:plus>
              <c:numRef>
                <c:f>bar_charts_by_gender!$G$4:$G$19</c:f>
                <c:numCache>
                  <c:formatCode>General</c:formatCode>
                  <c:ptCount val="16"/>
                  <c:pt idx="0">
                    <c:v>4.7121000000000003E-2</c:v>
                  </c:pt>
                  <c:pt idx="1">
                    <c:v>3.2613900000000001E-2</c:v>
                  </c:pt>
                  <c:pt idx="2">
                    <c:v>3.9368800000000002E-2</c:v>
                  </c:pt>
                  <c:pt idx="3">
                    <c:v>4.5113100000000003E-2</c:v>
                  </c:pt>
                  <c:pt idx="4">
                    <c:v>3.7878200000000001E-2</c:v>
                  </c:pt>
                  <c:pt idx="5">
                    <c:v>4.9213E-2</c:v>
                  </c:pt>
                  <c:pt idx="6">
                    <c:v>4.2240199999999999E-2</c:v>
                  </c:pt>
                  <c:pt idx="7">
                    <c:v>5.2755799999999999E-2</c:v>
                  </c:pt>
                  <c:pt idx="8">
                    <c:v>4.7138300000000001E-2</c:v>
                  </c:pt>
                  <c:pt idx="9">
                    <c:v>4.4948399999999999E-2</c:v>
                  </c:pt>
                  <c:pt idx="10">
                    <c:v>5.0578199999999997E-2</c:v>
                  </c:pt>
                  <c:pt idx="11">
                    <c:v>4.1052100000000001E-2</c:v>
                  </c:pt>
                  <c:pt idx="12">
                    <c:v>4.2764799999999999E-2</c:v>
                  </c:pt>
                  <c:pt idx="13">
                    <c:v>3.1863200000000001E-2</c:v>
                  </c:pt>
                  <c:pt idx="14">
                    <c:v>3.9295400000000001E-2</c:v>
                  </c:pt>
                  <c:pt idx="15">
                    <c:v>5.3097800000000001E-2</c:v>
                  </c:pt>
                </c:numCache>
              </c:numRef>
            </c:plus>
            <c:minus>
              <c:numRef>
                <c:f>bar_charts_by_gender!$G$4:$G$19</c:f>
                <c:numCache>
                  <c:formatCode>General</c:formatCode>
                  <c:ptCount val="16"/>
                  <c:pt idx="0">
                    <c:v>4.7121000000000003E-2</c:v>
                  </c:pt>
                  <c:pt idx="1">
                    <c:v>3.2613900000000001E-2</c:v>
                  </c:pt>
                  <c:pt idx="2">
                    <c:v>3.9368800000000002E-2</c:v>
                  </c:pt>
                  <c:pt idx="3">
                    <c:v>4.5113100000000003E-2</c:v>
                  </c:pt>
                  <c:pt idx="4">
                    <c:v>3.7878200000000001E-2</c:v>
                  </c:pt>
                  <c:pt idx="5">
                    <c:v>4.9213E-2</c:v>
                  </c:pt>
                  <c:pt idx="6">
                    <c:v>4.2240199999999999E-2</c:v>
                  </c:pt>
                  <c:pt idx="7">
                    <c:v>5.2755799999999999E-2</c:v>
                  </c:pt>
                  <c:pt idx="8">
                    <c:v>4.7138300000000001E-2</c:v>
                  </c:pt>
                  <c:pt idx="9">
                    <c:v>4.4948399999999999E-2</c:v>
                  </c:pt>
                  <c:pt idx="10">
                    <c:v>5.0578199999999997E-2</c:v>
                  </c:pt>
                  <c:pt idx="11">
                    <c:v>4.1052100000000001E-2</c:v>
                  </c:pt>
                  <c:pt idx="12">
                    <c:v>4.2764799999999999E-2</c:v>
                  </c:pt>
                  <c:pt idx="13">
                    <c:v>3.1863200000000001E-2</c:v>
                  </c:pt>
                  <c:pt idx="14">
                    <c:v>3.9295400000000001E-2</c:v>
                  </c:pt>
                  <c:pt idx="15">
                    <c:v>5.3097800000000001E-2</c:v>
                  </c:pt>
                </c:numCache>
              </c:numRef>
            </c:minus>
            <c:spPr>
              <a:noFill/>
              <a:ln w="9525" cap="flat" cmpd="sng" algn="ctr">
                <a:solidFill>
                  <a:schemeClr val="tx1"/>
                </a:solidFill>
                <a:round/>
              </a:ln>
              <a:effectLst/>
            </c:spPr>
          </c:errBars>
          <c:cat>
            <c:strRef>
              <c:f>bar_charts_by_gender!$B$4:$B$19</c:f>
              <c:strCache>
                <c:ptCount val="16"/>
                <c:pt idx="0">
                  <c:v>Stay at home</c:v>
                </c:pt>
                <c:pt idx="1">
                  <c:v>Sanitise hands</c:v>
                </c:pt>
                <c:pt idx="2">
                  <c:v>Wear a face mask indoors</c:v>
                </c:pt>
                <c:pt idx="3">
                  <c:v>Avoid meeting people</c:v>
                </c:pt>
                <c:pt idx="4">
                  <c:v>Keeping 2 metres distance</c:v>
                </c:pt>
                <c:pt idx="5">
                  <c:v>Disinfect goods brought in house</c:v>
                </c:pt>
                <c:pt idx="6">
                  <c:v>Follow rule of six</c:v>
                </c:pt>
                <c:pt idx="7">
                  <c:v>Use NHS Track and Trace app</c:v>
                </c:pt>
                <c:pt idx="8">
                  <c:v>Avoid trips outside local district</c:v>
                </c:pt>
                <c:pt idx="9">
                  <c:v>Avoid international holiday</c:v>
                </c:pt>
                <c:pt idx="10">
                  <c:v>Wear a face mask when outside</c:v>
                </c:pt>
                <c:pt idx="11">
                  <c:v>Monitor symptoms</c:v>
                </c:pt>
                <c:pt idx="12">
                  <c:v>Avoid touching face</c:v>
                </c:pt>
                <c:pt idx="13">
                  <c:v>Sneeze into elbow or tissue</c:v>
                </c:pt>
                <c:pt idx="14">
                  <c:v>Avoid hoarding of household goods</c:v>
                </c:pt>
                <c:pt idx="15">
                  <c:v>Encourage vaccination*</c:v>
                </c:pt>
              </c:strCache>
            </c:strRef>
          </c:cat>
          <c:val>
            <c:numRef>
              <c:f>bar_charts_by_gender!$C$4:$C$19</c:f>
              <c:numCache>
                <c:formatCode>0.0000000</c:formatCode>
                <c:ptCount val="16"/>
                <c:pt idx="0">
                  <c:v>3.1442209999999999</c:v>
                </c:pt>
                <c:pt idx="1">
                  <c:v>4.3743369999999997</c:v>
                </c:pt>
                <c:pt idx="2">
                  <c:v>4.2375400000000001</c:v>
                </c:pt>
                <c:pt idx="3">
                  <c:v>3.0805940000000001</c:v>
                </c:pt>
                <c:pt idx="4">
                  <c:v>3.923648</c:v>
                </c:pt>
                <c:pt idx="5">
                  <c:v>3.2831389999999998</c:v>
                </c:pt>
                <c:pt idx="6">
                  <c:v>4.0074230000000002</c:v>
                </c:pt>
                <c:pt idx="7">
                  <c:v>3.2025450000000002</c:v>
                </c:pt>
                <c:pt idx="8">
                  <c:v>3.5450689999999998</c:v>
                </c:pt>
                <c:pt idx="9">
                  <c:v>3.9819719999999998</c:v>
                </c:pt>
                <c:pt idx="10">
                  <c:v>3.2099679999999999</c:v>
                </c:pt>
                <c:pt idx="11">
                  <c:v>4.0455990000000002</c:v>
                </c:pt>
                <c:pt idx="12">
                  <c:v>3.4644750000000002</c:v>
                </c:pt>
                <c:pt idx="13">
                  <c:v>4.4209969999999998</c:v>
                </c:pt>
                <c:pt idx="14">
                  <c:v>4.067869</c:v>
                </c:pt>
                <c:pt idx="15">
                  <c:v>4.067869</c:v>
                </c:pt>
              </c:numCache>
            </c:numRef>
          </c:val>
          <c:extLst>
            <c:ext xmlns:c16="http://schemas.microsoft.com/office/drawing/2014/chart" uri="{C3380CC4-5D6E-409C-BE32-E72D297353CC}">
              <c16:uniqueId val="{00000000-97F2-411C-AF93-7611C625B579}"/>
            </c:ext>
          </c:extLst>
        </c:ser>
        <c:ser>
          <c:idx val="1"/>
          <c:order val="1"/>
          <c:tx>
            <c:strRef>
              <c:f>bar_charts_by_gender!$D$3</c:f>
              <c:strCache>
                <c:ptCount val="1"/>
                <c:pt idx="0">
                  <c:v>Males</c:v>
                </c:pt>
              </c:strCache>
            </c:strRef>
          </c:tx>
          <c:spPr>
            <a:solidFill>
              <a:schemeClr val="accent5">
                <a:lumMod val="50000"/>
              </a:schemeClr>
            </a:solidFill>
            <a:ln>
              <a:solidFill>
                <a:schemeClr val="accent5">
                  <a:lumMod val="50000"/>
                </a:schemeClr>
              </a:solidFill>
            </a:ln>
            <a:effectLst/>
          </c:spPr>
          <c:invertIfNegative val="0"/>
          <c:errBars>
            <c:errBarType val="both"/>
            <c:errValType val="cust"/>
            <c:noEndCap val="0"/>
            <c:plus>
              <c:numRef>
                <c:f>bar_charts_by_gender!$H$4:$H$19</c:f>
                <c:numCache>
                  <c:formatCode>General</c:formatCode>
                  <c:ptCount val="16"/>
                  <c:pt idx="0">
                    <c:v>4.72355E-2</c:v>
                  </c:pt>
                  <c:pt idx="1">
                    <c:v>3.8888699999999998E-2</c:v>
                  </c:pt>
                  <c:pt idx="2">
                    <c:v>4.2206300000000002E-2</c:v>
                  </c:pt>
                  <c:pt idx="3">
                    <c:v>4.6771699999999999E-2</c:v>
                  </c:pt>
                  <c:pt idx="4">
                    <c:v>4.1642100000000001E-2</c:v>
                  </c:pt>
                  <c:pt idx="5">
                    <c:v>4.7648500000000003E-2</c:v>
                  </c:pt>
                  <c:pt idx="6">
                    <c:v>4.4525700000000001E-2</c:v>
                  </c:pt>
                  <c:pt idx="7">
                    <c:v>5.1113199999999998E-2</c:v>
                  </c:pt>
                  <c:pt idx="8">
                    <c:v>4.71081E-2</c:v>
                  </c:pt>
                  <c:pt idx="9">
                    <c:v>4.5221699999999997E-2</c:v>
                  </c:pt>
                  <c:pt idx="10">
                    <c:v>4.8911799999999998E-2</c:v>
                  </c:pt>
                  <c:pt idx="11">
                    <c:v>4.3279600000000001E-2</c:v>
                  </c:pt>
                  <c:pt idx="12">
                    <c:v>4.3960600000000002E-2</c:v>
                  </c:pt>
                  <c:pt idx="13">
                    <c:v>4.0403000000000001E-2</c:v>
                  </c:pt>
                  <c:pt idx="14">
                    <c:v>4.1835499999999998E-2</c:v>
                  </c:pt>
                  <c:pt idx="15">
                    <c:v>5.1687799999999999E-2</c:v>
                  </c:pt>
                </c:numCache>
              </c:numRef>
            </c:plus>
            <c:minus>
              <c:numRef>
                <c:f>bar_charts_by_gender!$H$4:$H$19</c:f>
                <c:numCache>
                  <c:formatCode>General</c:formatCode>
                  <c:ptCount val="16"/>
                  <c:pt idx="0">
                    <c:v>4.72355E-2</c:v>
                  </c:pt>
                  <c:pt idx="1">
                    <c:v>3.8888699999999998E-2</c:v>
                  </c:pt>
                  <c:pt idx="2">
                    <c:v>4.2206300000000002E-2</c:v>
                  </c:pt>
                  <c:pt idx="3">
                    <c:v>4.6771699999999999E-2</c:v>
                  </c:pt>
                  <c:pt idx="4">
                    <c:v>4.1642100000000001E-2</c:v>
                  </c:pt>
                  <c:pt idx="5">
                    <c:v>4.7648500000000003E-2</c:v>
                  </c:pt>
                  <c:pt idx="6">
                    <c:v>4.4525700000000001E-2</c:v>
                  </c:pt>
                  <c:pt idx="7">
                    <c:v>5.1113199999999998E-2</c:v>
                  </c:pt>
                  <c:pt idx="8">
                    <c:v>4.71081E-2</c:v>
                  </c:pt>
                  <c:pt idx="9">
                    <c:v>4.5221699999999997E-2</c:v>
                  </c:pt>
                  <c:pt idx="10">
                    <c:v>4.8911799999999998E-2</c:v>
                  </c:pt>
                  <c:pt idx="11">
                    <c:v>4.3279600000000001E-2</c:v>
                  </c:pt>
                  <c:pt idx="12">
                    <c:v>4.3960600000000002E-2</c:v>
                  </c:pt>
                  <c:pt idx="13">
                    <c:v>4.0403000000000001E-2</c:v>
                  </c:pt>
                  <c:pt idx="14">
                    <c:v>4.1835499999999998E-2</c:v>
                  </c:pt>
                  <c:pt idx="15">
                    <c:v>5.1687799999999999E-2</c:v>
                  </c:pt>
                </c:numCache>
              </c:numRef>
            </c:minus>
            <c:spPr>
              <a:noFill/>
              <a:ln w="9525" cap="flat" cmpd="sng" algn="ctr">
                <a:solidFill>
                  <a:schemeClr val="tx1"/>
                </a:solidFill>
                <a:round/>
              </a:ln>
              <a:effectLst/>
            </c:spPr>
          </c:errBars>
          <c:cat>
            <c:strRef>
              <c:f>bar_charts_by_gender!$B$4:$B$19</c:f>
              <c:strCache>
                <c:ptCount val="16"/>
                <c:pt idx="0">
                  <c:v>Stay at home</c:v>
                </c:pt>
                <c:pt idx="1">
                  <c:v>Sanitise hands</c:v>
                </c:pt>
                <c:pt idx="2">
                  <c:v>Wear a face mask indoors</c:v>
                </c:pt>
                <c:pt idx="3">
                  <c:v>Avoid meeting people</c:v>
                </c:pt>
                <c:pt idx="4">
                  <c:v>Keeping 2 metres distance</c:v>
                </c:pt>
                <c:pt idx="5">
                  <c:v>Disinfect goods brought in house</c:v>
                </c:pt>
                <c:pt idx="6">
                  <c:v>Follow rule of six</c:v>
                </c:pt>
                <c:pt idx="7">
                  <c:v>Use NHS Track and Trace app</c:v>
                </c:pt>
                <c:pt idx="8">
                  <c:v>Avoid trips outside local district</c:v>
                </c:pt>
                <c:pt idx="9">
                  <c:v>Avoid international holiday</c:v>
                </c:pt>
                <c:pt idx="10">
                  <c:v>Wear a face mask when outside</c:v>
                </c:pt>
                <c:pt idx="11">
                  <c:v>Monitor symptoms</c:v>
                </c:pt>
                <c:pt idx="12">
                  <c:v>Avoid touching face</c:v>
                </c:pt>
                <c:pt idx="13">
                  <c:v>Sneeze into elbow or tissue</c:v>
                </c:pt>
                <c:pt idx="14">
                  <c:v>Avoid hoarding of household goods</c:v>
                </c:pt>
                <c:pt idx="15">
                  <c:v>Encourage vaccination*</c:v>
                </c:pt>
              </c:strCache>
            </c:strRef>
          </c:cat>
          <c:val>
            <c:numRef>
              <c:f>bar_charts_by_gender!$D$4:$D$19</c:f>
              <c:numCache>
                <c:formatCode>0.0000000</c:formatCode>
                <c:ptCount val="16"/>
                <c:pt idx="0">
                  <c:v>3.1323690000000002</c:v>
                </c:pt>
                <c:pt idx="1">
                  <c:v>3.989989</c:v>
                </c:pt>
                <c:pt idx="2">
                  <c:v>3.9432700000000001</c:v>
                </c:pt>
                <c:pt idx="3">
                  <c:v>3.1245829999999999</c:v>
                </c:pt>
                <c:pt idx="4">
                  <c:v>3.628476</c:v>
                </c:pt>
                <c:pt idx="5">
                  <c:v>3.294772</c:v>
                </c:pt>
                <c:pt idx="6">
                  <c:v>3.7007789999999998</c:v>
                </c:pt>
                <c:pt idx="7">
                  <c:v>3.0311460000000001</c:v>
                </c:pt>
                <c:pt idx="8">
                  <c:v>3.4104559999999999</c:v>
                </c:pt>
                <c:pt idx="9">
                  <c:v>3.805339</c:v>
                </c:pt>
                <c:pt idx="10">
                  <c:v>3.1991100000000001</c:v>
                </c:pt>
                <c:pt idx="11">
                  <c:v>3.7463850000000001</c:v>
                </c:pt>
                <c:pt idx="12">
                  <c:v>3.215795</c:v>
                </c:pt>
                <c:pt idx="13">
                  <c:v>3.9866519999999999</c:v>
                </c:pt>
                <c:pt idx="14">
                  <c:v>3.7786430000000002</c:v>
                </c:pt>
                <c:pt idx="15">
                  <c:v>2.9855390000000002</c:v>
                </c:pt>
              </c:numCache>
            </c:numRef>
          </c:val>
          <c:extLst>
            <c:ext xmlns:c16="http://schemas.microsoft.com/office/drawing/2014/chart" uri="{C3380CC4-5D6E-409C-BE32-E72D297353CC}">
              <c16:uniqueId val="{00000001-97F2-411C-AF93-7611C625B579}"/>
            </c:ext>
          </c:extLst>
        </c:ser>
        <c:dLbls>
          <c:showLegendKey val="0"/>
          <c:showVal val="0"/>
          <c:showCatName val="0"/>
          <c:showSerName val="0"/>
          <c:showPercent val="0"/>
          <c:showBubbleSize val="0"/>
        </c:dLbls>
        <c:gapWidth val="219"/>
        <c:overlap val="-27"/>
        <c:axId val="908451848"/>
        <c:axId val="908445616"/>
      </c:barChart>
      <c:catAx>
        <c:axId val="90845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445616"/>
        <c:crosses val="autoZero"/>
        <c:auto val="1"/>
        <c:lblAlgn val="ctr"/>
        <c:lblOffset val="100"/>
        <c:noMultiLvlLbl val="0"/>
      </c:catAx>
      <c:valAx>
        <c:axId val="908445616"/>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45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GB" sz="1200" b="1">
                <a:solidFill>
                  <a:schemeClr val="tx1"/>
                </a:solidFill>
              </a:rPr>
              <a:t>Compliance</a:t>
            </a:r>
            <a:r>
              <a:rPr lang="en-GB" sz="1200" b="1" baseline="0">
                <a:solidFill>
                  <a:schemeClr val="tx1"/>
                </a:solidFill>
              </a:rPr>
              <a:t> behaviours by gender</a:t>
            </a:r>
            <a:endParaRPr lang="en-GB"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bar_charts_by_gender!$C$30</c:f>
              <c:strCache>
                <c:ptCount val="1"/>
                <c:pt idx="0">
                  <c:v>Females</c:v>
                </c:pt>
              </c:strCache>
            </c:strRef>
          </c:tx>
          <c:spPr>
            <a:solidFill>
              <a:srgbClr val="FF0000"/>
            </a:solidFill>
            <a:ln>
              <a:solidFill>
                <a:srgbClr val="FF0000"/>
              </a:solidFill>
            </a:ln>
            <a:effectLst/>
          </c:spPr>
          <c:invertIfNegative val="0"/>
          <c:errBars>
            <c:errBarType val="both"/>
            <c:errValType val="cust"/>
            <c:noEndCap val="0"/>
            <c:plus>
              <c:numRef>
                <c:f>bar_charts_by_gender!$G$31:$G$34</c:f>
                <c:numCache>
                  <c:formatCode>General</c:formatCode>
                  <c:ptCount val="4"/>
                  <c:pt idx="0">
                    <c:v>4.4815599999999997E-2</c:v>
                  </c:pt>
                  <c:pt idx="1">
                    <c:v>4.2200700000000001E-2</c:v>
                  </c:pt>
                  <c:pt idx="2">
                    <c:v>4.3628899999999998E-2</c:v>
                  </c:pt>
                  <c:pt idx="3">
                    <c:v>3.9886900000000003E-2</c:v>
                  </c:pt>
                </c:numCache>
              </c:numRef>
            </c:plus>
            <c:minus>
              <c:numRef>
                <c:f>bar_charts_by_gender!$G$31:$G$34</c:f>
                <c:numCache>
                  <c:formatCode>General</c:formatCode>
                  <c:ptCount val="4"/>
                  <c:pt idx="0">
                    <c:v>4.4815599999999997E-2</c:v>
                  </c:pt>
                  <c:pt idx="1">
                    <c:v>4.2200700000000001E-2</c:v>
                  </c:pt>
                  <c:pt idx="2">
                    <c:v>4.3628899999999998E-2</c:v>
                  </c:pt>
                  <c:pt idx="3">
                    <c:v>3.9886900000000003E-2</c:v>
                  </c:pt>
                </c:numCache>
              </c:numRef>
            </c:minus>
            <c:spPr>
              <a:noFill/>
              <a:ln w="9525" cap="flat" cmpd="sng" algn="ctr">
                <a:solidFill>
                  <a:schemeClr val="tx1"/>
                </a:solidFill>
                <a:round/>
              </a:ln>
              <a:effectLst/>
            </c:spPr>
          </c:errBars>
          <c:cat>
            <c:strRef>
              <c:f>bar_charts_by_gender!$B$31:$B$34</c:f>
              <c:strCache>
                <c:ptCount val="4"/>
                <c:pt idx="0">
                  <c:v>Self-quarantine</c:v>
                </c:pt>
                <c:pt idx="1">
                  <c:v>Inform people in contact with me</c:v>
                </c:pt>
                <c:pt idx="2">
                  <c:v>Wear a face mask if leave home</c:v>
                </c:pt>
                <c:pt idx="3">
                  <c:v>Refrain from visiting NHS practices</c:v>
                </c:pt>
              </c:strCache>
            </c:strRef>
          </c:cat>
          <c:val>
            <c:numRef>
              <c:f>bar_charts_by_gender!$C$31:$C$34</c:f>
              <c:numCache>
                <c:formatCode>General</c:formatCode>
                <c:ptCount val="4"/>
                <c:pt idx="0">
                  <c:v>3.9692470000000002</c:v>
                </c:pt>
                <c:pt idx="1">
                  <c:v>4.0328739999999996</c:v>
                </c:pt>
                <c:pt idx="2">
                  <c:v>4.1930009999999998</c:v>
                </c:pt>
                <c:pt idx="3">
                  <c:v>4.2078470000000001</c:v>
                </c:pt>
              </c:numCache>
            </c:numRef>
          </c:val>
          <c:extLst>
            <c:ext xmlns:c16="http://schemas.microsoft.com/office/drawing/2014/chart" uri="{C3380CC4-5D6E-409C-BE32-E72D297353CC}">
              <c16:uniqueId val="{00000000-9148-426D-8584-1C1741DDD73E}"/>
            </c:ext>
          </c:extLst>
        </c:ser>
        <c:ser>
          <c:idx val="1"/>
          <c:order val="1"/>
          <c:tx>
            <c:strRef>
              <c:f>bar_charts_by_gender!$D$30</c:f>
              <c:strCache>
                <c:ptCount val="1"/>
                <c:pt idx="0">
                  <c:v>Males</c:v>
                </c:pt>
              </c:strCache>
            </c:strRef>
          </c:tx>
          <c:spPr>
            <a:solidFill>
              <a:schemeClr val="accent5">
                <a:lumMod val="50000"/>
              </a:schemeClr>
            </a:solidFill>
            <a:ln>
              <a:solidFill>
                <a:schemeClr val="accent5">
                  <a:lumMod val="50000"/>
                </a:schemeClr>
              </a:solidFill>
            </a:ln>
            <a:effectLst/>
          </c:spPr>
          <c:invertIfNegative val="0"/>
          <c:errBars>
            <c:errBarType val="both"/>
            <c:errValType val="cust"/>
            <c:noEndCap val="0"/>
            <c:plus>
              <c:numRef>
                <c:f>bar_charts_by_gender!$H$31:$H$34</c:f>
                <c:numCache>
                  <c:formatCode>General</c:formatCode>
                  <c:ptCount val="4"/>
                  <c:pt idx="0">
                    <c:v>4.5618100000000002E-2</c:v>
                  </c:pt>
                  <c:pt idx="1">
                    <c:v>4.4757600000000002E-2</c:v>
                  </c:pt>
                  <c:pt idx="2">
                    <c:v>4.5692700000000003E-2</c:v>
                  </c:pt>
                  <c:pt idx="3">
                    <c:v>4.3960899999999997E-2</c:v>
                  </c:pt>
                </c:numCache>
              </c:numRef>
            </c:plus>
            <c:minus>
              <c:numRef>
                <c:f>bar_charts_by_gender!$H$31:$H$34</c:f>
                <c:numCache>
                  <c:formatCode>General</c:formatCode>
                  <c:ptCount val="4"/>
                  <c:pt idx="0">
                    <c:v>4.5618100000000002E-2</c:v>
                  </c:pt>
                  <c:pt idx="1">
                    <c:v>4.4757600000000002E-2</c:v>
                  </c:pt>
                  <c:pt idx="2">
                    <c:v>4.5692700000000003E-2</c:v>
                  </c:pt>
                  <c:pt idx="3">
                    <c:v>4.3960899999999997E-2</c:v>
                  </c:pt>
                </c:numCache>
              </c:numRef>
            </c:minus>
            <c:spPr>
              <a:noFill/>
              <a:ln w="9525" cap="flat" cmpd="sng" algn="ctr">
                <a:solidFill>
                  <a:schemeClr val="tx1"/>
                </a:solidFill>
                <a:round/>
              </a:ln>
              <a:effectLst/>
            </c:spPr>
          </c:errBars>
          <c:cat>
            <c:strRef>
              <c:f>bar_charts_by_gender!$B$31:$B$34</c:f>
              <c:strCache>
                <c:ptCount val="4"/>
                <c:pt idx="0">
                  <c:v>Self-quarantine</c:v>
                </c:pt>
                <c:pt idx="1">
                  <c:v>Inform people in contact with me</c:v>
                </c:pt>
                <c:pt idx="2">
                  <c:v>Wear a face mask if leave home</c:v>
                </c:pt>
                <c:pt idx="3">
                  <c:v>Refrain from visiting NHS practices</c:v>
                </c:pt>
              </c:strCache>
            </c:strRef>
          </c:cat>
          <c:val>
            <c:numRef>
              <c:f>bar_charts_by_gender!$D$31:$D$34</c:f>
              <c:numCache>
                <c:formatCode>General</c:formatCode>
                <c:ptCount val="4"/>
                <c:pt idx="0">
                  <c:v>3.7641819999999999</c:v>
                </c:pt>
                <c:pt idx="1">
                  <c:v>3.6685210000000001</c:v>
                </c:pt>
                <c:pt idx="2">
                  <c:v>3.882091</c:v>
                </c:pt>
                <c:pt idx="3">
                  <c:v>3.7552840000000001</c:v>
                </c:pt>
              </c:numCache>
            </c:numRef>
          </c:val>
          <c:extLst>
            <c:ext xmlns:c16="http://schemas.microsoft.com/office/drawing/2014/chart" uri="{C3380CC4-5D6E-409C-BE32-E72D297353CC}">
              <c16:uniqueId val="{00000001-9148-426D-8584-1C1741DDD73E}"/>
            </c:ext>
          </c:extLst>
        </c:ser>
        <c:dLbls>
          <c:showLegendKey val="0"/>
          <c:showVal val="0"/>
          <c:showCatName val="0"/>
          <c:showSerName val="0"/>
          <c:showPercent val="0"/>
          <c:showBubbleSize val="0"/>
        </c:dLbls>
        <c:gapWidth val="219"/>
        <c:overlap val="-27"/>
        <c:axId val="877100848"/>
        <c:axId val="877095600"/>
      </c:barChart>
      <c:catAx>
        <c:axId val="877100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77095600"/>
        <c:crosses val="autoZero"/>
        <c:auto val="1"/>
        <c:lblAlgn val="ctr"/>
        <c:lblOffset val="100"/>
        <c:noMultiLvlLbl val="0"/>
      </c:catAx>
      <c:valAx>
        <c:axId val="87709560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7710084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Prosocial behaviours by gender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bar_charts_by_gender!$C$49</c:f>
              <c:strCache>
                <c:ptCount val="1"/>
                <c:pt idx="0">
                  <c:v>Females</c:v>
                </c:pt>
              </c:strCache>
            </c:strRef>
          </c:tx>
          <c:spPr>
            <a:solidFill>
              <a:srgbClr val="FF0000"/>
            </a:solidFill>
            <a:ln>
              <a:solidFill>
                <a:srgbClr val="FF0000"/>
              </a:solidFill>
            </a:ln>
            <a:effectLst/>
          </c:spPr>
          <c:invertIfNegative val="0"/>
          <c:errBars>
            <c:errBarType val="both"/>
            <c:errValType val="cust"/>
            <c:noEndCap val="0"/>
            <c:plus>
              <c:numRef>
                <c:f>bar_charts_by_gender!$G$50:$G$55</c:f>
                <c:numCache>
                  <c:formatCode>General</c:formatCode>
                  <c:ptCount val="6"/>
                  <c:pt idx="0">
                    <c:v>1.5651000000000002E-2</c:v>
                  </c:pt>
                  <c:pt idx="1">
                    <c:v>1.4870700000000001E-2</c:v>
                  </c:pt>
                  <c:pt idx="2">
                    <c:v>1.4478400000000001E-2</c:v>
                  </c:pt>
                  <c:pt idx="3">
                    <c:v>1.5536700000000001E-2</c:v>
                  </c:pt>
                  <c:pt idx="4">
                    <c:v>1.7058E-2</c:v>
                  </c:pt>
                  <c:pt idx="5">
                    <c:v>1.6140999999999999E-2</c:v>
                  </c:pt>
                </c:numCache>
              </c:numRef>
            </c:plus>
            <c:minus>
              <c:numRef>
                <c:f>bar_charts_by_gender!$G$50:$G$55</c:f>
                <c:numCache>
                  <c:formatCode>General</c:formatCode>
                  <c:ptCount val="6"/>
                  <c:pt idx="0">
                    <c:v>1.5651000000000002E-2</c:v>
                  </c:pt>
                  <c:pt idx="1">
                    <c:v>1.4870700000000001E-2</c:v>
                  </c:pt>
                  <c:pt idx="2">
                    <c:v>1.4478400000000001E-2</c:v>
                  </c:pt>
                  <c:pt idx="3">
                    <c:v>1.5536700000000001E-2</c:v>
                  </c:pt>
                  <c:pt idx="4">
                    <c:v>1.7058E-2</c:v>
                  </c:pt>
                  <c:pt idx="5">
                    <c:v>1.6140999999999999E-2</c:v>
                  </c:pt>
                </c:numCache>
              </c:numRef>
            </c:minus>
            <c:spPr>
              <a:noFill/>
              <a:ln w="9525" cap="flat" cmpd="sng" algn="ctr">
                <a:solidFill>
                  <a:schemeClr val="tx1"/>
                </a:solidFill>
                <a:round/>
              </a:ln>
              <a:effectLst/>
            </c:spPr>
          </c:errBars>
          <c:cat>
            <c:strRef>
              <c:f>bar_charts_by_gender!$B$50:$B$55</c:f>
              <c:strCache>
                <c:ptCount val="6"/>
                <c:pt idx="0">
                  <c:v>Donate money to charities for covid</c:v>
                </c:pt>
                <c:pt idx="1">
                  <c:v>Donate blood to the NHS</c:v>
                </c:pt>
                <c:pt idx="2">
                  <c:v>Volunteer to the NHS</c:v>
                </c:pt>
                <c:pt idx="3">
                  <c:v>Campaign for donating vaccines</c:v>
                </c:pt>
                <c:pt idx="4">
                  <c:v>Volunteer to local community</c:v>
                </c:pt>
                <c:pt idx="5">
                  <c:v>Donate money to the NHS</c:v>
                </c:pt>
              </c:strCache>
            </c:strRef>
          </c:cat>
          <c:val>
            <c:numRef>
              <c:f>bar_charts_by_gender!$C$50:$C$55</c:f>
              <c:numCache>
                <c:formatCode>General</c:formatCode>
                <c:ptCount val="6"/>
                <c:pt idx="0">
                  <c:v>0.1728526</c:v>
                </c:pt>
                <c:pt idx="1">
                  <c:v>0.14634150000000001</c:v>
                </c:pt>
                <c:pt idx="2">
                  <c:v>0.13679749999999999</c:v>
                </c:pt>
                <c:pt idx="3">
                  <c:v>0.1601273</c:v>
                </c:pt>
                <c:pt idx="4">
                  <c:v>0.2216331</c:v>
                </c:pt>
                <c:pt idx="5">
                  <c:v>0.1943522</c:v>
                </c:pt>
              </c:numCache>
            </c:numRef>
          </c:val>
          <c:extLst>
            <c:ext xmlns:c16="http://schemas.microsoft.com/office/drawing/2014/chart" uri="{C3380CC4-5D6E-409C-BE32-E72D297353CC}">
              <c16:uniqueId val="{00000000-028D-430A-8486-81E7AA23A427}"/>
            </c:ext>
          </c:extLst>
        </c:ser>
        <c:ser>
          <c:idx val="1"/>
          <c:order val="1"/>
          <c:tx>
            <c:strRef>
              <c:f>bar_charts_by_gender!$D$49</c:f>
              <c:strCache>
                <c:ptCount val="1"/>
                <c:pt idx="0">
                  <c:v>Males</c:v>
                </c:pt>
              </c:strCache>
            </c:strRef>
          </c:tx>
          <c:spPr>
            <a:solidFill>
              <a:schemeClr val="accent5">
                <a:lumMod val="50000"/>
              </a:schemeClr>
            </a:solidFill>
            <a:ln>
              <a:solidFill>
                <a:schemeClr val="accent5">
                  <a:lumMod val="50000"/>
                </a:schemeClr>
              </a:solidFill>
            </a:ln>
            <a:effectLst/>
          </c:spPr>
          <c:invertIfNegative val="0"/>
          <c:errBars>
            <c:errBarType val="both"/>
            <c:errValType val="cust"/>
            <c:noEndCap val="0"/>
            <c:plus>
              <c:numRef>
                <c:f>bar_charts_by_gender!$H$50:$H$55</c:f>
                <c:numCache>
                  <c:formatCode>General</c:formatCode>
                  <c:ptCount val="6"/>
                  <c:pt idx="0">
                    <c:v>2.3117700000000001E-2</c:v>
                  </c:pt>
                  <c:pt idx="1">
                    <c:v>2.0689699999999998E-2</c:v>
                  </c:pt>
                  <c:pt idx="2">
                    <c:v>2.1640199999999998E-2</c:v>
                  </c:pt>
                  <c:pt idx="3">
                    <c:v>2.30496E-2</c:v>
                  </c:pt>
                  <c:pt idx="4">
                    <c:v>2.35666E-2</c:v>
                  </c:pt>
                  <c:pt idx="5">
                    <c:v>2.00532E-2</c:v>
                  </c:pt>
                </c:numCache>
              </c:numRef>
            </c:plus>
            <c:minus>
              <c:numRef>
                <c:f>bar_charts_by_gender!$H$50:$H$55</c:f>
                <c:numCache>
                  <c:formatCode>General</c:formatCode>
                  <c:ptCount val="6"/>
                  <c:pt idx="0">
                    <c:v>2.3117700000000001E-2</c:v>
                  </c:pt>
                  <c:pt idx="1">
                    <c:v>2.0689699999999998E-2</c:v>
                  </c:pt>
                  <c:pt idx="2">
                    <c:v>2.1640199999999998E-2</c:v>
                  </c:pt>
                  <c:pt idx="3">
                    <c:v>2.30496E-2</c:v>
                  </c:pt>
                  <c:pt idx="4">
                    <c:v>2.35666E-2</c:v>
                  </c:pt>
                  <c:pt idx="5">
                    <c:v>2.00532E-2</c:v>
                  </c:pt>
                </c:numCache>
              </c:numRef>
            </c:minus>
            <c:spPr>
              <a:noFill/>
              <a:ln w="9525" cap="flat" cmpd="sng" algn="ctr">
                <a:solidFill>
                  <a:schemeClr val="tx1"/>
                </a:solidFill>
                <a:round/>
              </a:ln>
              <a:effectLst/>
            </c:spPr>
          </c:errBars>
          <c:cat>
            <c:strRef>
              <c:f>bar_charts_by_gender!$B$50:$B$55</c:f>
              <c:strCache>
                <c:ptCount val="6"/>
                <c:pt idx="0">
                  <c:v>Donate money to charities for covid</c:v>
                </c:pt>
                <c:pt idx="1">
                  <c:v>Donate blood to the NHS</c:v>
                </c:pt>
                <c:pt idx="2">
                  <c:v>Volunteer to the NHS</c:v>
                </c:pt>
                <c:pt idx="3">
                  <c:v>Campaign for donating vaccines</c:v>
                </c:pt>
                <c:pt idx="4">
                  <c:v>Volunteer to local community</c:v>
                </c:pt>
                <c:pt idx="5">
                  <c:v>Donate money to the NHS</c:v>
                </c:pt>
              </c:strCache>
            </c:strRef>
          </c:cat>
          <c:val>
            <c:numRef>
              <c:f>bar_charts_by_gender!$D$50:$D$55</c:f>
              <c:numCache>
                <c:formatCode>General</c:formatCode>
                <c:ptCount val="6"/>
                <c:pt idx="0">
                  <c:v>0.28253620000000002</c:v>
                </c:pt>
                <c:pt idx="1">
                  <c:v>0.192436</c:v>
                </c:pt>
                <c:pt idx="2">
                  <c:v>0.2213571</c:v>
                </c:pt>
                <c:pt idx="3">
                  <c:v>0.23359289999999999</c:v>
                </c:pt>
                <c:pt idx="4">
                  <c:v>0.29254730000000001</c:v>
                </c:pt>
                <c:pt idx="5">
                  <c:v>0.18567639999999999</c:v>
                </c:pt>
              </c:numCache>
            </c:numRef>
          </c:val>
          <c:extLst>
            <c:ext xmlns:c16="http://schemas.microsoft.com/office/drawing/2014/chart" uri="{C3380CC4-5D6E-409C-BE32-E72D297353CC}">
              <c16:uniqueId val="{00000001-028D-430A-8486-81E7AA23A427}"/>
            </c:ext>
          </c:extLst>
        </c:ser>
        <c:dLbls>
          <c:showLegendKey val="0"/>
          <c:showVal val="0"/>
          <c:showCatName val="0"/>
          <c:showSerName val="0"/>
          <c:showPercent val="0"/>
          <c:showBubbleSize val="0"/>
        </c:dLbls>
        <c:gapWidth val="219"/>
        <c:overlap val="-27"/>
        <c:axId val="906474072"/>
        <c:axId val="906473416"/>
      </c:barChart>
      <c:catAx>
        <c:axId val="90647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6473416"/>
        <c:crosses val="autoZero"/>
        <c:auto val="1"/>
        <c:lblAlgn val="ctr"/>
        <c:lblOffset val="100"/>
        <c:noMultiLvlLbl val="0"/>
      </c:catAx>
      <c:valAx>
        <c:axId val="906473416"/>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6474072"/>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JOxyBKpwB/Ok1zpEIhtc83BFcA==">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</go:docsCustomData>
</go:gDocsCustomXmlDataStorage>
</file>

<file path=customXml/itemProps1.xml><?xml version="1.0" encoding="utf-8"?>
<ds:datastoreItem xmlns:ds="http://schemas.openxmlformats.org/officeDocument/2006/customXml" ds:itemID="{49740933-DC44-4F02-B48A-C4907C639A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5543</Words>
  <Characters>31598</Characters>
  <Application>Microsoft Office Word</Application>
  <DocSecurity>0</DocSecurity>
  <Lines>263</Lines>
  <Paragraphs>74</Paragraphs>
  <ScaleCrop>false</ScaleCrop>
  <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Ploutarchos,K</dc:creator>
  <cp:lastModifiedBy>Ploutarchos,K</cp:lastModifiedBy>
  <cp:revision>90</cp:revision>
  <dcterms:created xsi:type="dcterms:W3CDTF">2021-12-01T11:31:00Z</dcterms:created>
  <dcterms:modified xsi:type="dcterms:W3CDTF">2024-02-26T10:25:00Z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ccb4259e-7670-3a5d-affa-6279c637d93b</vt:lpwstr>
  </property>
</Properties>
</file>