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B417" w14:textId="19D27735" w:rsidR="005C71C2" w:rsidRDefault="00CD4178" w:rsidP="00CD4178">
      <w:pPr>
        <w:pStyle w:val="Title"/>
        <w:jc w:val="center"/>
      </w:pPr>
      <w:r>
        <w:t>Written Guidelines Checklist</w:t>
      </w:r>
    </w:p>
    <w:p w14:paraId="2DF16C58" w14:textId="6AC6A1F0" w:rsidR="002B4946" w:rsidRDefault="00CD4178" w:rsidP="002B4946">
      <w:r>
        <w:t xml:space="preserve">This checklist is intended to help develop, document, and implement written guidelines </w:t>
      </w:r>
      <w:r w:rsidR="00336B55">
        <w:t>for</w:t>
      </w:r>
      <w:r>
        <w:t xml:space="preserve"> your project</w:t>
      </w:r>
      <w:r w:rsidR="00EF0FA3">
        <w:t xml:space="preserve">. The checklist is </w:t>
      </w:r>
      <w:r w:rsidR="00C25C00">
        <w:t>divided by the different stages of an excavation project</w:t>
      </w:r>
      <w:r>
        <w:t xml:space="preserve">. </w:t>
      </w:r>
      <w:r w:rsidR="00C25C00">
        <w:t>Within each</w:t>
      </w:r>
      <w:r>
        <w:t xml:space="preserve"> stage</w:t>
      </w:r>
      <w:r w:rsidR="00C25C00">
        <w:t>, every</w:t>
      </w:r>
      <w:r>
        <w:t xml:space="preserve"> recommended practice</w:t>
      </w:r>
      <w:r w:rsidR="00C25C00">
        <w:t xml:space="preserve"> has</w:t>
      </w:r>
      <w:r>
        <w:t xml:space="preserve"> che</w:t>
      </w:r>
      <w:bookmarkStart w:id="0" w:name="_GoBack"/>
      <w:bookmarkEnd w:id="0"/>
      <w:r>
        <w:t>ckbox</w:t>
      </w:r>
      <w:r w:rsidR="00585DBF">
        <w:t>es</w:t>
      </w:r>
      <w:r>
        <w:t xml:space="preserve"> </w:t>
      </w:r>
      <w:r w:rsidR="00C25C00">
        <w:t>with an implementation plan for that practice. Implement the practice as suggested, or tailor the implementation to work for your project.</w:t>
      </w:r>
      <w:r w:rsidR="00F5328E">
        <w:t xml:space="preserve"> </w:t>
      </w:r>
    </w:p>
    <w:p w14:paraId="48B30F80" w14:textId="1CBDB4E5" w:rsidR="00C25C00" w:rsidRPr="00C25C00" w:rsidRDefault="00C25C00" w:rsidP="00C25C00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C25C00">
        <w:rPr>
          <w:b/>
          <w:bCs/>
        </w:rPr>
        <w:t>Prior to Fieldwork</w:t>
      </w:r>
    </w:p>
    <w:p w14:paraId="34D16C7E" w14:textId="395C5B17" w:rsidR="00C25C00" w:rsidRPr="00C25C00" w:rsidRDefault="00C25C00" w:rsidP="00CD4178">
      <w:pPr>
        <w:rPr>
          <w:rFonts w:ascii="Calibri" w:hAnsi="Calibri" w:cs="Calibri"/>
          <w:color w:val="000000"/>
        </w:rPr>
      </w:pPr>
      <w:r w:rsidRPr="00C25C00">
        <w:rPr>
          <w:rFonts w:ascii="Calibri" w:hAnsi="Calibri" w:cs="Calibri"/>
          <w:color w:val="000000"/>
        </w:rPr>
        <w:t>Involve multiple team members in creating agreed-upon methods and procedures for excavation and field recording.</w:t>
      </w:r>
      <w:r>
        <w:rPr>
          <w:rFonts w:ascii="Calibri" w:hAnsi="Calibri" w:cs="Calibri"/>
          <w:color w:val="000000"/>
        </w:rPr>
        <w:t xml:space="preserve"> Include all methods and procedures </w:t>
      </w:r>
      <w:r w:rsidR="00C91092">
        <w:rPr>
          <w:rFonts w:ascii="Calibri" w:hAnsi="Calibri" w:cs="Calibri"/>
          <w:color w:val="000000"/>
        </w:rPr>
        <w:t xml:space="preserve">in written guidelines, </w:t>
      </w:r>
      <w:r>
        <w:rPr>
          <w:rFonts w:ascii="Calibri" w:hAnsi="Calibri" w:cs="Calibri"/>
          <w:color w:val="000000"/>
        </w:rPr>
        <w:t xml:space="preserve">regardless of how common they are. </w:t>
      </w:r>
    </w:p>
    <w:p w14:paraId="7A88F1B7" w14:textId="2E76A382" w:rsidR="00C25C00" w:rsidRPr="00C25C00" w:rsidRDefault="00220D41" w:rsidP="00C25C0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The project director </w:t>
      </w:r>
      <w:r w:rsidR="00C25C00">
        <w:rPr>
          <w:rFonts w:ascii="Calibri" w:hAnsi="Calibri" w:cs="Calibri"/>
          <w:color w:val="000000"/>
        </w:rPr>
        <w:t>schedules meetings with field supervisors, registrars, and specialists to discuss</w:t>
      </w:r>
      <w:r w:rsidR="000529AB">
        <w:rPr>
          <w:rFonts w:ascii="Calibri" w:hAnsi="Calibri" w:cs="Calibri"/>
          <w:color w:val="000000"/>
        </w:rPr>
        <w:t xml:space="preserve"> </w:t>
      </w:r>
      <w:r w:rsidR="000529AB" w:rsidRPr="009F184A">
        <w:rPr>
          <w:rFonts w:ascii="Calibri" w:hAnsi="Calibri" w:cs="Calibri"/>
          <w:color w:val="000000"/>
        </w:rPr>
        <w:t>their</w:t>
      </w:r>
      <w:r w:rsidR="00C25C00">
        <w:rPr>
          <w:rFonts w:ascii="Calibri" w:hAnsi="Calibri" w:cs="Calibri"/>
          <w:color w:val="000000"/>
        </w:rPr>
        <w:t>:</w:t>
      </w:r>
    </w:p>
    <w:p w14:paraId="669F69A6" w14:textId="0CC07FCE" w:rsidR="00C25C00" w:rsidRDefault="000529AB" w:rsidP="00C25C00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Research goals and objectives</w:t>
      </w:r>
    </w:p>
    <w:p w14:paraId="4FF3C532" w14:textId="0A6794EF" w:rsidR="000529AB" w:rsidRDefault="000529AB" w:rsidP="00C25C00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Anticipated uses of excavation data</w:t>
      </w:r>
    </w:p>
    <w:p w14:paraId="42C9418E" w14:textId="39E8F302" w:rsidR="000529AB" w:rsidRDefault="000529AB" w:rsidP="00C25C00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Preferred methods and approaches</w:t>
      </w:r>
    </w:p>
    <w:p w14:paraId="09BE51C3" w14:textId="20EDB6A4" w:rsidR="00767700" w:rsidRDefault="008D18E4" w:rsidP="0076770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team d</w:t>
      </w:r>
      <w:r w:rsidR="00767700">
        <w:rPr>
          <w:rFonts w:ascii="Calibri" w:hAnsi="Calibri" w:cs="Calibri"/>
          <w:color w:val="000000"/>
        </w:rPr>
        <w:t>ocument</w:t>
      </w:r>
      <w:r>
        <w:rPr>
          <w:rFonts w:ascii="Calibri" w:hAnsi="Calibri" w:cs="Calibri"/>
          <w:color w:val="000000"/>
        </w:rPr>
        <w:t>s</w:t>
      </w:r>
      <w:r w:rsidR="00767700">
        <w:rPr>
          <w:rFonts w:ascii="Calibri" w:hAnsi="Calibri" w:cs="Calibri"/>
          <w:color w:val="000000"/>
        </w:rPr>
        <w:t xml:space="preserve"> agreed upon </w:t>
      </w:r>
      <w:r w:rsidR="00163286">
        <w:rPr>
          <w:rFonts w:ascii="Calibri" w:hAnsi="Calibri" w:cs="Calibri"/>
          <w:color w:val="000000"/>
        </w:rPr>
        <w:t>practice</w:t>
      </w:r>
      <w:r w:rsidR="00767700">
        <w:rPr>
          <w:rFonts w:ascii="Calibri" w:hAnsi="Calibri" w:cs="Calibri"/>
          <w:color w:val="000000"/>
        </w:rPr>
        <w:t>s</w:t>
      </w:r>
      <w:r w:rsidR="00163286">
        <w:rPr>
          <w:rFonts w:ascii="Calibri" w:hAnsi="Calibri" w:cs="Calibri"/>
          <w:color w:val="000000"/>
        </w:rPr>
        <w:t>, including:</w:t>
      </w:r>
    </w:p>
    <w:p w14:paraId="7B8190E6" w14:textId="6D5CE2B6" w:rsidR="00163286" w:rsidRDefault="00163286" w:rsidP="00163286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Excavation practices</w:t>
      </w:r>
      <w:r w:rsidR="008D18E4">
        <w:rPr>
          <w:rFonts w:ascii="Calibri" w:hAnsi="Calibri" w:cs="Calibri"/>
          <w:color w:val="000000"/>
        </w:rPr>
        <w:t xml:space="preserve"> (e.g., sieving, object handling</w:t>
      </w:r>
      <w:r w:rsidR="00220D41">
        <w:rPr>
          <w:rFonts w:ascii="Calibri" w:hAnsi="Calibri" w:cs="Calibri"/>
          <w:color w:val="000000"/>
        </w:rPr>
        <w:t>, artifact registration</w:t>
      </w:r>
      <w:r w:rsidR="008D18E4">
        <w:rPr>
          <w:rFonts w:ascii="Calibri" w:hAnsi="Calibri" w:cs="Calibri"/>
          <w:color w:val="000000"/>
        </w:rPr>
        <w:t>)</w:t>
      </w:r>
    </w:p>
    <w:p w14:paraId="78B0B056" w14:textId="2E023206" w:rsidR="0012241B" w:rsidRDefault="0012241B" w:rsidP="00163286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Naming conventions and identifiers</w:t>
      </w:r>
    </w:p>
    <w:p w14:paraId="1E5D493F" w14:textId="211348A6" w:rsidR="00163286" w:rsidRDefault="00163286" w:rsidP="00163286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Paper and digital recording</w:t>
      </w:r>
    </w:p>
    <w:p w14:paraId="20BACF07" w14:textId="10A8EFC1" w:rsidR="00163286" w:rsidRDefault="00163286" w:rsidP="00163286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Find</w:t>
      </w:r>
      <w:r w:rsidR="00220D4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storage</w:t>
      </w:r>
    </w:p>
    <w:p w14:paraId="78146E70" w14:textId="74DCD84F" w:rsidR="00163286" w:rsidRDefault="008D18E4" w:rsidP="00163286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End-of-season practices (including back</w:t>
      </w:r>
      <w:r w:rsidR="00220D4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filling and final narrative summaries) </w:t>
      </w:r>
    </w:p>
    <w:p w14:paraId="7D5BA272" w14:textId="65F90DE1" w:rsidR="00163286" w:rsidRDefault="009F184A" w:rsidP="00163286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organization, storage, and sharing</w:t>
      </w:r>
    </w:p>
    <w:p w14:paraId="1E964E40" w14:textId="30003103" w:rsidR="00B45482" w:rsidRDefault="00B45482" w:rsidP="00B45482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each agreed upon practice</w:t>
      </w:r>
      <w:r w:rsidR="008D18E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include:</w:t>
      </w:r>
    </w:p>
    <w:p w14:paraId="11926606" w14:textId="3833AD03" w:rsidR="00B45482" w:rsidRDefault="00B45482" w:rsidP="00B4548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Description of </w:t>
      </w:r>
      <w:r w:rsidR="00220D41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 xml:space="preserve">practice and </w:t>
      </w:r>
      <w:r w:rsidR="00220D41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rationale for why it’s done that way</w:t>
      </w:r>
    </w:p>
    <w:p w14:paraId="1601D48A" w14:textId="426B84B4" w:rsidR="00B45482" w:rsidRDefault="00B45482" w:rsidP="00B4548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Examples of good practice</w:t>
      </w:r>
      <w:r w:rsidR="00220D41">
        <w:rPr>
          <w:rFonts w:ascii="Calibri" w:hAnsi="Calibri" w:cs="Calibri"/>
          <w:color w:val="000000"/>
        </w:rPr>
        <w:t>s</w:t>
      </w:r>
      <w:r w:rsidR="008D18E4">
        <w:rPr>
          <w:rFonts w:ascii="Calibri" w:hAnsi="Calibri" w:cs="Calibri"/>
          <w:color w:val="000000"/>
        </w:rPr>
        <w:t xml:space="preserve"> (e.g., exemplars of identifiers)</w:t>
      </w:r>
      <w:r>
        <w:rPr>
          <w:rFonts w:ascii="Calibri" w:hAnsi="Calibri" w:cs="Calibri"/>
          <w:color w:val="000000"/>
        </w:rPr>
        <w:t xml:space="preserve"> and common errors</w:t>
      </w:r>
    </w:p>
    <w:p w14:paraId="1A11E9DE" w14:textId="06D67B82" w:rsidR="00B45482" w:rsidRDefault="00B45482" w:rsidP="00B4548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Frequently asked questions</w:t>
      </w:r>
    </w:p>
    <w:p w14:paraId="0F18C702" w14:textId="68411628" w:rsidR="00B45482" w:rsidRPr="00B45482" w:rsidRDefault="00B45482" w:rsidP="00B4548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Translations of </w:t>
      </w:r>
      <w:r w:rsidR="00220D41">
        <w:rPr>
          <w:rFonts w:ascii="Calibri" w:hAnsi="Calibri" w:cs="Calibri"/>
          <w:color w:val="000000"/>
        </w:rPr>
        <w:t xml:space="preserve">common </w:t>
      </w:r>
      <w:r>
        <w:rPr>
          <w:rFonts w:ascii="Calibri" w:hAnsi="Calibri" w:cs="Calibri"/>
          <w:color w:val="000000"/>
        </w:rPr>
        <w:t>terms for multilingual project teams</w:t>
      </w:r>
    </w:p>
    <w:p w14:paraId="0C6FE21C" w14:textId="77777777" w:rsidR="00B45482" w:rsidRDefault="00B45482" w:rsidP="00B4548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Tools and resources needed</w:t>
      </w:r>
    </w:p>
    <w:p w14:paraId="572992DE" w14:textId="77777777" w:rsidR="00C83670" w:rsidRDefault="00C83670" w:rsidP="00C8367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project director develops a process to document any divergence from these practices during data collection</w:t>
      </w:r>
    </w:p>
    <w:p w14:paraId="708159BC" w14:textId="7542ECAC" w:rsidR="002B4946" w:rsidRPr="002B4946" w:rsidRDefault="00220D41" w:rsidP="002B494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team r</w:t>
      </w:r>
      <w:r w:rsidR="00797617">
        <w:rPr>
          <w:rFonts w:ascii="Calibri" w:hAnsi="Calibri" w:cs="Calibri"/>
          <w:color w:val="000000"/>
        </w:rPr>
        <w:t>eview</w:t>
      </w:r>
      <w:r>
        <w:rPr>
          <w:rFonts w:ascii="Calibri" w:hAnsi="Calibri" w:cs="Calibri"/>
          <w:color w:val="000000"/>
        </w:rPr>
        <w:t>s</w:t>
      </w:r>
      <w:r w:rsidR="00797617">
        <w:rPr>
          <w:rFonts w:ascii="Calibri" w:hAnsi="Calibri" w:cs="Calibri"/>
          <w:color w:val="000000"/>
        </w:rPr>
        <w:t xml:space="preserve"> written guidelines and revise</w:t>
      </w:r>
      <w:r>
        <w:rPr>
          <w:rFonts w:ascii="Calibri" w:hAnsi="Calibri" w:cs="Calibri"/>
          <w:color w:val="000000"/>
        </w:rPr>
        <w:t>s</w:t>
      </w:r>
      <w:r w:rsidR="00797617">
        <w:rPr>
          <w:rFonts w:ascii="Calibri" w:hAnsi="Calibri" w:cs="Calibri"/>
          <w:color w:val="000000"/>
        </w:rPr>
        <w:t xml:space="preserve"> as necessary</w:t>
      </w:r>
      <w:r w:rsidR="008D18E4">
        <w:rPr>
          <w:rFonts w:ascii="Calibri" w:hAnsi="Calibri" w:cs="Calibri"/>
          <w:color w:val="000000"/>
        </w:rPr>
        <w:t xml:space="preserve"> until reaching agreement</w:t>
      </w:r>
    </w:p>
    <w:p w14:paraId="530130B3" w14:textId="77777777" w:rsidR="002B4946" w:rsidRPr="000529AB" w:rsidRDefault="002B4946" w:rsidP="002B4946">
      <w:pPr>
        <w:pStyle w:val="ListParagraph"/>
        <w:rPr>
          <w:rFonts w:ascii="Calibri" w:hAnsi="Calibri" w:cs="Calibri"/>
          <w:color w:val="000000"/>
        </w:rPr>
      </w:pPr>
    </w:p>
    <w:p w14:paraId="162B4D84" w14:textId="30E3143B" w:rsidR="00C25C00" w:rsidRPr="009F184A" w:rsidRDefault="009F184A" w:rsidP="009F184A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9F184A">
        <w:rPr>
          <w:b/>
          <w:bCs/>
        </w:rPr>
        <w:t>During Fieldwork</w:t>
      </w:r>
    </w:p>
    <w:p w14:paraId="128BFBA5" w14:textId="672BF13C" w:rsidR="009F184A" w:rsidRDefault="009F184A" w:rsidP="00CD4178">
      <w:r w:rsidRPr="009F184A">
        <w:t>Create opportunities for</w:t>
      </w:r>
      <w:r w:rsidR="00797617">
        <w:t xml:space="preserve"> structured and unstructured</w:t>
      </w:r>
      <w:r w:rsidRPr="009F184A">
        <w:t xml:space="preserve"> interactions and discussions </w:t>
      </w:r>
      <w:r w:rsidR="00220D41">
        <w:t xml:space="preserve">among </w:t>
      </w:r>
      <w:r w:rsidR="00797617">
        <w:t>team members</w:t>
      </w:r>
      <w:r w:rsidRPr="009F184A">
        <w:t xml:space="preserve"> during fieldwork</w:t>
      </w:r>
    </w:p>
    <w:p w14:paraId="3467F78B" w14:textId="14E1E412" w:rsidR="009F184A" w:rsidRDefault="00F5328E" w:rsidP="009F184A">
      <w:pPr>
        <w:pStyle w:val="ListParagraph"/>
        <w:numPr>
          <w:ilvl w:val="0"/>
          <w:numId w:val="2"/>
        </w:numPr>
      </w:pPr>
      <w:r>
        <w:t>S</w:t>
      </w:r>
      <w:r w:rsidR="009F184A">
        <w:t>chedule regular meetings between trench supervisors and specialists</w:t>
      </w:r>
      <w:r w:rsidR="00797617">
        <w:t xml:space="preserve"> to</w:t>
      </w:r>
      <w:r w:rsidR="00FE6ABE">
        <w:t xml:space="preserve"> </w:t>
      </w:r>
      <w:r w:rsidR="007F4198">
        <w:t xml:space="preserve">discuss </w:t>
      </w:r>
      <w:r w:rsidR="00FE6ABE">
        <w:t xml:space="preserve">each other’s </w:t>
      </w:r>
      <w:r w:rsidR="007F4198">
        <w:t xml:space="preserve">evolving analyses, interpretations, and </w:t>
      </w:r>
      <w:r w:rsidR="00FE6ABE">
        <w:t>research</w:t>
      </w:r>
      <w:r w:rsidR="007F4198">
        <w:t xml:space="preserve"> </w:t>
      </w:r>
      <w:r w:rsidR="00FE6ABE">
        <w:t>strategies</w:t>
      </w:r>
    </w:p>
    <w:p w14:paraId="4849BC44" w14:textId="3944E2E0" w:rsidR="009F184A" w:rsidRDefault="00F5328E" w:rsidP="007F4198">
      <w:pPr>
        <w:pStyle w:val="ListParagraph"/>
        <w:numPr>
          <w:ilvl w:val="0"/>
          <w:numId w:val="2"/>
        </w:numPr>
      </w:pPr>
      <w:r>
        <w:t>S</w:t>
      </w:r>
      <w:r w:rsidR="00797617">
        <w:t>chedule regular meetings between trench supervisors and</w:t>
      </w:r>
      <w:r w:rsidR="00FE6ABE">
        <w:t xml:space="preserve"> the</w:t>
      </w:r>
      <w:r w:rsidR="00797617">
        <w:t xml:space="preserve"> registrar to discuss </w:t>
      </w:r>
      <w:r w:rsidR="00BB7BC9">
        <w:t xml:space="preserve">and document </w:t>
      </w:r>
      <w:r w:rsidR="00797617">
        <w:t>naming practices</w:t>
      </w:r>
      <w:r w:rsidR="002E07FC">
        <w:t xml:space="preserve"> and the</w:t>
      </w:r>
      <w:r w:rsidR="00BB7BC9">
        <w:t xml:space="preserve"> organization of finds and digital records.</w:t>
      </w:r>
      <w:r w:rsidR="00797617">
        <w:t xml:space="preserve"> </w:t>
      </w:r>
    </w:p>
    <w:p w14:paraId="236E3937" w14:textId="0A03044C" w:rsidR="009F184A" w:rsidRDefault="00FE6ABE" w:rsidP="009F184A">
      <w:pPr>
        <w:pStyle w:val="ListParagraph"/>
        <w:numPr>
          <w:ilvl w:val="0"/>
          <w:numId w:val="2"/>
        </w:numPr>
      </w:pPr>
      <w:r>
        <w:lastRenderedPageBreak/>
        <w:t>R</w:t>
      </w:r>
      <w:r w:rsidR="009F184A">
        <w:t>ecord in project documentation any divergence from</w:t>
      </w:r>
      <w:r w:rsidR="003B211F">
        <w:t xml:space="preserve"> written guidelines</w:t>
      </w:r>
      <w:r w:rsidR="00797617">
        <w:t xml:space="preserve"> enacted during the season</w:t>
      </w:r>
      <w:r w:rsidR="009F184A">
        <w:t xml:space="preserve"> and rationale for change</w:t>
      </w:r>
    </w:p>
    <w:p w14:paraId="1E34EC6F" w14:textId="1ABB5E77" w:rsidR="009F184A" w:rsidRDefault="009F184A" w:rsidP="009F184A">
      <w:pPr>
        <w:pStyle w:val="ListParagraph"/>
        <w:numPr>
          <w:ilvl w:val="0"/>
          <w:numId w:val="2"/>
        </w:numPr>
      </w:pPr>
      <w:r>
        <w:t>Crosswalk divergent data if possible, or otherwise record how these data can be compared to data produced by the agreed upon practices</w:t>
      </w:r>
    </w:p>
    <w:p w14:paraId="2123C1BD" w14:textId="6FB615D2" w:rsidR="00797617" w:rsidRDefault="00F5328E" w:rsidP="009F184A">
      <w:pPr>
        <w:pStyle w:val="ListParagraph"/>
        <w:numPr>
          <w:ilvl w:val="0"/>
          <w:numId w:val="2"/>
        </w:numPr>
      </w:pPr>
      <w:r>
        <w:t>D</w:t>
      </w:r>
      <w:r w:rsidR="00797617">
        <w:t>ocument ongoing issues to be resolved between seasons</w:t>
      </w:r>
    </w:p>
    <w:p w14:paraId="37700E7A" w14:textId="77777777" w:rsidR="002B4946" w:rsidRDefault="002B4946" w:rsidP="002B4946">
      <w:pPr>
        <w:pStyle w:val="ListParagraph"/>
      </w:pPr>
    </w:p>
    <w:p w14:paraId="5A1BC09B" w14:textId="075F4FA1" w:rsidR="00797617" w:rsidRPr="00413645" w:rsidRDefault="00797617" w:rsidP="0079761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413645">
        <w:rPr>
          <w:b/>
          <w:bCs/>
        </w:rPr>
        <w:t>At the End of the Field Season</w:t>
      </w:r>
    </w:p>
    <w:p w14:paraId="76A6A67C" w14:textId="3655B90C" w:rsidR="00797617" w:rsidRDefault="008D18E4" w:rsidP="00797617">
      <w:r>
        <w:t xml:space="preserve">Allocate </w:t>
      </w:r>
      <w:r w:rsidR="00797617">
        <w:t>the time necessary to adequately document activities during the season and ensure data are usable</w:t>
      </w:r>
    </w:p>
    <w:p w14:paraId="6C087B4F" w14:textId="180893A8" w:rsidR="00797617" w:rsidRDefault="00797617" w:rsidP="00797617">
      <w:pPr>
        <w:pStyle w:val="ListParagraph"/>
        <w:numPr>
          <w:ilvl w:val="0"/>
          <w:numId w:val="3"/>
        </w:numPr>
      </w:pPr>
      <w:r>
        <w:t>Schedule time in the final week of fieldwork for data cleanup and organization</w:t>
      </w:r>
    </w:p>
    <w:p w14:paraId="1C155D04" w14:textId="43E98851" w:rsidR="00797617" w:rsidRDefault="00797617" w:rsidP="00797617">
      <w:pPr>
        <w:pStyle w:val="ListParagraph"/>
        <w:numPr>
          <w:ilvl w:val="0"/>
          <w:numId w:val="3"/>
        </w:numPr>
      </w:pPr>
      <w:r>
        <w:t>Document all data and how it is organized</w:t>
      </w:r>
      <w:r w:rsidR="008D18E4">
        <w:t xml:space="preserve"> and archived</w:t>
      </w:r>
    </w:p>
    <w:p w14:paraId="5EB6C190" w14:textId="77777777" w:rsidR="0048409F" w:rsidRDefault="0048409F" w:rsidP="00797617">
      <w:pPr>
        <w:pStyle w:val="ListParagraph"/>
        <w:numPr>
          <w:ilvl w:val="0"/>
          <w:numId w:val="3"/>
        </w:numPr>
      </w:pPr>
      <w:r>
        <w:t xml:space="preserve">Write narrative summaries for trenches including </w:t>
      </w:r>
      <w:r w:rsidRPr="008D18E4">
        <w:t>methods used to back</w:t>
      </w:r>
      <w:r>
        <w:t>-</w:t>
      </w:r>
      <w:r w:rsidRPr="008D18E4">
        <w:t xml:space="preserve">fill, </w:t>
      </w:r>
      <w:r>
        <w:t xml:space="preserve">the state of units that were not fully excavated, and </w:t>
      </w:r>
      <w:r w:rsidRPr="008D18E4">
        <w:t>outstanding research questions</w:t>
      </w:r>
      <w:r>
        <w:t xml:space="preserve"> </w:t>
      </w:r>
    </w:p>
    <w:p w14:paraId="7E32CFB3" w14:textId="6A627887" w:rsidR="00797617" w:rsidRDefault="00797617" w:rsidP="00797617">
      <w:pPr>
        <w:pStyle w:val="ListParagraph"/>
        <w:numPr>
          <w:ilvl w:val="0"/>
          <w:numId w:val="3"/>
        </w:numPr>
      </w:pPr>
      <w:r>
        <w:t>Archive project data together, including</w:t>
      </w:r>
      <w:r w:rsidR="00B0375F">
        <w:t xml:space="preserve"> notebooks and</w:t>
      </w:r>
      <w:r>
        <w:t xml:space="preserve"> the written guidelines for the season</w:t>
      </w:r>
    </w:p>
    <w:p w14:paraId="142AB982" w14:textId="2D42352F" w:rsidR="008D18E4" w:rsidRDefault="008D18E4" w:rsidP="00FE6ABE"/>
    <w:p w14:paraId="6A7D62AE" w14:textId="1C4F1C7F" w:rsidR="00797617" w:rsidRPr="00413645" w:rsidRDefault="00797617" w:rsidP="00797617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413645">
        <w:rPr>
          <w:b/>
          <w:bCs/>
        </w:rPr>
        <w:t>Between Field Seasons</w:t>
      </w:r>
    </w:p>
    <w:p w14:paraId="6EABD440" w14:textId="4570415F" w:rsidR="00797617" w:rsidRDefault="00797617" w:rsidP="00797617">
      <w:r>
        <w:t>Update written guidelines as needed</w:t>
      </w:r>
    </w:p>
    <w:p w14:paraId="71C9C9E2" w14:textId="2DC8DC30" w:rsidR="00413645" w:rsidRDefault="00F5328E" w:rsidP="00797617">
      <w:pPr>
        <w:pStyle w:val="ListParagraph"/>
        <w:numPr>
          <w:ilvl w:val="0"/>
          <w:numId w:val="4"/>
        </w:numPr>
      </w:pPr>
      <w:r>
        <w:t>R</w:t>
      </w:r>
      <w:r w:rsidR="00413645">
        <w:t>eview any divergence and ongoing issues from the prior season</w:t>
      </w:r>
    </w:p>
    <w:p w14:paraId="7E88B48C" w14:textId="38F74EB2" w:rsidR="00797617" w:rsidRDefault="00F5328E" w:rsidP="00797617">
      <w:pPr>
        <w:pStyle w:val="ListParagraph"/>
        <w:numPr>
          <w:ilvl w:val="0"/>
          <w:numId w:val="4"/>
        </w:numPr>
      </w:pPr>
      <w:r>
        <w:t>M</w:t>
      </w:r>
      <w:r w:rsidR="00413645">
        <w:t>eet with new and returning team members</w:t>
      </w:r>
      <w:r w:rsidR="00B45482">
        <w:t xml:space="preserve"> to discuss how well the written guidelines meet their needs</w:t>
      </w:r>
    </w:p>
    <w:p w14:paraId="1BF87945" w14:textId="05B26F9F" w:rsidR="00413645" w:rsidRDefault="00F5328E" w:rsidP="00797617">
      <w:pPr>
        <w:pStyle w:val="ListParagraph"/>
        <w:numPr>
          <w:ilvl w:val="0"/>
          <w:numId w:val="4"/>
        </w:numPr>
      </w:pPr>
      <w:r>
        <w:t>Modify</w:t>
      </w:r>
      <w:r w:rsidR="00413645">
        <w:t xml:space="preserve"> written guidelines as needed, saving as a new version for the new season</w:t>
      </w:r>
    </w:p>
    <w:p w14:paraId="30415852" w14:textId="322B7B97" w:rsidR="00B45482" w:rsidRDefault="00B45482" w:rsidP="00797617">
      <w:pPr>
        <w:pStyle w:val="ListParagraph"/>
        <w:numPr>
          <w:ilvl w:val="0"/>
          <w:numId w:val="4"/>
        </w:numPr>
      </w:pPr>
      <w:r>
        <w:t>T</w:t>
      </w:r>
      <w:r w:rsidR="00BD789C">
        <w:t>he t</w:t>
      </w:r>
      <w:r>
        <w:t>eam reviews, revises, and agrees to written guidelines</w:t>
      </w:r>
    </w:p>
    <w:p w14:paraId="390AE43C" w14:textId="77777777" w:rsidR="00797617" w:rsidRDefault="00797617" w:rsidP="00797617"/>
    <w:p w14:paraId="2FD1EE7C" w14:textId="77777777" w:rsidR="00797617" w:rsidRDefault="00797617" w:rsidP="00797617"/>
    <w:p w14:paraId="52948ADB" w14:textId="77777777" w:rsidR="00C25C00" w:rsidRPr="00CD4178" w:rsidRDefault="00C25C00" w:rsidP="00CD4178"/>
    <w:sectPr w:rsidR="00C25C00" w:rsidRPr="00CD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4FD05" w16cex:dateUtc="2023-04-27T20:54:00Z"/>
  <w16cex:commentExtensible w16cex:durableId="27FBA714" w16cex:dateUtc="2023-05-02T19:13:00Z"/>
  <w16cex:commentExtensible w16cex:durableId="27FBA8CD" w16cex:dateUtc="2023-04-27T21:02:00Z"/>
  <w16cex:commentExtensible w16cex:durableId="27FBAA8D" w16cex:dateUtc="2023-05-02T19:28:00Z"/>
  <w16cex:commentExtensible w16cex:durableId="27FBB178" w16cex:dateUtc="2023-05-02T19:57:00Z"/>
  <w16cex:commentExtensible w16cex:durableId="27F50180" w16cex:dateUtc="2023-04-27T21:13:00Z"/>
  <w16cex:commentExtensible w16cex:durableId="27FBABB0" w16cex:dateUtc="2023-05-02T19:33:00Z"/>
  <w16cex:commentExtensible w16cex:durableId="27F50306" w16cex:dateUtc="2023-04-27T21:19:00Z"/>
  <w16cex:commentExtensible w16cex:durableId="27FBAD83" w16cex:dateUtc="2023-05-02T19:40:00Z"/>
  <w16cex:commentExtensible w16cex:durableId="27F501ED" w16cex:dateUtc="2023-04-27T21:15:00Z"/>
  <w16cex:commentExtensible w16cex:durableId="27FBAECB" w16cex:dateUtc="2023-05-02T19:46:00Z"/>
  <w16cex:commentExtensible w16cex:durableId="27F50223" w16cex:dateUtc="2023-04-27T21:16:00Z"/>
  <w16cex:commentExtensible w16cex:durableId="27FBAF2A" w16cex:dateUtc="2023-05-02T19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980"/>
    <w:multiLevelType w:val="hybridMultilevel"/>
    <w:tmpl w:val="FF4E1F72"/>
    <w:lvl w:ilvl="0" w:tplc="990E2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0C9F"/>
    <w:multiLevelType w:val="hybridMultilevel"/>
    <w:tmpl w:val="59A6BCDC"/>
    <w:lvl w:ilvl="0" w:tplc="990E2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90E2D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2583F"/>
    <w:multiLevelType w:val="hybridMultilevel"/>
    <w:tmpl w:val="7B68BEE4"/>
    <w:lvl w:ilvl="0" w:tplc="990E2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D0DB0"/>
    <w:multiLevelType w:val="hybridMultilevel"/>
    <w:tmpl w:val="A1B6521A"/>
    <w:lvl w:ilvl="0" w:tplc="990E2D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B4"/>
    <w:rsid w:val="000529AB"/>
    <w:rsid w:val="000B4209"/>
    <w:rsid w:val="000F07DB"/>
    <w:rsid w:val="0012241B"/>
    <w:rsid w:val="00163286"/>
    <w:rsid w:val="00190D78"/>
    <w:rsid w:val="00220D41"/>
    <w:rsid w:val="002301E8"/>
    <w:rsid w:val="002B1BCC"/>
    <w:rsid w:val="002B4946"/>
    <w:rsid w:val="002E07FC"/>
    <w:rsid w:val="00336B55"/>
    <w:rsid w:val="003505DE"/>
    <w:rsid w:val="00350B3F"/>
    <w:rsid w:val="0038767E"/>
    <w:rsid w:val="003B211F"/>
    <w:rsid w:val="00413645"/>
    <w:rsid w:val="0041613E"/>
    <w:rsid w:val="00442E4A"/>
    <w:rsid w:val="0048409F"/>
    <w:rsid w:val="00576653"/>
    <w:rsid w:val="00585DBF"/>
    <w:rsid w:val="005A4135"/>
    <w:rsid w:val="00663CCB"/>
    <w:rsid w:val="00714776"/>
    <w:rsid w:val="00734661"/>
    <w:rsid w:val="00767700"/>
    <w:rsid w:val="00776C69"/>
    <w:rsid w:val="00797617"/>
    <w:rsid w:val="007F4198"/>
    <w:rsid w:val="0088729E"/>
    <w:rsid w:val="008D18E4"/>
    <w:rsid w:val="008E0F30"/>
    <w:rsid w:val="0094557C"/>
    <w:rsid w:val="0099325B"/>
    <w:rsid w:val="009F184A"/>
    <w:rsid w:val="00A220D0"/>
    <w:rsid w:val="00AB3609"/>
    <w:rsid w:val="00AC7183"/>
    <w:rsid w:val="00B0375F"/>
    <w:rsid w:val="00B22B27"/>
    <w:rsid w:val="00B45482"/>
    <w:rsid w:val="00BA1D05"/>
    <w:rsid w:val="00BB7BC9"/>
    <w:rsid w:val="00BD789C"/>
    <w:rsid w:val="00BE6F85"/>
    <w:rsid w:val="00C25C00"/>
    <w:rsid w:val="00C83670"/>
    <w:rsid w:val="00C91092"/>
    <w:rsid w:val="00CD4178"/>
    <w:rsid w:val="00D36261"/>
    <w:rsid w:val="00E06226"/>
    <w:rsid w:val="00E079FC"/>
    <w:rsid w:val="00E1061F"/>
    <w:rsid w:val="00EF0FA3"/>
    <w:rsid w:val="00F12CB4"/>
    <w:rsid w:val="00F24E13"/>
    <w:rsid w:val="00F5328E"/>
    <w:rsid w:val="00F818D4"/>
    <w:rsid w:val="00FC7ED7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4A2E"/>
  <w15:chartTrackingRefBased/>
  <w15:docId w15:val="{C2CC3D2D-9FC6-42E6-90C2-DD8F1C60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4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25C00"/>
    <w:pPr>
      <w:ind w:left="720"/>
      <w:contextualSpacing/>
    </w:pPr>
  </w:style>
  <w:style w:type="paragraph" w:styleId="Revision">
    <w:name w:val="Revision"/>
    <w:hidden/>
    <w:uiPriority w:val="99"/>
    <w:semiHidden/>
    <w:rsid w:val="00EF0F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0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Brannon,Brittany</dc:creator>
  <cp:keywords/>
  <dc:description/>
  <cp:lastModifiedBy>Austin, Anne</cp:lastModifiedBy>
  <cp:revision>3</cp:revision>
  <dcterms:created xsi:type="dcterms:W3CDTF">2023-06-07T19:20:00Z</dcterms:created>
  <dcterms:modified xsi:type="dcterms:W3CDTF">2023-06-07T19:21:00Z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3960e1d508aacc972b8b59ae981da4a0e8a6b4987efaf52d636e3fc0d902a927</vt:lpwstr>
  </property>
</Properties>
</file>