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82A7E" w14:textId="0CFBA302" w:rsidR="000D570C" w:rsidRPr="00AA283F" w:rsidRDefault="000D570C" w:rsidP="000D570C">
      <w:pPr>
        <w:jc w:val="center"/>
        <w:rPr>
          <w:rFonts w:cs="Times New Roman"/>
          <w:u w:val="single"/>
          <w:lang w:val="fr-FR"/>
        </w:rPr>
      </w:pPr>
      <w:r w:rsidRPr="00AA283F">
        <w:rPr>
          <w:rFonts w:cs="Times New Roman"/>
          <w:u w:val="single"/>
          <w:lang w:val="fr-FR"/>
        </w:rPr>
        <w:t>Appendix 2</w:t>
      </w:r>
    </w:p>
    <w:p w14:paraId="750D7CA9" w14:textId="6F0670EF" w:rsidR="000D570C" w:rsidRPr="00AA283F" w:rsidRDefault="000D570C" w:rsidP="000D570C">
      <w:pPr>
        <w:jc w:val="center"/>
        <w:rPr>
          <w:rFonts w:cs="Times New Roman"/>
          <w:u w:val="single"/>
          <w:lang w:val="fr-FR"/>
        </w:rPr>
      </w:pPr>
      <w:r w:rsidRPr="00AA283F">
        <w:rPr>
          <w:rFonts w:cs="Times New Roman"/>
          <w:u w:val="single"/>
          <w:lang w:val="fr-FR"/>
        </w:rPr>
        <w:t xml:space="preserve">Tables </w:t>
      </w:r>
    </w:p>
    <w:p w14:paraId="4D74229D" w14:textId="77777777" w:rsidR="000D570C" w:rsidRPr="00AA283F" w:rsidRDefault="000D570C" w:rsidP="00FB3EB8">
      <w:pPr>
        <w:rPr>
          <w:rFonts w:cs="Times New Roman"/>
          <w:lang w:val="fr-FR"/>
        </w:rPr>
      </w:pPr>
    </w:p>
    <w:p w14:paraId="4B0CA3A6" w14:textId="25182E81" w:rsidR="004629D7" w:rsidRPr="00AA283F" w:rsidRDefault="00265AA9" w:rsidP="00FB3EB8">
      <w:pPr>
        <w:rPr>
          <w:rFonts w:cs="Times New Roman"/>
          <w:i/>
          <w:iCs/>
        </w:rPr>
      </w:pPr>
      <w:r w:rsidRPr="00AA283F">
        <w:rPr>
          <w:rFonts w:cs="Times New Roman"/>
          <w:i/>
          <w:iCs/>
        </w:rPr>
        <w:t>Table 1 – Contextual Elements Influencing Discretion at Different Levels of Analysis (Personal Re-elaboration Based on Findings from Gofen et al., 2019)</w:t>
      </w:r>
    </w:p>
    <w:p w14:paraId="2F3C5D69" w14:textId="77777777" w:rsidR="00265AA9" w:rsidRPr="00AA283F" w:rsidRDefault="00265AA9" w:rsidP="00FB3EB8">
      <w:pPr>
        <w:rPr>
          <w:rFonts w:cs="Times New Roman"/>
          <w:i/>
          <w:iCs/>
          <w:lang w:val="fr-FR"/>
        </w:rPr>
      </w:pPr>
    </w:p>
    <w:tbl>
      <w:tblPr>
        <w:tblStyle w:val="TableGrid"/>
        <w:tblW w:w="0" w:type="auto"/>
        <w:jc w:val="center"/>
        <w:tblLook w:val="04A0" w:firstRow="1" w:lastRow="0" w:firstColumn="1" w:lastColumn="0" w:noHBand="0" w:noVBand="1"/>
      </w:tblPr>
      <w:tblGrid>
        <w:gridCol w:w="4675"/>
        <w:gridCol w:w="4675"/>
      </w:tblGrid>
      <w:tr w:rsidR="00B72108" w:rsidRPr="00AA283F" w14:paraId="73F02A02" w14:textId="77777777" w:rsidTr="00507179">
        <w:trPr>
          <w:jc w:val="center"/>
        </w:trPr>
        <w:tc>
          <w:tcPr>
            <w:tcW w:w="4675" w:type="dxa"/>
            <w:vAlign w:val="center"/>
          </w:tcPr>
          <w:p w14:paraId="04B097AF" w14:textId="77777777" w:rsidR="00B72108" w:rsidRPr="00AA283F" w:rsidRDefault="00B72108" w:rsidP="00507179">
            <w:pPr>
              <w:spacing w:before="100" w:beforeAutospacing="1" w:after="100" w:afterAutospacing="1" w:line="360" w:lineRule="auto"/>
              <w:rPr>
                <w:rFonts w:cs="Times New Roman"/>
                <w:sz w:val="24"/>
                <w:szCs w:val="24"/>
                <w:lang w:val="en-GB"/>
              </w:rPr>
            </w:pPr>
            <w:r w:rsidRPr="00AA283F">
              <w:rPr>
                <w:rFonts w:cs="Times New Roman"/>
                <w:sz w:val="24"/>
                <w:szCs w:val="24"/>
                <w:lang w:val="en-GB"/>
              </w:rPr>
              <w:t>Level of Analysis</w:t>
            </w:r>
          </w:p>
        </w:tc>
        <w:tc>
          <w:tcPr>
            <w:tcW w:w="4675" w:type="dxa"/>
            <w:vAlign w:val="center"/>
          </w:tcPr>
          <w:p w14:paraId="05B7B6E5" w14:textId="32BCC753" w:rsidR="00B72108" w:rsidRPr="00AA283F" w:rsidRDefault="00B72108" w:rsidP="00507179">
            <w:pPr>
              <w:spacing w:before="100" w:beforeAutospacing="1" w:after="100" w:afterAutospacing="1" w:line="360" w:lineRule="auto"/>
              <w:rPr>
                <w:rFonts w:cs="Times New Roman"/>
                <w:sz w:val="24"/>
                <w:szCs w:val="24"/>
                <w:lang w:val="en-GB"/>
              </w:rPr>
            </w:pPr>
            <w:r w:rsidRPr="00AA283F">
              <w:rPr>
                <w:rFonts w:cs="Times New Roman"/>
                <w:sz w:val="24"/>
                <w:szCs w:val="24"/>
                <w:lang w:val="en-GB"/>
              </w:rPr>
              <w:t xml:space="preserve">Contextual </w:t>
            </w:r>
            <w:r w:rsidR="000D570C" w:rsidRPr="00AA283F">
              <w:rPr>
                <w:rFonts w:cs="Times New Roman"/>
                <w:sz w:val="24"/>
                <w:szCs w:val="24"/>
                <w:lang w:val="en-GB"/>
              </w:rPr>
              <w:t>Elements</w:t>
            </w:r>
          </w:p>
        </w:tc>
      </w:tr>
      <w:tr w:rsidR="00B72108" w:rsidRPr="00AA283F" w14:paraId="21C5DB78" w14:textId="77777777" w:rsidTr="00507179">
        <w:trPr>
          <w:jc w:val="center"/>
        </w:trPr>
        <w:tc>
          <w:tcPr>
            <w:tcW w:w="4675" w:type="dxa"/>
          </w:tcPr>
          <w:p w14:paraId="5F887F1E" w14:textId="77777777" w:rsidR="00B72108" w:rsidRPr="00AA283F" w:rsidRDefault="00B72108" w:rsidP="00507179">
            <w:pPr>
              <w:spacing w:before="100" w:beforeAutospacing="1" w:after="100" w:afterAutospacing="1" w:line="360" w:lineRule="auto"/>
              <w:rPr>
                <w:rFonts w:cs="Times New Roman"/>
                <w:sz w:val="24"/>
                <w:szCs w:val="24"/>
                <w:lang w:val="en-GB"/>
              </w:rPr>
            </w:pPr>
            <w:r w:rsidRPr="00AA283F">
              <w:rPr>
                <w:rFonts w:cs="Times New Roman"/>
                <w:b/>
                <w:bCs/>
                <w:sz w:val="24"/>
                <w:szCs w:val="24"/>
                <w:lang w:val="en-GB"/>
              </w:rPr>
              <w:t>Individual-level factors</w:t>
            </w:r>
            <w:r w:rsidRPr="00AA283F">
              <w:rPr>
                <w:rFonts w:cs="Times New Roman"/>
                <w:sz w:val="24"/>
                <w:szCs w:val="24"/>
                <w:lang w:val="en-GB"/>
              </w:rPr>
              <w:t>: personal beliefs, attitudes and values of people involved in the implementation process</w:t>
            </w:r>
          </w:p>
        </w:tc>
        <w:tc>
          <w:tcPr>
            <w:tcW w:w="4675" w:type="dxa"/>
          </w:tcPr>
          <w:p w14:paraId="12818D6C" w14:textId="77777777" w:rsidR="00B72108" w:rsidRPr="00AA283F" w:rsidRDefault="00B72108" w:rsidP="00507179">
            <w:pPr>
              <w:spacing w:before="100" w:beforeAutospacing="1" w:after="100" w:afterAutospacing="1" w:line="360" w:lineRule="auto"/>
              <w:rPr>
                <w:rFonts w:cs="Times New Roman"/>
                <w:sz w:val="24"/>
                <w:szCs w:val="24"/>
                <w:lang w:val="en-GB"/>
              </w:rPr>
            </w:pPr>
            <w:r w:rsidRPr="00AA283F">
              <w:rPr>
                <w:rStyle w:val="Strong"/>
                <w:rFonts w:cs="Times New Roman"/>
                <w:sz w:val="24"/>
                <w:szCs w:val="24"/>
                <w:lang w:val="en-GB"/>
              </w:rPr>
              <w:t>Teachers’ Individual Characteristics:</w:t>
            </w:r>
            <w:r w:rsidRPr="00AA283F">
              <w:rPr>
                <w:rFonts w:cs="Times New Roman"/>
                <w:sz w:val="24"/>
                <w:szCs w:val="24"/>
                <w:lang w:val="en-GB"/>
              </w:rPr>
              <w:t xml:space="preserve"> personal beliefs, attitudes towards policy, and professional values.</w:t>
            </w:r>
          </w:p>
          <w:p w14:paraId="0F1B34D0" w14:textId="08AD8B57" w:rsidR="00B72108" w:rsidRPr="00AA283F" w:rsidRDefault="00B72108" w:rsidP="00507179">
            <w:pPr>
              <w:spacing w:line="360" w:lineRule="auto"/>
              <w:rPr>
                <w:rFonts w:cs="Times New Roman"/>
                <w:sz w:val="24"/>
                <w:szCs w:val="24"/>
                <w:lang w:val="en-GB"/>
              </w:rPr>
            </w:pPr>
            <w:r w:rsidRPr="00AA283F">
              <w:rPr>
                <w:rFonts w:cs="Times New Roman"/>
                <w:b/>
                <w:bCs/>
                <w:sz w:val="24"/>
                <w:szCs w:val="24"/>
                <w:lang w:val="en-GB"/>
              </w:rPr>
              <w:t>Students’ individual characteristics</w:t>
            </w:r>
            <w:r w:rsidRPr="00AA283F">
              <w:rPr>
                <w:rFonts w:cs="Times New Roman"/>
                <w:sz w:val="24"/>
                <w:szCs w:val="24"/>
                <w:lang w:val="en-GB"/>
              </w:rPr>
              <w:t xml:space="preserve">: income, race, ethnicity, attitudes, </w:t>
            </w:r>
            <w:r w:rsidR="00AB3783" w:rsidRPr="00AA283F">
              <w:rPr>
                <w:rFonts w:cs="Times New Roman"/>
                <w:sz w:val="24"/>
                <w:szCs w:val="24"/>
                <w:lang w:val="en-GB"/>
              </w:rPr>
              <w:t>behaviour</w:t>
            </w:r>
            <w:r w:rsidRPr="00AA283F">
              <w:rPr>
                <w:rFonts w:cs="Times New Roman"/>
                <w:sz w:val="24"/>
                <w:szCs w:val="24"/>
                <w:lang w:val="en-GB"/>
              </w:rPr>
              <w:t>. This may involve stereotyping and prejudice that influences teacher-student interactions and the way teachers implement educational policy across different students.</w:t>
            </w:r>
          </w:p>
        </w:tc>
      </w:tr>
      <w:tr w:rsidR="00B72108" w:rsidRPr="00AA283F" w14:paraId="0888EF62" w14:textId="77777777" w:rsidTr="00507179">
        <w:trPr>
          <w:jc w:val="center"/>
        </w:trPr>
        <w:tc>
          <w:tcPr>
            <w:tcW w:w="4675" w:type="dxa"/>
          </w:tcPr>
          <w:p w14:paraId="3E813E25" w14:textId="77777777" w:rsidR="00B72108" w:rsidRPr="00AA283F" w:rsidRDefault="00B72108" w:rsidP="00507179">
            <w:pPr>
              <w:spacing w:before="100" w:beforeAutospacing="1" w:after="100" w:afterAutospacing="1" w:line="360" w:lineRule="auto"/>
              <w:rPr>
                <w:rFonts w:cs="Times New Roman"/>
                <w:sz w:val="24"/>
                <w:szCs w:val="24"/>
                <w:lang w:val="en-GB"/>
              </w:rPr>
            </w:pPr>
            <w:r w:rsidRPr="00AA283F">
              <w:rPr>
                <w:rFonts w:cs="Times New Roman"/>
                <w:b/>
                <w:bCs/>
                <w:sz w:val="24"/>
                <w:szCs w:val="24"/>
                <w:lang w:val="en-GB"/>
              </w:rPr>
              <w:t>Meso-level factors</w:t>
            </w:r>
            <w:r w:rsidRPr="00AA283F">
              <w:rPr>
                <w:rFonts w:cs="Times New Roman"/>
                <w:sz w:val="24"/>
                <w:szCs w:val="24"/>
                <w:lang w:val="en-GB"/>
              </w:rPr>
              <w:t xml:space="preserve">: </w:t>
            </w:r>
            <w:r w:rsidRPr="00AA283F">
              <w:rPr>
                <w:rStyle w:val="Strong"/>
                <w:rFonts w:cs="Times New Roman"/>
                <w:sz w:val="24"/>
                <w:szCs w:val="24"/>
              </w:rPr>
              <w:t>design, structure, and clarity of the policy itself</w:t>
            </w:r>
            <w:r w:rsidRPr="00AA283F">
              <w:rPr>
                <w:rFonts w:cs="Times New Roman"/>
                <w:sz w:val="24"/>
                <w:szCs w:val="24"/>
              </w:rPr>
              <w:t>—how it is formulated, communicated, and implemented within organizations or sectors</w:t>
            </w:r>
          </w:p>
        </w:tc>
        <w:tc>
          <w:tcPr>
            <w:tcW w:w="4675" w:type="dxa"/>
          </w:tcPr>
          <w:p w14:paraId="7F39EA14" w14:textId="77777777" w:rsidR="00B72108" w:rsidRPr="00AA283F" w:rsidRDefault="00B72108" w:rsidP="00507179">
            <w:pPr>
              <w:spacing w:before="100" w:beforeAutospacing="1" w:after="100" w:afterAutospacing="1" w:line="360" w:lineRule="auto"/>
              <w:rPr>
                <w:rStyle w:val="Strong"/>
                <w:rFonts w:cs="Times New Roman"/>
                <w:sz w:val="24"/>
                <w:szCs w:val="24"/>
                <w:lang w:val="en-GB"/>
              </w:rPr>
            </w:pPr>
            <w:r w:rsidRPr="00AA283F">
              <w:rPr>
                <w:rStyle w:val="Strong"/>
                <w:rFonts w:cs="Times New Roman"/>
                <w:sz w:val="24"/>
                <w:szCs w:val="24"/>
                <w:lang w:val="en-GB"/>
              </w:rPr>
              <w:t>Organizational environment/characteristics:</w:t>
            </w:r>
          </w:p>
          <w:p w14:paraId="6BD5FCE5" w14:textId="1103AF54" w:rsidR="00B72108" w:rsidRPr="00AA283F" w:rsidRDefault="00307F87" w:rsidP="00B72108">
            <w:pPr>
              <w:numPr>
                <w:ilvl w:val="0"/>
                <w:numId w:val="2"/>
              </w:numPr>
              <w:spacing w:before="100" w:beforeAutospacing="1" w:after="100" w:afterAutospacing="1" w:line="360" w:lineRule="auto"/>
              <w:contextualSpacing w:val="0"/>
              <w:jc w:val="left"/>
              <w:rPr>
                <w:rFonts w:cs="Times New Roman"/>
                <w:sz w:val="24"/>
                <w:szCs w:val="24"/>
                <w:lang w:val="en-GB"/>
              </w:rPr>
            </w:pPr>
            <w:r w:rsidRPr="00AA283F">
              <w:rPr>
                <w:rStyle w:val="Strong"/>
                <w:rFonts w:cs="Times New Roman"/>
                <w:sz w:val="24"/>
                <w:szCs w:val="24"/>
                <w:lang w:val="en-GB"/>
              </w:rPr>
              <w:t>T</w:t>
            </w:r>
            <w:proofErr w:type="spellStart"/>
            <w:r w:rsidRPr="00AA283F">
              <w:rPr>
                <w:rStyle w:val="Strong"/>
                <w:rFonts w:cs="Times New Roman"/>
                <w:sz w:val="24"/>
                <w:szCs w:val="24"/>
              </w:rPr>
              <w:t>ype</w:t>
            </w:r>
            <w:proofErr w:type="spellEnd"/>
            <w:r w:rsidRPr="00AA283F">
              <w:rPr>
                <w:rStyle w:val="Strong"/>
                <w:rFonts w:cs="Times New Roman"/>
                <w:sz w:val="24"/>
                <w:szCs w:val="24"/>
              </w:rPr>
              <w:t xml:space="preserve"> and extent </w:t>
            </w:r>
            <w:r w:rsidR="00C60725" w:rsidRPr="00AA283F">
              <w:rPr>
                <w:rStyle w:val="Strong"/>
                <w:rFonts w:cs="Times New Roman"/>
                <w:sz w:val="24"/>
                <w:szCs w:val="24"/>
              </w:rPr>
              <w:t xml:space="preserve">of </w:t>
            </w:r>
            <w:r w:rsidR="00B72108" w:rsidRPr="00AA283F">
              <w:rPr>
                <w:rStyle w:val="Strong"/>
                <w:rFonts w:cs="Times New Roman"/>
                <w:sz w:val="24"/>
                <w:szCs w:val="24"/>
                <w:lang w:val="en-GB"/>
              </w:rPr>
              <w:t>training and support offered by the school</w:t>
            </w:r>
            <w:r w:rsidR="00B72108" w:rsidRPr="00AA283F">
              <w:rPr>
                <w:rFonts w:cs="Times New Roman"/>
                <w:sz w:val="24"/>
                <w:szCs w:val="24"/>
                <w:lang w:val="en-GB"/>
              </w:rPr>
              <w:t>.</w:t>
            </w:r>
          </w:p>
          <w:p w14:paraId="0B53D228" w14:textId="77777777" w:rsidR="00B72108" w:rsidRPr="00AA283F" w:rsidRDefault="00B72108" w:rsidP="00B72108">
            <w:pPr>
              <w:numPr>
                <w:ilvl w:val="1"/>
                <w:numId w:val="2"/>
              </w:numPr>
              <w:spacing w:before="100" w:beforeAutospacing="1" w:after="100" w:afterAutospacing="1" w:line="360" w:lineRule="auto"/>
              <w:contextualSpacing w:val="0"/>
              <w:jc w:val="left"/>
              <w:rPr>
                <w:rFonts w:cs="Times New Roman"/>
                <w:sz w:val="24"/>
                <w:szCs w:val="24"/>
                <w:lang w:val="en-GB"/>
              </w:rPr>
            </w:pPr>
            <w:r w:rsidRPr="00AA283F">
              <w:rPr>
                <w:rStyle w:val="Strong"/>
                <w:rFonts w:cs="Times New Roman"/>
                <w:sz w:val="24"/>
                <w:szCs w:val="24"/>
                <w:lang w:val="en-GB"/>
              </w:rPr>
              <w:t>Formal training</w:t>
            </w:r>
            <w:r w:rsidRPr="00AA283F">
              <w:rPr>
                <w:rFonts w:cs="Times New Roman"/>
                <w:sz w:val="24"/>
                <w:szCs w:val="24"/>
                <w:lang w:val="en-GB"/>
              </w:rPr>
              <w:t xml:space="preserve"> establishes rule compliance as a default behaviour, promoting adherence to policies.</w:t>
            </w:r>
          </w:p>
          <w:p w14:paraId="29B210D7" w14:textId="77777777" w:rsidR="00B72108" w:rsidRPr="00AA283F" w:rsidRDefault="00B72108" w:rsidP="00B72108">
            <w:pPr>
              <w:numPr>
                <w:ilvl w:val="1"/>
                <w:numId w:val="2"/>
              </w:numPr>
              <w:spacing w:before="100" w:beforeAutospacing="1" w:after="100" w:afterAutospacing="1" w:line="360" w:lineRule="auto"/>
              <w:contextualSpacing w:val="0"/>
              <w:jc w:val="left"/>
              <w:rPr>
                <w:rFonts w:cs="Times New Roman"/>
                <w:sz w:val="24"/>
                <w:szCs w:val="24"/>
                <w:lang w:val="en-GB"/>
              </w:rPr>
            </w:pPr>
            <w:r w:rsidRPr="00AA283F">
              <w:rPr>
                <w:rStyle w:val="Strong"/>
                <w:rFonts w:cs="Times New Roman"/>
                <w:sz w:val="24"/>
                <w:szCs w:val="24"/>
                <w:lang w:val="en-GB"/>
              </w:rPr>
              <w:t>Informal training and socialization</w:t>
            </w:r>
            <w:r w:rsidRPr="00AA283F">
              <w:rPr>
                <w:rFonts w:cs="Times New Roman"/>
                <w:sz w:val="24"/>
                <w:szCs w:val="24"/>
                <w:lang w:val="en-GB"/>
              </w:rPr>
              <w:t xml:space="preserve">, such as learning from more experienced colleagues, may foster more adaptive or tolerant </w:t>
            </w:r>
            <w:r w:rsidRPr="00AA283F">
              <w:rPr>
                <w:rStyle w:val="Strong"/>
                <w:rFonts w:cs="Times New Roman"/>
                <w:sz w:val="24"/>
                <w:szCs w:val="24"/>
                <w:lang w:val="en-GB"/>
              </w:rPr>
              <w:t>approaches</w:t>
            </w:r>
            <w:r w:rsidRPr="00AA283F">
              <w:rPr>
                <w:rFonts w:cs="Times New Roman"/>
                <w:sz w:val="24"/>
                <w:szCs w:val="24"/>
                <w:lang w:val="en-GB"/>
              </w:rPr>
              <w:t xml:space="preserve"> to rule enforcement.</w:t>
            </w:r>
          </w:p>
          <w:p w14:paraId="468327C3" w14:textId="6A719CC3" w:rsidR="00066D2E" w:rsidRPr="00AA283F" w:rsidRDefault="00307F87" w:rsidP="00B72108">
            <w:pPr>
              <w:numPr>
                <w:ilvl w:val="0"/>
                <w:numId w:val="2"/>
              </w:numPr>
              <w:spacing w:before="100" w:beforeAutospacing="1" w:after="100" w:afterAutospacing="1" w:line="360" w:lineRule="auto"/>
              <w:contextualSpacing w:val="0"/>
              <w:jc w:val="left"/>
              <w:rPr>
                <w:rFonts w:cs="Times New Roman"/>
                <w:sz w:val="24"/>
                <w:szCs w:val="24"/>
                <w:lang w:val="en-GB"/>
              </w:rPr>
            </w:pPr>
            <w:r w:rsidRPr="00AA283F">
              <w:rPr>
                <w:rFonts w:cs="Times New Roman"/>
                <w:b/>
                <w:bCs/>
                <w:sz w:val="24"/>
                <w:szCs w:val="24"/>
                <w:lang w:val="en-GB"/>
              </w:rPr>
              <w:t>B</w:t>
            </w:r>
            <w:r w:rsidR="00B72108" w:rsidRPr="00AA283F">
              <w:rPr>
                <w:rFonts w:cs="Times New Roman"/>
                <w:b/>
                <w:bCs/>
                <w:sz w:val="24"/>
                <w:szCs w:val="24"/>
                <w:lang w:val="en-GB"/>
              </w:rPr>
              <w:t xml:space="preserve">udgetary </w:t>
            </w:r>
            <w:r w:rsidR="00066D2E" w:rsidRPr="00AA283F">
              <w:rPr>
                <w:rFonts w:cs="Times New Roman"/>
                <w:b/>
                <w:bCs/>
                <w:sz w:val="24"/>
                <w:szCs w:val="24"/>
                <w:lang w:val="en-GB"/>
              </w:rPr>
              <w:t>resources</w:t>
            </w:r>
          </w:p>
          <w:p w14:paraId="2F3CC672" w14:textId="26726CE8" w:rsidR="00B72108" w:rsidRPr="00AA283F" w:rsidRDefault="00066D2E" w:rsidP="00066D2E">
            <w:pPr>
              <w:numPr>
                <w:ilvl w:val="1"/>
                <w:numId w:val="2"/>
              </w:numPr>
              <w:spacing w:before="100" w:beforeAutospacing="1" w:after="100" w:afterAutospacing="1" w:line="360" w:lineRule="auto"/>
              <w:contextualSpacing w:val="0"/>
              <w:jc w:val="left"/>
              <w:rPr>
                <w:rFonts w:cs="Times New Roman"/>
                <w:sz w:val="24"/>
                <w:szCs w:val="24"/>
                <w:lang w:val="en-GB"/>
              </w:rPr>
            </w:pPr>
            <w:r w:rsidRPr="00AA283F">
              <w:rPr>
                <w:rFonts w:cs="Times New Roman"/>
                <w:b/>
                <w:bCs/>
                <w:sz w:val="24"/>
                <w:szCs w:val="24"/>
                <w:lang w:val="en-GB"/>
              </w:rPr>
              <w:lastRenderedPageBreak/>
              <w:t xml:space="preserve">Budgetary </w:t>
            </w:r>
            <w:r w:rsidR="00B72108" w:rsidRPr="00AA283F">
              <w:rPr>
                <w:rFonts w:cs="Times New Roman"/>
                <w:b/>
                <w:bCs/>
                <w:sz w:val="24"/>
                <w:szCs w:val="24"/>
                <w:lang w:val="en-GB"/>
              </w:rPr>
              <w:t>constraints</w:t>
            </w:r>
            <w:r w:rsidR="00B72108" w:rsidRPr="00AA283F">
              <w:rPr>
                <w:rFonts w:cs="Times New Roman"/>
                <w:sz w:val="24"/>
                <w:szCs w:val="24"/>
                <w:lang w:val="en-GB"/>
              </w:rPr>
              <w:t xml:space="preserve"> affect </w:t>
            </w:r>
            <w:r w:rsidRPr="00AA283F">
              <w:rPr>
                <w:rFonts w:cs="Times New Roman"/>
                <w:sz w:val="24"/>
                <w:szCs w:val="24"/>
                <w:lang w:val="en-GB"/>
              </w:rPr>
              <w:t>teachers’</w:t>
            </w:r>
            <w:r w:rsidR="00B72108" w:rsidRPr="00AA283F">
              <w:rPr>
                <w:rFonts w:cs="Times New Roman"/>
                <w:sz w:val="24"/>
                <w:szCs w:val="24"/>
                <w:lang w:val="en-GB"/>
              </w:rPr>
              <w:t xml:space="preserve"> creativity and ability to respond to students</w:t>
            </w:r>
            <w:r w:rsidRPr="00AA283F">
              <w:rPr>
                <w:rFonts w:cs="Times New Roman"/>
                <w:sz w:val="24"/>
                <w:szCs w:val="24"/>
                <w:lang w:val="en-GB"/>
              </w:rPr>
              <w:t xml:space="preserve">’ </w:t>
            </w:r>
            <w:r w:rsidR="00B72108" w:rsidRPr="00AA283F">
              <w:rPr>
                <w:rFonts w:cs="Times New Roman"/>
                <w:sz w:val="24"/>
                <w:szCs w:val="24"/>
                <w:lang w:val="en-GB"/>
              </w:rPr>
              <w:t>unexpected questions through practical activities</w:t>
            </w:r>
          </w:p>
          <w:p w14:paraId="6C0A3911" w14:textId="429FA943" w:rsidR="00066D2E" w:rsidRPr="00AA283F" w:rsidRDefault="00066D2E" w:rsidP="00066D2E">
            <w:pPr>
              <w:numPr>
                <w:ilvl w:val="1"/>
                <w:numId w:val="2"/>
              </w:numPr>
              <w:spacing w:before="100" w:beforeAutospacing="1" w:after="100" w:afterAutospacing="1" w:line="360" w:lineRule="auto"/>
              <w:contextualSpacing w:val="0"/>
              <w:jc w:val="left"/>
              <w:rPr>
                <w:rFonts w:cs="Times New Roman"/>
                <w:sz w:val="24"/>
                <w:szCs w:val="24"/>
                <w:lang w:val="en-GB"/>
              </w:rPr>
            </w:pPr>
            <w:r w:rsidRPr="00AA283F">
              <w:rPr>
                <w:rFonts w:cs="Times New Roman"/>
                <w:sz w:val="24"/>
                <w:szCs w:val="24"/>
                <w:lang w:val="en-GB"/>
              </w:rPr>
              <w:t xml:space="preserve">Extended budgetary resources </w:t>
            </w:r>
            <w:r w:rsidR="007556AD" w:rsidRPr="00AA283F">
              <w:rPr>
                <w:rFonts w:cs="Times New Roman"/>
                <w:sz w:val="24"/>
                <w:szCs w:val="24"/>
                <w:lang w:val="en-GB"/>
              </w:rPr>
              <w:t>enable</w:t>
            </w:r>
            <w:r w:rsidRPr="00AA283F">
              <w:rPr>
                <w:rFonts w:cs="Times New Roman"/>
                <w:sz w:val="24"/>
                <w:szCs w:val="24"/>
                <w:lang w:val="en-GB"/>
              </w:rPr>
              <w:t xml:space="preserve"> teachers’ creativity and ability to respond to students’ </w:t>
            </w:r>
            <w:r w:rsidR="007556AD" w:rsidRPr="00AA283F">
              <w:rPr>
                <w:rFonts w:cs="Times New Roman"/>
                <w:sz w:val="24"/>
                <w:szCs w:val="24"/>
                <w:lang w:val="en-GB"/>
              </w:rPr>
              <w:t>questions and needs.</w:t>
            </w:r>
          </w:p>
          <w:p w14:paraId="0317A1C7" w14:textId="3A38E17F" w:rsidR="007556AD" w:rsidRPr="00AA283F" w:rsidRDefault="007556AD" w:rsidP="00B72108">
            <w:pPr>
              <w:numPr>
                <w:ilvl w:val="0"/>
                <w:numId w:val="2"/>
              </w:numPr>
              <w:spacing w:before="100" w:beforeAutospacing="1" w:after="100" w:afterAutospacing="1" w:line="360" w:lineRule="auto"/>
              <w:contextualSpacing w:val="0"/>
              <w:jc w:val="left"/>
              <w:rPr>
                <w:rStyle w:val="Strong"/>
                <w:rFonts w:cs="Times New Roman"/>
                <w:b w:val="0"/>
                <w:bCs w:val="0"/>
                <w:sz w:val="24"/>
                <w:szCs w:val="24"/>
                <w:lang w:val="en-GB"/>
              </w:rPr>
            </w:pPr>
            <w:r w:rsidRPr="00AA283F">
              <w:rPr>
                <w:rStyle w:val="Strong"/>
                <w:rFonts w:cs="Times New Roman"/>
                <w:sz w:val="24"/>
                <w:szCs w:val="24"/>
                <w:lang w:val="en-GB"/>
              </w:rPr>
              <w:t>A</w:t>
            </w:r>
            <w:proofErr w:type="spellStart"/>
            <w:r w:rsidRPr="00AA283F">
              <w:rPr>
                <w:rStyle w:val="Strong"/>
                <w:rFonts w:cs="Times New Roman"/>
                <w:sz w:val="24"/>
                <w:szCs w:val="24"/>
              </w:rPr>
              <w:t>ccess</w:t>
            </w:r>
            <w:proofErr w:type="spellEnd"/>
            <w:r w:rsidRPr="00AA283F">
              <w:rPr>
                <w:rStyle w:val="Strong"/>
                <w:rFonts w:cs="Times New Roman"/>
                <w:sz w:val="24"/>
                <w:szCs w:val="24"/>
              </w:rPr>
              <w:t xml:space="preserve"> to </w:t>
            </w:r>
            <w:r w:rsidR="00B72108" w:rsidRPr="00AA283F">
              <w:rPr>
                <w:rStyle w:val="Strong"/>
                <w:rFonts w:cs="Times New Roman"/>
                <w:sz w:val="24"/>
                <w:szCs w:val="24"/>
                <w:lang w:val="en-GB"/>
              </w:rPr>
              <w:t xml:space="preserve">Human Resource </w:t>
            </w:r>
          </w:p>
          <w:p w14:paraId="4995E20C" w14:textId="32628A81" w:rsidR="00B72108" w:rsidRPr="00AA283F" w:rsidRDefault="00B72108" w:rsidP="007556AD">
            <w:pPr>
              <w:numPr>
                <w:ilvl w:val="1"/>
                <w:numId w:val="2"/>
              </w:numPr>
              <w:spacing w:before="100" w:beforeAutospacing="1" w:after="100" w:afterAutospacing="1" w:line="360" w:lineRule="auto"/>
              <w:contextualSpacing w:val="0"/>
              <w:jc w:val="left"/>
              <w:rPr>
                <w:rFonts w:cs="Times New Roman"/>
                <w:sz w:val="24"/>
                <w:szCs w:val="24"/>
                <w:lang w:val="en-GB"/>
              </w:rPr>
            </w:pPr>
            <w:r w:rsidRPr="00AA283F">
              <w:rPr>
                <w:rFonts w:cs="Times New Roman"/>
                <w:sz w:val="24"/>
                <w:szCs w:val="24"/>
                <w:lang w:val="en-GB"/>
              </w:rPr>
              <w:t xml:space="preserve">A shortage of qualified staff can impact how teachers exercise their discretion and deliver curriculum content. The pressure to cover for absent or unqualified colleagues can further reduce their ability to </w:t>
            </w:r>
            <w:r w:rsidR="00514FEB" w:rsidRPr="00AA283F">
              <w:rPr>
                <w:rFonts w:cs="Times New Roman"/>
                <w:sz w:val="24"/>
                <w:szCs w:val="24"/>
                <w:lang w:val="en-GB"/>
              </w:rPr>
              <w:t>implement educational curricula and/or activities required by policies.</w:t>
            </w:r>
          </w:p>
          <w:p w14:paraId="1CB4E564" w14:textId="39DF0119" w:rsidR="007556AD" w:rsidRPr="00AA283F" w:rsidRDefault="007556AD" w:rsidP="007556AD">
            <w:pPr>
              <w:numPr>
                <w:ilvl w:val="1"/>
                <w:numId w:val="2"/>
              </w:numPr>
              <w:spacing w:before="100" w:beforeAutospacing="1" w:after="100" w:afterAutospacing="1" w:line="360" w:lineRule="auto"/>
              <w:contextualSpacing w:val="0"/>
              <w:jc w:val="left"/>
              <w:rPr>
                <w:rFonts w:cs="Times New Roman"/>
                <w:sz w:val="24"/>
                <w:szCs w:val="24"/>
                <w:lang w:val="en-GB"/>
              </w:rPr>
            </w:pPr>
            <w:r w:rsidRPr="00AA283F">
              <w:rPr>
                <w:rFonts w:cs="Times New Roman"/>
                <w:sz w:val="24"/>
                <w:szCs w:val="24"/>
                <w:lang w:val="en-GB"/>
              </w:rPr>
              <w:t xml:space="preserve">Access to extended human </w:t>
            </w:r>
            <w:r w:rsidR="00514FEB" w:rsidRPr="00AA283F">
              <w:rPr>
                <w:rFonts w:cs="Times New Roman"/>
                <w:sz w:val="24"/>
                <w:szCs w:val="24"/>
                <w:lang w:val="en-GB"/>
              </w:rPr>
              <w:t>resources</w:t>
            </w:r>
            <w:r w:rsidRPr="00AA283F">
              <w:rPr>
                <w:rFonts w:cs="Times New Roman"/>
                <w:sz w:val="24"/>
                <w:szCs w:val="24"/>
                <w:lang w:val="en-GB"/>
              </w:rPr>
              <w:t xml:space="preserve"> </w:t>
            </w:r>
            <w:r w:rsidR="00514FEB" w:rsidRPr="00AA283F">
              <w:rPr>
                <w:rFonts w:cs="Times New Roman"/>
                <w:sz w:val="24"/>
                <w:szCs w:val="24"/>
                <w:lang w:val="en-GB"/>
              </w:rPr>
              <w:t>favour</w:t>
            </w:r>
            <w:r w:rsidR="00F30C63" w:rsidRPr="00AA283F">
              <w:rPr>
                <w:rFonts w:cs="Times New Roman"/>
                <w:sz w:val="24"/>
                <w:szCs w:val="24"/>
                <w:lang w:val="en-GB"/>
              </w:rPr>
              <w:t xml:space="preserve"> </w:t>
            </w:r>
            <w:r w:rsidR="00514FEB" w:rsidRPr="00AA283F">
              <w:rPr>
                <w:rFonts w:cs="Times New Roman"/>
                <w:sz w:val="24"/>
                <w:szCs w:val="24"/>
                <w:lang w:val="en-GB"/>
              </w:rPr>
              <w:t>teachers’ ability to implement educational curricula and/or activities required by policies.</w:t>
            </w:r>
          </w:p>
          <w:p w14:paraId="6D24E340" w14:textId="77777777" w:rsidR="00F30C63" w:rsidRPr="00AA283F" w:rsidRDefault="00F30C63" w:rsidP="00507179">
            <w:pPr>
              <w:spacing w:line="360" w:lineRule="auto"/>
              <w:rPr>
                <w:rStyle w:val="Strong"/>
                <w:rFonts w:cs="Times New Roman"/>
                <w:sz w:val="24"/>
                <w:szCs w:val="24"/>
                <w:lang w:val="en-GB"/>
              </w:rPr>
            </w:pPr>
            <w:r w:rsidRPr="00AA283F">
              <w:rPr>
                <w:rStyle w:val="Strong"/>
                <w:rFonts w:cs="Times New Roman"/>
                <w:sz w:val="24"/>
                <w:szCs w:val="24"/>
                <w:lang w:val="en-GB"/>
              </w:rPr>
              <w:t xml:space="preserve">Characteristics of </w:t>
            </w:r>
            <w:r w:rsidR="00B72108" w:rsidRPr="00AA283F">
              <w:rPr>
                <w:rStyle w:val="Strong"/>
                <w:rFonts w:cs="Times New Roman"/>
                <w:sz w:val="24"/>
                <w:szCs w:val="24"/>
                <w:lang w:val="en-GB"/>
              </w:rPr>
              <w:t>Policy Frameworks</w:t>
            </w:r>
          </w:p>
          <w:p w14:paraId="5E6BB2FD" w14:textId="77777777" w:rsidR="00F30C63" w:rsidRPr="00AA283F" w:rsidRDefault="00F30C63" w:rsidP="00DC1677">
            <w:pPr>
              <w:numPr>
                <w:ilvl w:val="0"/>
                <w:numId w:val="1"/>
              </w:numPr>
              <w:spacing w:before="100" w:beforeAutospacing="1" w:after="100" w:afterAutospacing="1" w:line="360" w:lineRule="auto"/>
              <w:contextualSpacing w:val="0"/>
              <w:jc w:val="left"/>
              <w:rPr>
                <w:rFonts w:cs="Times New Roman"/>
                <w:sz w:val="24"/>
                <w:szCs w:val="24"/>
                <w:lang w:val="en-GB"/>
              </w:rPr>
            </w:pPr>
            <w:r w:rsidRPr="00AA283F">
              <w:rPr>
                <w:rFonts w:cs="Times New Roman"/>
                <w:sz w:val="24"/>
                <w:szCs w:val="24"/>
                <w:lang w:val="en-GB"/>
              </w:rPr>
              <w:t>E</w:t>
            </w:r>
            <w:r w:rsidR="00B72108" w:rsidRPr="00AA283F">
              <w:rPr>
                <w:rFonts w:cs="Times New Roman"/>
                <w:sz w:val="24"/>
                <w:szCs w:val="24"/>
                <w:lang w:val="en-GB"/>
              </w:rPr>
              <w:t>xtent of a</w:t>
            </w:r>
            <w:r w:rsidR="00B72108" w:rsidRPr="00AA283F">
              <w:rPr>
                <w:rFonts w:cs="Times New Roman"/>
                <w:b/>
                <w:bCs/>
                <w:sz w:val="24"/>
                <w:szCs w:val="24"/>
                <w:lang w:val="en-GB"/>
              </w:rPr>
              <w:t>mbiguity and vagueness of educational policies.</w:t>
            </w:r>
          </w:p>
          <w:p w14:paraId="2AF1BAEA" w14:textId="0E975384" w:rsidR="00B72108" w:rsidRPr="00AA283F" w:rsidRDefault="00B72108" w:rsidP="00F30C63">
            <w:pPr>
              <w:numPr>
                <w:ilvl w:val="1"/>
                <w:numId w:val="1"/>
              </w:numPr>
              <w:spacing w:before="100" w:beforeAutospacing="1" w:after="100" w:afterAutospacing="1" w:line="360" w:lineRule="auto"/>
              <w:contextualSpacing w:val="0"/>
              <w:jc w:val="left"/>
              <w:rPr>
                <w:rFonts w:cs="Times New Roman"/>
                <w:sz w:val="24"/>
                <w:szCs w:val="24"/>
                <w:lang w:val="en-GB"/>
              </w:rPr>
            </w:pPr>
            <w:r w:rsidRPr="00AA283F">
              <w:rPr>
                <w:rFonts w:cs="Times New Roman"/>
                <w:sz w:val="24"/>
                <w:szCs w:val="24"/>
                <w:lang w:val="en-GB"/>
              </w:rPr>
              <w:lastRenderedPageBreak/>
              <w:t>When policies fail to provide clear guidance on implementation practices, more space is left to teachers’ discretionary actions.</w:t>
            </w:r>
          </w:p>
          <w:p w14:paraId="169C62D9" w14:textId="77777777" w:rsidR="00B72108" w:rsidRPr="00AA283F" w:rsidRDefault="00B72108" w:rsidP="00F30C63">
            <w:pPr>
              <w:pStyle w:val="ListParagraph"/>
              <w:numPr>
                <w:ilvl w:val="1"/>
                <w:numId w:val="1"/>
              </w:numPr>
              <w:spacing w:before="100" w:beforeAutospacing="1" w:after="100" w:afterAutospacing="1" w:line="360" w:lineRule="auto"/>
              <w:contextualSpacing w:val="0"/>
              <w:rPr>
                <w:rFonts w:cs="Times New Roman"/>
                <w:sz w:val="24"/>
                <w:szCs w:val="24"/>
                <w:lang w:val="en-GB"/>
              </w:rPr>
            </w:pPr>
            <w:r w:rsidRPr="00AA283F">
              <w:rPr>
                <w:rFonts w:cs="Times New Roman"/>
                <w:sz w:val="24"/>
                <w:szCs w:val="24"/>
                <w:lang w:val="en-GB"/>
              </w:rPr>
              <w:t>When policies provide explicit guidance, implementation becomes more straightforward whilst the space for discretion tends to be reduced.</w:t>
            </w:r>
          </w:p>
        </w:tc>
      </w:tr>
      <w:tr w:rsidR="00B72108" w:rsidRPr="00AA283F" w14:paraId="46984EF1" w14:textId="77777777" w:rsidTr="00507179">
        <w:trPr>
          <w:jc w:val="center"/>
        </w:trPr>
        <w:tc>
          <w:tcPr>
            <w:tcW w:w="4675" w:type="dxa"/>
          </w:tcPr>
          <w:p w14:paraId="08544032" w14:textId="77777777" w:rsidR="00B72108" w:rsidRPr="00AA283F" w:rsidRDefault="00B72108" w:rsidP="00507179">
            <w:pPr>
              <w:spacing w:before="100" w:beforeAutospacing="1" w:after="100" w:afterAutospacing="1" w:line="360" w:lineRule="auto"/>
              <w:rPr>
                <w:rFonts w:cs="Times New Roman"/>
                <w:sz w:val="24"/>
                <w:szCs w:val="24"/>
                <w:lang w:val="en-GB"/>
              </w:rPr>
            </w:pPr>
            <w:r w:rsidRPr="00AA283F">
              <w:rPr>
                <w:rFonts w:cs="Times New Roman"/>
                <w:b/>
                <w:bCs/>
                <w:sz w:val="24"/>
                <w:szCs w:val="24"/>
                <w:lang w:val="en-GB"/>
              </w:rPr>
              <w:lastRenderedPageBreak/>
              <w:t>Macro-level factors</w:t>
            </w:r>
            <w:r w:rsidRPr="00AA283F">
              <w:rPr>
                <w:rFonts w:cs="Times New Roman"/>
                <w:sz w:val="24"/>
                <w:szCs w:val="24"/>
                <w:lang w:val="en-GB"/>
              </w:rPr>
              <w:t xml:space="preserve">: </w:t>
            </w:r>
            <w:r w:rsidRPr="00AA283F">
              <w:rPr>
                <w:rStyle w:val="Strong"/>
                <w:rFonts w:cs="Times New Roman"/>
                <w:sz w:val="24"/>
                <w:szCs w:val="24"/>
              </w:rPr>
              <w:t>broader, systemic or national-level characteristics</w:t>
            </w:r>
          </w:p>
        </w:tc>
        <w:tc>
          <w:tcPr>
            <w:tcW w:w="4675" w:type="dxa"/>
          </w:tcPr>
          <w:p w14:paraId="232F7D7B" w14:textId="15BB8DD8" w:rsidR="00B72108" w:rsidRPr="00AA283F" w:rsidRDefault="00B72108" w:rsidP="00514FEB">
            <w:pPr>
              <w:spacing w:line="360" w:lineRule="auto"/>
              <w:rPr>
                <w:rStyle w:val="Strong"/>
                <w:rFonts w:cs="Times New Roman"/>
                <w:sz w:val="24"/>
                <w:szCs w:val="24"/>
                <w:lang w:val="en-GB"/>
              </w:rPr>
            </w:pPr>
            <w:r w:rsidRPr="00AA283F">
              <w:rPr>
                <w:rStyle w:val="Strong"/>
                <w:rFonts w:cs="Times New Roman"/>
                <w:sz w:val="24"/>
                <w:szCs w:val="24"/>
                <w:lang w:val="en-GB"/>
              </w:rPr>
              <w:t>Political-administrative system (e.g., federal vs centralized states)</w:t>
            </w:r>
          </w:p>
          <w:p w14:paraId="6573D774" w14:textId="77777777" w:rsidR="00514FEB" w:rsidRPr="00AA283F" w:rsidRDefault="00514FEB" w:rsidP="00514FEB">
            <w:pPr>
              <w:spacing w:line="360" w:lineRule="auto"/>
              <w:rPr>
                <w:rStyle w:val="Strong"/>
                <w:rFonts w:cs="Times New Roman"/>
                <w:sz w:val="24"/>
                <w:szCs w:val="24"/>
                <w:lang w:val="en-GB"/>
              </w:rPr>
            </w:pPr>
          </w:p>
          <w:p w14:paraId="0DAF1288" w14:textId="77777777" w:rsidR="00514FEB" w:rsidRPr="00AA283F" w:rsidRDefault="00514FEB" w:rsidP="00514FEB">
            <w:pPr>
              <w:spacing w:line="360" w:lineRule="auto"/>
              <w:rPr>
                <w:rStyle w:val="Strong"/>
                <w:rFonts w:cs="Times New Roman"/>
                <w:sz w:val="24"/>
                <w:szCs w:val="24"/>
                <w:lang w:val="en-GB"/>
              </w:rPr>
            </w:pPr>
          </w:p>
          <w:p w14:paraId="6FED9DD0" w14:textId="2239D5FF" w:rsidR="00B72108" w:rsidRPr="00AA283F" w:rsidRDefault="00B72108" w:rsidP="00514FEB">
            <w:pPr>
              <w:spacing w:line="360" w:lineRule="auto"/>
              <w:rPr>
                <w:rStyle w:val="Strong"/>
                <w:rFonts w:cs="Times New Roman"/>
                <w:sz w:val="24"/>
                <w:szCs w:val="24"/>
                <w:lang w:val="en-GB"/>
              </w:rPr>
            </w:pPr>
            <w:r w:rsidRPr="00AA283F">
              <w:rPr>
                <w:rStyle w:val="Strong"/>
                <w:rFonts w:cs="Times New Roman"/>
                <w:sz w:val="24"/>
                <w:szCs w:val="24"/>
                <w:lang w:val="en-GB"/>
              </w:rPr>
              <w:t>National governance traditions, administrative cultures, or policy paradigms</w:t>
            </w:r>
          </w:p>
          <w:p w14:paraId="09CC355E" w14:textId="77777777" w:rsidR="00B72108" w:rsidRPr="00AA283F" w:rsidRDefault="00B72108" w:rsidP="00514FEB">
            <w:pPr>
              <w:spacing w:line="360" w:lineRule="auto"/>
              <w:rPr>
                <w:rStyle w:val="Strong"/>
                <w:rFonts w:cs="Times New Roman"/>
                <w:sz w:val="24"/>
                <w:szCs w:val="24"/>
                <w:lang w:val="en-GB"/>
              </w:rPr>
            </w:pPr>
          </w:p>
          <w:p w14:paraId="49E322DE" w14:textId="77777777" w:rsidR="00514FEB" w:rsidRPr="00AA283F" w:rsidRDefault="00B72108" w:rsidP="00514FEB">
            <w:pPr>
              <w:numPr>
                <w:ilvl w:val="0"/>
                <w:numId w:val="1"/>
              </w:numPr>
              <w:spacing w:before="100" w:beforeAutospacing="1" w:after="100" w:afterAutospacing="1" w:line="360" w:lineRule="auto"/>
              <w:contextualSpacing w:val="0"/>
              <w:jc w:val="left"/>
              <w:rPr>
                <w:rFonts w:cs="Times New Roman"/>
                <w:sz w:val="24"/>
                <w:szCs w:val="24"/>
                <w:lang w:val="en-GB"/>
              </w:rPr>
            </w:pPr>
            <w:r w:rsidRPr="00AA283F">
              <w:rPr>
                <w:rStyle w:val="Strong"/>
                <w:rFonts w:cs="Times New Roman"/>
                <w:sz w:val="24"/>
                <w:szCs w:val="24"/>
                <w:lang w:val="en-GB"/>
              </w:rPr>
              <w:t xml:space="preserve">State </w:t>
            </w:r>
            <w:r w:rsidRPr="00AA283F">
              <w:rPr>
                <w:rFonts w:cs="Times New Roman"/>
                <w:b/>
                <w:bCs/>
                <w:sz w:val="24"/>
                <w:szCs w:val="24"/>
              </w:rPr>
              <w:t>and</w:t>
            </w:r>
            <w:r w:rsidRPr="00AA283F">
              <w:rPr>
                <w:rStyle w:val="Strong"/>
                <w:rFonts w:cs="Times New Roman"/>
                <w:sz w:val="24"/>
                <w:szCs w:val="24"/>
                <w:lang w:val="en-GB"/>
              </w:rPr>
              <w:t xml:space="preserve"> National </w:t>
            </w:r>
            <w:r w:rsidR="00307F87" w:rsidRPr="00AA283F">
              <w:rPr>
                <w:rStyle w:val="Strong"/>
                <w:rFonts w:cs="Times New Roman"/>
                <w:sz w:val="24"/>
                <w:szCs w:val="24"/>
                <w:lang w:val="en-GB"/>
              </w:rPr>
              <w:t>E</w:t>
            </w:r>
            <w:proofErr w:type="spellStart"/>
            <w:r w:rsidR="00307F87" w:rsidRPr="00AA283F">
              <w:rPr>
                <w:rStyle w:val="Strong"/>
                <w:rFonts w:cs="Times New Roman"/>
                <w:sz w:val="24"/>
                <w:szCs w:val="24"/>
              </w:rPr>
              <w:t>ducational</w:t>
            </w:r>
            <w:proofErr w:type="spellEnd"/>
            <w:r w:rsidRPr="00AA283F">
              <w:rPr>
                <w:rStyle w:val="Strong"/>
                <w:rFonts w:cs="Times New Roman"/>
                <w:sz w:val="24"/>
                <w:szCs w:val="24"/>
                <w:lang w:val="en-GB"/>
              </w:rPr>
              <w:t xml:space="preserve"> Policies:</w:t>
            </w:r>
            <w:r w:rsidRPr="00AA283F">
              <w:rPr>
                <w:rFonts w:cs="Times New Roman"/>
                <w:sz w:val="24"/>
                <w:szCs w:val="24"/>
                <w:lang w:val="en-GB"/>
              </w:rPr>
              <w:t xml:space="preserve"> Educational policies at the state or national level shape how teachers are expected to deliver curriculum and manage classrooms. Variability in policy design and implementation across regions affects how teachers perceive their professional roles.</w:t>
            </w:r>
          </w:p>
          <w:p w14:paraId="6E90DDC2" w14:textId="6884CE16" w:rsidR="00B72108" w:rsidRPr="00AA283F" w:rsidRDefault="00B72108" w:rsidP="00514FEB">
            <w:pPr>
              <w:numPr>
                <w:ilvl w:val="0"/>
                <w:numId w:val="1"/>
              </w:numPr>
              <w:spacing w:before="100" w:beforeAutospacing="1" w:after="100" w:afterAutospacing="1" w:line="360" w:lineRule="auto"/>
              <w:contextualSpacing w:val="0"/>
              <w:jc w:val="left"/>
              <w:rPr>
                <w:rFonts w:cs="Times New Roman"/>
                <w:sz w:val="24"/>
                <w:szCs w:val="24"/>
                <w:lang w:val="en-GB"/>
              </w:rPr>
            </w:pPr>
            <w:r w:rsidRPr="00AA283F">
              <w:rPr>
                <w:rStyle w:val="Strong"/>
                <w:rFonts w:cs="Times New Roman"/>
                <w:sz w:val="24"/>
                <w:szCs w:val="24"/>
                <w:lang w:val="en-GB"/>
              </w:rPr>
              <w:t>Cultural and Social Context:</w:t>
            </w:r>
            <w:r w:rsidRPr="00AA283F">
              <w:rPr>
                <w:rFonts w:cs="Times New Roman"/>
                <w:sz w:val="24"/>
                <w:szCs w:val="24"/>
                <w:lang w:val="en-GB"/>
              </w:rPr>
              <w:t xml:space="preserve"> The societal values and expectations </w:t>
            </w:r>
            <w:r w:rsidRPr="00AA283F">
              <w:rPr>
                <w:rFonts w:cs="Times New Roman"/>
                <w:sz w:val="24"/>
                <w:szCs w:val="24"/>
                <w:lang w:val="en-GB"/>
              </w:rPr>
              <w:lastRenderedPageBreak/>
              <w:t>regarding education impact how teachers exercise discretion. In some contexts, professional norms align more closely with social values, guiding how teachers interpret policy mandates.</w:t>
            </w:r>
          </w:p>
        </w:tc>
      </w:tr>
    </w:tbl>
    <w:p w14:paraId="5C1949F1" w14:textId="77777777" w:rsidR="00B72108" w:rsidRPr="00AA283F" w:rsidRDefault="00B72108" w:rsidP="00B72108">
      <w:pPr>
        <w:rPr>
          <w:rFonts w:cs="Times New Roman"/>
          <w:lang w:val="en-GB"/>
        </w:rPr>
      </w:pPr>
    </w:p>
    <w:p w14:paraId="07E559BF" w14:textId="1DEF826B" w:rsidR="00B72108" w:rsidRPr="00AA283F" w:rsidRDefault="00B72108">
      <w:pPr>
        <w:spacing w:after="160" w:line="278" w:lineRule="auto"/>
        <w:ind w:firstLine="0"/>
        <w:contextualSpacing w:val="0"/>
        <w:jc w:val="left"/>
        <w:rPr>
          <w:rFonts w:cs="Times New Roman"/>
          <w:lang w:val="fr-FR"/>
        </w:rPr>
      </w:pPr>
      <w:r w:rsidRPr="00AA283F">
        <w:rPr>
          <w:rFonts w:cs="Times New Roman"/>
          <w:lang w:val="fr-FR"/>
        </w:rPr>
        <w:br w:type="page"/>
      </w:r>
    </w:p>
    <w:p w14:paraId="086B17EB" w14:textId="7A5D669A" w:rsidR="00B72108" w:rsidRPr="00AA283F" w:rsidRDefault="00B72108" w:rsidP="00FB3EB8">
      <w:pPr>
        <w:rPr>
          <w:rFonts w:cs="Times New Roman"/>
          <w:i/>
          <w:iCs/>
          <w:lang w:val="fr-FR"/>
        </w:rPr>
      </w:pPr>
      <w:r w:rsidRPr="00AA283F">
        <w:rPr>
          <w:rFonts w:cs="Times New Roman"/>
          <w:i/>
          <w:iCs/>
          <w:lang w:val="fr-FR"/>
        </w:rPr>
        <w:lastRenderedPageBreak/>
        <w:t>Table 2</w:t>
      </w:r>
      <w:r w:rsidR="00265AA9" w:rsidRPr="00AA283F">
        <w:rPr>
          <w:rFonts w:cs="Times New Roman"/>
          <w:i/>
          <w:iCs/>
          <w:lang w:val="fr-FR"/>
        </w:rPr>
        <w:t xml:space="preserve">-Families and </w:t>
      </w:r>
      <w:proofErr w:type="spellStart"/>
      <w:r w:rsidR="00265AA9" w:rsidRPr="00AA283F">
        <w:rPr>
          <w:rFonts w:cs="Times New Roman"/>
          <w:i/>
          <w:iCs/>
          <w:lang w:val="fr-FR"/>
        </w:rPr>
        <w:t>Ways</w:t>
      </w:r>
      <w:proofErr w:type="spellEnd"/>
      <w:r w:rsidR="00265AA9" w:rsidRPr="00AA283F">
        <w:rPr>
          <w:rFonts w:cs="Times New Roman"/>
          <w:i/>
          <w:iCs/>
          <w:lang w:val="fr-FR"/>
        </w:rPr>
        <w:t xml:space="preserve"> of Coping </w:t>
      </w:r>
      <w:proofErr w:type="spellStart"/>
      <w:r w:rsidR="00265AA9" w:rsidRPr="00AA283F">
        <w:rPr>
          <w:rFonts w:cs="Times New Roman"/>
          <w:i/>
          <w:iCs/>
          <w:lang w:val="fr-FR"/>
        </w:rPr>
        <w:t>Stategies</w:t>
      </w:r>
      <w:proofErr w:type="spellEnd"/>
      <w:r w:rsidR="00265AA9" w:rsidRPr="00AA283F">
        <w:rPr>
          <w:rFonts w:cs="Times New Roman"/>
          <w:i/>
          <w:iCs/>
          <w:lang w:val="fr-FR"/>
        </w:rPr>
        <w:t xml:space="preserve"> (</w:t>
      </w:r>
      <w:r w:rsidR="00AA283F" w:rsidRPr="00AA283F">
        <w:rPr>
          <w:rFonts w:cs="Times New Roman"/>
          <w:i/>
          <w:iCs/>
          <w:lang w:val="fr-FR"/>
        </w:rPr>
        <w:t>by Tummers et al., 2015)</w:t>
      </w:r>
    </w:p>
    <w:p w14:paraId="68B36AAE" w14:textId="77777777" w:rsidR="00B72108" w:rsidRPr="00AA283F" w:rsidRDefault="00B72108" w:rsidP="00FB3EB8">
      <w:pPr>
        <w:rPr>
          <w:rFonts w:cs="Times New Roman"/>
          <w:lang w:val="fr-FR"/>
        </w:rPr>
      </w:pPr>
    </w:p>
    <w:p w14:paraId="00CE973D" w14:textId="108CB9C2" w:rsidR="00AB3783" w:rsidRPr="00AA283F" w:rsidRDefault="00AB3783" w:rsidP="00514FEB">
      <w:pPr>
        <w:jc w:val="center"/>
        <w:rPr>
          <w:rFonts w:cs="Times New Roman"/>
          <w:lang w:val="fr-FR"/>
        </w:rPr>
      </w:pPr>
      <w:r w:rsidRPr="00AA283F">
        <w:rPr>
          <w:rFonts w:cs="Times New Roman"/>
          <w:noProof/>
          <w:lang w:val="en-GB"/>
        </w:rPr>
        <w:drawing>
          <wp:inline distT="0" distB="0" distL="0" distR="0" wp14:anchorId="01BEFC9B" wp14:editId="5A25CDBD">
            <wp:extent cx="3422355" cy="3973371"/>
            <wp:effectExtent l="0" t="0" r="0" b="1905"/>
            <wp:docPr id="1153885032" name="Picture 1" descr="A document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885032" name="Picture 1" descr="A document with text on i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44019" cy="4114624"/>
                    </a:xfrm>
                    <a:prstGeom prst="rect">
                      <a:avLst/>
                    </a:prstGeom>
                  </pic:spPr>
                </pic:pic>
              </a:graphicData>
            </a:graphic>
          </wp:inline>
        </w:drawing>
      </w:r>
    </w:p>
    <w:p w14:paraId="761444F1" w14:textId="77777777" w:rsidR="00AB3783" w:rsidRPr="00AA283F" w:rsidRDefault="00AB3783" w:rsidP="00FB3EB8">
      <w:pPr>
        <w:rPr>
          <w:rFonts w:cs="Times New Roman"/>
          <w:lang w:val="fr-FR"/>
        </w:rPr>
      </w:pPr>
    </w:p>
    <w:p w14:paraId="2D0DFAA4" w14:textId="0C5523A0" w:rsidR="00AB3783" w:rsidRPr="00AA283F" w:rsidRDefault="00AB3783">
      <w:pPr>
        <w:spacing w:after="160" w:line="278" w:lineRule="auto"/>
        <w:ind w:firstLine="0"/>
        <w:contextualSpacing w:val="0"/>
        <w:jc w:val="left"/>
        <w:rPr>
          <w:rFonts w:cs="Times New Roman"/>
          <w:lang w:val="fr-FR"/>
        </w:rPr>
      </w:pPr>
      <w:r w:rsidRPr="00AA283F">
        <w:rPr>
          <w:rFonts w:cs="Times New Roman"/>
          <w:lang w:val="fr-FR"/>
        </w:rPr>
        <w:br w:type="page"/>
      </w:r>
    </w:p>
    <w:p w14:paraId="5950B77E" w14:textId="25452586" w:rsidR="00AB3783" w:rsidRPr="00AA283F" w:rsidRDefault="00AB3783" w:rsidP="00AB3783">
      <w:pPr>
        <w:rPr>
          <w:rFonts w:cs="Times New Roman"/>
          <w:bCs/>
          <w:i/>
          <w:iCs/>
        </w:rPr>
      </w:pPr>
      <w:r w:rsidRPr="00AA283F">
        <w:rPr>
          <w:rFonts w:cs="Times New Roman"/>
          <w:i/>
          <w:iCs/>
          <w:lang w:val="fr-FR"/>
        </w:rPr>
        <w:lastRenderedPageBreak/>
        <w:t>Table 3-</w:t>
      </w:r>
      <w:r w:rsidRPr="00AA283F">
        <w:rPr>
          <w:rFonts w:eastAsiaTheme="majorEastAsia" w:cs="Times New Roman"/>
          <w:i/>
          <w:iCs/>
          <w:color w:val="000000" w:themeColor="text1"/>
          <w:kern w:val="0"/>
          <w:lang w:eastAsia="en-US"/>
          <w14:ligatures w14:val="none"/>
        </w:rPr>
        <w:t xml:space="preserve"> </w:t>
      </w:r>
      <w:r w:rsidRPr="00AA283F">
        <w:rPr>
          <w:rFonts w:cs="Times New Roman"/>
          <w:i/>
          <w:iCs/>
        </w:rPr>
        <w:t>Policy/Practice Gap Overview – Trento 3 &amp; Trento 4</w:t>
      </w:r>
      <w:r w:rsidRPr="00AA283F">
        <w:rPr>
          <w:rFonts w:cs="Times New Roman"/>
          <w:b/>
          <w:i/>
          <w:iCs/>
        </w:rPr>
        <w:t xml:space="preserve"> </w:t>
      </w:r>
      <w:r w:rsidRPr="00AA283F">
        <w:rPr>
          <w:rFonts w:cs="Times New Roman"/>
          <w:bCs/>
          <w:i/>
          <w:iCs/>
        </w:rPr>
        <w:t>Institutes</w:t>
      </w:r>
    </w:p>
    <w:tbl>
      <w:tblPr>
        <w:tblStyle w:val="TableGrid"/>
        <w:tblW w:w="11070" w:type="dxa"/>
        <w:jc w:val="center"/>
        <w:tblLook w:val="04A0" w:firstRow="1" w:lastRow="0" w:firstColumn="1" w:lastColumn="0" w:noHBand="0" w:noVBand="1"/>
      </w:tblPr>
      <w:tblGrid>
        <w:gridCol w:w="1298"/>
        <w:gridCol w:w="3522"/>
        <w:gridCol w:w="3265"/>
        <w:gridCol w:w="2985"/>
      </w:tblGrid>
      <w:tr w:rsidR="00AB3783" w:rsidRPr="00AA283F" w14:paraId="193FBABB" w14:textId="77777777" w:rsidTr="00507179">
        <w:trPr>
          <w:jc w:val="center"/>
        </w:trPr>
        <w:tc>
          <w:tcPr>
            <w:tcW w:w="1298" w:type="dxa"/>
          </w:tcPr>
          <w:p w14:paraId="089C3185" w14:textId="77777777" w:rsidR="00AB3783" w:rsidRPr="00AA283F" w:rsidRDefault="00AB3783" w:rsidP="00507179">
            <w:pPr>
              <w:jc w:val="center"/>
              <w:rPr>
                <w:rFonts w:cs="Times New Roman"/>
                <w:b/>
                <w:bCs/>
                <w:sz w:val="24"/>
                <w:szCs w:val="24"/>
              </w:rPr>
            </w:pPr>
            <w:r w:rsidRPr="00AA283F">
              <w:rPr>
                <w:rFonts w:cs="Times New Roman"/>
                <w:b/>
                <w:bCs/>
                <w:sz w:val="24"/>
                <w:szCs w:val="24"/>
              </w:rPr>
              <w:t>Institute</w:t>
            </w:r>
          </w:p>
        </w:tc>
        <w:tc>
          <w:tcPr>
            <w:tcW w:w="3522" w:type="dxa"/>
          </w:tcPr>
          <w:p w14:paraId="6B247F80" w14:textId="77777777" w:rsidR="00AB3783" w:rsidRPr="00AA283F" w:rsidRDefault="00AB3783" w:rsidP="00507179">
            <w:pPr>
              <w:jc w:val="center"/>
              <w:rPr>
                <w:rFonts w:cs="Times New Roman"/>
                <w:b/>
                <w:bCs/>
                <w:sz w:val="24"/>
                <w:szCs w:val="24"/>
              </w:rPr>
            </w:pPr>
            <w:r w:rsidRPr="00AA283F">
              <w:rPr>
                <w:rFonts w:cs="Times New Roman"/>
                <w:b/>
                <w:bCs/>
                <w:sz w:val="24"/>
                <w:szCs w:val="24"/>
              </w:rPr>
              <w:t>Practices carried out</w:t>
            </w:r>
          </w:p>
        </w:tc>
        <w:tc>
          <w:tcPr>
            <w:tcW w:w="3265" w:type="dxa"/>
          </w:tcPr>
          <w:p w14:paraId="723C3693" w14:textId="77777777" w:rsidR="00AB3783" w:rsidRPr="00AA283F" w:rsidRDefault="00AB3783" w:rsidP="00507179">
            <w:pPr>
              <w:jc w:val="center"/>
              <w:rPr>
                <w:rFonts w:cs="Times New Roman"/>
                <w:b/>
                <w:bCs/>
                <w:sz w:val="24"/>
                <w:szCs w:val="24"/>
              </w:rPr>
            </w:pPr>
            <w:r w:rsidRPr="00AA283F">
              <w:rPr>
                <w:rFonts w:cs="Times New Roman"/>
                <w:b/>
                <w:bCs/>
                <w:sz w:val="24"/>
                <w:szCs w:val="24"/>
              </w:rPr>
              <w:t>Contextual factors at play</w:t>
            </w:r>
          </w:p>
        </w:tc>
        <w:tc>
          <w:tcPr>
            <w:tcW w:w="2985" w:type="dxa"/>
          </w:tcPr>
          <w:p w14:paraId="0B06A6F5" w14:textId="77777777" w:rsidR="00AB3783" w:rsidRPr="00AA283F" w:rsidRDefault="00AB3783" w:rsidP="00507179">
            <w:pPr>
              <w:jc w:val="center"/>
              <w:rPr>
                <w:rFonts w:cs="Times New Roman"/>
                <w:b/>
                <w:bCs/>
                <w:sz w:val="24"/>
                <w:szCs w:val="24"/>
              </w:rPr>
            </w:pPr>
            <w:r w:rsidRPr="00AA283F">
              <w:rPr>
                <w:rFonts w:cs="Times New Roman"/>
                <w:b/>
                <w:bCs/>
                <w:sz w:val="24"/>
                <w:szCs w:val="24"/>
              </w:rPr>
              <w:t>Extent of the policy/practice gap</w:t>
            </w:r>
          </w:p>
        </w:tc>
      </w:tr>
      <w:tr w:rsidR="00AB3783" w:rsidRPr="00AA283F" w14:paraId="52FDAC77" w14:textId="77777777" w:rsidTr="00507179">
        <w:trPr>
          <w:jc w:val="center"/>
        </w:trPr>
        <w:tc>
          <w:tcPr>
            <w:tcW w:w="1298" w:type="dxa"/>
          </w:tcPr>
          <w:p w14:paraId="3CEB547A" w14:textId="77777777" w:rsidR="00AB3783" w:rsidRPr="00AA283F" w:rsidRDefault="00AB3783" w:rsidP="00507179">
            <w:pPr>
              <w:rPr>
                <w:rFonts w:cs="Times New Roman"/>
                <w:sz w:val="24"/>
                <w:szCs w:val="24"/>
              </w:rPr>
            </w:pPr>
            <w:r w:rsidRPr="00AA283F">
              <w:rPr>
                <w:rFonts w:cs="Times New Roman"/>
                <w:sz w:val="24"/>
                <w:szCs w:val="24"/>
              </w:rPr>
              <w:t>Trento 3</w:t>
            </w:r>
          </w:p>
        </w:tc>
        <w:tc>
          <w:tcPr>
            <w:tcW w:w="3522" w:type="dxa"/>
          </w:tcPr>
          <w:p w14:paraId="2B149D2B" w14:textId="77777777" w:rsidR="00AB3783" w:rsidRPr="00AA283F" w:rsidRDefault="00AB3783" w:rsidP="00980E37">
            <w:pPr>
              <w:jc w:val="left"/>
              <w:rPr>
                <w:rFonts w:cs="Times New Roman"/>
                <w:sz w:val="24"/>
                <w:szCs w:val="24"/>
              </w:rPr>
            </w:pPr>
            <w:r w:rsidRPr="00AA283F">
              <w:rPr>
                <w:rFonts w:cs="Times New Roman"/>
                <w:sz w:val="24"/>
                <w:szCs w:val="24"/>
              </w:rPr>
              <w:t>Coping practices:</w:t>
            </w:r>
          </w:p>
          <w:p w14:paraId="50DE5416" w14:textId="77777777" w:rsidR="00AB3783" w:rsidRPr="00AA283F" w:rsidRDefault="00AB3783" w:rsidP="00980E37">
            <w:pPr>
              <w:jc w:val="left"/>
              <w:rPr>
                <w:rFonts w:cs="Times New Roman"/>
                <w:sz w:val="24"/>
                <w:szCs w:val="24"/>
              </w:rPr>
            </w:pPr>
            <w:r w:rsidRPr="00AA283F">
              <w:rPr>
                <w:rFonts w:cs="Times New Roman"/>
                <w:sz w:val="24"/>
                <w:szCs w:val="24"/>
              </w:rPr>
              <w:t>- Rules bending</w:t>
            </w:r>
          </w:p>
          <w:p w14:paraId="7C4CA52F" w14:textId="77777777" w:rsidR="00AB3783" w:rsidRPr="00AA283F" w:rsidRDefault="00AB3783" w:rsidP="00980E37">
            <w:pPr>
              <w:jc w:val="left"/>
              <w:rPr>
                <w:rFonts w:cs="Times New Roman"/>
                <w:sz w:val="24"/>
                <w:szCs w:val="24"/>
              </w:rPr>
            </w:pPr>
            <w:r w:rsidRPr="00AA283F">
              <w:rPr>
                <w:rFonts w:cs="Times New Roman"/>
                <w:sz w:val="24"/>
                <w:szCs w:val="24"/>
              </w:rPr>
              <w:t xml:space="preserve">- Using teachers’ personal resources, notably their own time and availability </w:t>
            </w:r>
          </w:p>
          <w:p w14:paraId="2369EA12" w14:textId="77777777" w:rsidR="00AB3783" w:rsidRPr="00AA283F" w:rsidRDefault="00AB3783" w:rsidP="00980E37">
            <w:pPr>
              <w:jc w:val="left"/>
              <w:rPr>
                <w:rFonts w:cs="Times New Roman"/>
                <w:sz w:val="24"/>
                <w:szCs w:val="24"/>
              </w:rPr>
            </w:pPr>
            <w:r w:rsidRPr="00AA283F">
              <w:rPr>
                <w:rFonts w:cs="Times New Roman"/>
                <w:sz w:val="24"/>
                <w:szCs w:val="24"/>
              </w:rPr>
              <w:t xml:space="preserve">- Rule-breaking </w:t>
            </w:r>
          </w:p>
          <w:p w14:paraId="314580E4" w14:textId="77777777" w:rsidR="00AB3783" w:rsidRPr="00AA283F" w:rsidRDefault="00AB3783" w:rsidP="00980E37">
            <w:pPr>
              <w:jc w:val="left"/>
              <w:rPr>
                <w:rFonts w:cs="Times New Roman"/>
                <w:sz w:val="24"/>
                <w:szCs w:val="24"/>
              </w:rPr>
            </w:pPr>
          </w:p>
          <w:p w14:paraId="526E8830" w14:textId="77777777" w:rsidR="00AB3783" w:rsidRPr="00AA283F" w:rsidRDefault="00AB3783" w:rsidP="00980E37">
            <w:pPr>
              <w:jc w:val="left"/>
              <w:rPr>
                <w:rFonts w:cs="Times New Roman"/>
                <w:sz w:val="24"/>
                <w:szCs w:val="24"/>
              </w:rPr>
            </w:pPr>
            <w:r w:rsidRPr="00AA283F">
              <w:rPr>
                <w:rFonts w:cs="Times New Roman"/>
                <w:sz w:val="24"/>
                <w:szCs w:val="24"/>
              </w:rPr>
              <w:t>Practical Adaptations fostering Intercultural Goals:</w:t>
            </w:r>
          </w:p>
          <w:p w14:paraId="756B7FB6" w14:textId="77777777" w:rsidR="00AB3783" w:rsidRPr="00AA283F" w:rsidRDefault="00AB3783" w:rsidP="00980E37">
            <w:pPr>
              <w:jc w:val="left"/>
              <w:rPr>
                <w:rFonts w:cs="Times New Roman"/>
                <w:sz w:val="24"/>
                <w:szCs w:val="24"/>
              </w:rPr>
            </w:pPr>
          </w:p>
          <w:p w14:paraId="380F66FF" w14:textId="77777777" w:rsidR="00AB3783" w:rsidRPr="00AA283F" w:rsidRDefault="00AB3783" w:rsidP="00980E37">
            <w:pPr>
              <w:pStyle w:val="ListParagraph"/>
              <w:numPr>
                <w:ilvl w:val="0"/>
                <w:numId w:val="3"/>
              </w:numPr>
              <w:spacing w:line="240" w:lineRule="auto"/>
              <w:contextualSpacing w:val="0"/>
              <w:jc w:val="left"/>
              <w:rPr>
                <w:rFonts w:cs="Times New Roman"/>
                <w:sz w:val="24"/>
                <w:szCs w:val="24"/>
              </w:rPr>
            </w:pPr>
          </w:p>
        </w:tc>
        <w:tc>
          <w:tcPr>
            <w:tcW w:w="3265" w:type="dxa"/>
          </w:tcPr>
          <w:p w14:paraId="41EF2478" w14:textId="1583D997" w:rsidR="00AB3783" w:rsidRPr="00AA283F" w:rsidRDefault="00AB3783" w:rsidP="00AA283F">
            <w:pPr>
              <w:pStyle w:val="ListParagraph"/>
              <w:numPr>
                <w:ilvl w:val="0"/>
                <w:numId w:val="3"/>
              </w:numPr>
              <w:spacing w:before="100" w:beforeAutospacing="1" w:after="100" w:afterAutospacing="1"/>
              <w:jc w:val="left"/>
              <w:rPr>
                <w:rFonts w:cs="Times New Roman"/>
                <w:sz w:val="24"/>
                <w:szCs w:val="24"/>
              </w:rPr>
            </w:pPr>
            <w:r w:rsidRPr="00AA283F">
              <w:rPr>
                <w:rFonts w:cs="Times New Roman"/>
                <w:sz w:val="24"/>
                <w:szCs w:val="24"/>
              </w:rPr>
              <w:t>Access</w:t>
            </w:r>
            <w:r w:rsidRPr="00AA283F">
              <w:rPr>
                <w:rStyle w:val="Strong"/>
                <w:rFonts w:cs="Times New Roman"/>
                <w:sz w:val="24"/>
                <w:szCs w:val="24"/>
              </w:rPr>
              <w:t xml:space="preserve"> to human resources</w:t>
            </w:r>
            <w:r w:rsidRPr="00AA283F">
              <w:rPr>
                <w:rFonts w:cs="Times New Roman"/>
                <w:sz w:val="24"/>
                <w:szCs w:val="24"/>
              </w:rPr>
              <w:t xml:space="preserve">: limited </w:t>
            </w:r>
            <w:r w:rsidR="00AA283F" w:rsidRPr="00AA283F">
              <w:rPr>
                <w:rFonts w:cs="Times New Roman"/>
                <w:sz w:val="24"/>
                <w:szCs w:val="24"/>
              </w:rPr>
              <w:t>a</w:t>
            </w:r>
            <w:r w:rsidRPr="00AA283F">
              <w:rPr>
                <w:rFonts w:cs="Times New Roman"/>
                <w:sz w:val="24"/>
                <w:szCs w:val="24"/>
              </w:rPr>
              <w:t>vailability</w:t>
            </w:r>
          </w:p>
          <w:p w14:paraId="0E56F5A6" w14:textId="78002E9E" w:rsidR="00AB3783" w:rsidRPr="00AA283F" w:rsidRDefault="00AA283F" w:rsidP="00AA283F">
            <w:pPr>
              <w:pStyle w:val="ListParagraph"/>
              <w:numPr>
                <w:ilvl w:val="0"/>
                <w:numId w:val="3"/>
              </w:numPr>
              <w:spacing w:before="100" w:beforeAutospacing="1" w:after="100" w:afterAutospacing="1"/>
              <w:jc w:val="left"/>
              <w:rPr>
                <w:rFonts w:cs="Times New Roman"/>
                <w:sz w:val="24"/>
                <w:szCs w:val="24"/>
              </w:rPr>
            </w:pPr>
            <w:r w:rsidRPr="00AA283F">
              <w:rPr>
                <w:rFonts w:cs="Times New Roman"/>
                <w:sz w:val="24"/>
                <w:szCs w:val="24"/>
              </w:rPr>
              <w:t>C</w:t>
            </w:r>
            <w:r w:rsidR="00AB3783" w:rsidRPr="00AA283F">
              <w:rPr>
                <w:rFonts w:cs="Times New Roman"/>
                <w:sz w:val="24"/>
                <w:szCs w:val="24"/>
              </w:rPr>
              <w:t>lient</w:t>
            </w:r>
            <w:r w:rsidR="00AB3783" w:rsidRPr="00AA283F">
              <w:rPr>
                <w:rFonts w:cs="Times New Roman"/>
                <w:b/>
                <w:bCs/>
                <w:sz w:val="24"/>
                <w:szCs w:val="24"/>
              </w:rPr>
              <w:t>/parental pressures</w:t>
            </w:r>
            <w:r w:rsidR="00AB3783" w:rsidRPr="00AA283F">
              <w:rPr>
                <w:rFonts w:cs="Times New Roman"/>
                <w:sz w:val="24"/>
                <w:szCs w:val="24"/>
              </w:rPr>
              <w:t>: lack of instruments to manage them adequately</w:t>
            </w:r>
          </w:p>
          <w:p w14:paraId="391AA3EB" w14:textId="4A6D62D0" w:rsidR="00AB3783" w:rsidRPr="00AA283F" w:rsidRDefault="00AB3783" w:rsidP="00AA283F">
            <w:pPr>
              <w:pStyle w:val="ListParagraph"/>
              <w:numPr>
                <w:ilvl w:val="0"/>
                <w:numId w:val="3"/>
              </w:numPr>
              <w:spacing w:before="100" w:beforeAutospacing="1" w:after="100" w:afterAutospacing="1"/>
              <w:jc w:val="left"/>
              <w:rPr>
                <w:rFonts w:cs="Times New Roman"/>
                <w:sz w:val="24"/>
                <w:szCs w:val="24"/>
                <w:lang w:val="en-GB"/>
              </w:rPr>
            </w:pPr>
            <w:r w:rsidRPr="00AA283F">
              <w:rPr>
                <w:rFonts w:cs="Times New Roman"/>
                <w:sz w:val="24"/>
                <w:szCs w:val="24"/>
              </w:rPr>
              <w:t>Policy</w:t>
            </w:r>
            <w:r w:rsidRPr="00AA283F">
              <w:rPr>
                <w:rFonts w:cs="Times New Roman"/>
                <w:b/>
                <w:bCs/>
                <w:sz w:val="24"/>
                <w:szCs w:val="24"/>
              </w:rPr>
              <w:t xml:space="preserve"> characteristics</w:t>
            </w:r>
            <w:r w:rsidRPr="00AA283F">
              <w:rPr>
                <w:rFonts w:cs="Times New Roman"/>
                <w:sz w:val="24"/>
                <w:szCs w:val="24"/>
              </w:rPr>
              <w:t xml:space="preserve">: high degree of </w:t>
            </w:r>
            <w:r w:rsidRPr="00AA283F">
              <w:rPr>
                <w:rFonts w:cs="Times New Roman"/>
                <w:b/>
                <w:bCs/>
                <w:sz w:val="24"/>
                <w:szCs w:val="24"/>
              </w:rPr>
              <w:t xml:space="preserve">vagueness and unresponsiveness. Teachers report </w:t>
            </w:r>
            <w:r w:rsidRPr="00AA283F">
              <w:rPr>
                <w:rFonts w:cs="Times New Roman"/>
                <w:sz w:val="24"/>
                <w:szCs w:val="24"/>
              </w:rPr>
              <w:t>need for training courses to support teachers</w:t>
            </w:r>
          </w:p>
          <w:p w14:paraId="4E0F3434" w14:textId="77777777" w:rsidR="00AB3783" w:rsidRPr="00AA283F" w:rsidRDefault="00AB3783" w:rsidP="00980E37">
            <w:pPr>
              <w:jc w:val="left"/>
              <w:rPr>
                <w:rFonts w:cs="Times New Roman"/>
                <w:sz w:val="24"/>
                <w:szCs w:val="24"/>
                <w:lang w:val="en-GB"/>
              </w:rPr>
            </w:pPr>
          </w:p>
        </w:tc>
        <w:tc>
          <w:tcPr>
            <w:tcW w:w="2985" w:type="dxa"/>
          </w:tcPr>
          <w:p w14:paraId="385293D2" w14:textId="68273CB6" w:rsidR="00980E37" w:rsidRPr="00AA283F" w:rsidRDefault="00AB3783" w:rsidP="00980E37">
            <w:pPr>
              <w:jc w:val="left"/>
              <w:rPr>
                <w:rFonts w:cs="Times New Roman"/>
                <w:sz w:val="24"/>
                <w:szCs w:val="24"/>
              </w:rPr>
            </w:pPr>
            <w:r w:rsidRPr="00AA283F">
              <w:rPr>
                <w:rFonts w:cs="Times New Roman"/>
                <w:sz w:val="24"/>
                <w:szCs w:val="24"/>
              </w:rPr>
              <w:t xml:space="preserve">Rule-breaking strategies </w:t>
            </w:r>
            <w:r w:rsidRPr="00AA283F">
              <w:rPr>
                <w:rStyle w:val="Emphasis"/>
                <w:rFonts w:cs="Times New Roman"/>
                <w:sz w:val="24"/>
                <w:szCs w:val="24"/>
              </w:rPr>
              <w:t>de facto</w:t>
            </w:r>
            <w:r w:rsidRPr="00AA283F">
              <w:rPr>
                <w:rFonts w:cs="Times New Roman"/>
                <w:sz w:val="24"/>
                <w:szCs w:val="24"/>
              </w:rPr>
              <w:t xml:space="preserve"> not only diverge from, but </w:t>
            </w:r>
            <w:r w:rsidR="00980E37" w:rsidRPr="00AA283F">
              <w:rPr>
                <w:rFonts w:cs="Times New Roman"/>
                <w:sz w:val="24"/>
                <w:szCs w:val="24"/>
              </w:rPr>
              <w:t>also neglect and contradict, the goals of intercultural education, fostering a more assimilationist-oriented view of migrant integration (although teachers do not explicitly endorse such assimilationist goals).</w:t>
            </w:r>
          </w:p>
        </w:tc>
      </w:tr>
      <w:tr w:rsidR="00AB3783" w:rsidRPr="00AA283F" w14:paraId="0801E960" w14:textId="77777777" w:rsidTr="00507179">
        <w:trPr>
          <w:jc w:val="center"/>
        </w:trPr>
        <w:tc>
          <w:tcPr>
            <w:tcW w:w="1298" w:type="dxa"/>
          </w:tcPr>
          <w:p w14:paraId="68CE2E84" w14:textId="77777777" w:rsidR="00AB3783" w:rsidRPr="00AA283F" w:rsidRDefault="00AB3783" w:rsidP="00980E37">
            <w:pPr>
              <w:jc w:val="left"/>
              <w:rPr>
                <w:rFonts w:cs="Times New Roman"/>
                <w:sz w:val="24"/>
                <w:szCs w:val="24"/>
              </w:rPr>
            </w:pPr>
            <w:r w:rsidRPr="00AA283F">
              <w:rPr>
                <w:rFonts w:cs="Times New Roman"/>
                <w:sz w:val="24"/>
                <w:szCs w:val="24"/>
              </w:rPr>
              <w:t>Trento 4</w:t>
            </w:r>
          </w:p>
        </w:tc>
        <w:tc>
          <w:tcPr>
            <w:tcW w:w="3522" w:type="dxa"/>
          </w:tcPr>
          <w:p w14:paraId="48DB5D43" w14:textId="77777777" w:rsidR="00AB3783" w:rsidRPr="00AA283F" w:rsidRDefault="00AB3783" w:rsidP="00980E37">
            <w:pPr>
              <w:jc w:val="left"/>
              <w:rPr>
                <w:rFonts w:cs="Times New Roman"/>
                <w:sz w:val="24"/>
                <w:szCs w:val="24"/>
              </w:rPr>
            </w:pPr>
            <w:r w:rsidRPr="00AA283F">
              <w:rPr>
                <w:rFonts w:cs="Times New Roman"/>
                <w:sz w:val="24"/>
                <w:szCs w:val="24"/>
              </w:rPr>
              <w:t>Coping practices:</w:t>
            </w:r>
          </w:p>
          <w:p w14:paraId="2295AEFB" w14:textId="77777777" w:rsidR="00AB3783" w:rsidRPr="00AA283F" w:rsidRDefault="00AB3783" w:rsidP="00980E37">
            <w:pPr>
              <w:jc w:val="left"/>
              <w:rPr>
                <w:rFonts w:cs="Times New Roman"/>
                <w:sz w:val="24"/>
                <w:szCs w:val="24"/>
              </w:rPr>
            </w:pPr>
            <w:r w:rsidRPr="00AA283F">
              <w:rPr>
                <w:rFonts w:cs="Times New Roman"/>
                <w:sz w:val="24"/>
                <w:szCs w:val="24"/>
              </w:rPr>
              <w:t xml:space="preserve">Using teachers’ personal resources, </w:t>
            </w:r>
          </w:p>
          <w:p w14:paraId="63668C47" w14:textId="77777777" w:rsidR="00AB3783" w:rsidRPr="00AA283F" w:rsidRDefault="00AB3783" w:rsidP="00980E37">
            <w:pPr>
              <w:jc w:val="left"/>
              <w:rPr>
                <w:rFonts w:cs="Times New Roman"/>
                <w:sz w:val="24"/>
                <w:szCs w:val="24"/>
              </w:rPr>
            </w:pPr>
          </w:p>
          <w:p w14:paraId="7020695D" w14:textId="77777777" w:rsidR="00AB3783" w:rsidRPr="00AA283F" w:rsidRDefault="00AB3783" w:rsidP="00980E37">
            <w:pPr>
              <w:jc w:val="left"/>
              <w:rPr>
                <w:rFonts w:cs="Times New Roman"/>
                <w:sz w:val="24"/>
                <w:szCs w:val="24"/>
              </w:rPr>
            </w:pPr>
            <w:r w:rsidRPr="00AA283F">
              <w:rPr>
                <w:rFonts w:cs="Times New Roman"/>
                <w:sz w:val="24"/>
                <w:szCs w:val="24"/>
              </w:rPr>
              <w:t>Intercultural-oriented practices.</w:t>
            </w:r>
          </w:p>
        </w:tc>
        <w:tc>
          <w:tcPr>
            <w:tcW w:w="3265" w:type="dxa"/>
          </w:tcPr>
          <w:p w14:paraId="2677125E" w14:textId="63105B38" w:rsidR="00AB3783" w:rsidRPr="00AA283F" w:rsidRDefault="00AB3783" w:rsidP="00AA283F">
            <w:pPr>
              <w:pStyle w:val="ListParagraph"/>
              <w:numPr>
                <w:ilvl w:val="0"/>
                <w:numId w:val="3"/>
              </w:numPr>
              <w:spacing w:before="100" w:beforeAutospacing="1" w:after="100" w:afterAutospacing="1"/>
              <w:jc w:val="left"/>
              <w:rPr>
                <w:rFonts w:cs="Times New Roman"/>
                <w:sz w:val="24"/>
                <w:szCs w:val="24"/>
              </w:rPr>
            </w:pPr>
            <w:r w:rsidRPr="00AA283F">
              <w:rPr>
                <w:rFonts w:cs="Times New Roman"/>
                <w:sz w:val="24"/>
                <w:szCs w:val="24"/>
              </w:rPr>
              <w:t>Access</w:t>
            </w:r>
            <w:r w:rsidRPr="00AA283F">
              <w:rPr>
                <w:rFonts w:cs="Times New Roman"/>
                <w:b/>
                <w:bCs/>
                <w:sz w:val="24"/>
                <w:szCs w:val="24"/>
              </w:rPr>
              <w:t xml:space="preserve"> to human resources</w:t>
            </w:r>
            <w:r w:rsidRPr="00AA283F">
              <w:rPr>
                <w:rFonts w:cs="Times New Roman"/>
                <w:sz w:val="24"/>
                <w:szCs w:val="24"/>
              </w:rPr>
              <w:t xml:space="preserve">: enhanced through targeted recruitment of linguistic facilitators, including private staff </w:t>
            </w:r>
          </w:p>
          <w:p w14:paraId="4108641C" w14:textId="5BDD1506" w:rsidR="00AB3783" w:rsidRPr="00AA283F" w:rsidRDefault="00AB3783" w:rsidP="00AA283F">
            <w:pPr>
              <w:pStyle w:val="ListParagraph"/>
              <w:numPr>
                <w:ilvl w:val="0"/>
                <w:numId w:val="3"/>
              </w:numPr>
              <w:spacing w:before="100" w:beforeAutospacing="1" w:after="100" w:afterAutospacing="1"/>
              <w:jc w:val="left"/>
              <w:rPr>
                <w:rFonts w:cs="Times New Roman"/>
                <w:sz w:val="24"/>
                <w:szCs w:val="24"/>
              </w:rPr>
            </w:pPr>
            <w:r w:rsidRPr="00AA283F">
              <w:rPr>
                <w:rFonts w:cs="Times New Roman"/>
                <w:sz w:val="24"/>
                <w:szCs w:val="24"/>
              </w:rPr>
              <w:t>Client</w:t>
            </w:r>
            <w:r w:rsidRPr="00AA283F">
              <w:rPr>
                <w:rFonts w:cs="Times New Roman"/>
                <w:b/>
                <w:bCs/>
                <w:sz w:val="24"/>
                <w:szCs w:val="24"/>
              </w:rPr>
              <w:t>/parental pressures</w:t>
            </w:r>
            <w:r w:rsidRPr="00AA283F">
              <w:rPr>
                <w:rFonts w:cs="Times New Roman"/>
                <w:sz w:val="24"/>
                <w:szCs w:val="24"/>
              </w:rPr>
              <w:t xml:space="preserve">: </w:t>
            </w:r>
            <w:r w:rsidR="00AC7C3B" w:rsidRPr="00AA283F">
              <w:rPr>
                <w:rFonts w:cs="Times New Roman"/>
                <w:sz w:val="24"/>
                <w:szCs w:val="24"/>
              </w:rPr>
              <w:t xml:space="preserve">better </w:t>
            </w:r>
            <w:r w:rsidRPr="00AA283F">
              <w:rPr>
                <w:rFonts w:cs="Times New Roman"/>
                <w:sz w:val="24"/>
                <w:szCs w:val="24"/>
              </w:rPr>
              <w:t>managed through training</w:t>
            </w:r>
          </w:p>
          <w:p w14:paraId="79F55658" w14:textId="024BB8D2" w:rsidR="00AB3783" w:rsidRPr="00AA283F" w:rsidRDefault="00AB3783" w:rsidP="00AA283F">
            <w:pPr>
              <w:pStyle w:val="ListParagraph"/>
              <w:numPr>
                <w:ilvl w:val="0"/>
                <w:numId w:val="3"/>
              </w:numPr>
              <w:spacing w:before="100" w:beforeAutospacing="1" w:after="100" w:afterAutospacing="1"/>
              <w:jc w:val="left"/>
              <w:rPr>
                <w:rFonts w:cs="Times New Roman"/>
                <w:sz w:val="24"/>
                <w:szCs w:val="24"/>
              </w:rPr>
            </w:pPr>
            <w:r w:rsidRPr="00AA283F">
              <w:rPr>
                <w:rFonts w:cs="Times New Roman"/>
                <w:sz w:val="24"/>
                <w:szCs w:val="24"/>
              </w:rPr>
              <w:t>Policy</w:t>
            </w:r>
            <w:r w:rsidRPr="00AA283F">
              <w:rPr>
                <w:rFonts w:cs="Times New Roman"/>
                <w:b/>
                <w:bCs/>
                <w:sz w:val="24"/>
                <w:szCs w:val="24"/>
              </w:rPr>
              <w:t xml:space="preserve"> vagueness and unresponsiveness</w:t>
            </w:r>
            <w:r w:rsidRPr="00AA283F">
              <w:rPr>
                <w:rFonts w:cs="Times New Roman"/>
                <w:sz w:val="24"/>
                <w:szCs w:val="24"/>
              </w:rPr>
              <w:t>: mitigated by training courses offering empirical implementation guidance and mitigating policy ambiguity and vagueness</w:t>
            </w:r>
          </w:p>
          <w:p w14:paraId="53FE5572" w14:textId="77777777" w:rsidR="00AB3783" w:rsidRPr="00AA283F" w:rsidRDefault="00AB3783" w:rsidP="00980E37">
            <w:pPr>
              <w:jc w:val="left"/>
              <w:rPr>
                <w:rFonts w:cs="Times New Roman"/>
                <w:sz w:val="24"/>
                <w:szCs w:val="24"/>
              </w:rPr>
            </w:pPr>
          </w:p>
        </w:tc>
        <w:tc>
          <w:tcPr>
            <w:tcW w:w="2985" w:type="dxa"/>
          </w:tcPr>
          <w:p w14:paraId="5F20CA68" w14:textId="7791FCE7" w:rsidR="00AB3783" w:rsidRPr="00AA283F" w:rsidRDefault="00AB3783" w:rsidP="00980E37">
            <w:pPr>
              <w:jc w:val="left"/>
              <w:rPr>
                <w:rFonts w:cs="Times New Roman"/>
                <w:sz w:val="24"/>
                <w:szCs w:val="24"/>
              </w:rPr>
            </w:pPr>
            <w:r w:rsidRPr="00AA283F">
              <w:rPr>
                <w:rFonts w:cs="Times New Roman"/>
                <w:sz w:val="24"/>
                <w:szCs w:val="24"/>
              </w:rPr>
              <w:t xml:space="preserve">Existing </w:t>
            </w:r>
            <w:r w:rsidRPr="00AA283F">
              <w:rPr>
                <w:rFonts w:cs="Times New Roman"/>
                <w:color w:val="000000" w:themeColor="text1"/>
                <w:sz w:val="24"/>
                <w:szCs w:val="24"/>
              </w:rPr>
              <w:t>coping strategies bend intercultural norms, based on teachers’ needs</w:t>
            </w:r>
            <w:r w:rsidR="00AC7C3B" w:rsidRPr="00AA283F">
              <w:rPr>
                <w:rFonts w:cs="Times New Roman"/>
                <w:color w:val="000000" w:themeColor="text1"/>
                <w:sz w:val="24"/>
                <w:szCs w:val="24"/>
              </w:rPr>
              <w:t xml:space="preserve"> and pressures faced;</w:t>
            </w:r>
            <w:r w:rsidRPr="00AA283F">
              <w:rPr>
                <w:rFonts w:cs="Times New Roman"/>
                <w:color w:val="000000" w:themeColor="text1"/>
                <w:sz w:val="24"/>
                <w:szCs w:val="24"/>
              </w:rPr>
              <w:t xml:space="preserve"> yet do not contradict intercultural </w:t>
            </w:r>
            <w:r w:rsidRPr="00AA283F">
              <w:rPr>
                <w:rFonts w:cs="Times New Roman"/>
                <w:sz w:val="24"/>
                <w:szCs w:val="24"/>
              </w:rPr>
              <w:t>goals.</w:t>
            </w:r>
          </w:p>
        </w:tc>
      </w:tr>
    </w:tbl>
    <w:p w14:paraId="4C62C970" w14:textId="77777777" w:rsidR="00AB3783" w:rsidRPr="00AA283F" w:rsidRDefault="00AB3783" w:rsidP="00AB3783">
      <w:pPr>
        <w:rPr>
          <w:rFonts w:cs="Times New Roman"/>
          <w:lang w:val="en-GB"/>
        </w:rPr>
      </w:pPr>
      <w:r w:rsidRPr="00AA283F">
        <w:rPr>
          <w:rFonts w:cs="Times New Roman"/>
          <w:lang w:val="en-GB"/>
        </w:rPr>
        <w:t xml:space="preserve"> </w:t>
      </w:r>
    </w:p>
    <w:p w14:paraId="43CAE219" w14:textId="77777777" w:rsidR="00AB3783" w:rsidRPr="00AA283F" w:rsidRDefault="00AB3783" w:rsidP="00FB3EB8">
      <w:pPr>
        <w:rPr>
          <w:rFonts w:cs="Times New Roman"/>
          <w:lang w:val="fr-FR"/>
        </w:rPr>
      </w:pPr>
    </w:p>
    <w:sectPr w:rsidR="00AB3783" w:rsidRPr="00AA2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77634"/>
    <w:multiLevelType w:val="multilevel"/>
    <w:tmpl w:val="7424E4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E17E0D"/>
    <w:multiLevelType w:val="hybridMultilevel"/>
    <w:tmpl w:val="C760500C"/>
    <w:lvl w:ilvl="0" w:tplc="66FC4294">
      <w:numFmt w:val="bullet"/>
      <w:lvlText w:val="-"/>
      <w:lvlJc w:val="left"/>
      <w:pPr>
        <w:ind w:left="530" w:hanging="360"/>
      </w:pPr>
      <w:rPr>
        <w:rFonts w:ascii="Times New Roman" w:eastAsiaTheme="majorEastAsia" w:hAnsi="Times New Roman" w:cs="Times New Roman"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 w15:restartNumberingAfterBreak="0">
    <w:nsid w:val="67DB09BC"/>
    <w:multiLevelType w:val="hybridMultilevel"/>
    <w:tmpl w:val="8FF64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9426023">
    <w:abstractNumId w:val="2"/>
  </w:num>
  <w:num w:numId="2" w16cid:durableId="69665978">
    <w:abstractNumId w:val="0"/>
  </w:num>
  <w:num w:numId="3" w16cid:durableId="443573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108"/>
    <w:rsid w:val="000005E7"/>
    <w:rsid w:val="00001C12"/>
    <w:rsid w:val="00007790"/>
    <w:rsid w:val="00014D0D"/>
    <w:rsid w:val="00014DD6"/>
    <w:rsid w:val="00017A63"/>
    <w:rsid w:val="00024B91"/>
    <w:rsid w:val="00030D22"/>
    <w:rsid w:val="00034826"/>
    <w:rsid w:val="00036842"/>
    <w:rsid w:val="00036AF5"/>
    <w:rsid w:val="000420F3"/>
    <w:rsid w:val="000440B8"/>
    <w:rsid w:val="00047DDB"/>
    <w:rsid w:val="000603C5"/>
    <w:rsid w:val="00062550"/>
    <w:rsid w:val="00063740"/>
    <w:rsid w:val="00066720"/>
    <w:rsid w:val="00066D2E"/>
    <w:rsid w:val="00074BAE"/>
    <w:rsid w:val="000A1CDB"/>
    <w:rsid w:val="000A42AD"/>
    <w:rsid w:val="000B49A5"/>
    <w:rsid w:val="000B6C91"/>
    <w:rsid w:val="000B714C"/>
    <w:rsid w:val="000C2CBA"/>
    <w:rsid w:val="000C5941"/>
    <w:rsid w:val="000D2995"/>
    <w:rsid w:val="000D2CE0"/>
    <w:rsid w:val="000D570C"/>
    <w:rsid w:val="000E32E4"/>
    <w:rsid w:val="00103AF5"/>
    <w:rsid w:val="00105014"/>
    <w:rsid w:val="00112571"/>
    <w:rsid w:val="00114C5B"/>
    <w:rsid w:val="00116A0A"/>
    <w:rsid w:val="001236AB"/>
    <w:rsid w:val="00126AFF"/>
    <w:rsid w:val="00127745"/>
    <w:rsid w:val="00127BEC"/>
    <w:rsid w:val="001353F4"/>
    <w:rsid w:val="0013690F"/>
    <w:rsid w:val="00142E58"/>
    <w:rsid w:val="00145952"/>
    <w:rsid w:val="00146579"/>
    <w:rsid w:val="00147173"/>
    <w:rsid w:val="00150E97"/>
    <w:rsid w:val="00160065"/>
    <w:rsid w:val="00162CF1"/>
    <w:rsid w:val="00167928"/>
    <w:rsid w:val="00171BC3"/>
    <w:rsid w:val="00171DD0"/>
    <w:rsid w:val="00175536"/>
    <w:rsid w:val="001771BB"/>
    <w:rsid w:val="00182623"/>
    <w:rsid w:val="0018679D"/>
    <w:rsid w:val="00191E57"/>
    <w:rsid w:val="00192289"/>
    <w:rsid w:val="001A258C"/>
    <w:rsid w:val="001B3083"/>
    <w:rsid w:val="001B4250"/>
    <w:rsid w:val="001B6DE9"/>
    <w:rsid w:val="001B7B2F"/>
    <w:rsid w:val="001C3464"/>
    <w:rsid w:val="001C38F2"/>
    <w:rsid w:val="001C3DA9"/>
    <w:rsid w:val="001C55AD"/>
    <w:rsid w:val="001D191F"/>
    <w:rsid w:val="001E41F7"/>
    <w:rsid w:val="001E51A6"/>
    <w:rsid w:val="001E6837"/>
    <w:rsid w:val="001F2AA9"/>
    <w:rsid w:val="001F4C75"/>
    <w:rsid w:val="002006AA"/>
    <w:rsid w:val="00206535"/>
    <w:rsid w:val="002153C9"/>
    <w:rsid w:val="00220AE6"/>
    <w:rsid w:val="002221FB"/>
    <w:rsid w:val="00222C36"/>
    <w:rsid w:val="00226E2D"/>
    <w:rsid w:val="00233E88"/>
    <w:rsid w:val="002360C5"/>
    <w:rsid w:val="002433B2"/>
    <w:rsid w:val="00245F0D"/>
    <w:rsid w:val="0025381A"/>
    <w:rsid w:val="0025438F"/>
    <w:rsid w:val="00255B47"/>
    <w:rsid w:val="002622A7"/>
    <w:rsid w:val="00262692"/>
    <w:rsid w:val="00265AA9"/>
    <w:rsid w:val="00266463"/>
    <w:rsid w:val="00266716"/>
    <w:rsid w:val="00271F65"/>
    <w:rsid w:val="002720FA"/>
    <w:rsid w:val="002771AA"/>
    <w:rsid w:val="002801BF"/>
    <w:rsid w:val="002822E1"/>
    <w:rsid w:val="002831E9"/>
    <w:rsid w:val="00284C7B"/>
    <w:rsid w:val="00294912"/>
    <w:rsid w:val="00297142"/>
    <w:rsid w:val="002A1E14"/>
    <w:rsid w:val="002B5023"/>
    <w:rsid w:val="002D7E48"/>
    <w:rsid w:val="002E524F"/>
    <w:rsid w:val="002E759D"/>
    <w:rsid w:val="002F2056"/>
    <w:rsid w:val="003042A4"/>
    <w:rsid w:val="00307F87"/>
    <w:rsid w:val="003113A2"/>
    <w:rsid w:val="00313C66"/>
    <w:rsid w:val="003229E6"/>
    <w:rsid w:val="00325A6F"/>
    <w:rsid w:val="00332B8B"/>
    <w:rsid w:val="003418F0"/>
    <w:rsid w:val="0034445D"/>
    <w:rsid w:val="003479E7"/>
    <w:rsid w:val="003500A4"/>
    <w:rsid w:val="003560F4"/>
    <w:rsid w:val="00361C2D"/>
    <w:rsid w:val="003654CE"/>
    <w:rsid w:val="00365F0C"/>
    <w:rsid w:val="0037744C"/>
    <w:rsid w:val="00383496"/>
    <w:rsid w:val="00385B80"/>
    <w:rsid w:val="0039012D"/>
    <w:rsid w:val="00390C85"/>
    <w:rsid w:val="00396E0E"/>
    <w:rsid w:val="003A714D"/>
    <w:rsid w:val="003A772F"/>
    <w:rsid w:val="003B4656"/>
    <w:rsid w:val="003B5016"/>
    <w:rsid w:val="003B64CD"/>
    <w:rsid w:val="003C29A2"/>
    <w:rsid w:val="003C4B41"/>
    <w:rsid w:val="003D3386"/>
    <w:rsid w:val="003E3A40"/>
    <w:rsid w:val="003E4584"/>
    <w:rsid w:val="00405A8B"/>
    <w:rsid w:val="00412485"/>
    <w:rsid w:val="004139EA"/>
    <w:rsid w:val="00423DE5"/>
    <w:rsid w:val="00424877"/>
    <w:rsid w:val="00426076"/>
    <w:rsid w:val="0043109F"/>
    <w:rsid w:val="0043639C"/>
    <w:rsid w:val="00437AE8"/>
    <w:rsid w:val="00437C6F"/>
    <w:rsid w:val="00450464"/>
    <w:rsid w:val="00457333"/>
    <w:rsid w:val="004629D7"/>
    <w:rsid w:val="00463721"/>
    <w:rsid w:val="00472FBB"/>
    <w:rsid w:val="00490E09"/>
    <w:rsid w:val="00491062"/>
    <w:rsid w:val="00491DFA"/>
    <w:rsid w:val="004A0ECF"/>
    <w:rsid w:val="004A3C88"/>
    <w:rsid w:val="004A5044"/>
    <w:rsid w:val="004B209A"/>
    <w:rsid w:val="004B313B"/>
    <w:rsid w:val="004B7988"/>
    <w:rsid w:val="004F2DB1"/>
    <w:rsid w:val="004F3C03"/>
    <w:rsid w:val="00501037"/>
    <w:rsid w:val="005019A5"/>
    <w:rsid w:val="00514393"/>
    <w:rsid w:val="00514666"/>
    <w:rsid w:val="00514FEB"/>
    <w:rsid w:val="0051606D"/>
    <w:rsid w:val="005246AC"/>
    <w:rsid w:val="00531D5C"/>
    <w:rsid w:val="00534F9D"/>
    <w:rsid w:val="005354A5"/>
    <w:rsid w:val="005407A1"/>
    <w:rsid w:val="00545795"/>
    <w:rsid w:val="00547D4C"/>
    <w:rsid w:val="00552A9A"/>
    <w:rsid w:val="00560D29"/>
    <w:rsid w:val="00562E32"/>
    <w:rsid w:val="00570AC6"/>
    <w:rsid w:val="00572F30"/>
    <w:rsid w:val="00590170"/>
    <w:rsid w:val="00594DAF"/>
    <w:rsid w:val="005A25AF"/>
    <w:rsid w:val="005A3FFB"/>
    <w:rsid w:val="005A4463"/>
    <w:rsid w:val="005B46E3"/>
    <w:rsid w:val="005C151A"/>
    <w:rsid w:val="005C2B27"/>
    <w:rsid w:val="005C45DC"/>
    <w:rsid w:val="005D32F7"/>
    <w:rsid w:val="005D5330"/>
    <w:rsid w:val="005D6120"/>
    <w:rsid w:val="005E03B6"/>
    <w:rsid w:val="005F0DC1"/>
    <w:rsid w:val="005F7304"/>
    <w:rsid w:val="0060264C"/>
    <w:rsid w:val="00603C54"/>
    <w:rsid w:val="00621507"/>
    <w:rsid w:val="00627447"/>
    <w:rsid w:val="00627C73"/>
    <w:rsid w:val="00631D0D"/>
    <w:rsid w:val="0063252E"/>
    <w:rsid w:val="006404AB"/>
    <w:rsid w:val="006411F6"/>
    <w:rsid w:val="00641EB5"/>
    <w:rsid w:val="0064320E"/>
    <w:rsid w:val="00645320"/>
    <w:rsid w:val="006544E3"/>
    <w:rsid w:val="00655136"/>
    <w:rsid w:val="00655C7E"/>
    <w:rsid w:val="00656595"/>
    <w:rsid w:val="00657189"/>
    <w:rsid w:val="00663EDB"/>
    <w:rsid w:val="006710CF"/>
    <w:rsid w:val="00677DA0"/>
    <w:rsid w:val="00680C81"/>
    <w:rsid w:val="006849B4"/>
    <w:rsid w:val="00686015"/>
    <w:rsid w:val="00686CDF"/>
    <w:rsid w:val="00690C5D"/>
    <w:rsid w:val="006935E3"/>
    <w:rsid w:val="006A19C4"/>
    <w:rsid w:val="006A27D1"/>
    <w:rsid w:val="006B158F"/>
    <w:rsid w:val="006E4B23"/>
    <w:rsid w:val="006E4B59"/>
    <w:rsid w:val="006E679C"/>
    <w:rsid w:val="006F7BF8"/>
    <w:rsid w:val="0070400B"/>
    <w:rsid w:val="007042DE"/>
    <w:rsid w:val="007113A5"/>
    <w:rsid w:val="00711C56"/>
    <w:rsid w:val="00712E63"/>
    <w:rsid w:val="00714F2C"/>
    <w:rsid w:val="00722118"/>
    <w:rsid w:val="00722E5B"/>
    <w:rsid w:val="00724C39"/>
    <w:rsid w:val="00725DC9"/>
    <w:rsid w:val="00726F3E"/>
    <w:rsid w:val="00730E1D"/>
    <w:rsid w:val="00731479"/>
    <w:rsid w:val="00735ABD"/>
    <w:rsid w:val="007377CE"/>
    <w:rsid w:val="00740046"/>
    <w:rsid w:val="00740B8F"/>
    <w:rsid w:val="007415F9"/>
    <w:rsid w:val="00746129"/>
    <w:rsid w:val="007540FB"/>
    <w:rsid w:val="007556AD"/>
    <w:rsid w:val="007567F7"/>
    <w:rsid w:val="00772145"/>
    <w:rsid w:val="00781897"/>
    <w:rsid w:val="0078290C"/>
    <w:rsid w:val="00787719"/>
    <w:rsid w:val="00790A63"/>
    <w:rsid w:val="00791707"/>
    <w:rsid w:val="00791F6C"/>
    <w:rsid w:val="007B0D78"/>
    <w:rsid w:val="007B1032"/>
    <w:rsid w:val="007B6EC9"/>
    <w:rsid w:val="007C1061"/>
    <w:rsid w:val="007C1381"/>
    <w:rsid w:val="007D020C"/>
    <w:rsid w:val="007D3367"/>
    <w:rsid w:val="007E19EA"/>
    <w:rsid w:val="007E2BFD"/>
    <w:rsid w:val="007E5ACE"/>
    <w:rsid w:val="007F17C1"/>
    <w:rsid w:val="007F5024"/>
    <w:rsid w:val="008023AA"/>
    <w:rsid w:val="008038F1"/>
    <w:rsid w:val="00805488"/>
    <w:rsid w:val="0080756D"/>
    <w:rsid w:val="008151A3"/>
    <w:rsid w:val="00833C37"/>
    <w:rsid w:val="00835D30"/>
    <w:rsid w:val="0086496C"/>
    <w:rsid w:val="008664C5"/>
    <w:rsid w:val="00873C64"/>
    <w:rsid w:val="00874BC6"/>
    <w:rsid w:val="00876171"/>
    <w:rsid w:val="00881E7F"/>
    <w:rsid w:val="00897FC4"/>
    <w:rsid w:val="008A215F"/>
    <w:rsid w:val="008A505C"/>
    <w:rsid w:val="008B0BC0"/>
    <w:rsid w:val="008B484F"/>
    <w:rsid w:val="008B7D27"/>
    <w:rsid w:val="008C0C4B"/>
    <w:rsid w:val="008C28A1"/>
    <w:rsid w:val="008D2813"/>
    <w:rsid w:val="008E0FB7"/>
    <w:rsid w:val="008E1494"/>
    <w:rsid w:val="008E14FB"/>
    <w:rsid w:val="008E1595"/>
    <w:rsid w:val="008E601E"/>
    <w:rsid w:val="008E70D3"/>
    <w:rsid w:val="008F27E5"/>
    <w:rsid w:val="0090093E"/>
    <w:rsid w:val="0090149F"/>
    <w:rsid w:val="009064FB"/>
    <w:rsid w:val="009155D6"/>
    <w:rsid w:val="00926CC5"/>
    <w:rsid w:val="009336DD"/>
    <w:rsid w:val="00933F46"/>
    <w:rsid w:val="00937932"/>
    <w:rsid w:val="00945A3C"/>
    <w:rsid w:val="0094773F"/>
    <w:rsid w:val="009661F9"/>
    <w:rsid w:val="0097130F"/>
    <w:rsid w:val="009801CF"/>
    <w:rsid w:val="00980E37"/>
    <w:rsid w:val="00990D61"/>
    <w:rsid w:val="00992541"/>
    <w:rsid w:val="00996E7C"/>
    <w:rsid w:val="009A154E"/>
    <w:rsid w:val="009A2ADA"/>
    <w:rsid w:val="009A333D"/>
    <w:rsid w:val="009A4D5E"/>
    <w:rsid w:val="009B73FE"/>
    <w:rsid w:val="009C11EE"/>
    <w:rsid w:val="009D00D7"/>
    <w:rsid w:val="009D4A65"/>
    <w:rsid w:val="009D54AF"/>
    <w:rsid w:val="009E6E0A"/>
    <w:rsid w:val="009F083C"/>
    <w:rsid w:val="00A05604"/>
    <w:rsid w:val="00A06231"/>
    <w:rsid w:val="00A13CFC"/>
    <w:rsid w:val="00A1466A"/>
    <w:rsid w:val="00A17748"/>
    <w:rsid w:val="00A268EA"/>
    <w:rsid w:val="00A271B5"/>
    <w:rsid w:val="00A340AC"/>
    <w:rsid w:val="00A441D6"/>
    <w:rsid w:val="00A5705E"/>
    <w:rsid w:val="00A7156B"/>
    <w:rsid w:val="00A837B9"/>
    <w:rsid w:val="00A85F4E"/>
    <w:rsid w:val="00A97FCC"/>
    <w:rsid w:val="00AA283F"/>
    <w:rsid w:val="00AA7330"/>
    <w:rsid w:val="00AB1783"/>
    <w:rsid w:val="00AB2845"/>
    <w:rsid w:val="00AB3783"/>
    <w:rsid w:val="00AB7D1D"/>
    <w:rsid w:val="00AC4449"/>
    <w:rsid w:val="00AC7C3B"/>
    <w:rsid w:val="00AC7E6E"/>
    <w:rsid w:val="00AD37B3"/>
    <w:rsid w:val="00AE00D3"/>
    <w:rsid w:val="00AE3466"/>
    <w:rsid w:val="00AF33D7"/>
    <w:rsid w:val="00B03A02"/>
    <w:rsid w:val="00B14BF9"/>
    <w:rsid w:val="00B2097D"/>
    <w:rsid w:val="00B252F1"/>
    <w:rsid w:val="00B2692E"/>
    <w:rsid w:val="00B27D46"/>
    <w:rsid w:val="00B304FB"/>
    <w:rsid w:val="00B34CB0"/>
    <w:rsid w:val="00B41A21"/>
    <w:rsid w:val="00B446F7"/>
    <w:rsid w:val="00B523CF"/>
    <w:rsid w:val="00B64EAE"/>
    <w:rsid w:val="00B65E5A"/>
    <w:rsid w:val="00B65F60"/>
    <w:rsid w:val="00B66A72"/>
    <w:rsid w:val="00B72108"/>
    <w:rsid w:val="00B725BF"/>
    <w:rsid w:val="00B74635"/>
    <w:rsid w:val="00BA12D5"/>
    <w:rsid w:val="00BB0EC7"/>
    <w:rsid w:val="00BB25C9"/>
    <w:rsid w:val="00BB7B51"/>
    <w:rsid w:val="00BC3000"/>
    <w:rsid w:val="00BC3362"/>
    <w:rsid w:val="00BC4325"/>
    <w:rsid w:val="00BC7ED6"/>
    <w:rsid w:val="00BE4C7A"/>
    <w:rsid w:val="00BF7FFE"/>
    <w:rsid w:val="00C05EFB"/>
    <w:rsid w:val="00C11C77"/>
    <w:rsid w:val="00C23412"/>
    <w:rsid w:val="00C252B5"/>
    <w:rsid w:val="00C32F45"/>
    <w:rsid w:val="00C42B08"/>
    <w:rsid w:val="00C46E9F"/>
    <w:rsid w:val="00C60725"/>
    <w:rsid w:val="00C64506"/>
    <w:rsid w:val="00C73478"/>
    <w:rsid w:val="00C773EA"/>
    <w:rsid w:val="00C77D7D"/>
    <w:rsid w:val="00C910E0"/>
    <w:rsid w:val="00C910F0"/>
    <w:rsid w:val="00C96775"/>
    <w:rsid w:val="00C975DF"/>
    <w:rsid w:val="00C9794E"/>
    <w:rsid w:val="00CA0D87"/>
    <w:rsid w:val="00CA3314"/>
    <w:rsid w:val="00CA4C36"/>
    <w:rsid w:val="00CA5556"/>
    <w:rsid w:val="00CB0D4D"/>
    <w:rsid w:val="00CB333E"/>
    <w:rsid w:val="00CB4ED9"/>
    <w:rsid w:val="00CC1857"/>
    <w:rsid w:val="00CD0469"/>
    <w:rsid w:val="00CD0C2D"/>
    <w:rsid w:val="00CD6EAB"/>
    <w:rsid w:val="00CE4733"/>
    <w:rsid w:val="00CE6C5F"/>
    <w:rsid w:val="00CF1C52"/>
    <w:rsid w:val="00CF3250"/>
    <w:rsid w:val="00CF4F7D"/>
    <w:rsid w:val="00CF5A55"/>
    <w:rsid w:val="00D04F83"/>
    <w:rsid w:val="00D05F15"/>
    <w:rsid w:val="00D06FF0"/>
    <w:rsid w:val="00D11551"/>
    <w:rsid w:val="00D23397"/>
    <w:rsid w:val="00D3248B"/>
    <w:rsid w:val="00D333A9"/>
    <w:rsid w:val="00D3493B"/>
    <w:rsid w:val="00D35624"/>
    <w:rsid w:val="00D42BEF"/>
    <w:rsid w:val="00D43F37"/>
    <w:rsid w:val="00D46800"/>
    <w:rsid w:val="00D46FA7"/>
    <w:rsid w:val="00D56972"/>
    <w:rsid w:val="00D60625"/>
    <w:rsid w:val="00D656B1"/>
    <w:rsid w:val="00D6719C"/>
    <w:rsid w:val="00D67ECA"/>
    <w:rsid w:val="00D753F4"/>
    <w:rsid w:val="00D800DD"/>
    <w:rsid w:val="00D82527"/>
    <w:rsid w:val="00D8536D"/>
    <w:rsid w:val="00D854A8"/>
    <w:rsid w:val="00D91292"/>
    <w:rsid w:val="00D96796"/>
    <w:rsid w:val="00D973F6"/>
    <w:rsid w:val="00DA0B57"/>
    <w:rsid w:val="00DA5235"/>
    <w:rsid w:val="00DB03BC"/>
    <w:rsid w:val="00DB1BFB"/>
    <w:rsid w:val="00DC263D"/>
    <w:rsid w:val="00DC2F4F"/>
    <w:rsid w:val="00DC4CB8"/>
    <w:rsid w:val="00DC50A7"/>
    <w:rsid w:val="00DC7B2F"/>
    <w:rsid w:val="00DD0CCD"/>
    <w:rsid w:val="00DD4854"/>
    <w:rsid w:val="00DD781B"/>
    <w:rsid w:val="00DE0EF8"/>
    <w:rsid w:val="00DE6461"/>
    <w:rsid w:val="00DE6727"/>
    <w:rsid w:val="00DF5F6B"/>
    <w:rsid w:val="00DF61D5"/>
    <w:rsid w:val="00DF6710"/>
    <w:rsid w:val="00E02222"/>
    <w:rsid w:val="00E05B4B"/>
    <w:rsid w:val="00E06EDB"/>
    <w:rsid w:val="00E07EDE"/>
    <w:rsid w:val="00E1242F"/>
    <w:rsid w:val="00E20CAD"/>
    <w:rsid w:val="00E24E99"/>
    <w:rsid w:val="00E371FC"/>
    <w:rsid w:val="00E426F2"/>
    <w:rsid w:val="00E4458B"/>
    <w:rsid w:val="00E447EC"/>
    <w:rsid w:val="00E56CCB"/>
    <w:rsid w:val="00E63D4F"/>
    <w:rsid w:val="00E66830"/>
    <w:rsid w:val="00E702DC"/>
    <w:rsid w:val="00E74229"/>
    <w:rsid w:val="00E80345"/>
    <w:rsid w:val="00E8496B"/>
    <w:rsid w:val="00E92A8B"/>
    <w:rsid w:val="00ED13B8"/>
    <w:rsid w:val="00ED2CED"/>
    <w:rsid w:val="00EE387D"/>
    <w:rsid w:val="00EF1518"/>
    <w:rsid w:val="00F00D34"/>
    <w:rsid w:val="00F04659"/>
    <w:rsid w:val="00F116DC"/>
    <w:rsid w:val="00F16874"/>
    <w:rsid w:val="00F2283A"/>
    <w:rsid w:val="00F30C63"/>
    <w:rsid w:val="00F32D4E"/>
    <w:rsid w:val="00F33EAD"/>
    <w:rsid w:val="00F34762"/>
    <w:rsid w:val="00F34DCB"/>
    <w:rsid w:val="00F36379"/>
    <w:rsid w:val="00F37F8C"/>
    <w:rsid w:val="00F41CD5"/>
    <w:rsid w:val="00F41DA3"/>
    <w:rsid w:val="00F50CDC"/>
    <w:rsid w:val="00F517BF"/>
    <w:rsid w:val="00F57213"/>
    <w:rsid w:val="00F6136E"/>
    <w:rsid w:val="00F673EE"/>
    <w:rsid w:val="00F774C4"/>
    <w:rsid w:val="00F83136"/>
    <w:rsid w:val="00F832CE"/>
    <w:rsid w:val="00F93622"/>
    <w:rsid w:val="00FA0B4A"/>
    <w:rsid w:val="00FB0052"/>
    <w:rsid w:val="00FB0D2B"/>
    <w:rsid w:val="00FB159A"/>
    <w:rsid w:val="00FB3EB8"/>
    <w:rsid w:val="00FC22DA"/>
    <w:rsid w:val="00FC6136"/>
    <w:rsid w:val="00FD3AA1"/>
    <w:rsid w:val="00FF0B2C"/>
    <w:rsid w:val="00FF1372"/>
    <w:rsid w:val="00FF3249"/>
    <w:rsid w:val="00FF629E"/>
    <w:rsid w:val="00FF7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F546BA"/>
  <w15:chartTrackingRefBased/>
  <w15:docId w15:val="{93C6D929-1C39-144C-BDD2-3FD7EA4D1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4C4"/>
    <w:pPr>
      <w:spacing w:after="0" w:line="259" w:lineRule="auto"/>
      <w:ind w:firstLine="72"/>
      <w:contextualSpacing/>
      <w:jc w:val="both"/>
    </w:pPr>
    <w:rPr>
      <w:rFonts w:ascii="Times New Roman" w:eastAsiaTheme="minorEastAsia" w:hAnsi="Times New Roman"/>
      <w:lang w:eastAsia="zh-TW"/>
    </w:rPr>
  </w:style>
  <w:style w:type="paragraph" w:styleId="Heading1">
    <w:name w:val="heading 1"/>
    <w:basedOn w:val="Normal"/>
    <w:next w:val="Normal"/>
    <w:link w:val="Heading1Char"/>
    <w:autoRedefine/>
    <w:uiPriority w:val="9"/>
    <w:qFormat/>
    <w:rsid w:val="002360C5"/>
    <w:pPr>
      <w:keepNext/>
      <w:keepLines/>
      <w:spacing w:before="240" w:line="278" w:lineRule="auto"/>
      <w:ind w:firstLine="0"/>
      <w:outlineLvl w:val="0"/>
    </w:pPr>
    <w:rPr>
      <w:rFonts w:eastAsiaTheme="majorEastAsia" w:cstheme="majorBidi"/>
      <w:b/>
      <w:color w:val="000000" w:themeColor="text1"/>
      <w:szCs w:val="40"/>
      <w:lang w:eastAsia="en-US"/>
    </w:rPr>
  </w:style>
  <w:style w:type="paragraph" w:styleId="Heading2">
    <w:name w:val="heading 2"/>
    <w:basedOn w:val="Normal"/>
    <w:next w:val="Normal"/>
    <w:link w:val="Heading2Char"/>
    <w:autoRedefine/>
    <w:uiPriority w:val="9"/>
    <w:unhideWhenUsed/>
    <w:qFormat/>
    <w:rsid w:val="00E447EC"/>
    <w:pPr>
      <w:keepNext/>
      <w:keepLines/>
      <w:spacing w:before="40"/>
      <w:ind w:firstLine="170"/>
      <w:contextualSpacing w:val="0"/>
      <w:outlineLvl w:val="1"/>
    </w:pPr>
    <w:rPr>
      <w:rFonts w:eastAsiaTheme="majorEastAsia" w:cstheme="majorBidi"/>
      <w:i/>
      <w:color w:val="000000" w:themeColor="text1"/>
      <w:szCs w:val="26"/>
    </w:rPr>
  </w:style>
  <w:style w:type="paragraph" w:styleId="Heading3">
    <w:name w:val="heading 3"/>
    <w:basedOn w:val="Normal"/>
    <w:next w:val="Normal"/>
    <w:link w:val="Heading3Char"/>
    <w:autoRedefine/>
    <w:uiPriority w:val="9"/>
    <w:unhideWhenUsed/>
    <w:qFormat/>
    <w:rsid w:val="00655C7E"/>
    <w:pPr>
      <w:keepNext/>
      <w:keepLines/>
      <w:spacing w:before="40" w:line="240" w:lineRule="auto"/>
      <w:ind w:left="720" w:firstLine="0"/>
      <w:contextualSpacing w:val="0"/>
      <w:outlineLvl w:val="2"/>
    </w:pPr>
    <w:rPr>
      <w:rFonts w:eastAsiaTheme="majorEastAsia" w:cstheme="majorBidi"/>
      <w:color w:val="000000" w:themeColor="text1"/>
      <w:kern w:val="0"/>
      <w:lang w:eastAsia="en-US"/>
      <w14:ligatures w14:val="none"/>
    </w:rPr>
  </w:style>
  <w:style w:type="paragraph" w:styleId="Heading4">
    <w:name w:val="heading 4"/>
    <w:basedOn w:val="Normal"/>
    <w:next w:val="Normal"/>
    <w:link w:val="Heading4Char"/>
    <w:uiPriority w:val="9"/>
    <w:semiHidden/>
    <w:unhideWhenUsed/>
    <w:qFormat/>
    <w:rsid w:val="00B7210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7210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72108"/>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72108"/>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72108"/>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72108"/>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0C5"/>
    <w:rPr>
      <w:rFonts w:ascii="Times New Roman" w:eastAsiaTheme="majorEastAsia" w:hAnsi="Times New Roman" w:cstheme="majorBidi"/>
      <w:b/>
      <w:color w:val="000000" w:themeColor="text1"/>
      <w:szCs w:val="40"/>
    </w:rPr>
  </w:style>
  <w:style w:type="character" w:customStyle="1" w:styleId="Heading2Char">
    <w:name w:val="Heading 2 Char"/>
    <w:basedOn w:val="DefaultParagraphFont"/>
    <w:link w:val="Heading2"/>
    <w:uiPriority w:val="9"/>
    <w:rsid w:val="00E447EC"/>
    <w:rPr>
      <w:rFonts w:ascii="Times New Roman" w:eastAsiaTheme="majorEastAsia" w:hAnsi="Times New Roman" w:cstheme="majorBidi"/>
      <w:i/>
      <w:color w:val="000000" w:themeColor="text1"/>
      <w:szCs w:val="26"/>
      <w:lang w:eastAsia="zh-TW"/>
    </w:rPr>
  </w:style>
  <w:style w:type="character" w:customStyle="1" w:styleId="Heading3Char">
    <w:name w:val="Heading 3 Char"/>
    <w:basedOn w:val="DefaultParagraphFont"/>
    <w:link w:val="Heading3"/>
    <w:uiPriority w:val="9"/>
    <w:rsid w:val="00655C7E"/>
    <w:rPr>
      <w:rFonts w:ascii="Times New Roman" w:eastAsiaTheme="majorEastAsia" w:hAnsi="Times New Roman" w:cstheme="majorBidi"/>
      <w:color w:val="000000" w:themeColor="text1"/>
      <w:kern w:val="0"/>
      <w14:ligatures w14:val="none"/>
    </w:rPr>
  </w:style>
  <w:style w:type="character" w:customStyle="1" w:styleId="Heading4Char">
    <w:name w:val="Heading 4 Char"/>
    <w:basedOn w:val="DefaultParagraphFont"/>
    <w:link w:val="Heading4"/>
    <w:uiPriority w:val="9"/>
    <w:semiHidden/>
    <w:rsid w:val="00B72108"/>
    <w:rPr>
      <w:rFonts w:eastAsiaTheme="majorEastAsia" w:cstheme="majorBidi"/>
      <w:i/>
      <w:iCs/>
      <w:color w:val="0F4761" w:themeColor="accent1" w:themeShade="BF"/>
      <w:lang w:eastAsia="zh-TW"/>
    </w:rPr>
  </w:style>
  <w:style w:type="character" w:customStyle="1" w:styleId="Heading5Char">
    <w:name w:val="Heading 5 Char"/>
    <w:basedOn w:val="DefaultParagraphFont"/>
    <w:link w:val="Heading5"/>
    <w:uiPriority w:val="9"/>
    <w:semiHidden/>
    <w:rsid w:val="00B72108"/>
    <w:rPr>
      <w:rFonts w:eastAsiaTheme="majorEastAsia" w:cstheme="majorBidi"/>
      <w:color w:val="0F4761" w:themeColor="accent1" w:themeShade="BF"/>
      <w:lang w:eastAsia="zh-TW"/>
    </w:rPr>
  </w:style>
  <w:style w:type="character" w:customStyle="1" w:styleId="Heading6Char">
    <w:name w:val="Heading 6 Char"/>
    <w:basedOn w:val="DefaultParagraphFont"/>
    <w:link w:val="Heading6"/>
    <w:uiPriority w:val="9"/>
    <w:semiHidden/>
    <w:rsid w:val="00B72108"/>
    <w:rPr>
      <w:rFonts w:eastAsiaTheme="majorEastAsia" w:cstheme="majorBidi"/>
      <w:i/>
      <w:iCs/>
      <w:color w:val="595959" w:themeColor="text1" w:themeTint="A6"/>
      <w:lang w:eastAsia="zh-TW"/>
    </w:rPr>
  </w:style>
  <w:style w:type="character" w:customStyle="1" w:styleId="Heading7Char">
    <w:name w:val="Heading 7 Char"/>
    <w:basedOn w:val="DefaultParagraphFont"/>
    <w:link w:val="Heading7"/>
    <w:uiPriority w:val="9"/>
    <w:semiHidden/>
    <w:rsid w:val="00B72108"/>
    <w:rPr>
      <w:rFonts w:eastAsiaTheme="majorEastAsia" w:cstheme="majorBidi"/>
      <w:color w:val="595959" w:themeColor="text1" w:themeTint="A6"/>
      <w:lang w:eastAsia="zh-TW"/>
    </w:rPr>
  </w:style>
  <w:style w:type="character" w:customStyle="1" w:styleId="Heading8Char">
    <w:name w:val="Heading 8 Char"/>
    <w:basedOn w:val="DefaultParagraphFont"/>
    <w:link w:val="Heading8"/>
    <w:uiPriority w:val="9"/>
    <w:semiHidden/>
    <w:rsid w:val="00B72108"/>
    <w:rPr>
      <w:rFonts w:eastAsiaTheme="majorEastAsia" w:cstheme="majorBidi"/>
      <w:i/>
      <w:iCs/>
      <w:color w:val="272727" w:themeColor="text1" w:themeTint="D8"/>
      <w:lang w:eastAsia="zh-TW"/>
    </w:rPr>
  </w:style>
  <w:style w:type="character" w:customStyle="1" w:styleId="Heading9Char">
    <w:name w:val="Heading 9 Char"/>
    <w:basedOn w:val="DefaultParagraphFont"/>
    <w:link w:val="Heading9"/>
    <w:uiPriority w:val="9"/>
    <w:semiHidden/>
    <w:rsid w:val="00B72108"/>
    <w:rPr>
      <w:rFonts w:eastAsiaTheme="majorEastAsia" w:cstheme="majorBidi"/>
      <w:color w:val="272727" w:themeColor="text1" w:themeTint="D8"/>
      <w:lang w:eastAsia="zh-TW"/>
    </w:rPr>
  </w:style>
  <w:style w:type="paragraph" w:styleId="Title">
    <w:name w:val="Title"/>
    <w:basedOn w:val="Normal"/>
    <w:next w:val="Normal"/>
    <w:link w:val="TitleChar"/>
    <w:uiPriority w:val="10"/>
    <w:qFormat/>
    <w:rsid w:val="00B72108"/>
    <w:pPr>
      <w:spacing w:after="8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2108"/>
    <w:rPr>
      <w:rFonts w:asciiTheme="majorHAnsi" w:eastAsiaTheme="majorEastAsia" w:hAnsiTheme="majorHAnsi" w:cstheme="majorBidi"/>
      <w:spacing w:val="-10"/>
      <w:kern w:val="28"/>
      <w:sz w:val="56"/>
      <w:szCs w:val="56"/>
      <w:lang w:eastAsia="zh-TW"/>
    </w:rPr>
  </w:style>
  <w:style w:type="paragraph" w:styleId="Subtitle">
    <w:name w:val="Subtitle"/>
    <w:basedOn w:val="Normal"/>
    <w:next w:val="Normal"/>
    <w:link w:val="SubtitleChar"/>
    <w:uiPriority w:val="11"/>
    <w:qFormat/>
    <w:rsid w:val="00B72108"/>
    <w:pPr>
      <w:numPr>
        <w:ilvl w:val="1"/>
      </w:numPr>
      <w:spacing w:after="160"/>
      <w:ind w:firstLine="72"/>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2108"/>
    <w:rPr>
      <w:rFonts w:eastAsiaTheme="majorEastAsia" w:cstheme="majorBidi"/>
      <w:color w:val="595959" w:themeColor="text1" w:themeTint="A6"/>
      <w:spacing w:val="15"/>
      <w:sz w:val="28"/>
      <w:szCs w:val="28"/>
      <w:lang w:eastAsia="zh-TW"/>
    </w:rPr>
  </w:style>
  <w:style w:type="paragraph" w:styleId="Quote">
    <w:name w:val="Quote"/>
    <w:basedOn w:val="Normal"/>
    <w:next w:val="Normal"/>
    <w:link w:val="QuoteChar"/>
    <w:uiPriority w:val="29"/>
    <w:qFormat/>
    <w:rsid w:val="00B7210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72108"/>
    <w:rPr>
      <w:rFonts w:ascii="Times New Roman" w:eastAsiaTheme="minorEastAsia" w:hAnsi="Times New Roman"/>
      <w:i/>
      <w:iCs/>
      <w:color w:val="404040" w:themeColor="text1" w:themeTint="BF"/>
      <w:lang w:eastAsia="zh-TW"/>
    </w:rPr>
  </w:style>
  <w:style w:type="paragraph" w:styleId="ListParagraph">
    <w:name w:val="List Paragraph"/>
    <w:basedOn w:val="Normal"/>
    <w:uiPriority w:val="34"/>
    <w:qFormat/>
    <w:rsid w:val="00B72108"/>
    <w:pPr>
      <w:ind w:left="720"/>
    </w:pPr>
  </w:style>
  <w:style w:type="character" w:styleId="IntenseEmphasis">
    <w:name w:val="Intense Emphasis"/>
    <w:basedOn w:val="DefaultParagraphFont"/>
    <w:uiPriority w:val="21"/>
    <w:qFormat/>
    <w:rsid w:val="00B72108"/>
    <w:rPr>
      <w:i/>
      <w:iCs/>
      <w:color w:val="0F4761" w:themeColor="accent1" w:themeShade="BF"/>
    </w:rPr>
  </w:style>
  <w:style w:type="paragraph" w:styleId="IntenseQuote">
    <w:name w:val="Intense Quote"/>
    <w:basedOn w:val="Normal"/>
    <w:next w:val="Normal"/>
    <w:link w:val="IntenseQuoteChar"/>
    <w:uiPriority w:val="30"/>
    <w:qFormat/>
    <w:rsid w:val="00B721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72108"/>
    <w:rPr>
      <w:rFonts w:ascii="Times New Roman" w:eastAsiaTheme="minorEastAsia" w:hAnsi="Times New Roman"/>
      <w:i/>
      <w:iCs/>
      <w:color w:val="0F4761" w:themeColor="accent1" w:themeShade="BF"/>
      <w:lang w:eastAsia="zh-TW"/>
    </w:rPr>
  </w:style>
  <w:style w:type="character" w:styleId="IntenseReference">
    <w:name w:val="Intense Reference"/>
    <w:basedOn w:val="DefaultParagraphFont"/>
    <w:uiPriority w:val="32"/>
    <w:qFormat/>
    <w:rsid w:val="00B72108"/>
    <w:rPr>
      <w:b/>
      <w:bCs/>
      <w:smallCaps/>
      <w:color w:val="0F4761" w:themeColor="accent1" w:themeShade="BF"/>
      <w:spacing w:val="5"/>
    </w:rPr>
  </w:style>
  <w:style w:type="character" w:styleId="Strong">
    <w:name w:val="Strong"/>
    <w:basedOn w:val="DefaultParagraphFont"/>
    <w:uiPriority w:val="22"/>
    <w:qFormat/>
    <w:rsid w:val="00B72108"/>
    <w:rPr>
      <w:b/>
      <w:bCs/>
    </w:rPr>
  </w:style>
  <w:style w:type="table" w:styleId="TableGrid">
    <w:name w:val="Table Grid"/>
    <w:basedOn w:val="TableNormal"/>
    <w:uiPriority w:val="59"/>
    <w:rsid w:val="00B72108"/>
    <w:pPr>
      <w:spacing w:after="0" w:line="240" w:lineRule="auto"/>
    </w:pPr>
    <w:rPr>
      <w:rFonts w:eastAsiaTheme="minorEastAsia"/>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AB37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699254">
      <w:bodyDiv w:val="1"/>
      <w:marLeft w:val="0"/>
      <w:marRight w:val="0"/>
      <w:marTop w:val="0"/>
      <w:marBottom w:val="0"/>
      <w:divBdr>
        <w:top w:val="none" w:sz="0" w:space="0" w:color="auto"/>
        <w:left w:val="none" w:sz="0" w:space="0" w:color="auto"/>
        <w:bottom w:val="none" w:sz="0" w:space="0" w:color="auto"/>
        <w:right w:val="none" w:sz="0" w:space="0" w:color="auto"/>
      </w:divBdr>
    </w:div>
    <w:div w:id="93548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Landini</dc:creator>
  <cp:keywords/>
  <dc:description/>
  <cp:lastModifiedBy>Irene Landini</cp:lastModifiedBy>
  <cp:revision>2</cp:revision>
  <dcterms:created xsi:type="dcterms:W3CDTF">2025-04-16T16:45:00Z</dcterms:created>
  <dcterms:modified xsi:type="dcterms:W3CDTF">2025-04-16T16:45:00Z</dcterms:modified>
</cp:coreProperties>
</file>