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Information on focus groups and interviewees</w:t>
      </w:r>
    </w:p>
    <w:tbl>
      <w:tblPr>
        <w:tblStyle w:val="Table1"/>
        <w:tblpPr w:leftFromText="180" w:rightFromText="180" w:topFromText="0" w:bottomFromText="0" w:vertAnchor="text" w:horzAnchor="text" w:tblpX="0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270"/>
        <w:gridCol w:w="1260"/>
        <w:gridCol w:w="1665"/>
        <w:tblGridChange w:id="0">
          <w:tblGrid>
            <w:gridCol w:w="2835"/>
            <w:gridCol w:w="3270"/>
            <w:gridCol w:w="1260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Institutional or professional role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Acronym in the article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Participants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(FOCUS GROUP 1)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Representative from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Federation of Catalan Social Action Entities.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22/02/2023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 (FOCUS GROUP 1)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Representative from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Third Sector Platform of Catalonia.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22/02/2023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FOCUS GROUP 1)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Representative from the Social Services in the local administration.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(FOCUS GROUP 1)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hd w:fill="ffffff" w:val="clear"/>
              <w:spacing w:after="120"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Representative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XARSE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(Socioeconomic Response Network) from the Barcelona City Council.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 (FOCUS GROUP 1)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Representative from Barcelona Activa (‘Let’s Connect’ Project) - Barcelona City Council.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22/02/2023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 (FOCUS GROUP 2)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Third sector worker for the Basic Needs Program at Cáritas Diocesana de Barcelona.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05/05/2023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  (FOCUS GROUP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Third sector worker, technical Reference for the Social Inclusion Area at the ‘Creu Roja’.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05/05/2023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(FOCUS GROUP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Vice President of the Third Social Sector Board and Coordinator of the Inclusion and Poverty Working Group.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05/05/2023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.941406249999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(FOCUS GROUP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Social Intervention Project Technician from the Third Sector (Creu Roja)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05/05/2023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  (FOCUS GROUP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Head of Social Policies at the Third Social Sector Board.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05/05/2023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efefef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Expert interviews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General Secretary of Inclusion and Social Welfare (Ministry of Inclusion Social Security, and Migration)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24/05/2022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308.5714285714286" w:lineRule="auto"/>
              <w:jc w:val="center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  <w:rtl w:val="0"/>
              </w:rPr>
              <w:t xml:space="preserve">Political Advocacy and Legal Analysis Coordinator of Cáritas (main responsible for the IMV negotiations)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24/05/2022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Regional Minister, responsible for the compatibility between the IMV and the regional scheme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31/10/2024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Coordinator for the draft bill establishing the IMV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16/05/2022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A14</w:t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Source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Own elaboration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Analytical model: a two-step sequence to assess social policy implementation </w:t>
      </w:r>
    </w:p>
    <w:p w:rsidR="00000000" w:rsidDel="00000000" w:rsidP="00000000" w:rsidRDefault="00000000" w:rsidRPr="00000000" w14:paraId="00000052">
      <w:pPr>
        <w:shd w:fill="ffffff" w:val="clear"/>
        <w:spacing w:after="12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731200" cy="1943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Source: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Own elaboration</w:t>
      </w:r>
    </w:p>
    <w:p w:rsidR="00000000" w:rsidDel="00000000" w:rsidP="00000000" w:rsidRDefault="00000000" w:rsidRPr="00000000" w14:paraId="00000054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 our article, the dependent variable analyzed is the administrative burden experienced by citizens within this sequence. While outcomes may result from this, we do not establish a causal relationship between our model and non-take-up rates – a connection that future research could explore.</w:t>
      </w:r>
    </w:p>
    <w:p w:rsidR="00000000" w:rsidDel="00000000" w:rsidP="00000000" w:rsidRDefault="00000000" w:rsidRPr="00000000" w14:paraId="00000055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Policy-sequence vignette used for interactive focus groups</w:t>
      </w:r>
    </w:p>
    <w:p w:rsidR="00000000" w:rsidDel="00000000" w:rsidP="00000000" w:rsidRDefault="00000000" w:rsidRPr="00000000" w14:paraId="00000057">
      <w:pPr>
        <w:widowControl w:val="0"/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731200" cy="1358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12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Source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Own elaboration, inspired in Madsen et al. (2012).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