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863E68">
      <w:pPr>
        <w:pStyle w:val="78"/>
        <w:rPr>
          <w:highlight w:val="none"/>
        </w:rPr>
      </w:pPr>
      <w:r>
        <w:rPr>
          <w:highlight w:val="none"/>
        </w:rPr>
        <w:t>High-quality</w:t>
      </w:r>
      <w:r>
        <w:rPr>
          <w:rFonts w:hint="eastAsia"/>
          <w:highlight w:val="none"/>
          <w:lang w:eastAsia="zh-CN"/>
        </w:rPr>
        <w:t xml:space="preserve"> </w:t>
      </w:r>
      <w:r>
        <w:rPr>
          <w:highlight w:val="none"/>
        </w:rPr>
        <w:t>delivery of high-power picosecond laser in single-ring anti-resonant hollow-core fiber for micromachining</w:t>
      </w:r>
    </w:p>
    <w:p w14:paraId="3D5A5A88">
      <w:pPr>
        <w:pStyle w:val="79"/>
        <w:rPr>
          <w:lang w:eastAsia="zh-CN"/>
        </w:rPr>
      </w:pPr>
      <w:r>
        <w:rPr>
          <w:lang w:eastAsia="zh-CN"/>
        </w:rPr>
        <w:t>Xinshuo Chang</w:t>
      </w:r>
      <w:r>
        <w:rPr>
          <w:vertAlign w:val="superscript"/>
        </w:rPr>
        <w:t>1,2,3,4,</w:t>
      </w:r>
      <w:r>
        <w:rPr>
          <w:rFonts w:hint="eastAsia"/>
          <w:vertAlign w:val="superscript"/>
          <w:lang w:eastAsia="zh-CN"/>
        </w:rPr>
        <w:t>5,</w:t>
      </w:r>
      <w:r>
        <w:rPr>
          <w:vertAlign w:val="superscript"/>
        </w:rPr>
        <w:t>†</w:t>
      </w:r>
      <w:r>
        <w:rPr>
          <w:rFonts w:hint="eastAsia"/>
        </w:rPr>
        <w:t xml:space="preserve">, </w:t>
      </w:r>
      <w:r>
        <w:t>Qinan Jiang</w:t>
      </w:r>
      <w:r>
        <w:rPr>
          <w:rFonts w:hint="eastAsia"/>
          <w:vertAlign w:val="superscript"/>
          <w:lang w:eastAsia="zh-CN"/>
        </w:rPr>
        <w:t>1</w:t>
      </w:r>
      <w:r>
        <w:rPr>
          <w:vertAlign w:val="superscript"/>
          <w:lang w:eastAsia="zh-CN"/>
        </w:rPr>
        <w:t>,†</w:t>
      </w:r>
      <w:r>
        <w:rPr>
          <w:rFonts w:hint="eastAsia"/>
        </w:rPr>
        <w:t xml:space="preserve">, </w:t>
      </w:r>
      <w:r>
        <w:t>Zhiyuan Huang</w:t>
      </w:r>
      <w:r>
        <w:rPr>
          <w:vertAlign w:val="superscript"/>
        </w:rPr>
        <w:t>1,2,</w:t>
      </w:r>
      <w:r>
        <w:rPr>
          <w:rFonts w:hint="eastAsia"/>
          <w:vertAlign w:val="superscript"/>
          <w:lang w:eastAsia="zh-CN"/>
        </w:rPr>
        <w:t>5,</w:t>
      </w:r>
      <w:r>
        <w:rPr>
          <w:vertAlign w:val="superscript"/>
        </w:rPr>
        <w:t>*</w:t>
      </w:r>
      <w:r>
        <w:t>, Jinyu Pan</w:t>
      </w:r>
      <w:r>
        <w:rPr>
          <w:vertAlign w:val="superscript"/>
        </w:rPr>
        <w:t>2</w:t>
      </w:r>
      <w:r>
        <w:t>, Donghan Liu</w:t>
      </w:r>
      <w:r>
        <w:rPr>
          <w:vertAlign w:val="superscript"/>
        </w:rPr>
        <w:t>1,2</w:t>
      </w:r>
      <w:r>
        <w:rPr>
          <w:rFonts w:hint="eastAsia"/>
          <w:vertAlign w:val="superscript"/>
          <w:lang w:eastAsia="zh-CN"/>
        </w:rPr>
        <w:t>,5</w:t>
      </w:r>
      <w:r>
        <w:t>, Qingwei Zhang</w:t>
      </w:r>
      <w:r>
        <w:rPr>
          <w:rFonts w:hint="eastAsia"/>
          <w:vertAlign w:val="superscript"/>
          <w:lang w:eastAsia="zh-CN"/>
        </w:rPr>
        <w:t>6</w:t>
      </w:r>
      <w:r>
        <w:rPr>
          <w:vertAlign w:val="superscript"/>
        </w:rPr>
        <w:t>,</w:t>
      </w:r>
      <w:r>
        <w:rPr>
          <w:rFonts w:hint="eastAsia"/>
          <w:vertAlign w:val="superscript"/>
          <w:lang w:eastAsia="zh-CN"/>
        </w:rPr>
        <w:t>7</w:t>
      </w:r>
      <w:r>
        <w:t>, Nan L</w:t>
      </w:r>
      <w:r>
        <w:rPr>
          <w:rFonts w:hint="eastAsia"/>
          <w:lang w:eastAsia="zh-CN"/>
        </w:rPr>
        <w:t>i</w:t>
      </w:r>
      <w:r>
        <w:rPr>
          <w:rFonts w:hint="eastAsia"/>
          <w:vertAlign w:val="superscript"/>
          <w:lang w:eastAsia="zh-CN"/>
        </w:rPr>
        <w:t>6</w:t>
      </w:r>
      <w:r>
        <w:rPr>
          <w:rFonts w:hint="eastAsia"/>
          <w:lang w:eastAsia="zh-CN"/>
        </w:rPr>
        <w:t>,</w:t>
      </w:r>
      <w:r>
        <w:rPr>
          <w:lang w:eastAsia="zh-CN"/>
        </w:rPr>
        <w:t xml:space="preserve"> Zhuozhao Luo</w:t>
      </w:r>
      <w:r>
        <w:rPr>
          <w:vertAlign w:val="superscript"/>
          <w:lang w:eastAsia="zh-CN"/>
        </w:rPr>
        <w:t>1</w:t>
      </w:r>
      <w:r>
        <w:rPr>
          <w:rFonts w:hint="eastAsia"/>
          <w:vertAlign w:val="superscript"/>
          <w:lang w:eastAsia="zh-CN"/>
        </w:rPr>
        <w:t>,5</w:t>
      </w:r>
      <w:r>
        <w:rPr>
          <w:lang w:eastAsia="zh-CN"/>
        </w:rPr>
        <w:t>, Ruochen Yin</w:t>
      </w:r>
      <w:r>
        <w:rPr>
          <w:vertAlign w:val="superscript"/>
          <w:lang w:eastAsia="zh-CN"/>
        </w:rPr>
        <w:t>1,3</w:t>
      </w:r>
      <w:r>
        <w:rPr>
          <w:rFonts w:hint="eastAsia"/>
          <w:vertAlign w:val="superscript"/>
          <w:lang w:eastAsia="zh-CN"/>
        </w:rPr>
        <w:t>,5</w:t>
      </w:r>
      <w:r>
        <w:rPr>
          <w:lang w:eastAsia="zh-CN"/>
        </w:rPr>
        <w:t>, Wenbin He</w:t>
      </w:r>
      <w:r>
        <w:rPr>
          <w:vertAlign w:val="superscript"/>
          <w:lang w:eastAsia="zh-CN"/>
        </w:rPr>
        <w:t>1</w:t>
      </w:r>
      <w:r>
        <w:rPr>
          <w:rFonts w:hint="eastAsia"/>
          <w:vertAlign w:val="superscript"/>
          <w:lang w:eastAsia="zh-CN"/>
        </w:rPr>
        <w:t>,5</w:t>
      </w:r>
      <w:r>
        <w:rPr>
          <w:lang w:eastAsia="zh-CN"/>
        </w:rPr>
        <w:t>, Jiapeng Huang</w:t>
      </w:r>
      <w:r>
        <w:rPr>
          <w:vertAlign w:val="superscript"/>
          <w:lang w:eastAsia="zh-CN"/>
        </w:rPr>
        <w:t>1</w:t>
      </w:r>
      <w:r>
        <w:rPr>
          <w:rFonts w:hint="eastAsia"/>
          <w:vertAlign w:val="superscript"/>
          <w:lang w:eastAsia="zh-CN"/>
        </w:rPr>
        <w:t>,5</w:t>
      </w:r>
      <w:r>
        <w:rPr>
          <w:lang w:eastAsia="zh-CN"/>
        </w:rPr>
        <w:t>, Yuxin Leng</w:t>
      </w:r>
      <w:r>
        <w:rPr>
          <w:vertAlign w:val="superscript"/>
          <w:lang w:eastAsia="zh-CN"/>
        </w:rPr>
        <w:t>2,4</w:t>
      </w:r>
      <w:r>
        <w:rPr>
          <w:lang w:eastAsia="zh-CN"/>
        </w:rPr>
        <w:t>, Xin Jiang</w:t>
      </w:r>
      <w:r>
        <w:rPr>
          <w:vertAlign w:val="superscript"/>
          <w:lang w:eastAsia="zh-CN"/>
        </w:rPr>
        <w:t>1</w:t>
      </w:r>
      <w:r>
        <w:rPr>
          <w:rFonts w:hint="eastAsia"/>
          <w:vertAlign w:val="superscript"/>
          <w:lang w:eastAsia="zh-CN"/>
        </w:rPr>
        <w:t>,5</w:t>
      </w:r>
      <w:r>
        <w:rPr>
          <w:lang w:eastAsia="zh-CN"/>
        </w:rPr>
        <w:t>, Shanglu Yang</w:t>
      </w:r>
      <w:r>
        <w:rPr>
          <w:rFonts w:hint="eastAsia"/>
          <w:vertAlign w:val="superscript"/>
          <w:lang w:eastAsia="zh-CN"/>
        </w:rPr>
        <w:t>6</w:t>
      </w:r>
      <w:r>
        <w:rPr>
          <w:lang w:eastAsia="zh-CN"/>
        </w:rPr>
        <w:t xml:space="preserve">, </w:t>
      </w:r>
      <w:r>
        <w:rPr>
          <w:rFonts w:hint="eastAsia"/>
        </w:rPr>
        <w:t xml:space="preserve">and </w:t>
      </w:r>
      <w:r>
        <w:rPr>
          <w:lang w:eastAsia="zh-CN"/>
        </w:rPr>
        <w:t>Meng Pang</w:t>
      </w:r>
      <w:r>
        <w:rPr>
          <w:rFonts w:hint="eastAsia"/>
          <w:vertAlign w:val="superscript"/>
          <w:lang w:eastAsia="zh-CN"/>
        </w:rPr>
        <w:t>1,4,5,8</w:t>
      </w:r>
    </w:p>
    <w:p w14:paraId="33C51810">
      <w:pPr>
        <w:snapToGrid w:val="0"/>
        <w:spacing w:after="60"/>
        <w:jc w:val="center"/>
        <w:rPr>
          <w:i/>
          <w:lang w:eastAsia="zh-CN"/>
        </w:rPr>
      </w:pPr>
      <w:r>
        <w:rPr>
          <w:sz w:val="20"/>
          <w:szCs w:val="20"/>
          <w:vertAlign w:val="superscript"/>
        </w:rPr>
        <w:t>1</w:t>
      </w:r>
      <w:r>
        <w:rPr>
          <w:rFonts w:hint="eastAsia"/>
          <w:sz w:val="20"/>
          <w:szCs w:val="20"/>
          <w:vertAlign w:val="superscript"/>
        </w:rPr>
        <w:t xml:space="preserve"> </w:t>
      </w:r>
      <w:r>
        <w:rPr>
          <w:i/>
          <w:lang w:eastAsia="zh-CN"/>
        </w:rPr>
        <w:t>Russell Centre for Advanced Lightwave Science, Shanghai Institute of Optics and Fine Mechanics (SIOM) and Hangzhou Institute of Optics and Fine Mechanics (HIOM), Hangzhou 3114</w:t>
      </w:r>
      <w:r>
        <w:rPr>
          <w:rFonts w:hint="eastAsia"/>
          <w:i/>
          <w:lang w:eastAsia="zh-CN"/>
        </w:rPr>
        <w:t>00</w:t>
      </w:r>
      <w:r>
        <w:rPr>
          <w:i/>
          <w:lang w:eastAsia="zh-CN"/>
        </w:rPr>
        <w:t>, China</w:t>
      </w:r>
    </w:p>
    <w:p w14:paraId="5861968B">
      <w:pPr>
        <w:snapToGrid w:val="0"/>
        <w:spacing w:after="60"/>
        <w:jc w:val="center"/>
        <w:rPr>
          <w:i/>
          <w:lang w:eastAsia="zh-CN"/>
        </w:rPr>
      </w:pPr>
      <w:bookmarkStart w:id="0" w:name="_Hlk195102367"/>
      <w:r>
        <w:rPr>
          <w:sz w:val="20"/>
          <w:szCs w:val="20"/>
          <w:vertAlign w:val="superscript"/>
        </w:rPr>
        <w:t>2</w:t>
      </w:r>
      <w:r>
        <w:rPr>
          <w:i/>
          <w:iCs/>
          <w:sz w:val="20"/>
          <w:szCs w:val="20"/>
        </w:rPr>
        <w:t xml:space="preserve"> </w:t>
      </w:r>
      <w:r>
        <w:rPr>
          <w:i/>
          <w:lang w:eastAsia="zh-CN"/>
        </w:rPr>
        <w:t>State Key Laboratory of</w:t>
      </w:r>
      <w:r>
        <w:rPr>
          <w:rFonts w:hint="eastAsia"/>
          <w:i/>
          <w:lang w:eastAsia="zh-CN"/>
        </w:rPr>
        <w:t xml:space="preserve"> </w:t>
      </w:r>
      <w:r>
        <w:rPr>
          <w:i/>
          <w:lang w:eastAsia="zh-CN"/>
        </w:rPr>
        <w:t>Ultra-intense Laser Science</w:t>
      </w:r>
      <w:r>
        <w:rPr>
          <w:rFonts w:hint="eastAsia"/>
          <w:i/>
          <w:lang w:eastAsia="zh-CN"/>
        </w:rPr>
        <w:t xml:space="preserve"> and Technology</w:t>
      </w:r>
      <w:r>
        <w:rPr>
          <w:i/>
          <w:lang w:eastAsia="zh-CN"/>
        </w:rPr>
        <w:t>,</w:t>
      </w:r>
      <w:r>
        <w:rPr>
          <w:rFonts w:hint="eastAsia"/>
          <w:i/>
          <w:lang w:eastAsia="zh-CN"/>
        </w:rPr>
        <w:t xml:space="preserve"> </w:t>
      </w:r>
      <w:r>
        <w:rPr>
          <w:i/>
          <w:lang w:eastAsia="zh-CN"/>
        </w:rPr>
        <w:t>Shanghai Institute of Optics and Fine Mechanics (SIOM), Chinese Academy of Sciences (CAS), Shanghai 201800, China</w:t>
      </w:r>
    </w:p>
    <w:bookmarkEnd w:id="0"/>
    <w:p w14:paraId="2CACEA4E">
      <w:pPr>
        <w:snapToGrid w:val="0"/>
        <w:spacing w:after="60"/>
        <w:jc w:val="center"/>
        <w:rPr>
          <w:i/>
          <w:lang w:eastAsia="zh-CN"/>
        </w:rPr>
      </w:pPr>
      <w:r>
        <w:rPr>
          <w:sz w:val="20"/>
          <w:szCs w:val="20"/>
          <w:vertAlign w:val="superscript"/>
        </w:rPr>
        <w:t>3</w:t>
      </w:r>
      <w:r>
        <w:rPr>
          <w:i/>
          <w:iCs/>
          <w:sz w:val="20"/>
          <w:szCs w:val="20"/>
        </w:rPr>
        <w:t xml:space="preserve"> </w:t>
      </w:r>
      <w:r>
        <w:rPr>
          <w:i/>
          <w:lang w:eastAsia="zh-CN"/>
        </w:rPr>
        <w:t>Center of Materials Science and Optoelectronics Engineering, University of Chinese Academy of Sciences</w:t>
      </w:r>
      <w:r>
        <w:rPr>
          <w:rFonts w:hint="eastAsia"/>
          <w:i/>
          <w:lang w:eastAsia="zh-CN"/>
        </w:rPr>
        <w:t xml:space="preserve"> (UCAS)</w:t>
      </w:r>
      <w:r>
        <w:rPr>
          <w:i/>
          <w:lang w:eastAsia="zh-CN"/>
        </w:rPr>
        <w:t>, Beijing 100049, China</w:t>
      </w:r>
    </w:p>
    <w:p w14:paraId="5355D07D">
      <w:pPr>
        <w:snapToGrid w:val="0"/>
        <w:spacing w:after="60"/>
        <w:jc w:val="center"/>
        <w:rPr>
          <w:i/>
          <w:lang w:eastAsia="zh-CN"/>
        </w:rPr>
      </w:pPr>
      <w:r>
        <w:rPr>
          <w:sz w:val="20"/>
          <w:szCs w:val="20"/>
          <w:vertAlign w:val="superscript"/>
        </w:rPr>
        <w:t>4</w:t>
      </w:r>
      <w:r>
        <w:rPr>
          <w:i/>
          <w:iCs/>
          <w:sz w:val="20"/>
          <w:szCs w:val="20"/>
        </w:rPr>
        <w:t xml:space="preserve"> </w:t>
      </w:r>
      <w:r>
        <w:rPr>
          <w:i/>
          <w:lang w:eastAsia="zh-CN"/>
        </w:rPr>
        <w:t>Hangzhou Institute for Advanced Study,</w:t>
      </w:r>
      <w:r>
        <w:rPr>
          <w:rFonts w:hint="eastAsia"/>
          <w:i/>
          <w:lang w:eastAsia="zh-CN"/>
        </w:rPr>
        <w:t xml:space="preserve"> </w:t>
      </w:r>
      <w:r>
        <w:rPr>
          <w:i/>
          <w:lang w:eastAsia="zh-CN"/>
        </w:rPr>
        <w:t>University</w:t>
      </w:r>
      <w:r>
        <w:rPr>
          <w:rFonts w:hint="eastAsia"/>
          <w:i/>
          <w:lang w:eastAsia="zh-CN"/>
        </w:rPr>
        <w:t xml:space="preserve"> of </w:t>
      </w:r>
      <w:r>
        <w:rPr>
          <w:i/>
          <w:lang w:eastAsia="zh-CN"/>
        </w:rPr>
        <w:t>Chinese Academy of Sciences</w:t>
      </w:r>
      <w:r>
        <w:rPr>
          <w:rFonts w:hint="eastAsia"/>
          <w:i/>
          <w:lang w:eastAsia="zh-CN"/>
        </w:rPr>
        <w:t xml:space="preserve"> (UCAS)</w:t>
      </w:r>
      <w:r>
        <w:rPr>
          <w:i/>
          <w:lang w:eastAsia="zh-CN"/>
        </w:rPr>
        <w:t>, Hangzhou 310024, China</w:t>
      </w:r>
    </w:p>
    <w:p w14:paraId="30CB84A7">
      <w:pPr>
        <w:snapToGrid w:val="0"/>
        <w:spacing w:after="60"/>
        <w:jc w:val="center"/>
        <w:rPr>
          <w:i/>
          <w:highlight w:val="none"/>
          <w:lang w:eastAsia="zh-CN"/>
        </w:rPr>
      </w:pPr>
      <w:r>
        <w:rPr>
          <w:rFonts w:hint="eastAsia"/>
          <w:sz w:val="20"/>
          <w:szCs w:val="20"/>
          <w:highlight w:val="none"/>
          <w:vertAlign w:val="superscript"/>
          <w:lang w:eastAsia="zh-CN"/>
        </w:rPr>
        <w:t>5</w:t>
      </w:r>
      <w:r>
        <w:rPr>
          <w:rFonts w:hint="eastAsia"/>
          <w:sz w:val="20"/>
          <w:szCs w:val="20"/>
          <w:highlight w:val="none"/>
          <w:vertAlign w:val="superscript"/>
        </w:rPr>
        <w:t xml:space="preserve"> </w:t>
      </w:r>
      <w:r>
        <w:rPr>
          <w:rFonts w:hint="eastAsia"/>
          <w:i/>
          <w:highlight w:val="none"/>
          <w:lang w:eastAsia="zh-CN"/>
        </w:rPr>
        <w:t>Zhejiang Key Laboratory of Microstructured Specialty Optical Fiber, Hangzhou Institute of Optics and Fine Mechanics (HIOM), Hangzhou 311400, China</w:t>
      </w:r>
    </w:p>
    <w:p w14:paraId="16678D38">
      <w:pPr>
        <w:snapToGrid w:val="0"/>
        <w:spacing w:after="60"/>
        <w:jc w:val="center"/>
        <w:rPr>
          <w:i/>
          <w:lang w:eastAsia="zh-CN"/>
        </w:rPr>
      </w:pPr>
      <w:r>
        <w:rPr>
          <w:rFonts w:hint="eastAsia"/>
          <w:sz w:val="20"/>
          <w:szCs w:val="20"/>
          <w:vertAlign w:val="superscript"/>
          <w:lang w:eastAsia="zh-CN"/>
        </w:rPr>
        <w:t>6</w:t>
      </w:r>
      <w:r>
        <w:rPr>
          <w:i/>
          <w:iCs/>
          <w:sz w:val="20"/>
          <w:szCs w:val="20"/>
        </w:rPr>
        <w:t xml:space="preserve"> </w:t>
      </w:r>
      <w:r>
        <w:rPr>
          <w:i/>
          <w:lang w:eastAsia="zh-CN"/>
        </w:rPr>
        <w:t>Center for Laser-Aided Manufacturing and Processing, Shanghai Institute of Optics and Fine Mechanics (SIOM), Chinese Academy of Sciences (CAS), Shanghai 201800,</w:t>
      </w:r>
      <w:r>
        <w:rPr>
          <w:rFonts w:hint="eastAsia"/>
          <w:i/>
          <w:lang w:eastAsia="zh-CN"/>
        </w:rPr>
        <w:t xml:space="preserve"> </w:t>
      </w:r>
      <w:r>
        <w:rPr>
          <w:i/>
          <w:lang w:eastAsia="zh-CN"/>
        </w:rPr>
        <w:t>China</w:t>
      </w:r>
    </w:p>
    <w:p w14:paraId="10678061">
      <w:pPr>
        <w:snapToGrid w:val="0"/>
        <w:spacing w:after="60"/>
        <w:jc w:val="center"/>
        <w:rPr>
          <w:i/>
          <w:lang w:eastAsia="zh-CN"/>
        </w:rPr>
      </w:pPr>
      <w:r>
        <w:rPr>
          <w:rFonts w:hint="eastAsia"/>
          <w:sz w:val="20"/>
          <w:szCs w:val="20"/>
          <w:vertAlign w:val="superscript"/>
          <w:lang w:eastAsia="zh-CN"/>
        </w:rPr>
        <w:t>7</w:t>
      </w:r>
      <w:r>
        <w:rPr>
          <w:i/>
          <w:iCs/>
          <w:sz w:val="20"/>
          <w:szCs w:val="20"/>
        </w:rPr>
        <w:t xml:space="preserve"> </w:t>
      </w:r>
      <w:r>
        <w:rPr>
          <w:i/>
          <w:lang w:eastAsia="zh-CN"/>
        </w:rPr>
        <w:t>e-mail: zhangqingwei@siom.ac.cn</w:t>
      </w:r>
    </w:p>
    <w:p w14:paraId="3773C1C1">
      <w:pPr>
        <w:snapToGrid w:val="0"/>
        <w:spacing w:after="60"/>
        <w:jc w:val="center"/>
        <w:rPr>
          <w:i/>
          <w:lang w:eastAsia="zh-CN"/>
        </w:rPr>
      </w:pPr>
      <w:r>
        <w:rPr>
          <w:rFonts w:hint="eastAsia"/>
          <w:sz w:val="20"/>
          <w:szCs w:val="20"/>
          <w:vertAlign w:val="superscript"/>
          <w:lang w:eastAsia="zh-CN"/>
        </w:rPr>
        <w:t>8</w:t>
      </w:r>
      <w:r>
        <w:rPr>
          <w:i/>
          <w:iCs/>
          <w:sz w:val="20"/>
          <w:szCs w:val="20"/>
        </w:rPr>
        <w:t xml:space="preserve"> </w:t>
      </w:r>
      <w:r>
        <w:rPr>
          <w:i/>
          <w:lang w:eastAsia="zh-CN"/>
        </w:rPr>
        <w:t>e-mail: pangmeng@siom.ac.cn</w:t>
      </w:r>
    </w:p>
    <w:p w14:paraId="66E80FA2">
      <w:pPr>
        <w:snapToGrid w:val="0"/>
        <w:spacing w:after="60"/>
        <w:jc w:val="center"/>
        <w:rPr>
          <w:rFonts w:eastAsia="宋体"/>
          <w:iCs/>
          <w:lang w:val="en-US" w:eastAsia="zh-CN"/>
        </w:rPr>
      </w:pPr>
      <w:r>
        <w:rPr>
          <w:rFonts w:hint="eastAsia" w:eastAsia="宋体"/>
          <w:iCs/>
          <w:lang w:val="en-US" w:eastAsia="zh-CN"/>
        </w:rPr>
        <w:t>*</w:t>
      </w:r>
      <w:r>
        <w:rPr>
          <w:rFonts w:eastAsia="宋体"/>
          <w:iCs/>
          <w:lang w:val="en-US" w:eastAsia="zh-CN"/>
        </w:rPr>
        <w:t>Corresponding author:</w:t>
      </w:r>
      <w:r>
        <w:rPr>
          <w:rFonts w:eastAsia="宋体"/>
          <w:lang w:val="en-US" w:eastAsia="en-US"/>
        </w:rPr>
        <w:t xml:space="preserve"> </w:t>
      </w:r>
      <w:r>
        <w:fldChar w:fldCharType="begin"/>
      </w:r>
      <w:r>
        <w:instrText xml:space="preserve"> HYPERLINK "mailto:huangzhiyuan@siom.ac.cn" </w:instrText>
      </w:r>
      <w:r>
        <w:fldChar w:fldCharType="separate"/>
      </w:r>
      <w:r>
        <w:rPr>
          <w:rFonts w:eastAsia="宋体"/>
          <w:iCs/>
          <w:color w:val="0000FF"/>
          <w:u w:val="single"/>
          <w:lang w:val="en-US" w:eastAsia="zh-CN"/>
        </w:rPr>
        <w:t>huangzhiyuan@siom.ac.cn</w:t>
      </w:r>
      <w:r>
        <w:rPr>
          <w:rFonts w:eastAsia="宋体"/>
          <w:iCs/>
          <w:color w:val="0000FF"/>
          <w:u w:val="single"/>
          <w:lang w:val="en-US" w:eastAsia="zh-CN"/>
        </w:rPr>
        <w:fldChar w:fldCharType="end"/>
      </w:r>
    </w:p>
    <w:p w14:paraId="6FACB2DC">
      <w:pPr>
        <w:snapToGrid w:val="0"/>
        <w:spacing w:after="60"/>
        <w:jc w:val="center"/>
        <w:rPr>
          <w:rFonts w:eastAsia="宋体"/>
          <w:iCs/>
          <w:lang w:val="en-US" w:eastAsia="zh-CN"/>
        </w:rPr>
      </w:pPr>
      <w:r>
        <w:rPr>
          <w:rFonts w:eastAsia="宋体"/>
          <w:iCs/>
          <w:lang w:val="en-US" w:eastAsia="zh-CN"/>
        </w:rPr>
        <w:t>†These authors contributed equally to this work</w:t>
      </w:r>
    </w:p>
    <w:p w14:paraId="4F56892C">
      <w:pPr>
        <w:rPr>
          <w:rFonts w:eastAsiaTheme="minorEastAsia"/>
          <w:b/>
          <w:spacing w:val="6"/>
          <w:kern w:val="16"/>
          <w:position w:val="2"/>
          <w:sz w:val="36"/>
          <w:szCs w:val="36"/>
          <w:lang w:val="en-US" w:eastAsia="zh-CN"/>
        </w:rPr>
      </w:pPr>
      <w:r>
        <w:rPr>
          <w:sz w:val="36"/>
          <w:szCs w:val="36"/>
          <w:lang w:eastAsia="zh-CN"/>
        </w:rPr>
        <w:br w:type="page"/>
      </w:r>
    </w:p>
    <w:p w14:paraId="45D94283">
      <w:pPr>
        <w:spacing w:before="360" w:after="360" w:line="480" w:lineRule="auto"/>
        <w:jc w:val="center"/>
        <w:rPr>
          <w:rFonts w:eastAsia="宋体"/>
          <w:b/>
          <w:sz w:val="36"/>
          <w:highlight w:val="none"/>
          <w:lang w:val="en-US" w:eastAsia="en-US"/>
        </w:rPr>
      </w:pPr>
      <w:bookmarkStart w:id="34" w:name="_GoBack"/>
      <w:r>
        <w:rPr>
          <w:rFonts w:eastAsia="宋体"/>
          <w:b/>
          <w:sz w:val="36"/>
          <w:highlight w:val="none"/>
          <w:lang w:val="en-US" w:eastAsia="en-US"/>
        </w:rPr>
        <w:t>High-quality delivery of high-power picosecond laser in single-ring anti-resonant hollow-core fiber for micromachining</w:t>
      </w:r>
    </w:p>
    <w:bookmarkEnd w:id="34"/>
    <w:p w14:paraId="3AD97A26">
      <w:pPr>
        <w:pStyle w:val="66"/>
        <w:numPr>
          <w:ilvl w:val="0"/>
          <w:numId w:val="1"/>
        </w:numPr>
        <w:spacing w:after="240" w:afterLines="100"/>
        <w:rPr>
          <w:rFonts w:ascii="Times New Roman" w:hAnsi="Times New Roman" w:cs="Arial" w:eastAsiaTheme="minorEastAsia"/>
          <w:b/>
          <w:sz w:val="28"/>
          <w:szCs w:val="28"/>
          <w:lang w:eastAsia="zh-CN"/>
        </w:rPr>
      </w:pPr>
      <w:bookmarkStart w:id="1" w:name="_Hlk188627633"/>
      <w:r>
        <w:rPr>
          <w:rFonts w:ascii="Times New Roman" w:hAnsi="Times New Roman" w:cs="Arial" w:eastAsiaTheme="minorEastAsia"/>
          <w:b/>
          <w:sz w:val="28"/>
          <w:szCs w:val="28"/>
          <w:lang w:eastAsia="zh-CN"/>
        </w:rPr>
        <w:t>The measured loss of the anti-resonant hollow-core fiber (AR-HCF)</w:t>
      </w:r>
    </w:p>
    <w:bookmarkEnd w:id="1"/>
    <w:p w14:paraId="442FE67C">
      <w:pPr>
        <w:pStyle w:val="66"/>
        <w:spacing w:line="480" w:lineRule="auto"/>
        <w:ind w:firstLine="0"/>
        <w:rPr>
          <w:rFonts w:ascii="Times New Roman" w:hAnsi="Times New Roman" w:eastAsiaTheme="minorEastAsia"/>
          <w:sz w:val="24"/>
          <w:szCs w:val="24"/>
          <w:lang w:eastAsia="zh-CN"/>
        </w:rPr>
      </w:pPr>
      <w:r>
        <w:rPr>
          <w:rFonts w:ascii="Times New Roman" w:hAnsi="Times New Roman" w:eastAsiaTheme="minorEastAsia"/>
          <w:sz w:val="24"/>
          <w:szCs w:val="24"/>
          <w:lang w:eastAsia="zh-CN"/>
        </w:rPr>
        <w:t>The measured loss of the AR-HCF was obtained using the cut-back method, and the measurement results were plotted in Fig. S1. Figures S1(a) and S1(b) correspond to the fiber losses of AR-HCF1 and AR-HCF2, respectively. The dashed black lines in Figs.  S1(a) and S1(b) indicate the pump wavelength of 1064 nm, at which the fiber losses of AR-HCF1 and AR-HCF2 were measured to be 0.12 dB/m and 0.10 dB/m, respectively.</w:t>
      </w:r>
    </w:p>
    <w:p w14:paraId="7CAA0559">
      <w:pPr>
        <w:pStyle w:val="66"/>
        <w:spacing w:before="480" w:after="180"/>
        <w:ind w:firstLine="0"/>
        <w:jc w:val="center"/>
        <w:rPr>
          <w:rFonts w:ascii="Times New Roman" w:hAnsi="Times New Roman" w:eastAsiaTheme="minorEastAsia"/>
          <w:sz w:val="24"/>
          <w:szCs w:val="24"/>
          <w:lang w:eastAsia="zh-CN"/>
        </w:rPr>
      </w:pPr>
      <w:r>
        <w:rPr>
          <w:rFonts w:hint="eastAsia" w:ascii="Times New Roman" w:hAnsi="Times New Roman" w:eastAsiaTheme="minorEastAsia"/>
          <w:sz w:val="24"/>
          <w:szCs w:val="24"/>
          <w:lang w:eastAsia="zh-CN"/>
        </w:rPr>
        <w:drawing>
          <wp:inline distT="0" distB="0" distL="0" distR="0">
            <wp:extent cx="3257550" cy="35852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258000" cy="3585600"/>
                    </a:xfrm>
                    <a:prstGeom prst="rect">
                      <a:avLst/>
                    </a:prstGeom>
                  </pic:spPr>
                </pic:pic>
              </a:graphicData>
            </a:graphic>
          </wp:inline>
        </w:drawing>
      </w:r>
    </w:p>
    <w:p w14:paraId="219C3386">
      <w:pPr>
        <w:pStyle w:val="47"/>
        <w:rPr>
          <w:b w:val="0"/>
          <w:bCs/>
        </w:rPr>
      </w:pPr>
      <w:bookmarkStart w:id="2" w:name="_Hlk188629074"/>
      <w:r>
        <w:t>Fig</w:t>
      </w:r>
      <w:r>
        <w:rPr>
          <w:rFonts w:hint="eastAsia" w:eastAsiaTheme="minorEastAsia"/>
          <w:lang w:eastAsia="zh-CN"/>
        </w:rPr>
        <w:t>ure</w:t>
      </w:r>
      <w:r>
        <w:t>. S1.</w:t>
      </w:r>
      <w:bookmarkEnd w:id="2"/>
      <w:r>
        <w:rPr>
          <w:bCs/>
        </w:rPr>
        <w:t xml:space="preserve"> </w:t>
      </w:r>
      <w:r>
        <w:rPr>
          <w:b w:val="0"/>
          <w:bCs/>
        </w:rPr>
        <w:t>Measured loss of the AR-HCF, (a) and (b) correspond to AR-HCF1 and AR-HCF2, respectively. The dashed black lines in panels (a) and (b) represent the pump wavelength of 1064 nm, at which the fiber losses of AR-HCF1 and AR-HCF2 were measured to be 0.12 dB/m and 0.10 dB/m, respectively.</w:t>
      </w:r>
    </w:p>
    <w:p w14:paraId="00716FD4">
      <w:pPr>
        <w:pStyle w:val="66"/>
        <w:numPr>
          <w:ilvl w:val="0"/>
          <w:numId w:val="1"/>
        </w:numPr>
        <w:spacing w:after="240" w:afterLines="100"/>
        <w:rPr>
          <w:rFonts w:ascii="Times New Roman" w:hAnsi="Times New Roman" w:eastAsiaTheme="minorEastAsia"/>
          <w:b/>
          <w:sz w:val="28"/>
          <w:szCs w:val="28"/>
          <w:lang w:eastAsia="zh-CN"/>
        </w:rPr>
      </w:pPr>
      <w:bookmarkStart w:id="3" w:name="_Hlk188629840"/>
      <w:r>
        <w:rPr>
          <w:rFonts w:ascii="Times New Roman" w:hAnsi="Times New Roman" w:cs="Arial" w:eastAsiaTheme="minorEastAsia"/>
          <w:b/>
          <w:sz w:val="28"/>
          <w:szCs w:val="28"/>
          <w:lang w:eastAsia="zh-CN"/>
        </w:rPr>
        <w:t>Evolution of beam profiles at output ports of three laser delivery systems in static and oscillating states</w:t>
      </w:r>
    </w:p>
    <w:bookmarkEnd w:id="3"/>
    <w:p w14:paraId="1ADBCAD2">
      <w:pPr>
        <w:pStyle w:val="66"/>
        <w:spacing w:line="480" w:lineRule="auto"/>
        <w:ind w:firstLine="0"/>
        <w:rPr>
          <w:rFonts w:ascii="Times New Roman" w:hAnsi="Times New Roman" w:eastAsiaTheme="minorEastAsia"/>
          <w:sz w:val="24"/>
          <w:szCs w:val="24"/>
          <w:lang w:eastAsia="zh-CN"/>
        </w:rPr>
      </w:pPr>
      <w:r>
        <w:rPr>
          <w:rFonts w:ascii="Times New Roman" w:hAnsi="Times New Roman" w:eastAsiaTheme="minorEastAsia"/>
          <w:sz w:val="24"/>
          <w:szCs w:val="24"/>
          <w:lang w:eastAsia="zh-CN"/>
        </w:rPr>
        <w:t>Figures S2(a) and S2(b) present the evolution of beam profiles measured at 20-second intervals from the output ports of three laser delivery systems (including free space, 3-m-long AR-HCF1, and 3-m-long AR-HCF2) under static and oscillating fiber conditions, respectively. When the AR-HCF is in a static state, it can be observed that for the laser delivery systems: 3-m-long AR-HCF1 and 3-m-long AR-HCF2, the beam profiles at the output ports during in-line processing are as stable as the beam profiles in free space, as shown in Fig. S2(a). However, when the AR-HCF is in an oscillating state, we can observe the beam-profile instability at the output port of the AR-HCF1, which is caused by certain energy coupling from fundamental optical mode to some high-order modes of the fiber (see Fig. S2(b)). Therefore, the in-line processing results using AR-HCF1 exhibit obvious displacements from the perfectly-straight line due to the instability of the output beam from the fiber, see Fig. 5(b) of the main text. While for AR-HCF2, this beam-profile instability can be efficiently eliminated, so that h</w:t>
      </w:r>
      <w:r>
        <w:rPr>
          <w:rFonts w:hint="eastAsia" w:ascii="Times New Roman" w:hAnsi="Times New Roman" w:eastAsiaTheme="minorEastAsia"/>
          <w:sz w:val="24"/>
          <w:szCs w:val="24"/>
          <w:lang w:eastAsia="zh-CN"/>
        </w:rPr>
        <w:t xml:space="preserve">ighly-pure fundamental optical mode with a Gaussian-like shape </w:t>
      </w:r>
      <w:r>
        <w:rPr>
          <w:rFonts w:ascii="Times New Roman" w:hAnsi="Times New Roman" w:eastAsiaTheme="minorEastAsia"/>
          <w:sz w:val="24"/>
          <w:szCs w:val="24"/>
          <w:lang w:eastAsia="zh-CN"/>
        </w:rPr>
        <w:t>can</w:t>
      </w:r>
      <w:r>
        <w:rPr>
          <w:rFonts w:hint="eastAsia" w:ascii="Times New Roman" w:hAnsi="Times New Roman" w:eastAsiaTheme="minorEastAsia"/>
          <w:sz w:val="24"/>
          <w:szCs w:val="24"/>
          <w:lang w:eastAsia="zh-CN"/>
        </w:rPr>
        <w:t xml:space="preserve"> </w:t>
      </w:r>
      <w:r>
        <w:rPr>
          <w:rFonts w:ascii="Times New Roman" w:hAnsi="Times New Roman" w:eastAsiaTheme="minorEastAsia"/>
          <w:sz w:val="24"/>
          <w:szCs w:val="24"/>
          <w:lang w:eastAsia="zh-CN"/>
        </w:rPr>
        <w:t>always be</w:t>
      </w:r>
      <w:r>
        <w:rPr>
          <w:rFonts w:hint="eastAsia" w:ascii="Times New Roman" w:hAnsi="Times New Roman" w:eastAsiaTheme="minorEastAsia"/>
          <w:sz w:val="24"/>
          <w:szCs w:val="24"/>
          <w:lang w:eastAsia="zh-CN"/>
        </w:rPr>
        <w:t xml:space="preserve"> obtained at the fiber </w:t>
      </w:r>
      <w:r>
        <w:rPr>
          <w:rFonts w:ascii="Times New Roman" w:hAnsi="Times New Roman" w:eastAsiaTheme="minorEastAsia"/>
          <w:sz w:val="24"/>
          <w:szCs w:val="24"/>
          <w:lang w:eastAsia="zh-CN"/>
        </w:rPr>
        <w:t>output</w:t>
      </w:r>
      <w:r>
        <w:rPr>
          <w:rFonts w:hint="eastAsia" w:ascii="Times New Roman" w:hAnsi="Times New Roman" w:eastAsiaTheme="minorEastAsia"/>
          <w:sz w:val="24"/>
          <w:szCs w:val="24"/>
          <w:lang w:eastAsia="zh-CN"/>
        </w:rPr>
        <w:t xml:space="preserve"> port</w:t>
      </w:r>
      <w:r>
        <w:rPr>
          <w:rFonts w:ascii="Times New Roman" w:hAnsi="Times New Roman" w:eastAsiaTheme="minorEastAsia"/>
          <w:sz w:val="24"/>
          <w:szCs w:val="24"/>
          <w:lang w:eastAsia="zh-CN"/>
        </w:rPr>
        <w:t xml:space="preserve"> without being affected by </w:t>
      </w:r>
      <w:r>
        <w:rPr>
          <w:rFonts w:hint="eastAsia" w:ascii="Times New Roman" w:hAnsi="Times New Roman" w:eastAsiaTheme="minorEastAsia"/>
          <w:sz w:val="24"/>
          <w:szCs w:val="24"/>
          <w:lang w:eastAsia="zh-CN"/>
        </w:rPr>
        <w:t>external</w:t>
      </w:r>
      <w:r>
        <w:rPr>
          <w:rFonts w:ascii="Times New Roman" w:hAnsi="Times New Roman" w:eastAsiaTheme="minorEastAsia"/>
          <w:sz w:val="24"/>
          <w:szCs w:val="24"/>
          <w:lang w:eastAsia="zh-CN"/>
        </w:rPr>
        <w:t xml:space="preserve"> perturbations, see Fig. S2(b)</w:t>
      </w:r>
      <w:r>
        <w:rPr>
          <w:rFonts w:hint="eastAsia" w:ascii="Times New Roman" w:hAnsi="Times New Roman" w:eastAsiaTheme="minorEastAsia"/>
          <w:sz w:val="24"/>
          <w:szCs w:val="24"/>
          <w:lang w:eastAsia="zh-CN"/>
        </w:rPr>
        <w:t>.</w:t>
      </w:r>
      <w:r>
        <w:rPr>
          <w:rFonts w:ascii="Times New Roman" w:hAnsi="Times New Roman" w:eastAsiaTheme="minorEastAsia"/>
          <w:sz w:val="24"/>
          <w:szCs w:val="24"/>
          <w:lang w:eastAsia="zh-CN"/>
        </w:rPr>
        <w:t xml:space="preserve"> It can be found that the manufacturing quality of the AR-HCF2 delivery system is almost the same with that of the free-space delivery system, see Figs. 5(a) and 5(c) of the main text.</w:t>
      </w:r>
    </w:p>
    <w:p w14:paraId="7D00939B">
      <w:pPr>
        <w:spacing w:before="480" w:after="180"/>
        <w:jc w:val="center"/>
        <w:rPr>
          <w:rFonts w:eastAsiaTheme="minorEastAsia"/>
          <w:spacing w:val="-8"/>
          <w:lang w:val="en-US" w:eastAsia="zh-CN"/>
        </w:rPr>
      </w:pPr>
      <w:r>
        <w:rPr>
          <w:rFonts w:hint="eastAsia" w:eastAsiaTheme="minorEastAsia"/>
          <w:spacing w:val="-8"/>
          <w:lang w:val="en-US" w:eastAsia="zh-CN"/>
        </w:rPr>
        <w:drawing>
          <wp:inline distT="0" distB="0" distL="0" distR="0">
            <wp:extent cx="4143375" cy="44780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143600" cy="4478400"/>
                    </a:xfrm>
                    <a:prstGeom prst="rect">
                      <a:avLst/>
                    </a:prstGeom>
                  </pic:spPr>
                </pic:pic>
              </a:graphicData>
            </a:graphic>
          </wp:inline>
        </w:drawing>
      </w:r>
    </w:p>
    <w:p w14:paraId="1A2BAB4B">
      <w:pPr>
        <w:pStyle w:val="47"/>
        <w:rPr>
          <w:b w:val="0"/>
          <w:bCs/>
        </w:rPr>
      </w:pPr>
      <w:bookmarkStart w:id="4" w:name="_Hlk188630089"/>
      <w:r>
        <w:t>Fig</w:t>
      </w:r>
      <w:r>
        <w:rPr>
          <w:rFonts w:hint="eastAsia" w:eastAsiaTheme="minorEastAsia"/>
          <w:lang w:eastAsia="zh-CN"/>
        </w:rPr>
        <w:t>ure</w:t>
      </w:r>
      <w:r>
        <w:t xml:space="preserve">. S2. </w:t>
      </w:r>
      <w:r>
        <w:rPr>
          <w:b w:val="0"/>
          <w:bCs/>
        </w:rPr>
        <w:t xml:space="preserve">During in-line processing, beam profiles were measured at 20-second intervals </w:t>
      </w:r>
      <w:bookmarkStart w:id="5" w:name="OLE_LINK8"/>
      <w:bookmarkStart w:id="6" w:name="OLE_LINK7"/>
      <w:r>
        <w:rPr>
          <w:b w:val="0"/>
          <w:bCs/>
        </w:rPr>
        <w:t>from the output ports of three laser delivery systems: free space, 3-m-long AR-HCF1, and 3-m-long AR-HCF2</w:t>
      </w:r>
      <w:bookmarkEnd w:id="4"/>
      <w:bookmarkEnd w:id="5"/>
      <w:bookmarkEnd w:id="6"/>
      <w:r>
        <w:rPr>
          <w:b w:val="0"/>
          <w:bCs/>
        </w:rPr>
        <w:t>, under static (a) and oscillating (b) fiber conditions. The measured beam profiles in (b) correspond to the in-line processing results in Figs. 5(b) and 5(c) of the main text.</w:t>
      </w:r>
    </w:p>
    <w:p w14:paraId="18570F6D">
      <w:pPr>
        <w:pStyle w:val="66"/>
        <w:numPr>
          <w:ilvl w:val="0"/>
          <w:numId w:val="1"/>
        </w:numPr>
        <w:spacing w:after="240" w:afterLines="100"/>
        <w:rPr>
          <w:rFonts w:ascii="Times New Roman" w:hAnsi="Times New Roman" w:cs="Arial" w:eastAsiaTheme="minorEastAsia"/>
          <w:b/>
          <w:sz w:val="28"/>
          <w:szCs w:val="28"/>
          <w:lang w:eastAsia="zh-CN"/>
        </w:rPr>
      </w:pPr>
      <w:r>
        <w:rPr>
          <w:rFonts w:ascii="Times New Roman" w:hAnsi="Times New Roman" w:cs="Arial" w:eastAsiaTheme="minorEastAsia"/>
          <w:b/>
          <w:sz w:val="28"/>
          <w:szCs w:val="28"/>
          <w:lang w:eastAsia="zh-CN"/>
        </w:rPr>
        <w:t>Estimation of displacement degree</w:t>
      </w:r>
    </w:p>
    <w:p w14:paraId="5EF77E65">
      <w:pPr>
        <w:pStyle w:val="66"/>
        <w:spacing w:line="480" w:lineRule="auto"/>
        <w:ind w:firstLine="0"/>
        <w:rPr>
          <w:rFonts w:ascii="Times New Roman" w:hAnsi="Times New Roman" w:eastAsiaTheme="minorEastAsia"/>
          <w:sz w:val="24"/>
          <w:szCs w:val="24"/>
          <w:lang w:eastAsia="zh-CN"/>
        </w:rPr>
      </w:pPr>
      <w:r>
        <w:rPr>
          <w:rFonts w:ascii="Times New Roman" w:hAnsi="Times New Roman" w:eastAsiaTheme="minorEastAsia"/>
          <w:sz w:val="24"/>
          <w:szCs w:val="24"/>
          <w:lang w:eastAsia="zh-CN"/>
        </w:rPr>
        <w:t xml:space="preserve">In order to </w:t>
      </w:r>
      <w:r>
        <w:rPr>
          <w:rFonts w:hint="eastAsia" w:ascii="Times New Roman" w:hAnsi="Times New Roman" w:eastAsiaTheme="minorEastAsia"/>
          <w:sz w:val="24"/>
          <w:szCs w:val="24"/>
          <w:lang w:eastAsia="zh-CN"/>
        </w:rPr>
        <w:t xml:space="preserve">quantitatively evaluate the quality of the in-line processing, we estimated </w:t>
      </w:r>
      <w:r>
        <w:rPr>
          <w:rFonts w:ascii="Times New Roman" w:hAnsi="Times New Roman" w:eastAsiaTheme="minorEastAsia"/>
          <w:sz w:val="24"/>
          <w:szCs w:val="24"/>
          <w:lang w:eastAsia="zh-CN"/>
        </w:rPr>
        <w:t xml:space="preserve">the </w:t>
      </w:r>
      <w:r>
        <w:rPr>
          <w:rFonts w:hint="eastAsia" w:ascii="Times New Roman" w:hAnsi="Times New Roman" w:eastAsiaTheme="minorEastAsia"/>
          <w:sz w:val="24"/>
          <w:szCs w:val="24"/>
          <w:lang w:eastAsia="zh-CN"/>
        </w:rPr>
        <w:t>displacement</w:t>
      </w:r>
      <w:r>
        <w:rPr>
          <w:rFonts w:ascii="Times New Roman" w:hAnsi="Times New Roman" w:eastAsiaTheme="minorEastAsia"/>
          <w:sz w:val="24"/>
          <w:szCs w:val="24"/>
          <w:lang w:eastAsia="zh-CN"/>
        </w:rPr>
        <w:t xml:space="preserve"> degree of </w:t>
      </w:r>
      <w:r>
        <w:rPr>
          <w:rFonts w:hint="eastAsia" w:ascii="Times New Roman" w:hAnsi="Times New Roman" w:eastAsiaTheme="minorEastAsia"/>
          <w:sz w:val="24"/>
          <w:szCs w:val="24"/>
          <w:lang w:eastAsia="zh-CN"/>
        </w:rPr>
        <w:t>these in-line</w:t>
      </w:r>
      <w:r>
        <w:rPr>
          <w:rFonts w:ascii="Times New Roman" w:hAnsi="Times New Roman" w:eastAsiaTheme="minorEastAsia"/>
          <w:sz w:val="24"/>
          <w:szCs w:val="24"/>
          <w:lang w:eastAsia="zh-CN"/>
        </w:rPr>
        <w:t xml:space="preserve"> processing </w:t>
      </w:r>
      <w:r>
        <w:rPr>
          <w:rFonts w:hint="eastAsia" w:ascii="Times New Roman" w:hAnsi="Times New Roman" w:eastAsiaTheme="minorEastAsia"/>
          <w:sz w:val="24"/>
          <w:szCs w:val="24"/>
          <w:lang w:eastAsia="zh-CN"/>
        </w:rPr>
        <w:t>results</w:t>
      </w:r>
      <w:r>
        <w:rPr>
          <w:rFonts w:ascii="Times New Roman" w:hAnsi="Times New Roman" w:eastAsiaTheme="minorEastAsia"/>
          <w:sz w:val="24"/>
          <w:szCs w:val="24"/>
          <w:lang w:eastAsia="zh-CN"/>
        </w:rPr>
        <w:t>. Figure S3 exhibits the in-line processing result on the surfaces of aluminum sheet using ~20 W picosecond laser beams delivered over 3-m-long AR-HCF2.</w:t>
      </w:r>
      <w:r>
        <w:rPr>
          <w:rFonts w:hint="eastAsia" w:ascii="Times New Roman" w:hAnsi="Times New Roman" w:eastAsiaTheme="minorEastAsia"/>
          <w:sz w:val="24"/>
          <w:szCs w:val="24"/>
          <w:lang w:eastAsia="zh-CN"/>
        </w:rPr>
        <w:t xml:space="preserve"> </w:t>
      </w:r>
      <w:r>
        <w:rPr>
          <w:rFonts w:ascii="Times New Roman" w:hAnsi="Times New Roman" w:eastAsiaTheme="minorEastAsia"/>
          <w:sz w:val="24"/>
          <w:szCs w:val="24"/>
          <w:lang w:eastAsia="zh-CN"/>
        </w:rPr>
        <w:t>We first select two points at the beginning and end of this processing trace and connect them into a line, using this line as the reference line (solid red line in Fig. S3). Then, 52 points are uniformly selected along the center of this processing trace, and the vertical distances from these points to the reference line are obtained (the vertical distances of 8 sampling points are shown in Figs. S3). The displacement degree of this processing result is defined as the ratio of the standard deviation of these 52 values to their mean, and the calculated value is 2.38%. Using the same estimation method, we can obtain the displacement degrees are 2.12% and 5.66% for the laser delivery systems over free space and 3-m-long AR-HCF1, respectively.</w:t>
      </w:r>
    </w:p>
    <w:p w14:paraId="57B8D290">
      <w:pPr>
        <w:spacing w:before="480" w:after="180"/>
        <w:jc w:val="center"/>
        <w:rPr>
          <w:b/>
          <w:sz w:val="21"/>
          <w:szCs w:val="21"/>
        </w:rPr>
      </w:pPr>
      <w:r>
        <w:rPr>
          <w:rFonts w:hint="eastAsia"/>
          <w:b/>
          <w:sz w:val="21"/>
          <w:szCs w:val="21"/>
          <w:lang w:val="en-US" w:eastAsia="zh-CN"/>
        </w:rPr>
        <w:drawing>
          <wp:inline distT="0" distB="0" distL="0" distR="0">
            <wp:extent cx="5760720" cy="9956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760720" cy="995680"/>
                    </a:xfrm>
                    <a:prstGeom prst="rect">
                      <a:avLst/>
                    </a:prstGeom>
                  </pic:spPr>
                </pic:pic>
              </a:graphicData>
            </a:graphic>
          </wp:inline>
        </w:drawing>
      </w:r>
    </w:p>
    <w:p w14:paraId="6872D166">
      <w:pPr>
        <w:pStyle w:val="47"/>
      </w:pPr>
      <w:r>
        <w:t>Fig</w:t>
      </w:r>
      <w:r>
        <w:rPr>
          <w:rFonts w:hint="eastAsia" w:eastAsiaTheme="minorEastAsia"/>
          <w:lang w:eastAsia="zh-CN"/>
        </w:rPr>
        <w:t>ure</w:t>
      </w:r>
      <w:r>
        <w:t xml:space="preserve">. S3. </w:t>
      </w:r>
      <w:r>
        <w:rPr>
          <w:b w:val="0"/>
          <w:bCs/>
        </w:rPr>
        <w:t>Schematic diagram of point-based estimation of displacement degree. This in-line processing result on the surfaces of aluminum sheet using ~20 W picosecond laser beams delivered over 3-m-long AR-HCF2.</w:t>
      </w:r>
    </w:p>
    <w:p w14:paraId="17D83643">
      <w:pPr>
        <w:pStyle w:val="66"/>
        <w:numPr>
          <w:ilvl w:val="0"/>
          <w:numId w:val="1"/>
        </w:numPr>
        <w:spacing w:after="240" w:afterLines="100"/>
        <w:rPr>
          <w:rFonts w:ascii="Times New Roman" w:hAnsi="Times New Roman" w:eastAsiaTheme="minorEastAsia"/>
          <w:b/>
          <w:sz w:val="28"/>
          <w:szCs w:val="28"/>
          <w:lang w:eastAsia="zh-CN"/>
        </w:rPr>
      </w:pPr>
      <w:r>
        <w:rPr>
          <w:rFonts w:ascii="Times New Roman" w:hAnsi="Times New Roman" w:cs="Arial" w:eastAsiaTheme="minorEastAsia"/>
          <w:b/>
          <w:sz w:val="28"/>
          <w:szCs w:val="28"/>
          <w:lang w:eastAsia="zh-CN"/>
        </w:rPr>
        <w:t>Simulation of pulse temporal width and spectral profile</w:t>
      </w:r>
    </w:p>
    <w:p w14:paraId="5CA653A6">
      <w:pPr>
        <w:pStyle w:val="66"/>
        <w:spacing w:line="480" w:lineRule="auto"/>
        <w:ind w:firstLine="0"/>
        <w:rPr>
          <w:rFonts w:ascii="Times New Roman" w:hAnsi="Times New Roman" w:eastAsiaTheme="minorEastAsia"/>
          <w:sz w:val="24"/>
          <w:szCs w:val="24"/>
          <w:lang w:eastAsia="zh-CN"/>
        </w:rPr>
      </w:pPr>
      <w:r>
        <w:rPr>
          <w:rFonts w:ascii="Times New Roman" w:hAnsi="Times New Roman" w:eastAsiaTheme="minorEastAsia"/>
          <w:sz w:val="24"/>
          <w:szCs w:val="24"/>
          <w:lang w:eastAsia="zh-CN"/>
        </w:rPr>
        <w:t>The pulse temporal width and spectral profile at the output port of the 3-m-long AR-HCF were not directly measured through experiments, but obtained through numerical simulations based on the generalized nonlinear Schrödinger equation</w:t>
      </w:r>
      <w:r>
        <w:rPr>
          <w:rFonts w:hint="eastAsia" w:ascii="Times New Roman" w:hAnsi="Times New Roman" w:eastAsiaTheme="minorEastAsia"/>
          <w:sz w:val="24"/>
          <w:szCs w:val="24"/>
          <w:lang w:eastAsia="zh-CN"/>
        </w:rPr>
        <w:t>.</w:t>
      </w:r>
      <w:r>
        <w:rPr>
          <w:rFonts w:ascii="Times New Roman" w:hAnsi="Times New Roman" w:eastAsiaTheme="minorEastAsia"/>
          <w:sz w:val="24"/>
          <w:szCs w:val="24"/>
          <w:lang w:eastAsia="zh-CN"/>
        </w:rPr>
        <w:t xml:space="preserve"> </w:t>
      </w:r>
      <w:bookmarkStart w:id="7" w:name="OLE_LINK27"/>
      <w:bookmarkStart w:id="8" w:name="OLE_LINK28"/>
      <w:r>
        <w:rPr>
          <w:rFonts w:ascii="Times New Roman" w:hAnsi="Times New Roman" w:eastAsiaTheme="minorEastAsia"/>
          <w:sz w:val="24"/>
          <w:szCs w:val="24"/>
          <w:lang w:eastAsia="zh-CN"/>
        </w:rPr>
        <w:t xml:space="preserve">Figure S4 exhibits the simulation results of the pulse temporal width and spectral profile at the input and output ports of the 3-m-long AR-HCFs when the input pulse energy is 14.9 </w:t>
      </w:r>
      <w:bookmarkStart w:id="9" w:name="OLE_LINK2"/>
      <w:bookmarkStart w:id="10" w:name="OLE_LINK1"/>
      <w:r>
        <w:rPr>
          <w:rFonts w:ascii="Times New Roman" w:hAnsi="Times New Roman" w:eastAsiaTheme="minorEastAsia"/>
          <w:sz w:val="24"/>
          <w:szCs w:val="24"/>
          <w:lang w:eastAsia="zh-CN"/>
        </w:rPr>
        <w:t>µJ (corresponding to the output average power of 20 W at 1.5 MHz)</w:t>
      </w:r>
      <w:bookmarkEnd w:id="9"/>
      <w:bookmarkEnd w:id="10"/>
      <w:r>
        <w:rPr>
          <w:rFonts w:ascii="Times New Roman" w:hAnsi="Times New Roman" w:eastAsiaTheme="minorEastAsia"/>
          <w:sz w:val="24"/>
          <w:szCs w:val="24"/>
          <w:lang w:eastAsia="zh-CN"/>
        </w:rPr>
        <w:t xml:space="preserve">. As shown in Fig. S4, there is no significant change in the pulse temporal and spectral FWHM (full width at half maximum) widths of both AR-HCF1 and AR-HCF2 outputs, except for a slight broadening of the spectral edges. This spectral broadening is attributed to the low nonlinearity in air-filled AR-HCFs, but its broadening degree is less than 0.2 nm. It should be noted that in the single-shot processing experiment, when the input pulse energy was increased to 89.5 </w:t>
      </w:r>
      <w:bookmarkStart w:id="11" w:name="OLE_LINK3"/>
      <w:bookmarkStart w:id="12" w:name="OLE_LINK4"/>
      <w:r>
        <w:rPr>
          <w:rFonts w:ascii="Times New Roman" w:hAnsi="Times New Roman" w:eastAsiaTheme="minorEastAsia"/>
          <w:sz w:val="24"/>
          <w:szCs w:val="24"/>
          <w:lang w:eastAsia="zh-CN"/>
        </w:rPr>
        <w:t>µJ</w:t>
      </w:r>
      <w:bookmarkEnd w:id="11"/>
      <w:bookmarkEnd w:id="12"/>
      <w:r>
        <w:rPr>
          <w:rFonts w:ascii="Times New Roman" w:hAnsi="Times New Roman" w:eastAsiaTheme="minorEastAsia"/>
          <w:sz w:val="24"/>
          <w:szCs w:val="24"/>
          <w:lang w:eastAsia="zh-CN"/>
        </w:rPr>
        <w:t xml:space="preserve"> (corresponding to the output pulse energy of 80 µJ), the pulse spectrum still showed a certain degree of broadening. However, due to the low dispersion value of the fiber (group delay dispersion values are -3426 fs² (AR-HCF1) and -4212 fs² (AR-HCF2) for 3-m-long fiber at 1 bar air), the pulse temporal width remained at 15 ps, consistent with the input pulse width.</w:t>
      </w:r>
      <w:bookmarkEnd w:id="7"/>
      <w:bookmarkEnd w:id="8"/>
    </w:p>
    <w:p w14:paraId="73E3E0B1">
      <w:pPr>
        <w:spacing w:before="480" w:after="180"/>
        <w:jc w:val="center"/>
        <w:rPr>
          <w:b/>
          <w:sz w:val="21"/>
          <w:szCs w:val="21"/>
        </w:rPr>
      </w:pPr>
      <w:r>
        <w:rPr>
          <w:rFonts w:hint="eastAsia"/>
          <w:b/>
          <w:sz w:val="21"/>
          <w:szCs w:val="21"/>
          <w:lang w:val="en-US" w:eastAsia="zh-CN"/>
        </w:rPr>
        <w:drawing>
          <wp:inline distT="0" distB="0" distL="0" distR="0">
            <wp:extent cx="4441825" cy="35852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442400" cy="3585600"/>
                    </a:xfrm>
                    <a:prstGeom prst="rect">
                      <a:avLst/>
                    </a:prstGeom>
                  </pic:spPr>
                </pic:pic>
              </a:graphicData>
            </a:graphic>
          </wp:inline>
        </w:drawing>
      </w:r>
    </w:p>
    <w:p w14:paraId="082FDAE5">
      <w:pPr>
        <w:pStyle w:val="47"/>
        <w:rPr>
          <w:b w:val="0"/>
          <w:bCs/>
        </w:rPr>
      </w:pPr>
      <w:bookmarkStart w:id="13" w:name="OLE_LINK24"/>
      <w:bookmarkStart w:id="14" w:name="OLE_LINK23"/>
      <w:r>
        <w:t>Fig</w:t>
      </w:r>
      <w:r>
        <w:rPr>
          <w:rFonts w:hint="eastAsia" w:eastAsiaTheme="minorEastAsia"/>
          <w:lang w:eastAsia="zh-CN"/>
        </w:rPr>
        <w:t>ure</w:t>
      </w:r>
      <w:r>
        <w:t xml:space="preserve">. S4. </w:t>
      </w:r>
      <w:r>
        <w:rPr>
          <w:b w:val="0"/>
          <w:bCs/>
        </w:rPr>
        <w:t>Simulation results of pulse temporal width and spectral profile at the input and output ports of the 3-m-long AR-HCFs. (a), (b) Results of the 3-m-long AR-HCF1 laser delivery system. (c), (d) Results of the 3-m-long AR-HCF2 laser delivery system.</w:t>
      </w:r>
    </w:p>
    <w:bookmarkEnd w:id="13"/>
    <w:bookmarkEnd w:id="14"/>
    <w:p w14:paraId="2EED2895">
      <w:pPr>
        <w:pStyle w:val="66"/>
        <w:numPr>
          <w:ilvl w:val="0"/>
          <w:numId w:val="1"/>
        </w:numPr>
        <w:spacing w:after="240" w:afterLines="100"/>
        <w:rPr>
          <w:rFonts w:ascii="Times New Roman" w:hAnsi="Times New Roman" w:cs="Arial" w:eastAsiaTheme="minorEastAsia"/>
          <w:b/>
          <w:sz w:val="28"/>
          <w:szCs w:val="28"/>
          <w:lang w:eastAsia="zh-CN"/>
        </w:rPr>
      </w:pPr>
      <w:bookmarkStart w:id="15" w:name="OLE_LINK6"/>
      <w:bookmarkStart w:id="16" w:name="OLE_LINK5"/>
      <w:r>
        <w:rPr>
          <w:rFonts w:ascii="Times New Roman" w:hAnsi="Times New Roman" w:cs="Arial" w:eastAsiaTheme="minorEastAsia"/>
          <w:b/>
          <w:sz w:val="28"/>
          <w:szCs w:val="28"/>
          <w:lang w:eastAsia="zh-CN"/>
        </w:rPr>
        <w:t xml:space="preserve">Measurement </w:t>
      </w:r>
      <w:r>
        <w:rPr>
          <w:rFonts w:hint="eastAsia" w:ascii="Times New Roman" w:hAnsi="Times New Roman" w:cs="Arial" w:eastAsiaTheme="minorEastAsia"/>
          <w:b/>
          <w:sz w:val="28"/>
          <w:szCs w:val="28"/>
          <w:lang w:eastAsia="zh-CN"/>
        </w:rPr>
        <w:t>of</w:t>
      </w:r>
      <w:r>
        <w:rPr>
          <w:rFonts w:ascii="Times New Roman" w:hAnsi="Times New Roman" w:cs="Arial" w:eastAsiaTheme="minorEastAsia"/>
          <w:b/>
          <w:sz w:val="28"/>
          <w:szCs w:val="28"/>
          <w:lang w:eastAsia="zh-CN"/>
        </w:rPr>
        <w:t xml:space="preserve"> </w:t>
      </w:r>
      <w:r>
        <w:rPr>
          <w:rFonts w:hint="eastAsia" w:ascii="Times New Roman" w:hAnsi="Times New Roman" w:cs="Arial" w:eastAsiaTheme="minorEastAsia"/>
          <w:b/>
          <w:sz w:val="28"/>
          <w:szCs w:val="28"/>
          <w:lang w:eastAsia="zh-CN"/>
        </w:rPr>
        <w:t>q</w:t>
      </w:r>
      <w:r>
        <w:rPr>
          <w:rFonts w:ascii="Times New Roman" w:hAnsi="Times New Roman" w:cs="Arial" w:eastAsiaTheme="minorEastAsia"/>
          <w:b/>
          <w:sz w:val="28"/>
          <w:szCs w:val="28"/>
          <w:lang w:eastAsia="zh-CN"/>
        </w:rPr>
        <w:t>uality factors (M</w:t>
      </w:r>
      <w:r>
        <w:rPr>
          <w:rFonts w:ascii="Times New Roman" w:hAnsi="Times New Roman" w:cs="Arial" w:eastAsiaTheme="minorEastAsia"/>
          <w:b/>
          <w:sz w:val="28"/>
          <w:szCs w:val="28"/>
          <w:vertAlign w:val="superscript"/>
          <w:lang w:eastAsia="zh-CN"/>
        </w:rPr>
        <w:t>2</w:t>
      </w:r>
      <w:r>
        <w:rPr>
          <w:rFonts w:ascii="Times New Roman" w:hAnsi="Times New Roman" w:cs="Arial" w:eastAsiaTheme="minorEastAsia"/>
          <w:b/>
          <w:sz w:val="28"/>
          <w:szCs w:val="28"/>
          <w:lang w:eastAsia="zh-CN"/>
        </w:rPr>
        <w:t xml:space="preserve">) of delivered laser </w:t>
      </w:r>
      <w:bookmarkStart w:id="17" w:name="OLE_LINK10"/>
      <w:bookmarkStart w:id="18" w:name="OLE_LINK9"/>
      <w:r>
        <w:rPr>
          <w:rFonts w:ascii="Times New Roman" w:hAnsi="Times New Roman" w:cs="Arial" w:eastAsiaTheme="minorEastAsia"/>
          <w:b/>
          <w:sz w:val="28"/>
          <w:szCs w:val="28"/>
          <w:lang w:eastAsia="zh-CN"/>
        </w:rPr>
        <w:t>beams</w:t>
      </w:r>
      <w:bookmarkEnd w:id="17"/>
      <w:bookmarkEnd w:id="18"/>
    </w:p>
    <w:bookmarkEnd w:id="15"/>
    <w:bookmarkEnd w:id="16"/>
    <w:p w14:paraId="5B3AA81B">
      <w:pPr>
        <w:pStyle w:val="66"/>
        <w:spacing w:line="480" w:lineRule="auto"/>
        <w:ind w:firstLine="0"/>
        <w:rPr>
          <w:rFonts w:ascii="Times New Roman" w:hAnsi="Times New Roman" w:eastAsiaTheme="minorEastAsia"/>
          <w:sz w:val="24"/>
          <w:szCs w:val="24"/>
          <w:lang w:eastAsia="zh-CN"/>
        </w:rPr>
      </w:pPr>
      <w:r>
        <w:rPr>
          <w:rFonts w:ascii="Times New Roman" w:hAnsi="Times New Roman" w:eastAsiaTheme="minorEastAsia"/>
          <w:sz w:val="24"/>
          <w:szCs w:val="24"/>
          <w:lang w:eastAsia="zh-CN"/>
        </w:rPr>
        <w:t>We measured experimentally the quality factors (</w:t>
      </w:r>
      <w:bookmarkStart w:id="19" w:name="OLE_LINK12"/>
      <w:bookmarkStart w:id="20" w:name="OLE_LINK11"/>
      <w:r>
        <w:rPr>
          <w:rFonts w:ascii="Times New Roman" w:hAnsi="Times New Roman" w:eastAsiaTheme="minorEastAsia"/>
          <w:sz w:val="24"/>
          <w:szCs w:val="24"/>
          <w:lang w:eastAsia="zh-CN"/>
        </w:rPr>
        <w:t>M</w:t>
      </w:r>
      <w:r>
        <w:rPr>
          <w:rFonts w:ascii="Times New Roman" w:hAnsi="Times New Roman" w:eastAsiaTheme="minorEastAsia"/>
          <w:sz w:val="24"/>
          <w:szCs w:val="24"/>
          <w:vertAlign w:val="superscript"/>
          <w:lang w:eastAsia="zh-CN"/>
        </w:rPr>
        <w:t>2</w:t>
      </w:r>
      <w:bookmarkEnd w:id="19"/>
      <w:bookmarkEnd w:id="20"/>
      <w:r>
        <w:rPr>
          <w:rFonts w:ascii="Times New Roman" w:hAnsi="Times New Roman" w:eastAsiaTheme="minorEastAsia"/>
          <w:sz w:val="24"/>
          <w:szCs w:val="24"/>
          <w:lang w:eastAsia="zh-CN"/>
        </w:rPr>
        <w:t>) of delivered laser beams at different experimental conditions, using the M</w:t>
      </w:r>
      <w:r>
        <w:rPr>
          <w:rFonts w:ascii="Times New Roman" w:hAnsi="Times New Roman" w:eastAsiaTheme="minorEastAsia"/>
          <w:sz w:val="24"/>
          <w:szCs w:val="24"/>
          <w:vertAlign w:val="superscript"/>
          <w:lang w:eastAsia="zh-CN"/>
        </w:rPr>
        <w:t>2</w:t>
      </w:r>
      <w:r>
        <w:rPr>
          <w:rFonts w:ascii="Times New Roman" w:hAnsi="Times New Roman" w:eastAsiaTheme="minorEastAsia"/>
          <w:sz w:val="24"/>
          <w:szCs w:val="24"/>
          <w:lang w:eastAsia="zh-CN"/>
        </w:rPr>
        <w:t xml:space="preserve">-measuremnet equipment (Ophir, </w:t>
      </w:r>
      <w:bookmarkStart w:id="21" w:name="OLE_LINK49"/>
      <w:bookmarkStart w:id="22" w:name="OLE_LINK48"/>
      <w:r>
        <w:rPr>
          <w:rFonts w:ascii="Times New Roman" w:hAnsi="Times New Roman" w:eastAsiaTheme="minorEastAsia"/>
          <w:sz w:val="24"/>
          <w:szCs w:val="24"/>
          <w:lang w:eastAsia="zh-CN"/>
        </w:rPr>
        <w:t>BeamSquared</w:t>
      </w:r>
      <w:bookmarkEnd w:id="21"/>
      <w:bookmarkEnd w:id="22"/>
      <w:r>
        <w:rPr>
          <w:rFonts w:ascii="Times New Roman" w:hAnsi="Times New Roman" w:eastAsiaTheme="minorEastAsia"/>
          <w:sz w:val="24"/>
          <w:szCs w:val="24"/>
          <w:lang w:eastAsia="zh-CN"/>
        </w:rPr>
        <w:t>), and the results are illustrated in the Fig. S5. The corresponding beam astigmatism and asymmetry are also summarized in Table S1. These results exhibit clearly that the advantage of the AR-HCF2 delivery system, the M</w:t>
      </w:r>
      <w:r>
        <w:rPr>
          <w:rFonts w:ascii="Times New Roman" w:hAnsi="Times New Roman" w:eastAsiaTheme="minorEastAsia"/>
          <w:sz w:val="24"/>
          <w:szCs w:val="24"/>
          <w:vertAlign w:val="superscript"/>
          <w:lang w:eastAsia="zh-CN"/>
        </w:rPr>
        <w:t>2</w:t>
      </w:r>
      <w:r>
        <w:rPr>
          <w:rFonts w:ascii="Times New Roman" w:hAnsi="Times New Roman" w:eastAsiaTheme="minorEastAsia"/>
          <w:sz w:val="24"/>
          <w:szCs w:val="24"/>
          <w:lang w:eastAsia="zh-CN"/>
        </w:rPr>
        <w:t xml:space="preserve"> factors for this case are always &lt;1.2. In contrast, the measured M² factors for the AR-HCF1 case, varied from ~1.2 to 2.2, due</w:t>
      </w:r>
      <w:bookmarkStart w:id="23" w:name="OLE_LINK13"/>
      <w:bookmarkStart w:id="24" w:name="OLE_LINK14"/>
      <w:r>
        <w:rPr>
          <w:rFonts w:ascii="Times New Roman" w:hAnsi="Times New Roman" w:eastAsiaTheme="minorEastAsia"/>
          <w:sz w:val="24"/>
          <w:szCs w:val="24"/>
          <w:lang w:eastAsia="zh-CN"/>
        </w:rPr>
        <w:t xml:space="preserve"> </w:t>
      </w:r>
      <w:bookmarkEnd w:id="23"/>
      <w:bookmarkEnd w:id="24"/>
      <w:r>
        <w:rPr>
          <w:rFonts w:ascii="Times New Roman" w:hAnsi="Times New Roman" w:eastAsiaTheme="minorEastAsia"/>
          <w:sz w:val="24"/>
          <w:szCs w:val="24"/>
          <w:lang w:eastAsia="zh-CN"/>
        </w:rPr>
        <w:t xml:space="preserve">to the fiber micro-bending. </w:t>
      </w:r>
      <w:bookmarkStart w:id="25" w:name="OLE_LINK15"/>
      <w:bookmarkStart w:id="26" w:name="OLE_LINK16"/>
      <w:r>
        <w:rPr>
          <w:rFonts w:ascii="Times New Roman" w:hAnsi="Times New Roman" w:eastAsiaTheme="minorEastAsia"/>
          <w:sz w:val="24"/>
          <w:szCs w:val="24"/>
          <w:lang w:eastAsia="zh-CN"/>
        </w:rPr>
        <w:t>Interestingly, the measured M² factors for the free-space case were also stable with, however, a bit larger values than the AR-HCF2 case, highlighting the advantage of fiber-based delivery system.</w:t>
      </w:r>
      <w:bookmarkEnd w:id="25"/>
      <w:bookmarkEnd w:id="26"/>
    </w:p>
    <w:p w14:paraId="744FF4B0">
      <w:pPr>
        <w:pStyle w:val="66"/>
        <w:spacing w:line="480" w:lineRule="auto"/>
        <w:ind w:firstLine="0"/>
        <w:rPr>
          <w:rFonts w:ascii="Times New Roman" w:hAnsi="Times New Roman" w:eastAsiaTheme="minorEastAsia"/>
          <w:sz w:val="24"/>
          <w:szCs w:val="24"/>
          <w:lang w:eastAsia="zh-CN"/>
        </w:rPr>
      </w:pPr>
    </w:p>
    <w:p w14:paraId="3A6AFED2">
      <w:pPr>
        <w:pStyle w:val="66"/>
        <w:spacing w:line="480" w:lineRule="auto"/>
        <w:ind w:firstLine="0"/>
        <w:rPr>
          <w:rFonts w:ascii="Times New Roman" w:hAnsi="Times New Roman" w:eastAsiaTheme="minorEastAsia"/>
          <w:sz w:val="24"/>
          <w:szCs w:val="24"/>
          <w:lang w:eastAsia="zh-CN"/>
        </w:rPr>
      </w:pPr>
    </w:p>
    <w:p w14:paraId="35BE93EF">
      <w:pPr>
        <w:pStyle w:val="66"/>
        <w:spacing w:line="480" w:lineRule="auto"/>
        <w:ind w:firstLine="0"/>
        <w:rPr>
          <w:rFonts w:ascii="Times New Roman" w:hAnsi="Times New Roman" w:eastAsiaTheme="minorEastAsia"/>
          <w:sz w:val="24"/>
          <w:szCs w:val="24"/>
          <w:lang w:eastAsia="zh-CN"/>
        </w:rPr>
      </w:pPr>
    </w:p>
    <w:p w14:paraId="6B3E02E6">
      <w:pPr>
        <w:widowControl w:val="0"/>
        <w:spacing w:before="240" w:after="160"/>
        <w:jc w:val="center"/>
        <w:rPr>
          <w:rFonts w:eastAsia="等线"/>
          <w:b/>
          <w:bCs/>
          <w:color w:val="000000" w:themeColor="text1"/>
          <w:kern w:val="2"/>
          <w:lang w:val="en-US" w:eastAsia="zh-CN"/>
          <w14:textFill>
            <w14:solidFill>
              <w14:schemeClr w14:val="tx1"/>
            </w14:solidFill>
          </w14:textFill>
        </w:rPr>
      </w:pPr>
      <w:bookmarkStart w:id="27" w:name="OLE_LINK18"/>
      <w:bookmarkStart w:id="28" w:name="OLE_LINK17"/>
      <w:bookmarkStart w:id="29" w:name="OLE_LINK25"/>
      <w:r>
        <w:rPr>
          <w:rFonts w:eastAsia="等线"/>
          <w:b/>
          <w:bCs/>
          <w:color w:val="000000" w:themeColor="text1"/>
          <w:kern w:val="2"/>
          <w14:textFill>
            <w14:solidFill>
              <w14:schemeClr w14:val="tx1"/>
            </w14:solidFill>
          </w14:textFill>
        </w:rPr>
        <w:t xml:space="preserve">Table S1. </w:t>
      </w:r>
      <w:r>
        <w:rPr>
          <w:rFonts w:eastAsia="等线"/>
          <w:bCs/>
          <w:color w:val="000000" w:themeColor="text1"/>
          <w:kern w:val="2"/>
          <w14:textFill>
            <w14:solidFill>
              <w14:schemeClr w14:val="tx1"/>
            </w14:solidFill>
          </w14:textFill>
        </w:rPr>
        <w:t>Beam astigmatism and asymmetry at different positions.</w:t>
      </w:r>
    </w:p>
    <w:bookmarkEnd w:id="27"/>
    <w:bookmarkEnd w:id="28"/>
    <w:tbl>
      <w:tblPr>
        <w:tblStyle w:val="77"/>
        <w:tblW w:w="482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1231"/>
        <w:gridCol w:w="1150"/>
        <w:gridCol w:w="222"/>
        <w:gridCol w:w="1231"/>
        <w:gridCol w:w="1150"/>
        <w:gridCol w:w="222"/>
        <w:gridCol w:w="1231"/>
        <w:gridCol w:w="1150"/>
      </w:tblGrid>
      <w:tr w14:paraId="16A672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vMerge w:val="restart"/>
            <w:tcBorders>
              <w:top w:val="single" w:color="auto" w:sz="4" w:space="0"/>
              <w:left w:val="nil"/>
              <w:bottom w:val="nil"/>
              <w:right w:val="nil"/>
            </w:tcBorders>
            <w:vAlign w:val="bottom"/>
          </w:tcPr>
          <w:p w14:paraId="450231E8">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Laser delivery systems</w:t>
            </w:r>
          </w:p>
        </w:tc>
        <w:tc>
          <w:tcPr>
            <w:tcW w:w="2383" w:type="dxa"/>
            <w:gridSpan w:val="2"/>
            <w:tcBorders>
              <w:top w:val="single" w:color="auto" w:sz="4" w:space="0"/>
              <w:left w:val="nil"/>
              <w:bottom w:val="single" w:color="auto" w:sz="4" w:space="0"/>
              <w:right w:val="nil"/>
            </w:tcBorders>
            <w:vAlign w:val="bottom"/>
          </w:tcPr>
          <w:p w14:paraId="004170F8">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P1</w:t>
            </w:r>
          </w:p>
        </w:tc>
        <w:tc>
          <w:tcPr>
            <w:tcW w:w="362" w:type="dxa"/>
            <w:tcBorders>
              <w:top w:val="single" w:color="auto" w:sz="4" w:space="0"/>
              <w:left w:val="nil"/>
              <w:bottom w:val="nil"/>
              <w:right w:val="nil"/>
            </w:tcBorders>
            <w:vAlign w:val="bottom"/>
          </w:tcPr>
          <w:p w14:paraId="69978BD8">
            <w:pPr>
              <w:spacing w:after="80"/>
              <w:jc w:val="center"/>
              <w:rPr>
                <w:rFonts w:eastAsia="等线"/>
                <w:color w:val="000000" w:themeColor="text1"/>
                <w:kern w:val="2"/>
                <w:sz w:val="21"/>
                <w:szCs w:val="21"/>
                <w14:textFill>
                  <w14:solidFill>
                    <w14:schemeClr w14:val="tx1"/>
                  </w14:solidFill>
                </w14:textFill>
              </w:rPr>
            </w:pPr>
          </w:p>
        </w:tc>
        <w:tc>
          <w:tcPr>
            <w:tcW w:w="2383" w:type="dxa"/>
            <w:gridSpan w:val="2"/>
            <w:tcBorders>
              <w:top w:val="single" w:color="auto" w:sz="4" w:space="0"/>
              <w:left w:val="nil"/>
              <w:bottom w:val="single" w:color="auto" w:sz="4" w:space="0"/>
              <w:right w:val="nil"/>
            </w:tcBorders>
            <w:vAlign w:val="bottom"/>
          </w:tcPr>
          <w:p w14:paraId="75DCCEAF">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P2</w:t>
            </w:r>
          </w:p>
        </w:tc>
        <w:tc>
          <w:tcPr>
            <w:tcW w:w="645" w:type="dxa"/>
            <w:tcBorders>
              <w:top w:val="single" w:color="auto" w:sz="4" w:space="0"/>
              <w:left w:val="nil"/>
              <w:bottom w:val="nil"/>
              <w:right w:val="nil"/>
            </w:tcBorders>
            <w:vAlign w:val="bottom"/>
          </w:tcPr>
          <w:p w14:paraId="32F20969">
            <w:pPr>
              <w:spacing w:after="80"/>
              <w:jc w:val="center"/>
              <w:rPr>
                <w:rFonts w:eastAsia="等线"/>
                <w:color w:val="000000" w:themeColor="text1"/>
                <w:kern w:val="2"/>
                <w:sz w:val="21"/>
                <w:szCs w:val="21"/>
                <w14:textFill>
                  <w14:solidFill>
                    <w14:schemeClr w14:val="tx1"/>
                  </w14:solidFill>
                </w14:textFill>
              </w:rPr>
            </w:pPr>
          </w:p>
        </w:tc>
        <w:tc>
          <w:tcPr>
            <w:tcW w:w="2383" w:type="dxa"/>
            <w:gridSpan w:val="2"/>
            <w:tcBorders>
              <w:top w:val="single" w:color="auto" w:sz="4" w:space="0"/>
              <w:left w:val="nil"/>
              <w:bottom w:val="single" w:color="auto" w:sz="4" w:space="0"/>
              <w:right w:val="nil"/>
            </w:tcBorders>
            <w:vAlign w:val="bottom"/>
          </w:tcPr>
          <w:p w14:paraId="0A5FC21C">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P3</w:t>
            </w:r>
          </w:p>
        </w:tc>
      </w:tr>
      <w:tr w14:paraId="55DAB8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nil"/>
              <w:bottom w:val="nil"/>
              <w:right w:val="nil"/>
            </w:tcBorders>
            <w:vAlign w:val="center"/>
          </w:tcPr>
          <w:p w14:paraId="0A763509">
            <w:pPr>
              <w:rPr>
                <w:rFonts w:eastAsia="等线"/>
                <w:color w:val="000000" w:themeColor="text1"/>
                <w:kern w:val="2"/>
                <w:sz w:val="21"/>
                <w:szCs w:val="21"/>
                <w14:textFill>
                  <w14:solidFill>
                    <w14:schemeClr w14:val="tx1"/>
                  </w14:solidFill>
                </w14:textFill>
              </w:rPr>
            </w:pPr>
          </w:p>
        </w:tc>
        <w:tc>
          <w:tcPr>
            <w:tcW w:w="1231" w:type="dxa"/>
            <w:tcBorders>
              <w:top w:val="single" w:color="auto" w:sz="4" w:space="0"/>
              <w:left w:val="nil"/>
              <w:bottom w:val="single" w:color="auto" w:sz="4" w:space="0"/>
              <w:right w:val="nil"/>
            </w:tcBorders>
            <w:vAlign w:val="bottom"/>
          </w:tcPr>
          <w:p w14:paraId="73DD5F33">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astigmatism</w:t>
            </w:r>
          </w:p>
        </w:tc>
        <w:tc>
          <w:tcPr>
            <w:tcW w:w="1152" w:type="dxa"/>
            <w:tcBorders>
              <w:top w:val="single" w:color="auto" w:sz="4" w:space="0"/>
              <w:left w:val="nil"/>
              <w:bottom w:val="single" w:color="auto" w:sz="4" w:space="0"/>
              <w:right w:val="nil"/>
            </w:tcBorders>
            <w:vAlign w:val="bottom"/>
          </w:tcPr>
          <w:p w14:paraId="0E9A2BEE">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asymmetry</w:t>
            </w:r>
          </w:p>
        </w:tc>
        <w:tc>
          <w:tcPr>
            <w:tcW w:w="362" w:type="dxa"/>
            <w:tcBorders>
              <w:top w:val="nil"/>
              <w:left w:val="nil"/>
              <w:bottom w:val="single" w:color="auto" w:sz="4" w:space="0"/>
              <w:right w:val="nil"/>
            </w:tcBorders>
            <w:vAlign w:val="bottom"/>
          </w:tcPr>
          <w:p w14:paraId="4B93FB70">
            <w:pPr>
              <w:spacing w:after="80"/>
              <w:jc w:val="center"/>
              <w:rPr>
                <w:rFonts w:eastAsia="等线"/>
                <w:color w:val="000000" w:themeColor="text1"/>
                <w:kern w:val="2"/>
                <w:sz w:val="21"/>
                <w:szCs w:val="21"/>
                <w14:textFill>
                  <w14:solidFill>
                    <w14:schemeClr w14:val="tx1"/>
                  </w14:solidFill>
                </w14:textFill>
              </w:rPr>
            </w:pPr>
          </w:p>
        </w:tc>
        <w:tc>
          <w:tcPr>
            <w:tcW w:w="1231" w:type="dxa"/>
            <w:tcBorders>
              <w:top w:val="single" w:color="auto" w:sz="4" w:space="0"/>
              <w:left w:val="nil"/>
              <w:bottom w:val="single" w:color="auto" w:sz="4" w:space="0"/>
              <w:right w:val="nil"/>
            </w:tcBorders>
            <w:vAlign w:val="bottom"/>
          </w:tcPr>
          <w:p w14:paraId="0721D773">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astigmatism</w:t>
            </w:r>
          </w:p>
        </w:tc>
        <w:tc>
          <w:tcPr>
            <w:tcW w:w="1152" w:type="dxa"/>
            <w:tcBorders>
              <w:top w:val="single" w:color="auto" w:sz="4" w:space="0"/>
              <w:left w:val="nil"/>
              <w:bottom w:val="single" w:color="auto" w:sz="4" w:space="0"/>
              <w:right w:val="nil"/>
            </w:tcBorders>
            <w:vAlign w:val="bottom"/>
          </w:tcPr>
          <w:p w14:paraId="38530F80">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asymmetry</w:t>
            </w:r>
          </w:p>
        </w:tc>
        <w:tc>
          <w:tcPr>
            <w:tcW w:w="645" w:type="dxa"/>
            <w:tcBorders>
              <w:top w:val="nil"/>
              <w:left w:val="nil"/>
              <w:bottom w:val="single" w:color="auto" w:sz="4" w:space="0"/>
              <w:right w:val="nil"/>
            </w:tcBorders>
            <w:vAlign w:val="bottom"/>
          </w:tcPr>
          <w:p w14:paraId="6586683B">
            <w:pPr>
              <w:spacing w:after="80"/>
              <w:jc w:val="center"/>
              <w:rPr>
                <w:rFonts w:eastAsia="等线"/>
                <w:color w:val="000000" w:themeColor="text1"/>
                <w:kern w:val="2"/>
                <w:sz w:val="21"/>
                <w:szCs w:val="21"/>
                <w14:textFill>
                  <w14:solidFill>
                    <w14:schemeClr w14:val="tx1"/>
                  </w14:solidFill>
                </w14:textFill>
              </w:rPr>
            </w:pPr>
          </w:p>
        </w:tc>
        <w:tc>
          <w:tcPr>
            <w:tcW w:w="1231" w:type="dxa"/>
            <w:tcBorders>
              <w:top w:val="single" w:color="auto" w:sz="4" w:space="0"/>
              <w:left w:val="nil"/>
              <w:bottom w:val="single" w:color="auto" w:sz="4" w:space="0"/>
              <w:right w:val="nil"/>
            </w:tcBorders>
            <w:vAlign w:val="bottom"/>
          </w:tcPr>
          <w:p w14:paraId="70598B41">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astigmatism</w:t>
            </w:r>
          </w:p>
        </w:tc>
        <w:tc>
          <w:tcPr>
            <w:tcW w:w="1152" w:type="dxa"/>
            <w:tcBorders>
              <w:top w:val="single" w:color="auto" w:sz="4" w:space="0"/>
              <w:left w:val="nil"/>
              <w:bottom w:val="single" w:color="auto" w:sz="4" w:space="0"/>
              <w:right w:val="nil"/>
            </w:tcBorders>
            <w:vAlign w:val="bottom"/>
          </w:tcPr>
          <w:p w14:paraId="36402510">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asymmetry</w:t>
            </w:r>
          </w:p>
        </w:tc>
      </w:tr>
      <w:tr w14:paraId="7A2221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tcBorders>
              <w:top w:val="single" w:color="auto" w:sz="4" w:space="0"/>
              <w:left w:val="nil"/>
              <w:bottom w:val="nil"/>
              <w:right w:val="nil"/>
            </w:tcBorders>
            <w:vAlign w:val="bottom"/>
          </w:tcPr>
          <w:p w14:paraId="42EE3A5F">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Free space</w:t>
            </w:r>
          </w:p>
        </w:tc>
        <w:tc>
          <w:tcPr>
            <w:tcW w:w="1231" w:type="dxa"/>
            <w:tcBorders>
              <w:top w:val="single" w:color="auto" w:sz="4" w:space="0"/>
              <w:left w:val="nil"/>
              <w:bottom w:val="nil"/>
              <w:right w:val="nil"/>
            </w:tcBorders>
            <w:vAlign w:val="bottom"/>
          </w:tcPr>
          <w:p w14:paraId="48423730">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0.35</w:t>
            </w:r>
          </w:p>
        </w:tc>
        <w:tc>
          <w:tcPr>
            <w:tcW w:w="1152" w:type="dxa"/>
            <w:tcBorders>
              <w:top w:val="single" w:color="auto" w:sz="4" w:space="0"/>
              <w:left w:val="nil"/>
              <w:bottom w:val="nil"/>
              <w:right w:val="nil"/>
            </w:tcBorders>
            <w:vAlign w:val="bottom"/>
          </w:tcPr>
          <w:p w14:paraId="2F4BFCC3">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1.23</w:t>
            </w:r>
          </w:p>
        </w:tc>
        <w:tc>
          <w:tcPr>
            <w:tcW w:w="362" w:type="dxa"/>
            <w:tcBorders>
              <w:top w:val="single" w:color="auto" w:sz="4" w:space="0"/>
              <w:left w:val="nil"/>
              <w:bottom w:val="nil"/>
              <w:right w:val="nil"/>
            </w:tcBorders>
            <w:vAlign w:val="bottom"/>
          </w:tcPr>
          <w:p w14:paraId="112C93E4">
            <w:pPr>
              <w:spacing w:after="80"/>
              <w:jc w:val="center"/>
              <w:rPr>
                <w:rFonts w:eastAsia="等线"/>
                <w:color w:val="000000" w:themeColor="text1"/>
                <w:kern w:val="2"/>
                <w:sz w:val="21"/>
                <w:szCs w:val="21"/>
                <w14:textFill>
                  <w14:solidFill>
                    <w14:schemeClr w14:val="tx1"/>
                  </w14:solidFill>
                </w14:textFill>
              </w:rPr>
            </w:pPr>
          </w:p>
        </w:tc>
        <w:tc>
          <w:tcPr>
            <w:tcW w:w="1231" w:type="dxa"/>
            <w:tcBorders>
              <w:top w:val="single" w:color="auto" w:sz="4" w:space="0"/>
              <w:left w:val="nil"/>
              <w:bottom w:val="nil"/>
              <w:right w:val="nil"/>
            </w:tcBorders>
            <w:vAlign w:val="bottom"/>
          </w:tcPr>
          <w:p w14:paraId="76325D81">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0.30</w:t>
            </w:r>
          </w:p>
        </w:tc>
        <w:tc>
          <w:tcPr>
            <w:tcW w:w="1152" w:type="dxa"/>
            <w:tcBorders>
              <w:top w:val="single" w:color="auto" w:sz="4" w:space="0"/>
              <w:left w:val="nil"/>
              <w:bottom w:val="nil"/>
              <w:right w:val="nil"/>
            </w:tcBorders>
            <w:vAlign w:val="bottom"/>
          </w:tcPr>
          <w:p w14:paraId="053A093D">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1.24</w:t>
            </w:r>
          </w:p>
        </w:tc>
        <w:tc>
          <w:tcPr>
            <w:tcW w:w="645" w:type="dxa"/>
            <w:tcBorders>
              <w:top w:val="single" w:color="auto" w:sz="4" w:space="0"/>
              <w:left w:val="nil"/>
              <w:bottom w:val="nil"/>
              <w:right w:val="nil"/>
            </w:tcBorders>
            <w:vAlign w:val="bottom"/>
          </w:tcPr>
          <w:p w14:paraId="1E8127E1">
            <w:pPr>
              <w:spacing w:after="80"/>
              <w:jc w:val="center"/>
              <w:rPr>
                <w:rFonts w:eastAsia="等线"/>
                <w:color w:val="000000" w:themeColor="text1"/>
                <w:kern w:val="2"/>
                <w:sz w:val="21"/>
                <w:szCs w:val="21"/>
                <w14:textFill>
                  <w14:solidFill>
                    <w14:schemeClr w14:val="tx1"/>
                  </w14:solidFill>
                </w14:textFill>
              </w:rPr>
            </w:pPr>
          </w:p>
        </w:tc>
        <w:tc>
          <w:tcPr>
            <w:tcW w:w="1231" w:type="dxa"/>
            <w:tcBorders>
              <w:top w:val="single" w:color="auto" w:sz="4" w:space="0"/>
              <w:left w:val="nil"/>
              <w:bottom w:val="nil"/>
              <w:right w:val="nil"/>
            </w:tcBorders>
            <w:vAlign w:val="bottom"/>
          </w:tcPr>
          <w:p w14:paraId="5BE3977D">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0.29</w:t>
            </w:r>
          </w:p>
        </w:tc>
        <w:tc>
          <w:tcPr>
            <w:tcW w:w="1152" w:type="dxa"/>
            <w:tcBorders>
              <w:top w:val="single" w:color="auto" w:sz="4" w:space="0"/>
              <w:left w:val="nil"/>
              <w:bottom w:val="nil"/>
              <w:right w:val="nil"/>
            </w:tcBorders>
            <w:vAlign w:val="bottom"/>
          </w:tcPr>
          <w:p w14:paraId="45376B74">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1.26</w:t>
            </w:r>
          </w:p>
        </w:tc>
      </w:tr>
      <w:tr w14:paraId="5CADA1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tcBorders>
              <w:top w:val="nil"/>
              <w:left w:val="nil"/>
              <w:bottom w:val="nil"/>
              <w:right w:val="nil"/>
            </w:tcBorders>
            <w:vAlign w:val="bottom"/>
          </w:tcPr>
          <w:p w14:paraId="0A607620">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AR-HCF1</w:t>
            </w:r>
          </w:p>
        </w:tc>
        <w:tc>
          <w:tcPr>
            <w:tcW w:w="1231" w:type="dxa"/>
            <w:tcBorders>
              <w:top w:val="nil"/>
              <w:left w:val="nil"/>
              <w:bottom w:val="nil"/>
              <w:right w:val="nil"/>
            </w:tcBorders>
            <w:vAlign w:val="bottom"/>
          </w:tcPr>
          <w:p w14:paraId="31A05FF3">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0.95</w:t>
            </w:r>
          </w:p>
        </w:tc>
        <w:tc>
          <w:tcPr>
            <w:tcW w:w="1152" w:type="dxa"/>
            <w:tcBorders>
              <w:top w:val="nil"/>
              <w:left w:val="nil"/>
              <w:bottom w:val="nil"/>
              <w:right w:val="nil"/>
            </w:tcBorders>
            <w:vAlign w:val="bottom"/>
          </w:tcPr>
          <w:p w14:paraId="708DBB33">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1.03</w:t>
            </w:r>
          </w:p>
        </w:tc>
        <w:tc>
          <w:tcPr>
            <w:tcW w:w="362" w:type="dxa"/>
            <w:tcBorders>
              <w:top w:val="nil"/>
              <w:left w:val="nil"/>
              <w:bottom w:val="nil"/>
              <w:right w:val="nil"/>
            </w:tcBorders>
            <w:vAlign w:val="bottom"/>
          </w:tcPr>
          <w:p w14:paraId="08539023">
            <w:pPr>
              <w:spacing w:after="80"/>
              <w:jc w:val="center"/>
              <w:rPr>
                <w:rFonts w:eastAsia="等线"/>
                <w:color w:val="000000" w:themeColor="text1"/>
                <w:kern w:val="2"/>
                <w:sz w:val="21"/>
                <w:szCs w:val="21"/>
                <w14:textFill>
                  <w14:solidFill>
                    <w14:schemeClr w14:val="tx1"/>
                  </w14:solidFill>
                </w14:textFill>
              </w:rPr>
            </w:pPr>
          </w:p>
        </w:tc>
        <w:tc>
          <w:tcPr>
            <w:tcW w:w="1231" w:type="dxa"/>
            <w:tcBorders>
              <w:top w:val="nil"/>
              <w:left w:val="nil"/>
              <w:bottom w:val="nil"/>
              <w:right w:val="nil"/>
            </w:tcBorders>
            <w:vAlign w:val="bottom"/>
          </w:tcPr>
          <w:p w14:paraId="08CD44E4">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0.33</w:t>
            </w:r>
          </w:p>
        </w:tc>
        <w:tc>
          <w:tcPr>
            <w:tcW w:w="1152" w:type="dxa"/>
            <w:tcBorders>
              <w:top w:val="nil"/>
              <w:left w:val="nil"/>
              <w:bottom w:val="nil"/>
              <w:right w:val="nil"/>
            </w:tcBorders>
            <w:vAlign w:val="bottom"/>
          </w:tcPr>
          <w:p w14:paraId="45D89ED1">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1.17</w:t>
            </w:r>
          </w:p>
        </w:tc>
        <w:tc>
          <w:tcPr>
            <w:tcW w:w="645" w:type="dxa"/>
            <w:tcBorders>
              <w:top w:val="nil"/>
              <w:left w:val="nil"/>
              <w:bottom w:val="nil"/>
              <w:right w:val="nil"/>
            </w:tcBorders>
            <w:vAlign w:val="bottom"/>
          </w:tcPr>
          <w:p w14:paraId="2251966A">
            <w:pPr>
              <w:spacing w:after="80"/>
              <w:jc w:val="center"/>
              <w:rPr>
                <w:rFonts w:eastAsia="等线"/>
                <w:color w:val="000000" w:themeColor="text1"/>
                <w:kern w:val="2"/>
                <w:sz w:val="21"/>
                <w:szCs w:val="21"/>
                <w14:textFill>
                  <w14:solidFill>
                    <w14:schemeClr w14:val="tx1"/>
                  </w14:solidFill>
                </w14:textFill>
              </w:rPr>
            </w:pPr>
          </w:p>
        </w:tc>
        <w:tc>
          <w:tcPr>
            <w:tcW w:w="1231" w:type="dxa"/>
            <w:tcBorders>
              <w:top w:val="nil"/>
              <w:left w:val="nil"/>
              <w:bottom w:val="nil"/>
              <w:right w:val="nil"/>
            </w:tcBorders>
            <w:vAlign w:val="bottom"/>
          </w:tcPr>
          <w:p w14:paraId="2F0415DC">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0.10</w:t>
            </w:r>
          </w:p>
        </w:tc>
        <w:tc>
          <w:tcPr>
            <w:tcW w:w="1152" w:type="dxa"/>
            <w:tcBorders>
              <w:top w:val="nil"/>
              <w:left w:val="nil"/>
              <w:bottom w:val="nil"/>
              <w:right w:val="nil"/>
            </w:tcBorders>
            <w:vAlign w:val="bottom"/>
          </w:tcPr>
          <w:p w14:paraId="4AC758FC">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1.14</w:t>
            </w:r>
          </w:p>
        </w:tc>
      </w:tr>
      <w:tr w14:paraId="58816D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tcBorders>
              <w:top w:val="nil"/>
              <w:left w:val="nil"/>
              <w:bottom w:val="single" w:color="auto" w:sz="4" w:space="0"/>
              <w:right w:val="nil"/>
            </w:tcBorders>
          </w:tcPr>
          <w:p w14:paraId="0C065498">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AR-HCF2</w:t>
            </w:r>
          </w:p>
        </w:tc>
        <w:tc>
          <w:tcPr>
            <w:tcW w:w="1231" w:type="dxa"/>
            <w:tcBorders>
              <w:top w:val="nil"/>
              <w:left w:val="nil"/>
              <w:bottom w:val="single" w:color="auto" w:sz="4" w:space="0"/>
              <w:right w:val="nil"/>
            </w:tcBorders>
            <w:vAlign w:val="bottom"/>
          </w:tcPr>
          <w:p w14:paraId="69E80BA8">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0.11</w:t>
            </w:r>
          </w:p>
        </w:tc>
        <w:tc>
          <w:tcPr>
            <w:tcW w:w="1152" w:type="dxa"/>
            <w:tcBorders>
              <w:top w:val="nil"/>
              <w:left w:val="nil"/>
              <w:bottom w:val="single" w:color="auto" w:sz="4" w:space="0"/>
              <w:right w:val="nil"/>
            </w:tcBorders>
            <w:vAlign w:val="bottom"/>
          </w:tcPr>
          <w:p w14:paraId="06140DF7">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1.02</w:t>
            </w:r>
          </w:p>
        </w:tc>
        <w:tc>
          <w:tcPr>
            <w:tcW w:w="362" w:type="dxa"/>
            <w:tcBorders>
              <w:top w:val="nil"/>
              <w:left w:val="nil"/>
              <w:bottom w:val="single" w:color="auto" w:sz="4" w:space="0"/>
              <w:right w:val="nil"/>
            </w:tcBorders>
            <w:vAlign w:val="bottom"/>
          </w:tcPr>
          <w:p w14:paraId="4A687FB7">
            <w:pPr>
              <w:spacing w:after="80"/>
              <w:jc w:val="center"/>
              <w:rPr>
                <w:rFonts w:eastAsia="等线"/>
                <w:color w:val="000000" w:themeColor="text1"/>
                <w:kern w:val="2"/>
                <w:sz w:val="21"/>
                <w:szCs w:val="21"/>
                <w14:textFill>
                  <w14:solidFill>
                    <w14:schemeClr w14:val="tx1"/>
                  </w14:solidFill>
                </w14:textFill>
              </w:rPr>
            </w:pPr>
          </w:p>
        </w:tc>
        <w:tc>
          <w:tcPr>
            <w:tcW w:w="1231" w:type="dxa"/>
            <w:tcBorders>
              <w:top w:val="nil"/>
              <w:left w:val="nil"/>
              <w:bottom w:val="single" w:color="auto" w:sz="4" w:space="0"/>
              <w:right w:val="nil"/>
            </w:tcBorders>
            <w:vAlign w:val="bottom"/>
          </w:tcPr>
          <w:p w14:paraId="25F87828">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0.06</w:t>
            </w:r>
          </w:p>
        </w:tc>
        <w:tc>
          <w:tcPr>
            <w:tcW w:w="1152" w:type="dxa"/>
            <w:tcBorders>
              <w:top w:val="nil"/>
              <w:left w:val="nil"/>
              <w:bottom w:val="single" w:color="auto" w:sz="4" w:space="0"/>
              <w:right w:val="nil"/>
            </w:tcBorders>
            <w:vAlign w:val="bottom"/>
          </w:tcPr>
          <w:p w14:paraId="482666DB">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1.01</w:t>
            </w:r>
          </w:p>
        </w:tc>
        <w:tc>
          <w:tcPr>
            <w:tcW w:w="645" w:type="dxa"/>
            <w:tcBorders>
              <w:top w:val="nil"/>
              <w:left w:val="nil"/>
              <w:bottom w:val="single" w:color="auto" w:sz="4" w:space="0"/>
              <w:right w:val="nil"/>
            </w:tcBorders>
            <w:vAlign w:val="bottom"/>
          </w:tcPr>
          <w:p w14:paraId="0444AE9D">
            <w:pPr>
              <w:spacing w:after="80"/>
              <w:jc w:val="center"/>
              <w:rPr>
                <w:rFonts w:eastAsia="等线"/>
                <w:color w:val="000000" w:themeColor="text1"/>
                <w:kern w:val="2"/>
                <w:sz w:val="21"/>
                <w:szCs w:val="21"/>
                <w14:textFill>
                  <w14:solidFill>
                    <w14:schemeClr w14:val="tx1"/>
                  </w14:solidFill>
                </w14:textFill>
              </w:rPr>
            </w:pPr>
          </w:p>
        </w:tc>
        <w:tc>
          <w:tcPr>
            <w:tcW w:w="1231" w:type="dxa"/>
            <w:tcBorders>
              <w:top w:val="nil"/>
              <w:left w:val="nil"/>
              <w:bottom w:val="single" w:color="auto" w:sz="4" w:space="0"/>
              <w:right w:val="nil"/>
            </w:tcBorders>
            <w:vAlign w:val="bottom"/>
          </w:tcPr>
          <w:p w14:paraId="59EB6259">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0.07</w:t>
            </w:r>
          </w:p>
        </w:tc>
        <w:tc>
          <w:tcPr>
            <w:tcW w:w="1152" w:type="dxa"/>
            <w:tcBorders>
              <w:top w:val="nil"/>
              <w:left w:val="nil"/>
              <w:bottom w:val="single" w:color="auto" w:sz="4" w:space="0"/>
              <w:right w:val="nil"/>
            </w:tcBorders>
            <w:vAlign w:val="bottom"/>
          </w:tcPr>
          <w:p w14:paraId="3628DBB5">
            <w:pPr>
              <w:spacing w:after="80"/>
              <w:jc w:val="center"/>
              <w:rPr>
                <w:rFonts w:eastAsia="等线"/>
                <w:color w:val="000000" w:themeColor="text1"/>
                <w:kern w:val="2"/>
                <w:sz w:val="21"/>
                <w:szCs w:val="21"/>
                <w14:textFill>
                  <w14:solidFill>
                    <w14:schemeClr w14:val="tx1"/>
                  </w14:solidFill>
                </w14:textFill>
              </w:rPr>
            </w:pPr>
            <w:r>
              <w:rPr>
                <w:rFonts w:eastAsia="等线"/>
                <w:color w:val="000000" w:themeColor="text1"/>
                <w:kern w:val="2"/>
                <w:sz w:val="21"/>
                <w:szCs w:val="21"/>
                <w14:textFill>
                  <w14:solidFill>
                    <w14:schemeClr w14:val="tx1"/>
                  </w14:solidFill>
                </w14:textFill>
              </w:rPr>
              <w:t>1.01</w:t>
            </w:r>
          </w:p>
        </w:tc>
      </w:tr>
      <w:bookmarkEnd w:id="29"/>
    </w:tbl>
    <w:p w14:paraId="784E8FD5">
      <w:pPr>
        <w:spacing w:before="480" w:after="180"/>
        <w:jc w:val="center"/>
        <w:rPr>
          <w:b/>
          <w:sz w:val="21"/>
          <w:szCs w:val="21"/>
        </w:rPr>
      </w:pPr>
      <w:r>
        <w:rPr>
          <w:rFonts w:hint="eastAsia"/>
          <w:b/>
          <w:sz w:val="21"/>
          <w:szCs w:val="21"/>
          <w:lang w:val="en-US" w:eastAsia="zh-CN"/>
        </w:rPr>
        <w:drawing>
          <wp:inline distT="0" distB="0" distL="0" distR="0">
            <wp:extent cx="5518785" cy="4229735"/>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18800" cy="4230000"/>
                    </a:xfrm>
                    <a:prstGeom prst="rect">
                      <a:avLst/>
                    </a:prstGeom>
                  </pic:spPr>
                </pic:pic>
              </a:graphicData>
            </a:graphic>
          </wp:inline>
        </w:drawing>
      </w:r>
    </w:p>
    <w:p w14:paraId="78F0DDE7">
      <w:pPr>
        <w:pStyle w:val="47"/>
        <w:rPr>
          <w:b w:val="0"/>
          <w:bCs/>
        </w:rPr>
      </w:pPr>
      <w:r>
        <w:t>Fig</w:t>
      </w:r>
      <w:r>
        <w:rPr>
          <w:rFonts w:hint="eastAsia" w:eastAsiaTheme="minorEastAsia"/>
          <w:lang w:eastAsia="zh-CN"/>
        </w:rPr>
        <w:t>ure</w:t>
      </w:r>
      <w:r>
        <w:t xml:space="preserve">. S5. </w:t>
      </w:r>
      <w:r>
        <w:rPr>
          <w:b w:val="0"/>
          <w:bCs/>
        </w:rPr>
        <w:t>Measurement of beam quality factors (M</w:t>
      </w:r>
      <w:r>
        <w:rPr>
          <w:b w:val="0"/>
          <w:bCs/>
          <w:vertAlign w:val="superscript"/>
        </w:rPr>
        <w:t>2</w:t>
      </w:r>
      <w:r>
        <w:rPr>
          <w:b w:val="0"/>
          <w:bCs/>
        </w:rPr>
        <w:t>) at the output ports of three laser delivery systems: free space (a-c), 3-m-long AR-HCF1 (d-f), and 3-m-long AR-HCF2 (g-i).</w:t>
      </w:r>
    </w:p>
    <w:p w14:paraId="4B7DED1D">
      <w:pPr>
        <w:pStyle w:val="66"/>
        <w:numPr>
          <w:ilvl w:val="0"/>
          <w:numId w:val="1"/>
        </w:numPr>
        <w:spacing w:after="240" w:afterLines="100"/>
        <w:rPr>
          <w:rFonts w:ascii="Times New Roman" w:hAnsi="Times New Roman" w:cs="Arial" w:eastAsiaTheme="minorEastAsia"/>
          <w:b/>
          <w:sz w:val="28"/>
          <w:szCs w:val="28"/>
          <w:lang w:eastAsia="zh-CN"/>
        </w:rPr>
      </w:pPr>
      <w:bookmarkStart w:id="30" w:name="OLE_LINK20"/>
      <w:bookmarkStart w:id="31" w:name="OLE_LINK19"/>
      <w:r>
        <w:rPr>
          <w:rFonts w:ascii="Times New Roman" w:hAnsi="Times New Roman" w:cs="Arial" w:eastAsiaTheme="minorEastAsia"/>
          <w:b/>
          <w:sz w:val="28"/>
          <w:szCs w:val="28"/>
          <w:lang w:eastAsia="zh-CN"/>
        </w:rPr>
        <w:t>Measurement of power and pointing stabilities of AR-HCF laser delivery systems in oscillating state</w:t>
      </w:r>
      <w:bookmarkEnd w:id="30"/>
      <w:bookmarkEnd w:id="31"/>
    </w:p>
    <w:p w14:paraId="38FE57AA">
      <w:pPr>
        <w:pStyle w:val="66"/>
        <w:spacing w:line="480" w:lineRule="auto"/>
        <w:ind w:firstLine="0"/>
        <w:rPr>
          <w:rFonts w:ascii="Times New Roman" w:hAnsi="Times New Roman" w:eastAsiaTheme="minorEastAsia"/>
          <w:sz w:val="24"/>
          <w:szCs w:val="24"/>
          <w:lang w:eastAsia="zh-CN"/>
        </w:rPr>
      </w:pPr>
      <w:r>
        <w:rPr>
          <w:rFonts w:ascii="Times New Roman" w:hAnsi="Times New Roman" w:eastAsiaTheme="minorEastAsia"/>
          <w:sz w:val="24"/>
          <w:szCs w:val="24"/>
          <w:lang w:eastAsia="zh-CN"/>
        </w:rPr>
        <w:t xml:space="preserve">In the experiment, we </w:t>
      </w:r>
      <w:r>
        <w:rPr>
          <w:rFonts w:hint="eastAsia" w:ascii="Times New Roman" w:hAnsi="Times New Roman" w:eastAsiaTheme="minorEastAsia"/>
          <w:sz w:val="24"/>
          <w:szCs w:val="24"/>
          <w:lang w:eastAsia="zh-CN"/>
        </w:rPr>
        <w:t>measure</w:t>
      </w:r>
      <w:r>
        <w:rPr>
          <w:rFonts w:ascii="Times New Roman" w:hAnsi="Times New Roman" w:eastAsiaTheme="minorEastAsia"/>
          <w:sz w:val="24"/>
          <w:szCs w:val="24"/>
          <w:lang w:eastAsia="zh-CN"/>
        </w:rPr>
        <w:t xml:space="preserve">d </w:t>
      </w:r>
      <w:r>
        <w:rPr>
          <w:rFonts w:hint="eastAsia" w:ascii="Times New Roman" w:hAnsi="Times New Roman" w:eastAsiaTheme="minorEastAsia"/>
          <w:sz w:val="24"/>
          <w:szCs w:val="24"/>
          <w:lang w:eastAsia="zh-CN"/>
        </w:rPr>
        <w:t xml:space="preserve">the </w:t>
      </w:r>
      <w:r>
        <w:rPr>
          <w:rFonts w:ascii="Times New Roman" w:hAnsi="Times New Roman" w:eastAsiaTheme="minorEastAsia"/>
          <w:sz w:val="24"/>
          <w:szCs w:val="24"/>
          <w:lang w:eastAsia="zh-CN"/>
        </w:rPr>
        <w:t>power</w:t>
      </w:r>
      <w:r>
        <w:rPr>
          <w:rFonts w:hint="eastAsia" w:ascii="Times New Roman" w:hAnsi="Times New Roman" w:eastAsiaTheme="minorEastAsia"/>
          <w:sz w:val="24"/>
          <w:szCs w:val="24"/>
          <w:lang w:eastAsia="zh-CN"/>
        </w:rPr>
        <w:t xml:space="preserve"> and p</w:t>
      </w:r>
      <w:r>
        <w:rPr>
          <w:rFonts w:ascii="Times New Roman" w:hAnsi="Times New Roman" w:eastAsiaTheme="minorEastAsia"/>
          <w:sz w:val="24"/>
          <w:szCs w:val="24"/>
          <w:lang w:eastAsia="zh-CN"/>
        </w:rPr>
        <w:t xml:space="preserve">ointing </w:t>
      </w:r>
      <w:r>
        <w:rPr>
          <w:rFonts w:hint="eastAsia" w:ascii="Times New Roman" w:hAnsi="Times New Roman" w:eastAsiaTheme="minorEastAsia"/>
          <w:sz w:val="24"/>
          <w:szCs w:val="24"/>
          <w:lang w:eastAsia="zh-CN"/>
        </w:rPr>
        <w:t>stabilities of the AR-HCF</w:t>
      </w:r>
      <w:r>
        <w:rPr>
          <w:rFonts w:ascii="Times New Roman" w:hAnsi="Times New Roman" w:eastAsiaTheme="minorEastAsia"/>
          <w:sz w:val="24"/>
          <w:szCs w:val="24"/>
          <w:lang w:eastAsia="zh-CN"/>
        </w:rPr>
        <w:t xml:space="preserve"> laser </w:t>
      </w:r>
      <w:r>
        <w:rPr>
          <w:rFonts w:hint="eastAsia" w:ascii="Times New Roman" w:hAnsi="Times New Roman" w:eastAsiaTheme="minorEastAsia"/>
          <w:sz w:val="24"/>
          <w:szCs w:val="24"/>
          <w:lang w:eastAsia="zh-CN"/>
        </w:rPr>
        <w:t xml:space="preserve">delivery systems when oscillating the fiber samples. </w:t>
      </w:r>
      <w:r>
        <w:rPr>
          <w:rFonts w:ascii="Times New Roman" w:hAnsi="Times New Roman" w:eastAsiaTheme="minorEastAsia"/>
          <w:sz w:val="24"/>
          <w:szCs w:val="24"/>
          <w:lang w:eastAsia="zh-CN"/>
        </w:rPr>
        <w:t>T</w:t>
      </w:r>
      <w:r>
        <w:rPr>
          <w:rFonts w:hint="eastAsia" w:ascii="Times New Roman" w:hAnsi="Times New Roman" w:eastAsiaTheme="minorEastAsia"/>
          <w:sz w:val="24"/>
          <w:szCs w:val="24"/>
          <w:lang w:eastAsia="zh-CN"/>
        </w:rPr>
        <w:t>he measured results are illustrated in</w:t>
      </w:r>
      <w:r>
        <w:rPr>
          <w:rFonts w:ascii="Times New Roman" w:hAnsi="Times New Roman" w:eastAsiaTheme="minorEastAsia"/>
          <w:sz w:val="24"/>
          <w:szCs w:val="24"/>
          <w:lang w:eastAsia="zh-CN"/>
        </w:rPr>
        <w:t xml:space="preserve"> </w:t>
      </w:r>
      <w:r>
        <w:rPr>
          <w:rFonts w:hint="eastAsia" w:ascii="Times New Roman" w:hAnsi="Times New Roman" w:eastAsiaTheme="minorEastAsia"/>
          <w:sz w:val="24"/>
          <w:szCs w:val="24"/>
          <w:lang w:eastAsia="zh-CN"/>
        </w:rPr>
        <w:t>Fig.</w:t>
      </w:r>
      <w:r>
        <w:rPr>
          <w:rFonts w:ascii="Times New Roman" w:hAnsi="Times New Roman" w:eastAsiaTheme="minorEastAsia"/>
          <w:sz w:val="24"/>
          <w:szCs w:val="24"/>
          <w:lang w:eastAsia="zh-CN"/>
        </w:rPr>
        <w:t xml:space="preserve"> </w:t>
      </w:r>
      <w:r>
        <w:rPr>
          <w:rFonts w:hint="eastAsia" w:ascii="Times New Roman" w:hAnsi="Times New Roman" w:eastAsiaTheme="minorEastAsia"/>
          <w:sz w:val="24"/>
          <w:szCs w:val="24"/>
          <w:lang w:eastAsia="zh-CN"/>
        </w:rPr>
        <w:t>S6.</w:t>
      </w:r>
      <w:r>
        <w:rPr>
          <w:rFonts w:ascii="Times New Roman" w:hAnsi="Times New Roman" w:eastAsiaTheme="minorEastAsia"/>
          <w:sz w:val="24"/>
          <w:szCs w:val="24"/>
          <w:lang w:eastAsia="zh-CN"/>
        </w:rPr>
        <w:t xml:space="preserve"> </w:t>
      </w:r>
      <w:r>
        <w:rPr>
          <w:rFonts w:hint="eastAsia" w:ascii="Times New Roman" w:hAnsi="Times New Roman" w:eastAsiaTheme="minorEastAsia"/>
          <w:sz w:val="24"/>
          <w:szCs w:val="24"/>
          <w:lang w:eastAsia="zh-CN"/>
        </w:rPr>
        <w:t>During oscillating, as observed in Figs. S</w:t>
      </w:r>
      <w:r>
        <w:rPr>
          <w:rFonts w:ascii="Times New Roman" w:hAnsi="Times New Roman" w:eastAsiaTheme="minorEastAsia"/>
          <w:sz w:val="24"/>
          <w:szCs w:val="24"/>
          <w:lang w:eastAsia="zh-CN"/>
        </w:rPr>
        <w:t>6</w:t>
      </w:r>
      <w:r>
        <w:rPr>
          <w:rFonts w:hint="eastAsia" w:ascii="Times New Roman" w:hAnsi="Times New Roman" w:eastAsiaTheme="minorEastAsia"/>
          <w:sz w:val="24"/>
          <w:szCs w:val="24"/>
          <w:lang w:eastAsia="zh-CN"/>
        </w:rPr>
        <w:t>(a) and S</w:t>
      </w:r>
      <w:r>
        <w:rPr>
          <w:rFonts w:ascii="Times New Roman" w:hAnsi="Times New Roman" w:eastAsiaTheme="minorEastAsia"/>
          <w:sz w:val="24"/>
          <w:szCs w:val="24"/>
          <w:lang w:eastAsia="zh-CN"/>
        </w:rPr>
        <w:t>6</w:t>
      </w:r>
      <w:r>
        <w:rPr>
          <w:rFonts w:hint="eastAsia" w:ascii="Times New Roman" w:hAnsi="Times New Roman" w:eastAsiaTheme="minorEastAsia"/>
          <w:sz w:val="24"/>
          <w:szCs w:val="24"/>
          <w:lang w:eastAsia="zh-CN"/>
        </w:rPr>
        <w:t>(</w:t>
      </w:r>
      <w:r>
        <w:rPr>
          <w:rFonts w:ascii="Times New Roman" w:hAnsi="Times New Roman" w:eastAsiaTheme="minorEastAsia"/>
          <w:sz w:val="24"/>
          <w:szCs w:val="24"/>
          <w:lang w:eastAsia="zh-CN"/>
        </w:rPr>
        <w:t>c</w:t>
      </w:r>
      <w:r>
        <w:rPr>
          <w:rFonts w:hint="eastAsia" w:ascii="Times New Roman" w:hAnsi="Times New Roman" w:eastAsiaTheme="minorEastAsia"/>
          <w:sz w:val="24"/>
          <w:szCs w:val="24"/>
          <w:lang w:eastAsia="zh-CN"/>
        </w:rPr>
        <w:t>), for the 3-m-long AR-HCF1 laser delivery system, the RMS value of power fluctuation was measured to be ~0.37%, exhibiting obviously a worse value than that at the stable state (~0.24%</w:t>
      </w:r>
      <w:r>
        <w:rPr>
          <w:rFonts w:ascii="Times New Roman" w:hAnsi="Times New Roman" w:eastAsiaTheme="minorEastAsia"/>
          <w:sz w:val="24"/>
          <w:szCs w:val="24"/>
          <w:lang w:eastAsia="zh-CN"/>
        </w:rPr>
        <w:t>, see Fig. 2(c) in the main text</w:t>
      </w:r>
      <w:r>
        <w:rPr>
          <w:rFonts w:hint="eastAsia" w:ascii="Times New Roman" w:hAnsi="Times New Roman" w:eastAsiaTheme="minorEastAsia"/>
          <w:sz w:val="24"/>
          <w:szCs w:val="24"/>
          <w:lang w:eastAsia="zh-CN"/>
        </w:rPr>
        <w:t>). In contrast, for the 3-m-long AR-HCF2 laser delivery system, the RMS value of power fluctuations is ~0.23%, close to the value at the stable state (~0.2%</w:t>
      </w:r>
      <w:r>
        <w:rPr>
          <w:rFonts w:ascii="Times New Roman" w:hAnsi="Times New Roman" w:eastAsiaTheme="minorEastAsia"/>
          <w:sz w:val="24"/>
          <w:szCs w:val="24"/>
          <w:lang w:eastAsia="zh-CN"/>
        </w:rPr>
        <w:t>, see Fig. 2(e) in the main text</w:t>
      </w:r>
      <w:r>
        <w:rPr>
          <w:rFonts w:hint="eastAsia" w:ascii="Times New Roman" w:hAnsi="Times New Roman" w:eastAsiaTheme="minorEastAsia"/>
          <w:sz w:val="24"/>
          <w:szCs w:val="24"/>
          <w:lang w:eastAsia="zh-CN"/>
        </w:rPr>
        <w:t>). Similarly, as seen in Figs. S</w:t>
      </w:r>
      <w:r>
        <w:rPr>
          <w:rFonts w:ascii="Times New Roman" w:hAnsi="Times New Roman" w:eastAsiaTheme="minorEastAsia"/>
          <w:sz w:val="24"/>
          <w:szCs w:val="24"/>
          <w:lang w:eastAsia="zh-CN"/>
        </w:rPr>
        <w:t>6</w:t>
      </w:r>
      <w:r>
        <w:rPr>
          <w:rFonts w:hint="eastAsia" w:ascii="Times New Roman" w:hAnsi="Times New Roman" w:eastAsiaTheme="minorEastAsia"/>
          <w:sz w:val="24"/>
          <w:szCs w:val="24"/>
          <w:lang w:eastAsia="zh-CN"/>
        </w:rPr>
        <w:t>(b) and S</w:t>
      </w:r>
      <w:r>
        <w:rPr>
          <w:rFonts w:ascii="Times New Roman" w:hAnsi="Times New Roman" w:eastAsiaTheme="minorEastAsia"/>
          <w:sz w:val="24"/>
          <w:szCs w:val="24"/>
          <w:lang w:eastAsia="zh-CN"/>
        </w:rPr>
        <w:t>6</w:t>
      </w:r>
      <w:r>
        <w:rPr>
          <w:rFonts w:hint="eastAsia" w:ascii="Times New Roman" w:hAnsi="Times New Roman" w:eastAsiaTheme="minorEastAsia"/>
          <w:sz w:val="24"/>
          <w:szCs w:val="24"/>
          <w:lang w:eastAsia="zh-CN"/>
        </w:rPr>
        <w:t xml:space="preserve">(d), </w:t>
      </w:r>
      <w:r>
        <w:rPr>
          <w:rFonts w:ascii="Times New Roman" w:hAnsi="Times New Roman" w:eastAsiaTheme="minorEastAsia"/>
          <w:sz w:val="24"/>
          <w:szCs w:val="24"/>
          <w:lang w:eastAsia="zh-CN"/>
        </w:rPr>
        <w:t xml:space="preserve">when the AR-HCF </w:t>
      </w:r>
      <w:r>
        <w:rPr>
          <w:rFonts w:hint="eastAsia" w:ascii="Times New Roman" w:hAnsi="Times New Roman" w:eastAsiaTheme="minorEastAsia"/>
          <w:sz w:val="24"/>
          <w:szCs w:val="24"/>
          <w:lang w:eastAsia="zh-CN"/>
        </w:rPr>
        <w:t>was</w:t>
      </w:r>
      <w:r>
        <w:rPr>
          <w:rFonts w:ascii="Times New Roman" w:hAnsi="Times New Roman" w:eastAsiaTheme="minorEastAsia"/>
          <w:sz w:val="24"/>
          <w:szCs w:val="24"/>
          <w:lang w:eastAsia="zh-CN"/>
        </w:rPr>
        <w:t xml:space="preserve"> </w:t>
      </w:r>
      <w:r>
        <w:rPr>
          <w:rFonts w:hint="eastAsia" w:ascii="Times New Roman" w:hAnsi="Times New Roman" w:eastAsiaTheme="minorEastAsia"/>
          <w:sz w:val="24"/>
          <w:szCs w:val="24"/>
          <w:lang w:eastAsia="zh-CN"/>
        </w:rPr>
        <w:t>at</w:t>
      </w:r>
      <w:r>
        <w:rPr>
          <w:rFonts w:ascii="Times New Roman" w:hAnsi="Times New Roman" w:eastAsiaTheme="minorEastAsia"/>
          <w:sz w:val="24"/>
          <w:szCs w:val="24"/>
          <w:lang w:eastAsia="zh-CN"/>
        </w:rPr>
        <w:t xml:space="preserve"> oscillating state, the pointing stability of AR-HCF1 (</w:t>
      </w:r>
      <w:bookmarkStart w:id="32" w:name="OLE_LINK21"/>
      <w:bookmarkStart w:id="33" w:name="OLE_LINK22"/>
      <w:r>
        <w:rPr>
          <w:rFonts w:ascii="Times New Roman" w:hAnsi="Times New Roman" w:eastAsiaTheme="minorEastAsia"/>
          <w:sz w:val="24"/>
          <w:szCs w:val="24"/>
          <w:lang w:eastAsia="zh-CN"/>
        </w:rPr>
        <w:t>θ</w:t>
      </w:r>
      <w:r>
        <w:rPr>
          <w:rFonts w:ascii="Times New Roman" w:hAnsi="Times New Roman" w:eastAsiaTheme="minorEastAsia"/>
          <w:sz w:val="24"/>
          <w:szCs w:val="24"/>
          <w:vertAlign w:val="subscript"/>
          <w:lang w:eastAsia="zh-CN"/>
        </w:rPr>
        <w:t>x</w:t>
      </w:r>
      <w:bookmarkEnd w:id="32"/>
      <w:bookmarkEnd w:id="33"/>
      <w:r>
        <w:rPr>
          <w:rFonts w:ascii="Times New Roman" w:hAnsi="Times New Roman" w:eastAsiaTheme="minorEastAsia"/>
          <w:sz w:val="24"/>
          <w:szCs w:val="24"/>
          <w:lang w:eastAsia="zh-CN"/>
        </w:rPr>
        <w:t xml:space="preserve"> = 72.1 µrad and θ</w:t>
      </w:r>
      <w:r>
        <w:rPr>
          <w:rFonts w:ascii="Times New Roman" w:hAnsi="Times New Roman" w:eastAsiaTheme="minorEastAsia"/>
          <w:sz w:val="24"/>
          <w:szCs w:val="24"/>
          <w:vertAlign w:val="subscript"/>
          <w:lang w:eastAsia="zh-CN"/>
        </w:rPr>
        <w:t>y</w:t>
      </w:r>
      <w:r>
        <w:rPr>
          <w:rFonts w:ascii="Times New Roman" w:hAnsi="Times New Roman" w:eastAsiaTheme="minorEastAsia"/>
          <w:sz w:val="24"/>
          <w:szCs w:val="24"/>
          <w:lang w:eastAsia="zh-CN"/>
        </w:rPr>
        <w:t xml:space="preserve"> = 138.6 µrad) degrade</w:t>
      </w:r>
      <w:r>
        <w:rPr>
          <w:rFonts w:hint="eastAsia" w:ascii="Times New Roman" w:hAnsi="Times New Roman" w:eastAsiaTheme="minorEastAsia"/>
          <w:sz w:val="24"/>
          <w:szCs w:val="24"/>
          <w:lang w:eastAsia="zh-CN"/>
        </w:rPr>
        <w:t>d</w:t>
      </w:r>
      <w:r>
        <w:rPr>
          <w:rFonts w:ascii="Times New Roman" w:hAnsi="Times New Roman" w:eastAsiaTheme="minorEastAsia"/>
          <w:sz w:val="24"/>
          <w:szCs w:val="24"/>
          <w:lang w:eastAsia="zh-CN"/>
        </w:rPr>
        <w:t xml:space="preserve"> significantly, while the pointing stability of AR-HCF2</w:t>
      </w:r>
      <w:r>
        <w:rPr>
          <w:rFonts w:hint="eastAsia" w:ascii="Times New Roman" w:hAnsi="Times New Roman" w:eastAsiaTheme="minorEastAsia"/>
          <w:sz w:val="24"/>
          <w:szCs w:val="24"/>
          <w:lang w:eastAsia="zh-CN"/>
        </w:rPr>
        <w:t xml:space="preserve"> exhibit much better performance during oscillating</w:t>
      </w:r>
      <w:r>
        <w:rPr>
          <w:rFonts w:ascii="Times New Roman" w:hAnsi="Times New Roman" w:eastAsiaTheme="minorEastAsia"/>
          <w:sz w:val="24"/>
          <w:szCs w:val="24"/>
          <w:lang w:eastAsia="zh-CN"/>
        </w:rPr>
        <w:t xml:space="preserve"> (θ</w:t>
      </w:r>
      <w:r>
        <w:rPr>
          <w:rFonts w:ascii="Times New Roman" w:hAnsi="Times New Roman" w:eastAsiaTheme="minorEastAsia"/>
          <w:sz w:val="24"/>
          <w:szCs w:val="24"/>
          <w:vertAlign w:val="subscript"/>
          <w:lang w:eastAsia="zh-CN"/>
        </w:rPr>
        <w:t>x</w:t>
      </w:r>
      <w:r>
        <w:rPr>
          <w:rFonts w:ascii="Times New Roman" w:hAnsi="Times New Roman" w:eastAsiaTheme="minorEastAsia"/>
          <w:sz w:val="24"/>
          <w:szCs w:val="24"/>
          <w:lang w:eastAsia="zh-CN"/>
        </w:rPr>
        <w:t xml:space="preserve"> = 10.5 µrad and θ</w:t>
      </w:r>
      <w:r>
        <w:rPr>
          <w:rFonts w:ascii="Times New Roman" w:hAnsi="Times New Roman" w:eastAsiaTheme="minorEastAsia"/>
          <w:sz w:val="24"/>
          <w:szCs w:val="24"/>
          <w:vertAlign w:val="subscript"/>
          <w:lang w:eastAsia="zh-CN"/>
        </w:rPr>
        <w:t>y</w:t>
      </w:r>
      <w:r>
        <w:rPr>
          <w:rFonts w:ascii="Times New Roman" w:hAnsi="Times New Roman" w:eastAsiaTheme="minorEastAsia"/>
          <w:sz w:val="24"/>
          <w:szCs w:val="24"/>
          <w:lang w:eastAsia="zh-CN"/>
        </w:rPr>
        <w:t xml:space="preserve"> = 17.4 µrad).</w:t>
      </w:r>
    </w:p>
    <w:p w14:paraId="1075DE57">
      <w:pPr>
        <w:spacing w:before="480" w:after="180"/>
        <w:jc w:val="center"/>
        <w:rPr>
          <w:b/>
          <w:sz w:val="21"/>
          <w:szCs w:val="21"/>
        </w:rPr>
      </w:pPr>
      <w:r>
        <w:rPr>
          <w:rFonts w:hint="eastAsia"/>
          <w:b/>
          <w:sz w:val="21"/>
          <w:szCs w:val="21"/>
          <w:lang w:val="en-US" w:eastAsia="zh-CN"/>
        </w:rPr>
        <w:drawing>
          <wp:inline distT="0" distB="0" distL="0" distR="0">
            <wp:extent cx="3700780" cy="292989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00800" cy="2930400"/>
                    </a:xfrm>
                    <a:prstGeom prst="rect">
                      <a:avLst/>
                    </a:prstGeom>
                  </pic:spPr>
                </pic:pic>
              </a:graphicData>
            </a:graphic>
          </wp:inline>
        </w:drawing>
      </w:r>
    </w:p>
    <w:p w14:paraId="14DF7152">
      <w:pPr>
        <w:pStyle w:val="47"/>
        <w:rPr>
          <w:b w:val="0"/>
          <w:bCs/>
        </w:rPr>
      </w:pPr>
      <w:r>
        <w:t>Fig</w:t>
      </w:r>
      <w:r>
        <w:rPr>
          <w:rFonts w:hint="eastAsia" w:eastAsiaTheme="minorEastAsia"/>
          <w:lang w:eastAsia="zh-CN"/>
        </w:rPr>
        <w:t>ure</w:t>
      </w:r>
      <w:r>
        <w:t xml:space="preserve">. S6. </w:t>
      </w:r>
      <w:r>
        <w:rPr>
          <w:b w:val="0"/>
          <w:bCs/>
        </w:rPr>
        <w:t>The power stability and pointing stability of AR-HCF laser delivery systems in oscillating state. (a), (b) Results of the 3-m-long AR-HCF1 laser delivery system. (c), (d) Results of the 3-m-long AR-HCF2 laser delivery system.</w:t>
      </w:r>
    </w:p>
    <w:p w14:paraId="05F4FCA1">
      <w:pPr>
        <w:pStyle w:val="66"/>
        <w:numPr>
          <w:ilvl w:val="0"/>
          <w:numId w:val="1"/>
        </w:numPr>
        <w:spacing w:after="240" w:afterLines="100"/>
        <w:rPr>
          <w:rFonts w:ascii="Times New Roman" w:hAnsi="Times New Roman" w:cs="Arial" w:eastAsiaTheme="minorEastAsia"/>
          <w:b/>
          <w:sz w:val="28"/>
          <w:szCs w:val="28"/>
          <w:lang w:eastAsia="zh-CN"/>
        </w:rPr>
      </w:pPr>
      <w:r>
        <w:rPr>
          <w:rFonts w:ascii="Times New Roman" w:hAnsi="Times New Roman" w:cs="Arial" w:eastAsiaTheme="minorEastAsia"/>
          <w:b/>
          <w:sz w:val="28"/>
          <w:szCs w:val="28"/>
          <w:lang w:eastAsia="zh-CN"/>
        </w:rPr>
        <w:t>Characterization of AR-HCF mode purity</w:t>
      </w:r>
    </w:p>
    <w:p w14:paraId="26C7DF5A">
      <w:pPr>
        <w:pStyle w:val="66"/>
        <w:spacing w:line="480" w:lineRule="auto"/>
        <w:ind w:firstLine="0"/>
        <w:rPr>
          <w:rFonts w:ascii="Times New Roman" w:hAnsi="Times New Roman" w:eastAsiaTheme="minorEastAsia"/>
          <w:sz w:val="24"/>
          <w:szCs w:val="24"/>
          <w:lang w:eastAsia="zh-CN"/>
        </w:rPr>
      </w:pPr>
      <w:r>
        <w:rPr>
          <w:rFonts w:ascii="Times New Roman" w:hAnsi="Times New Roman" w:eastAsiaTheme="minorEastAsia"/>
          <w:kern w:val="2"/>
          <w:sz w:val="24"/>
          <w:szCs w:val="24"/>
        </w:rPr>
        <w:t>We performed the AR-HCF mode purity characterization using the spectral method. In the experimental measurement, a supercontinuum source was initially coupled into the two AR-HCFs, with the corresponding transmission spectra shown in Figs. S7(a) and S7(b). We can observe distinct interference fringes in AR-HCF1 (see Fig. S7(a)), whereas AR-HCF2 exhibits a smooth transmission spectrum (see Fig. S7(b)). This spectral comparison indicates significant higher-order mode components in AR-HCF1, while AR-HCF2 demonstrates superior modal purity. Quantitatively, we introduced the fringe amplitude as a figure of merit (FOM) for modal quality assessment. The measured fringe amplitudes were 0.696 dB (AR-HCF1) and 0.03 dB (AR-HCF2), corresponding to the FOM value of 23.2. These results confirm the excellent single-mode characteristics of AR-HCF2</w:t>
      </w:r>
      <w:r>
        <w:rPr>
          <w:rFonts w:hint="eastAsia" w:ascii="Times New Roman" w:hAnsi="Times New Roman" w:eastAsiaTheme="minorEastAsia"/>
          <w:kern w:val="2"/>
          <w:sz w:val="24"/>
          <w:szCs w:val="24"/>
          <w:lang w:eastAsia="zh-CN"/>
        </w:rPr>
        <w:t>.</w:t>
      </w:r>
    </w:p>
    <w:p w14:paraId="25D5E8A3">
      <w:pPr>
        <w:spacing w:before="480" w:after="180"/>
        <w:jc w:val="center"/>
        <w:rPr>
          <w:b/>
          <w:sz w:val="21"/>
          <w:szCs w:val="21"/>
        </w:rPr>
      </w:pPr>
      <w:r>
        <w:rPr>
          <w:b/>
          <w:sz w:val="21"/>
          <w:szCs w:val="21"/>
        </w:rPr>
        <w:drawing>
          <wp:inline distT="0" distB="0" distL="0" distR="0">
            <wp:extent cx="3945255" cy="1579880"/>
            <wp:effectExtent l="0" t="0" r="0" b="1270"/>
            <wp:docPr id="17751724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72498" name="图片 1"/>
                    <pic:cNvPicPr>
                      <a:picLocks noChangeAspect="1"/>
                    </pic:cNvPicPr>
                  </pic:nvPicPr>
                  <pic:blipFill>
                    <a:blip r:embed="rId11"/>
                    <a:stretch>
                      <a:fillRect/>
                    </a:stretch>
                  </pic:blipFill>
                  <pic:spPr>
                    <a:xfrm>
                      <a:off x="0" y="0"/>
                      <a:ext cx="3945600" cy="1580400"/>
                    </a:xfrm>
                    <a:prstGeom prst="rect">
                      <a:avLst/>
                    </a:prstGeom>
                  </pic:spPr>
                </pic:pic>
              </a:graphicData>
            </a:graphic>
          </wp:inline>
        </w:drawing>
      </w:r>
    </w:p>
    <w:p w14:paraId="3E204A23">
      <w:pPr>
        <w:pStyle w:val="47"/>
        <w:rPr>
          <w:b w:val="0"/>
          <w:bCs/>
        </w:rPr>
      </w:pPr>
      <w:r>
        <w:t>Fig</w:t>
      </w:r>
      <w:r>
        <w:rPr>
          <w:rFonts w:hint="eastAsia" w:eastAsiaTheme="minorEastAsia"/>
          <w:lang w:eastAsia="zh-CN"/>
        </w:rPr>
        <w:t>ure</w:t>
      </w:r>
      <w:r>
        <w:t xml:space="preserve">. S7. </w:t>
      </w:r>
      <w:r>
        <w:rPr>
          <w:b w:val="0"/>
          <w:bCs/>
        </w:rPr>
        <w:t>The transmission spectra measured at the output ports of AR-HCFs. (a) Results of the 20-m-long AR-HCF1. (b) Results of the 6.5-m-long AR-HCF2.</w:t>
      </w:r>
    </w:p>
    <w:sectPr>
      <w:footerReference r:id="rId3" w:type="default"/>
      <w:type w:val="continuous"/>
      <w:pgSz w:w="11906" w:h="16838"/>
      <w:pgMar w:top="1417" w:right="1417" w:bottom="1134" w:left="1417"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Kozuka Mincho Pr6N R"/>
    <w:panose1 w:val="02020609040205080304"/>
    <w:charset w:val="80"/>
    <w:family w:val="modern"/>
    <w:pitch w:val="default"/>
    <w:sig w:usb0="00000000" w:usb1="00000000" w:usb2="08000012" w:usb3="00000000" w:csb0="0002009F" w:csb1="00000000"/>
  </w:font>
  <w:font w:name="Kozuka Mincho Pr6N R">
    <w:panose1 w:val="02020400000000000000"/>
    <w:charset w:val="80"/>
    <w:family w:val="auto"/>
    <w:pitch w:val="default"/>
    <w:sig w:usb0="000002D7" w:usb1="2AC71C11" w:usb2="00000012" w:usb3="00000000" w:csb0="2002009F" w:csb1="0000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Malgun Gothic">
    <w:panose1 w:val="020B0503020000020004"/>
    <w:charset w:val="81"/>
    <w:family w:val="swiss"/>
    <w:pitch w:val="default"/>
    <w:sig w:usb0="9000002F" w:usb1="29D77CFB" w:usb2="00000012" w:usb3="00000000" w:csb0="0008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45039">
    <w:pPr>
      <w:pStyle w:val="4"/>
      <w:jc w:val="center"/>
    </w:pPr>
    <w:r>
      <w:fldChar w:fldCharType="begin"/>
    </w:r>
    <w:r>
      <w:instrText xml:space="preserve">PAGE   \* MERGEFORMAT</w:instrText>
    </w:r>
    <w:r>
      <w:fldChar w:fldCharType="separate"/>
    </w:r>
    <w:r>
      <w:t>9</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C70E37"/>
    <w:multiLevelType w:val="multilevel"/>
    <w:tmpl w:val="76C70E37"/>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NotDisplayPageBoundaries w:val="1"/>
  <w:bordersDoNotSurroundHeader w:val="1"/>
  <w:bordersDoNotSurroundFooter w:val="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nforcement="0"/>
  <w:defaultTabStop w:val="708"/>
  <w:hyphenationZone w:val="425"/>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1MDQ1YzRlZjM1NWQ2YzQxNzk5YWM0ZTkzNGY5MGMifQ=="/>
  </w:docVars>
  <w:rsids>
    <w:rsidRoot w:val="002D16A0"/>
    <w:rsid w:val="000003BB"/>
    <w:rsid w:val="00002B76"/>
    <w:rsid w:val="00003303"/>
    <w:rsid w:val="0000374D"/>
    <w:rsid w:val="00003870"/>
    <w:rsid w:val="00003F91"/>
    <w:rsid w:val="0000466B"/>
    <w:rsid w:val="0000467A"/>
    <w:rsid w:val="00004A23"/>
    <w:rsid w:val="00006A0A"/>
    <w:rsid w:val="0000703E"/>
    <w:rsid w:val="00007176"/>
    <w:rsid w:val="000112FC"/>
    <w:rsid w:val="000118B0"/>
    <w:rsid w:val="00011F40"/>
    <w:rsid w:val="000122C4"/>
    <w:rsid w:val="00014397"/>
    <w:rsid w:val="0001454A"/>
    <w:rsid w:val="000150F2"/>
    <w:rsid w:val="00015DEF"/>
    <w:rsid w:val="0001683C"/>
    <w:rsid w:val="00016E22"/>
    <w:rsid w:val="000172E7"/>
    <w:rsid w:val="000212D8"/>
    <w:rsid w:val="000214A8"/>
    <w:rsid w:val="00021DE9"/>
    <w:rsid w:val="00023F64"/>
    <w:rsid w:val="000243DF"/>
    <w:rsid w:val="00025346"/>
    <w:rsid w:val="00025ACF"/>
    <w:rsid w:val="00025DC1"/>
    <w:rsid w:val="000261FD"/>
    <w:rsid w:val="00026499"/>
    <w:rsid w:val="00027FB5"/>
    <w:rsid w:val="0003068C"/>
    <w:rsid w:val="000314D2"/>
    <w:rsid w:val="000318F7"/>
    <w:rsid w:val="00031C26"/>
    <w:rsid w:val="0003318F"/>
    <w:rsid w:val="00033AA3"/>
    <w:rsid w:val="0003567C"/>
    <w:rsid w:val="0003604B"/>
    <w:rsid w:val="000367F7"/>
    <w:rsid w:val="00036C29"/>
    <w:rsid w:val="00036CBE"/>
    <w:rsid w:val="00040355"/>
    <w:rsid w:val="0004094E"/>
    <w:rsid w:val="00040A76"/>
    <w:rsid w:val="00040B7B"/>
    <w:rsid w:val="00041C1B"/>
    <w:rsid w:val="000420B2"/>
    <w:rsid w:val="000437F7"/>
    <w:rsid w:val="00043F68"/>
    <w:rsid w:val="00046A3E"/>
    <w:rsid w:val="00050985"/>
    <w:rsid w:val="00050E7A"/>
    <w:rsid w:val="00053F5E"/>
    <w:rsid w:val="000541AF"/>
    <w:rsid w:val="000543EC"/>
    <w:rsid w:val="000544BB"/>
    <w:rsid w:val="0005501E"/>
    <w:rsid w:val="00055883"/>
    <w:rsid w:val="0006044D"/>
    <w:rsid w:val="00060C6A"/>
    <w:rsid w:val="00060D37"/>
    <w:rsid w:val="000614EB"/>
    <w:rsid w:val="00061617"/>
    <w:rsid w:val="00062324"/>
    <w:rsid w:val="000627D2"/>
    <w:rsid w:val="00062BD0"/>
    <w:rsid w:val="00062C02"/>
    <w:rsid w:val="00063C0E"/>
    <w:rsid w:val="0006480B"/>
    <w:rsid w:val="00064E97"/>
    <w:rsid w:val="00064FC8"/>
    <w:rsid w:val="0006534F"/>
    <w:rsid w:val="000656A1"/>
    <w:rsid w:val="00065756"/>
    <w:rsid w:val="00066CA9"/>
    <w:rsid w:val="00066EBC"/>
    <w:rsid w:val="000676AD"/>
    <w:rsid w:val="00067DF5"/>
    <w:rsid w:val="000716B8"/>
    <w:rsid w:val="0007183A"/>
    <w:rsid w:val="00072EA7"/>
    <w:rsid w:val="000733DB"/>
    <w:rsid w:val="000738C4"/>
    <w:rsid w:val="000739E3"/>
    <w:rsid w:val="0007456E"/>
    <w:rsid w:val="00076076"/>
    <w:rsid w:val="00076A05"/>
    <w:rsid w:val="00076C92"/>
    <w:rsid w:val="00076EAD"/>
    <w:rsid w:val="000802C5"/>
    <w:rsid w:val="0008287E"/>
    <w:rsid w:val="00082AE3"/>
    <w:rsid w:val="00083031"/>
    <w:rsid w:val="00083CF1"/>
    <w:rsid w:val="00084349"/>
    <w:rsid w:val="00084E34"/>
    <w:rsid w:val="00085C56"/>
    <w:rsid w:val="00086D6A"/>
    <w:rsid w:val="0008740B"/>
    <w:rsid w:val="000904D3"/>
    <w:rsid w:val="00092E4F"/>
    <w:rsid w:val="0009309C"/>
    <w:rsid w:val="00093B96"/>
    <w:rsid w:val="00093F1B"/>
    <w:rsid w:val="00094AD8"/>
    <w:rsid w:val="00095E6C"/>
    <w:rsid w:val="00096DEC"/>
    <w:rsid w:val="000A086A"/>
    <w:rsid w:val="000A09A1"/>
    <w:rsid w:val="000A0D5B"/>
    <w:rsid w:val="000A1F4B"/>
    <w:rsid w:val="000A21A9"/>
    <w:rsid w:val="000A22AE"/>
    <w:rsid w:val="000A3DBB"/>
    <w:rsid w:val="000A3E93"/>
    <w:rsid w:val="000A4170"/>
    <w:rsid w:val="000A472C"/>
    <w:rsid w:val="000A4A7D"/>
    <w:rsid w:val="000A5773"/>
    <w:rsid w:val="000A5F40"/>
    <w:rsid w:val="000A682F"/>
    <w:rsid w:val="000A695E"/>
    <w:rsid w:val="000A6EEE"/>
    <w:rsid w:val="000A768A"/>
    <w:rsid w:val="000A79E1"/>
    <w:rsid w:val="000B05A0"/>
    <w:rsid w:val="000B1E19"/>
    <w:rsid w:val="000B2290"/>
    <w:rsid w:val="000B2FC3"/>
    <w:rsid w:val="000B33EE"/>
    <w:rsid w:val="000B3719"/>
    <w:rsid w:val="000B4215"/>
    <w:rsid w:val="000B4293"/>
    <w:rsid w:val="000B614B"/>
    <w:rsid w:val="000B65A1"/>
    <w:rsid w:val="000B65E9"/>
    <w:rsid w:val="000B6759"/>
    <w:rsid w:val="000B6AD8"/>
    <w:rsid w:val="000B7B57"/>
    <w:rsid w:val="000C0093"/>
    <w:rsid w:val="000C1252"/>
    <w:rsid w:val="000C259E"/>
    <w:rsid w:val="000C2D73"/>
    <w:rsid w:val="000C30F3"/>
    <w:rsid w:val="000C3E0C"/>
    <w:rsid w:val="000C4C36"/>
    <w:rsid w:val="000C5661"/>
    <w:rsid w:val="000C6252"/>
    <w:rsid w:val="000C6320"/>
    <w:rsid w:val="000C6F8A"/>
    <w:rsid w:val="000C7B28"/>
    <w:rsid w:val="000D2D4B"/>
    <w:rsid w:val="000D3713"/>
    <w:rsid w:val="000D45F4"/>
    <w:rsid w:val="000D4C27"/>
    <w:rsid w:val="000D5A3A"/>
    <w:rsid w:val="000D5AB4"/>
    <w:rsid w:val="000D66A1"/>
    <w:rsid w:val="000D66DB"/>
    <w:rsid w:val="000D6A6D"/>
    <w:rsid w:val="000D7EBA"/>
    <w:rsid w:val="000E0677"/>
    <w:rsid w:val="000E0E86"/>
    <w:rsid w:val="000E17D4"/>
    <w:rsid w:val="000E1B12"/>
    <w:rsid w:val="000E297E"/>
    <w:rsid w:val="000E3532"/>
    <w:rsid w:val="000E5D1A"/>
    <w:rsid w:val="000E6B3D"/>
    <w:rsid w:val="000E6C52"/>
    <w:rsid w:val="000E6DF9"/>
    <w:rsid w:val="000E788B"/>
    <w:rsid w:val="000E7A5B"/>
    <w:rsid w:val="000E7BBA"/>
    <w:rsid w:val="000F0E66"/>
    <w:rsid w:val="000F11A3"/>
    <w:rsid w:val="000F17F6"/>
    <w:rsid w:val="000F1EB3"/>
    <w:rsid w:val="000F2DE4"/>
    <w:rsid w:val="000F36D7"/>
    <w:rsid w:val="000F447C"/>
    <w:rsid w:val="000F4E9E"/>
    <w:rsid w:val="000F512F"/>
    <w:rsid w:val="000F6907"/>
    <w:rsid w:val="000F6D99"/>
    <w:rsid w:val="000F7609"/>
    <w:rsid w:val="001013F4"/>
    <w:rsid w:val="00102CBC"/>
    <w:rsid w:val="001031E8"/>
    <w:rsid w:val="001054D4"/>
    <w:rsid w:val="0010686C"/>
    <w:rsid w:val="00107845"/>
    <w:rsid w:val="00107C5F"/>
    <w:rsid w:val="00107CCC"/>
    <w:rsid w:val="00110011"/>
    <w:rsid w:val="00110376"/>
    <w:rsid w:val="001105BD"/>
    <w:rsid w:val="001144BB"/>
    <w:rsid w:val="00114A7F"/>
    <w:rsid w:val="001154F6"/>
    <w:rsid w:val="0011585E"/>
    <w:rsid w:val="00115AF7"/>
    <w:rsid w:val="00115FCB"/>
    <w:rsid w:val="00116AA2"/>
    <w:rsid w:val="00116C82"/>
    <w:rsid w:val="001200DE"/>
    <w:rsid w:val="00120BE6"/>
    <w:rsid w:val="00120E85"/>
    <w:rsid w:val="0012124D"/>
    <w:rsid w:val="001231B9"/>
    <w:rsid w:val="001236CE"/>
    <w:rsid w:val="001237CA"/>
    <w:rsid w:val="00123ADA"/>
    <w:rsid w:val="00124293"/>
    <w:rsid w:val="00125573"/>
    <w:rsid w:val="0012642A"/>
    <w:rsid w:val="00126D17"/>
    <w:rsid w:val="0012726C"/>
    <w:rsid w:val="001302F3"/>
    <w:rsid w:val="001305BF"/>
    <w:rsid w:val="001308AA"/>
    <w:rsid w:val="00131D58"/>
    <w:rsid w:val="001325C3"/>
    <w:rsid w:val="00132889"/>
    <w:rsid w:val="00132991"/>
    <w:rsid w:val="00132DAA"/>
    <w:rsid w:val="0013421A"/>
    <w:rsid w:val="001368C2"/>
    <w:rsid w:val="00136B25"/>
    <w:rsid w:val="00136C99"/>
    <w:rsid w:val="00136E00"/>
    <w:rsid w:val="001370B1"/>
    <w:rsid w:val="00137159"/>
    <w:rsid w:val="00137728"/>
    <w:rsid w:val="001377CA"/>
    <w:rsid w:val="00140B94"/>
    <w:rsid w:val="00140FEC"/>
    <w:rsid w:val="00141D22"/>
    <w:rsid w:val="001422B5"/>
    <w:rsid w:val="00142F28"/>
    <w:rsid w:val="00143186"/>
    <w:rsid w:val="00143347"/>
    <w:rsid w:val="001442D1"/>
    <w:rsid w:val="001450FB"/>
    <w:rsid w:val="00145671"/>
    <w:rsid w:val="00145CF2"/>
    <w:rsid w:val="00146059"/>
    <w:rsid w:val="00146422"/>
    <w:rsid w:val="0014658A"/>
    <w:rsid w:val="00147BBA"/>
    <w:rsid w:val="00147C40"/>
    <w:rsid w:val="00147DB8"/>
    <w:rsid w:val="00147E3C"/>
    <w:rsid w:val="001510F5"/>
    <w:rsid w:val="00151683"/>
    <w:rsid w:val="0015392F"/>
    <w:rsid w:val="00153EBE"/>
    <w:rsid w:val="00155334"/>
    <w:rsid w:val="001553F0"/>
    <w:rsid w:val="0015563E"/>
    <w:rsid w:val="00155F66"/>
    <w:rsid w:val="00156373"/>
    <w:rsid w:val="001571B6"/>
    <w:rsid w:val="001602C3"/>
    <w:rsid w:val="00161793"/>
    <w:rsid w:val="0016261C"/>
    <w:rsid w:val="00162F06"/>
    <w:rsid w:val="0016324A"/>
    <w:rsid w:val="001634E1"/>
    <w:rsid w:val="0016390D"/>
    <w:rsid w:val="00163DE8"/>
    <w:rsid w:val="00164057"/>
    <w:rsid w:val="0016433B"/>
    <w:rsid w:val="001643CB"/>
    <w:rsid w:val="001645DA"/>
    <w:rsid w:val="00164A3D"/>
    <w:rsid w:val="0016560D"/>
    <w:rsid w:val="00165B37"/>
    <w:rsid w:val="00166342"/>
    <w:rsid w:val="00166779"/>
    <w:rsid w:val="001669C4"/>
    <w:rsid w:val="001674D1"/>
    <w:rsid w:val="00167A8C"/>
    <w:rsid w:val="00170369"/>
    <w:rsid w:val="001713B0"/>
    <w:rsid w:val="00171708"/>
    <w:rsid w:val="00171FAF"/>
    <w:rsid w:val="00172F4D"/>
    <w:rsid w:val="00173757"/>
    <w:rsid w:val="00173DBD"/>
    <w:rsid w:val="00174176"/>
    <w:rsid w:val="00175079"/>
    <w:rsid w:val="0017568E"/>
    <w:rsid w:val="0017657B"/>
    <w:rsid w:val="001769F0"/>
    <w:rsid w:val="00176AD8"/>
    <w:rsid w:val="00180290"/>
    <w:rsid w:val="001806B4"/>
    <w:rsid w:val="001818C9"/>
    <w:rsid w:val="00181D92"/>
    <w:rsid w:val="00182177"/>
    <w:rsid w:val="001823B6"/>
    <w:rsid w:val="00183C58"/>
    <w:rsid w:val="00183D21"/>
    <w:rsid w:val="001848EB"/>
    <w:rsid w:val="001849BA"/>
    <w:rsid w:val="00184AF0"/>
    <w:rsid w:val="00184B6D"/>
    <w:rsid w:val="0018538B"/>
    <w:rsid w:val="001853B1"/>
    <w:rsid w:val="00186539"/>
    <w:rsid w:val="00187764"/>
    <w:rsid w:val="001878B7"/>
    <w:rsid w:val="00187DB9"/>
    <w:rsid w:val="0019077D"/>
    <w:rsid w:val="00190DC6"/>
    <w:rsid w:val="00190F83"/>
    <w:rsid w:val="0019194D"/>
    <w:rsid w:val="00192A67"/>
    <w:rsid w:val="00194185"/>
    <w:rsid w:val="0019475F"/>
    <w:rsid w:val="00194E47"/>
    <w:rsid w:val="0019539D"/>
    <w:rsid w:val="00195546"/>
    <w:rsid w:val="0019723B"/>
    <w:rsid w:val="00197388"/>
    <w:rsid w:val="001A04E3"/>
    <w:rsid w:val="001A2A46"/>
    <w:rsid w:val="001A4240"/>
    <w:rsid w:val="001A5544"/>
    <w:rsid w:val="001A6821"/>
    <w:rsid w:val="001A6FB9"/>
    <w:rsid w:val="001A734D"/>
    <w:rsid w:val="001A7FCB"/>
    <w:rsid w:val="001B0A62"/>
    <w:rsid w:val="001B13A6"/>
    <w:rsid w:val="001B1BC1"/>
    <w:rsid w:val="001B223C"/>
    <w:rsid w:val="001B25CA"/>
    <w:rsid w:val="001B35CB"/>
    <w:rsid w:val="001B38AC"/>
    <w:rsid w:val="001B3C49"/>
    <w:rsid w:val="001B4224"/>
    <w:rsid w:val="001B51CC"/>
    <w:rsid w:val="001B5A00"/>
    <w:rsid w:val="001B7472"/>
    <w:rsid w:val="001C073F"/>
    <w:rsid w:val="001C0DE1"/>
    <w:rsid w:val="001C10AC"/>
    <w:rsid w:val="001C120E"/>
    <w:rsid w:val="001C29EA"/>
    <w:rsid w:val="001C2BB3"/>
    <w:rsid w:val="001C36C2"/>
    <w:rsid w:val="001C3EF2"/>
    <w:rsid w:val="001C4567"/>
    <w:rsid w:val="001C47B7"/>
    <w:rsid w:val="001C55FB"/>
    <w:rsid w:val="001C5CBC"/>
    <w:rsid w:val="001C65DA"/>
    <w:rsid w:val="001C66E9"/>
    <w:rsid w:val="001C7C71"/>
    <w:rsid w:val="001D0854"/>
    <w:rsid w:val="001D107C"/>
    <w:rsid w:val="001D12BC"/>
    <w:rsid w:val="001D2CA0"/>
    <w:rsid w:val="001D2F63"/>
    <w:rsid w:val="001D3003"/>
    <w:rsid w:val="001D47D6"/>
    <w:rsid w:val="001D49D0"/>
    <w:rsid w:val="001D5171"/>
    <w:rsid w:val="001D51FF"/>
    <w:rsid w:val="001D561D"/>
    <w:rsid w:val="001D6C29"/>
    <w:rsid w:val="001D6D40"/>
    <w:rsid w:val="001D7792"/>
    <w:rsid w:val="001E047A"/>
    <w:rsid w:val="001E18CC"/>
    <w:rsid w:val="001E1D94"/>
    <w:rsid w:val="001E28EA"/>
    <w:rsid w:val="001E35F0"/>
    <w:rsid w:val="001E3D2D"/>
    <w:rsid w:val="001E4605"/>
    <w:rsid w:val="001E4836"/>
    <w:rsid w:val="001E5F4E"/>
    <w:rsid w:val="001E6C73"/>
    <w:rsid w:val="001E6D01"/>
    <w:rsid w:val="001F0DB6"/>
    <w:rsid w:val="001F1C9F"/>
    <w:rsid w:val="001F1E88"/>
    <w:rsid w:val="001F2689"/>
    <w:rsid w:val="001F2AB7"/>
    <w:rsid w:val="001F3175"/>
    <w:rsid w:val="001F3C9A"/>
    <w:rsid w:val="001F3C9B"/>
    <w:rsid w:val="001F3E77"/>
    <w:rsid w:val="001F4074"/>
    <w:rsid w:val="001F4BD1"/>
    <w:rsid w:val="001F5110"/>
    <w:rsid w:val="001F52AA"/>
    <w:rsid w:val="001F5702"/>
    <w:rsid w:val="001F65A2"/>
    <w:rsid w:val="001F67A4"/>
    <w:rsid w:val="001F7188"/>
    <w:rsid w:val="0020025A"/>
    <w:rsid w:val="002002FC"/>
    <w:rsid w:val="00200AAB"/>
    <w:rsid w:val="00200CA5"/>
    <w:rsid w:val="00201F71"/>
    <w:rsid w:val="00203934"/>
    <w:rsid w:val="0020446B"/>
    <w:rsid w:val="002045A0"/>
    <w:rsid w:val="00204BA7"/>
    <w:rsid w:val="00204BD7"/>
    <w:rsid w:val="0020566D"/>
    <w:rsid w:val="00206170"/>
    <w:rsid w:val="002072AB"/>
    <w:rsid w:val="00207D90"/>
    <w:rsid w:val="00210140"/>
    <w:rsid w:val="002118FD"/>
    <w:rsid w:val="00211942"/>
    <w:rsid w:val="00211B73"/>
    <w:rsid w:val="002127D1"/>
    <w:rsid w:val="002137FE"/>
    <w:rsid w:val="00214509"/>
    <w:rsid w:val="00214D95"/>
    <w:rsid w:val="00215531"/>
    <w:rsid w:val="002158BA"/>
    <w:rsid w:val="002162B2"/>
    <w:rsid w:val="00216F54"/>
    <w:rsid w:val="00220369"/>
    <w:rsid w:val="002203BB"/>
    <w:rsid w:val="00220933"/>
    <w:rsid w:val="00220C72"/>
    <w:rsid w:val="00222145"/>
    <w:rsid w:val="002223EA"/>
    <w:rsid w:val="00224212"/>
    <w:rsid w:val="002252C4"/>
    <w:rsid w:val="0022540C"/>
    <w:rsid w:val="00225BFF"/>
    <w:rsid w:val="00226628"/>
    <w:rsid w:val="0022690A"/>
    <w:rsid w:val="00226AA4"/>
    <w:rsid w:val="00226CF0"/>
    <w:rsid w:val="00226CF4"/>
    <w:rsid w:val="002273EB"/>
    <w:rsid w:val="00227983"/>
    <w:rsid w:val="00230105"/>
    <w:rsid w:val="00230766"/>
    <w:rsid w:val="002310F5"/>
    <w:rsid w:val="00232A00"/>
    <w:rsid w:val="00233B86"/>
    <w:rsid w:val="00233C8A"/>
    <w:rsid w:val="002340AE"/>
    <w:rsid w:val="00236036"/>
    <w:rsid w:val="00236114"/>
    <w:rsid w:val="00236AB6"/>
    <w:rsid w:val="00240248"/>
    <w:rsid w:val="002409A4"/>
    <w:rsid w:val="00240D90"/>
    <w:rsid w:val="00240D9C"/>
    <w:rsid w:val="002410F0"/>
    <w:rsid w:val="00241BF5"/>
    <w:rsid w:val="00241CF9"/>
    <w:rsid w:val="0024396C"/>
    <w:rsid w:val="002453B4"/>
    <w:rsid w:val="00247782"/>
    <w:rsid w:val="00250A10"/>
    <w:rsid w:val="002514C5"/>
    <w:rsid w:val="00251C84"/>
    <w:rsid w:val="0025239A"/>
    <w:rsid w:val="00253CB1"/>
    <w:rsid w:val="00253F8F"/>
    <w:rsid w:val="002543F9"/>
    <w:rsid w:val="002545BA"/>
    <w:rsid w:val="002547B6"/>
    <w:rsid w:val="002550E4"/>
    <w:rsid w:val="002552A1"/>
    <w:rsid w:val="002557B3"/>
    <w:rsid w:val="00255880"/>
    <w:rsid w:val="00256449"/>
    <w:rsid w:val="00256D02"/>
    <w:rsid w:val="00257ADD"/>
    <w:rsid w:val="0026021B"/>
    <w:rsid w:val="00260780"/>
    <w:rsid w:val="002620F5"/>
    <w:rsid w:val="00262900"/>
    <w:rsid w:val="00262C85"/>
    <w:rsid w:val="00263723"/>
    <w:rsid w:val="00263CF8"/>
    <w:rsid w:val="0026469D"/>
    <w:rsid w:val="00265635"/>
    <w:rsid w:val="00265708"/>
    <w:rsid w:val="00265B04"/>
    <w:rsid w:val="00265F1A"/>
    <w:rsid w:val="00266389"/>
    <w:rsid w:val="0026642F"/>
    <w:rsid w:val="002675F7"/>
    <w:rsid w:val="002679A1"/>
    <w:rsid w:val="002700EB"/>
    <w:rsid w:val="002702D3"/>
    <w:rsid w:val="002703AA"/>
    <w:rsid w:val="0027062C"/>
    <w:rsid w:val="00270D2B"/>
    <w:rsid w:val="00271DCD"/>
    <w:rsid w:val="00271DEE"/>
    <w:rsid w:val="00271DFE"/>
    <w:rsid w:val="002725A5"/>
    <w:rsid w:val="00272F46"/>
    <w:rsid w:val="0027314F"/>
    <w:rsid w:val="002742F7"/>
    <w:rsid w:val="0027467E"/>
    <w:rsid w:val="00274D87"/>
    <w:rsid w:val="0027560C"/>
    <w:rsid w:val="00276A68"/>
    <w:rsid w:val="00277071"/>
    <w:rsid w:val="00277203"/>
    <w:rsid w:val="002773B0"/>
    <w:rsid w:val="00277AE2"/>
    <w:rsid w:val="0028148B"/>
    <w:rsid w:val="00282185"/>
    <w:rsid w:val="0028289F"/>
    <w:rsid w:val="00283D79"/>
    <w:rsid w:val="00284157"/>
    <w:rsid w:val="00285631"/>
    <w:rsid w:val="00286837"/>
    <w:rsid w:val="0029020B"/>
    <w:rsid w:val="00290D94"/>
    <w:rsid w:val="00290D9A"/>
    <w:rsid w:val="0029177B"/>
    <w:rsid w:val="002919CB"/>
    <w:rsid w:val="0029203C"/>
    <w:rsid w:val="00292FF2"/>
    <w:rsid w:val="0029360F"/>
    <w:rsid w:val="0029432D"/>
    <w:rsid w:val="00294873"/>
    <w:rsid w:val="00294A12"/>
    <w:rsid w:val="0029590E"/>
    <w:rsid w:val="002972D9"/>
    <w:rsid w:val="00297537"/>
    <w:rsid w:val="002A316A"/>
    <w:rsid w:val="002A4A81"/>
    <w:rsid w:val="002A4A8B"/>
    <w:rsid w:val="002A5035"/>
    <w:rsid w:val="002A60E6"/>
    <w:rsid w:val="002A63D2"/>
    <w:rsid w:val="002A73A2"/>
    <w:rsid w:val="002A7CE8"/>
    <w:rsid w:val="002B013E"/>
    <w:rsid w:val="002B0261"/>
    <w:rsid w:val="002B0671"/>
    <w:rsid w:val="002B084B"/>
    <w:rsid w:val="002B1283"/>
    <w:rsid w:val="002B1E58"/>
    <w:rsid w:val="002B1FDE"/>
    <w:rsid w:val="002B25C0"/>
    <w:rsid w:val="002B262F"/>
    <w:rsid w:val="002B2B5F"/>
    <w:rsid w:val="002B3553"/>
    <w:rsid w:val="002B3B5D"/>
    <w:rsid w:val="002B3FFF"/>
    <w:rsid w:val="002B4064"/>
    <w:rsid w:val="002B597C"/>
    <w:rsid w:val="002B5DBC"/>
    <w:rsid w:val="002B5E06"/>
    <w:rsid w:val="002B5FBE"/>
    <w:rsid w:val="002B75CA"/>
    <w:rsid w:val="002B7784"/>
    <w:rsid w:val="002C0CFF"/>
    <w:rsid w:val="002C1F6A"/>
    <w:rsid w:val="002C282D"/>
    <w:rsid w:val="002C2B15"/>
    <w:rsid w:val="002C3220"/>
    <w:rsid w:val="002C379E"/>
    <w:rsid w:val="002C4542"/>
    <w:rsid w:val="002C4D70"/>
    <w:rsid w:val="002C524A"/>
    <w:rsid w:val="002C59F5"/>
    <w:rsid w:val="002C60A6"/>
    <w:rsid w:val="002D09B9"/>
    <w:rsid w:val="002D143D"/>
    <w:rsid w:val="002D16A0"/>
    <w:rsid w:val="002D1C37"/>
    <w:rsid w:val="002D2930"/>
    <w:rsid w:val="002D2DFF"/>
    <w:rsid w:val="002D35FC"/>
    <w:rsid w:val="002D3B9F"/>
    <w:rsid w:val="002D3D6D"/>
    <w:rsid w:val="002D59D8"/>
    <w:rsid w:val="002D5A7D"/>
    <w:rsid w:val="002D5BF8"/>
    <w:rsid w:val="002D756B"/>
    <w:rsid w:val="002D7CDC"/>
    <w:rsid w:val="002D7ECC"/>
    <w:rsid w:val="002E068F"/>
    <w:rsid w:val="002E1B8F"/>
    <w:rsid w:val="002E291F"/>
    <w:rsid w:val="002E2958"/>
    <w:rsid w:val="002E2DEF"/>
    <w:rsid w:val="002E43D8"/>
    <w:rsid w:val="002E4795"/>
    <w:rsid w:val="002E4E3E"/>
    <w:rsid w:val="002E5394"/>
    <w:rsid w:val="002E579A"/>
    <w:rsid w:val="002E6086"/>
    <w:rsid w:val="002E760E"/>
    <w:rsid w:val="002E76B2"/>
    <w:rsid w:val="002E79A2"/>
    <w:rsid w:val="002E7A67"/>
    <w:rsid w:val="002F1D55"/>
    <w:rsid w:val="002F358A"/>
    <w:rsid w:val="002F4354"/>
    <w:rsid w:val="002F4F4B"/>
    <w:rsid w:val="002F55FD"/>
    <w:rsid w:val="002F5640"/>
    <w:rsid w:val="002F56F6"/>
    <w:rsid w:val="002F594C"/>
    <w:rsid w:val="002F7EE9"/>
    <w:rsid w:val="00301480"/>
    <w:rsid w:val="00301984"/>
    <w:rsid w:val="00301B0B"/>
    <w:rsid w:val="00301E76"/>
    <w:rsid w:val="00301E84"/>
    <w:rsid w:val="003020E9"/>
    <w:rsid w:val="00302832"/>
    <w:rsid w:val="00302A50"/>
    <w:rsid w:val="00302E7A"/>
    <w:rsid w:val="003035F1"/>
    <w:rsid w:val="003035FE"/>
    <w:rsid w:val="00303D1B"/>
    <w:rsid w:val="0030435D"/>
    <w:rsid w:val="003046B7"/>
    <w:rsid w:val="0030537E"/>
    <w:rsid w:val="003105C8"/>
    <w:rsid w:val="00312BB7"/>
    <w:rsid w:val="003140FD"/>
    <w:rsid w:val="003141CD"/>
    <w:rsid w:val="003162AF"/>
    <w:rsid w:val="003164C5"/>
    <w:rsid w:val="00316C68"/>
    <w:rsid w:val="00317070"/>
    <w:rsid w:val="003171E8"/>
    <w:rsid w:val="003174E5"/>
    <w:rsid w:val="00317A57"/>
    <w:rsid w:val="00317B07"/>
    <w:rsid w:val="00317B8B"/>
    <w:rsid w:val="00317C73"/>
    <w:rsid w:val="00320A99"/>
    <w:rsid w:val="0032144B"/>
    <w:rsid w:val="00321E38"/>
    <w:rsid w:val="0032245E"/>
    <w:rsid w:val="003225BD"/>
    <w:rsid w:val="00322D5B"/>
    <w:rsid w:val="00323C2A"/>
    <w:rsid w:val="003251FD"/>
    <w:rsid w:val="00325AC2"/>
    <w:rsid w:val="00326897"/>
    <w:rsid w:val="00326A1C"/>
    <w:rsid w:val="00327FDC"/>
    <w:rsid w:val="0033054A"/>
    <w:rsid w:val="00331C3E"/>
    <w:rsid w:val="00331E6F"/>
    <w:rsid w:val="00332F23"/>
    <w:rsid w:val="00332FD9"/>
    <w:rsid w:val="003360E3"/>
    <w:rsid w:val="003371D5"/>
    <w:rsid w:val="003371DF"/>
    <w:rsid w:val="003376CD"/>
    <w:rsid w:val="00340731"/>
    <w:rsid w:val="00341417"/>
    <w:rsid w:val="00341489"/>
    <w:rsid w:val="0034151A"/>
    <w:rsid w:val="003425DE"/>
    <w:rsid w:val="003427F5"/>
    <w:rsid w:val="00342ED8"/>
    <w:rsid w:val="003452C3"/>
    <w:rsid w:val="0034549D"/>
    <w:rsid w:val="00347AAB"/>
    <w:rsid w:val="00347EFE"/>
    <w:rsid w:val="003501A7"/>
    <w:rsid w:val="0035048A"/>
    <w:rsid w:val="00350EE3"/>
    <w:rsid w:val="00351C8B"/>
    <w:rsid w:val="003527BC"/>
    <w:rsid w:val="00352AB3"/>
    <w:rsid w:val="0035339E"/>
    <w:rsid w:val="00353EA2"/>
    <w:rsid w:val="003577C0"/>
    <w:rsid w:val="0036034E"/>
    <w:rsid w:val="00360C59"/>
    <w:rsid w:val="00360D9A"/>
    <w:rsid w:val="003610DC"/>
    <w:rsid w:val="0036263B"/>
    <w:rsid w:val="0036291B"/>
    <w:rsid w:val="00362967"/>
    <w:rsid w:val="003639EC"/>
    <w:rsid w:val="00363B62"/>
    <w:rsid w:val="003645B0"/>
    <w:rsid w:val="00364B2C"/>
    <w:rsid w:val="00365F83"/>
    <w:rsid w:val="003664F1"/>
    <w:rsid w:val="00366827"/>
    <w:rsid w:val="00366C60"/>
    <w:rsid w:val="00366DAF"/>
    <w:rsid w:val="0036707B"/>
    <w:rsid w:val="00367255"/>
    <w:rsid w:val="003672CF"/>
    <w:rsid w:val="00367E3F"/>
    <w:rsid w:val="00371982"/>
    <w:rsid w:val="00372646"/>
    <w:rsid w:val="003742DE"/>
    <w:rsid w:val="003750CA"/>
    <w:rsid w:val="00375425"/>
    <w:rsid w:val="00376603"/>
    <w:rsid w:val="00377EA5"/>
    <w:rsid w:val="00377F77"/>
    <w:rsid w:val="00380780"/>
    <w:rsid w:val="0038111D"/>
    <w:rsid w:val="00381B17"/>
    <w:rsid w:val="00381C37"/>
    <w:rsid w:val="00383073"/>
    <w:rsid w:val="0038438F"/>
    <w:rsid w:val="003843E2"/>
    <w:rsid w:val="00384C1C"/>
    <w:rsid w:val="0038514A"/>
    <w:rsid w:val="00385C44"/>
    <w:rsid w:val="00387C67"/>
    <w:rsid w:val="00387D98"/>
    <w:rsid w:val="0039031F"/>
    <w:rsid w:val="00390B0F"/>
    <w:rsid w:val="00390B38"/>
    <w:rsid w:val="00390B6B"/>
    <w:rsid w:val="00390B73"/>
    <w:rsid w:val="00391769"/>
    <w:rsid w:val="00391B20"/>
    <w:rsid w:val="00391CFE"/>
    <w:rsid w:val="00392183"/>
    <w:rsid w:val="003932B4"/>
    <w:rsid w:val="0039353B"/>
    <w:rsid w:val="00394035"/>
    <w:rsid w:val="003947A0"/>
    <w:rsid w:val="00394F50"/>
    <w:rsid w:val="00394F9E"/>
    <w:rsid w:val="00395426"/>
    <w:rsid w:val="00395B91"/>
    <w:rsid w:val="00395FD6"/>
    <w:rsid w:val="003960A9"/>
    <w:rsid w:val="00396146"/>
    <w:rsid w:val="00396265"/>
    <w:rsid w:val="00396615"/>
    <w:rsid w:val="0039700D"/>
    <w:rsid w:val="00397089"/>
    <w:rsid w:val="003978A8"/>
    <w:rsid w:val="003A0F30"/>
    <w:rsid w:val="003A4C44"/>
    <w:rsid w:val="003A4D12"/>
    <w:rsid w:val="003A53F1"/>
    <w:rsid w:val="003A5AD0"/>
    <w:rsid w:val="003A6CA7"/>
    <w:rsid w:val="003A6CE3"/>
    <w:rsid w:val="003A7899"/>
    <w:rsid w:val="003A78E4"/>
    <w:rsid w:val="003A7AEB"/>
    <w:rsid w:val="003A7C71"/>
    <w:rsid w:val="003B15EE"/>
    <w:rsid w:val="003B20AE"/>
    <w:rsid w:val="003B47DD"/>
    <w:rsid w:val="003B4FAA"/>
    <w:rsid w:val="003B517D"/>
    <w:rsid w:val="003B60EC"/>
    <w:rsid w:val="003B70AD"/>
    <w:rsid w:val="003C00ED"/>
    <w:rsid w:val="003C1C0A"/>
    <w:rsid w:val="003C2A9C"/>
    <w:rsid w:val="003C35DF"/>
    <w:rsid w:val="003C37DA"/>
    <w:rsid w:val="003C4135"/>
    <w:rsid w:val="003C4A68"/>
    <w:rsid w:val="003C4A9B"/>
    <w:rsid w:val="003C4DAF"/>
    <w:rsid w:val="003C54C0"/>
    <w:rsid w:val="003C554F"/>
    <w:rsid w:val="003C5C42"/>
    <w:rsid w:val="003C5D74"/>
    <w:rsid w:val="003C61DD"/>
    <w:rsid w:val="003C6B2F"/>
    <w:rsid w:val="003C7358"/>
    <w:rsid w:val="003C74C6"/>
    <w:rsid w:val="003D0BB9"/>
    <w:rsid w:val="003D2BC5"/>
    <w:rsid w:val="003D2FBD"/>
    <w:rsid w:val="003D30AC"/>
    <w:rsid w:val="003D3B56"/>
    <w:rsid w:val="003D5097"/>
    <w:rsid w:val="003D639B"/>
    <w:rsid w:val="003D63E7"/>
    <w:rsid w:val="003D6670"/>
    <w:rsid w:val="003E05F1"/>
    <w:rsid w:val="003E113B"/>
    <w:rsid w:val="003E1C71"/>
    <w:rsid w:val="003E4E1F"/>
    <w:rsid w:val="003E5092"/>
    <w:rsid w:val="003E5AC2"/>
    <w:rsid w:val="003E646B"/>
    <w:rsid w:val="003E7135"/>
    <w:rsid w:val="003E715D"/>
    <w:rsid w:val="003E7306"/>
    <w:rsid w:val="003F0C99"/>
    <w:rsid w:val="003F103E"/>
    <w:rsid w:val="003F2E48"/>
    <w:rsid w:val="003F440C"/>
    <w:rsid w:val="003F46FF"/>
    <w:rsid w:val="003F471D"/>
    <w:rsid w:val="003F4EA3"/>
    <w:rsid w:val="003F525A"/>
    <w:rsid w:val="003F5294"/>
    <w:rsid w:val="003F5401"/>
    <w:rsid w:val="003F6C13"/>
    <w:rsid w:val="003F6F28"/>
    <w:rsid w:val="003F7BE6"/>
    <w:rsid w:val="004006A9"/>
    <w:rsid w:val="00400B8A"/>
    <w:rsid w:val="004013CD"/>
    <w:rsid w:val="00402318"/>
    <w:rsid w:val="00403B2E"/>
    <w:rsid w:val="00403CB0"/>
    <w:rsid w:val="00403EC7"/>
    <w:rsid w:val="00404548"/>
    <w:rsid w:val="00404E70"/>
    <w:rsid w:val="004052AE"/>
    <w:rsid w:val="00405FC9"/>
    <w:rsid w:val="00405FD9"/>
    <w:rsid w:val="004064B2"/>
    <w:rsid w:val="00406F64"/>
    <w:rsid w:val="0040739F"/>
    <w:rsid w:val="00407F7F"/>
    <w:rsid w:val="00410F10"/>
    <w:rsid w:val="004118A5"/>
    <w:rsid w:val="00412E9F"/>
    <w:rsid w:val="0041357E"/>
    <w:rsid w:val="00413672"/>
    <w:rsid w:val="004139A5"/>
    <w:rsid w:val="00414041"/>
    <w:rsid w:val="00414465"/>
    <w:rsid w:val="00414729"/>
    <w:rsid w:val="00414959"/>
    <w:rsid w:val="00414C80"/>
    <w:rsid w:val="00414F4B"/>
    <w:rsid w:val="00415EF9"/>
    <w:rsid w:val="00416629"/>
    <w:rsid w:val="00416BF9"/>
    <w:rsid w:val="00417D59"/>
    <w:rsid w:val="00417DA1"/>
    <w:rsid w:val="0042008B"/>
    <w:rsid w:val="00421634"/>
    <w:rsid w:val="004225C8"/>
    <w:rsid w:val="00423478"/>
    <w:rsid w:val="00424C7F"/>
    <w:rsid w:val="004251A1"/>
    <w:rsid w:val="00425B76"/>
    <w:rsid w:val="004260A2"/>
    <w:rsid w:val="00426420"/>
    <w:rsid w:val="00426B0F"/>
    <w:rsid w:val="00426FC6"/>
    <w:rsid w:val="004273BC"/>
    <w:rsid w:val="00427C5F"/>
    <w:rsid w:val="00427DAA"/>
    <w:rsid w:val="004305DB"/>
    <w:rsid w:val="00431AFF"/>
    <w:rsid w:val="0043335C"/>
    <w:rsid w:val="00435E00"/>
    <w:rsid w:val="00437F25"/>
    <w:rsid w:val="004408A7"/>
    <w:rsid w:val="00441615"/>
    <w:rsid w:val="00441EAC"/>
    <w:rsid w:val="00442264"/>
    <w:rsid w:val="00442354"/>
    <w:rsid w:val="00442748"/>
    <w:rsid w:val="00444744"/>
    <w:rsid w:val="004502B2"/>
    <w:rsid w:val="004507E5"/>
    <w:rsid w:val="00451524"/>
    <w:rsid w:val="004519AD"/>
    <w:rsid w:val="00451C8D"/>
    <w:rsid w:val="0045325D"/>
    <w:rsid w:val="00453774"/>
    <w:rsid w:val="0045459A"/>
    <w:rsid w:val="004545DB"/>
    <w:rsid w:val="00454C4F"/>
    <w:rsid w:val="004553B5"/>
    <w:rsid w:val="0045555F"/>
    <w:rsid w:val="0045590B"/>
    <w:rsid w:val="00455A95"/>
    <w:rsid w:val="00455FA2"/>
    <w:rsid w:val="00457022"/>
    <w:rsid w:val="0045786A"/>
    <w:rsid w:val="00460312"/>
    <w:rsid w:val="00460AD2"/>
    <w:rsid w:val="00460F76"/>
    <w:rsid w:val="00461598"/>
    <w:rsid w:val="00462B55"/>
    <w:rsid w:val="00462F12"/>
    <w:rsid w:val="00463050"/>
    <w:rsid w:val="0046340F"/>
    <w:rsid w:val="00463808"/>
    <w:rsid w:val="00465213"/>
    <w:rsid w:val="00465A7D"/>
    <w:rsid w:val="00466168"/>
    <w:rsid w:val="0046640A"/>
    <w:rsid w:val="0046721B"/>
    <w:rsid w:val="004672E7"/>
    <w:rsid w:val="0046778B"/>
    <w:rsid w:val="004705E3"/>
    <w:rsid w:val="00470D0A"/>
    <w:rsid w:val="004714D4"/>
    <w:rsid w:val="00471F39"/>
    <w:rsid w:val="00472183"/>
    <w:rsid w:val="00473031"/>
    <w:rsid w:val="00473885"/>
    <w:rsid w:val="00473F1B"/>
    <w:rsid w:val="004746E0"/>
    <w:rsid w:val="0047562F"/>
    <w:rsid w:val="00475712"/>
    <w:rsid w:val="00476DD1"/>
    <w:rsid w:val="004772C3"/>
    <w:rsid w:val="0048012A"/>
    <w:rsid w:val="00480742"/>
    <w:rsid w:val="00480CCE"/>
    <w:rsid w:val="00480DF7"/>
    <w:rsid w:val="004816A7"/>
    <w:rsid w:val="004816BB"/>
    <w:rsid w:val="0048238D"/>
    <w:rsid w:val="00482FAA"/>
    <w:rsid w:val="00483FEE"/>
    <w:rsid w:val="00486CE9"/>
    <w:rsid w:val="00487211"/>
    <w:rsid w:val="004874DD"/>
    <w:rsid w:val="0049075F"/>
    <w:rsid w:val="00490C04"/>
    <w:rsid w:val="0049186C"/>
    <w:rsid w:val="00491BD7"/>
    <w:rsid w:val="00492005"/>
    <w:rsid w:val="004920CA"/>
    <w:rsid w:val="0049234B"/>
    <w:rsid w:val="0049283F"/>
    <w:rsid w:val="00492AB8"/>
    <w:rsid w:val="00492DA8"/>
    <w:rsid w:val="00493596"/>
    <w:rsid w:val="0049366A"/>
    <w:rsid w:val="00494D13"/>
    <w:rsid w:val="00496AE1"/>
    <w:rsid w:val="00497CFE"/>
    <w:rsid w:val="004A05B0"/>
    <w:rsid w:val="004A0888"/>
    <w:rsid w:val="004A0A60"/>
    <w:rsid w:val="004A2F54"/>
    <w:rsid w:val="004A34E8"/>
    <w:rsid w:val="004A43B6"/>
    <w:rsid w:val="004A44E8"/>
    <w:rsid w:val="004A4ED2"/>
    <w:rsid w:val="004A4F71"/>
    <w:rsid w:val="004A5017"/>
    <w:rsid w:val="004A529B"/>
    <w:rsid w:val="004A5B6F"/>
    <w:rsid w:val="004A608A"/>
    <w:rsid w:val="004A67B1"/>
    <w:rsid w:val="004A70EE"/>
    <w:rsid w:val="004A766A"/>
    <w:rsid w:val="004A774E"/>
    <w:rsid w:val="004A796A"/>
    <w:rsid w:val="004A7D3E"/>
    <w:rsid w:val="004A7E06"/>
    <w:rsid w:val="004A7FF9"/>
    <w:rsid w:val="004B0413"/>
    <w:rsid w:val="004B0966"/>
    <w:rsid w:val="004B379D"/>
    <w:rsid w:val="004B3B66"/>
    <w:rsid w:val="004B40EB"/>
    <w:rsid w:val="004B4823"/>
    <w:rsid w:val="004B5CDD"/>
    <w:rsid w:val="004B5F0C"/>
    <w:rsid w:val="004B6031"/>
    <w:rsid w:val="004B628C"/>
    <w:rsid w:val="004B6E01"/>
    <w:rsid w:val="004C046E"/>
    <w:rsid w:val="004C07CC"/>
    <w:rsid w:val="004C0BE5"/>
    <w:rsid w:val="004C1609"/>
    <w:rsid w:val="004C216B"/>
    <w:rsid w:val="004C3385"/>
    <w:rsid w:val="004C3B2C"/>
    <w:rsid w:val="004C5565"/>
    <w:rsid w:val="004C5DD3"/>
    <w:rsid w:val="004C7ED8"/>
    <w:rsid w:val="004D2AFD"/>
    <w:rsid w:val="004D30F9"/>
    <w:rsid w:val="004D3991"/>
    <w:rsid w:val="004D41F6"/>
    <w:rsid w:val="004D476E"/>
    <w:rsid w:val="004D488A"/>
    <w:rsid w:val="004D4A32"/>
    <w:rsid w:val="004D5308"/>
    <w:rsid w:val="004D5B7A"/>
    <w:rsid w:val="004D64AB"/>
    <w:rsid w:val="004D7FF9"/>
    <w:rsid w:val="004E0F6B"/>
    <w:rsid w:val="004E42F1"/>
    <w:rsid w:val="004E466F"/>
    <w:rsid w:val="004E4BDD"/>
    <w:rsid w:val="004E50CF"/>
    <w:rsid w:val="004E5114"/>
    <w:rsid w:val="004E5132"/>
    <w:rsid w:val="004E695B"/>
    <w:rsid w:val="004E7CE8"/>
    <w:rsid w:val="004F0FA8"/>
    <w:rsid w:val="004F271D"/>
    <w:rsid w:val="004F2987"/>
    <w:rsid w:val="004F2E38"/>
    <w:rsid w:val="004F5114"/>
    <w:rsid w:val="004F756C"/>
    <w:rsid w:val="0050009C"/>
    <w:rsid w:val="005001FA"/>
    <w:rsid w:val="00500B69"/>
    <w:rsid w:val="005019AF"/>
    <w:rsid w:val="00501B79"/>
    <w:rsid w:val="00502669"/>
    <w:rsid w:val="00502AE4"/>
    <w:rsid w:val="00502FA6"/>
    <w:rsid w:val="0050488D"/>
    <w:rsid w:val="00504D12"/>
    <w:rsid w:val="0050527A"/>
    <w:rsid w:val="0050535A"/>
    <w:rsid w:val="00506BDD"/>
    <w:rsid w:val="00506C2B"/>
    <w:rsid w:val="005106F5"/>
    <w:rsid w:val="00510ED1"/>
    <w:rsid w:val="00511080"/>
    <w:rsid w:val="00511192"/>
    <w:rsid w:val="00511722"/>
    <w:rsid w:val="005117BD"/>
    <w:rsid w:val="005118AD"/>
    <w:rsid w:val="00512353"/>
    <w:rsid w:val="00512DC9"/>
    <w:rsid w:val="00514DA8"/>
    <w:rsid w:val="005158C8"/>
    <w:rsid w:val="00515C5E"/>
    <w:rsid w:val="005220C2"/>
    <w:rsid w:val="00522E88"/>
    <w:rsid w:val="00523369"/>
    <w:rsid w:val="0052398F"/>
    <w:rsid w:val="00524374"/>
    <w:rsid w:val="005249D2"/>
    <w:rsid w:val="00524B58"/>
    <w:rsid w:val="005262AE"/>
    <w:rsid w:val="005268A8"/>
    <w:rsid w:val="00526B0B"/>
    <w:rsid w:val="00531A99"/>
    <w:rsid w:val="00532960"/>
    <w:rsid w:val="005336A6"/>
    <w:rsid w:val="00533EA5"/>
    <w:rsid w:val="005348D6"/>
    <w:rsid w:val="00535B02"/>
    <w:rsid w:val="005366DF"/>
    <w:rsid w:val="00537BE4"/>
    <w:rsid w:val="00540AB3"/>
    <w:rsid w:val="00540BD7"/>
    <w:rsid w:val="00541B81"/>
    <w:rsid w:val="0054380B"/>
    <w:rsid w:val="00544866"/>
    <w:rsid w:val="00545347"/>
    <w:rsid w:val="00545A73"/>
    <w:rsid w:val="00545F40"/>
    <w:rsid w:val="00546DEB"/>
    <w:rsid w:val="00546F0F"/>
    <w:rsid w:val="005477E7"/>
    <w:rsid w:val="0054786B"/>
    <w:rsid w:val="00547B43"/>
    <w:rsid w:val="00550159"/>
    <w:rsid w:val="0055032C"/>
    <w:rsid w:val="005510EF"/>
    <w:rsid w:val="00551897"/>
    <w:rsid w:val="00551D2D"/>
    <w:rsid w:val="00551FFD"/>
    <w:rsid w:val="00552A0F"/>
    <w:rsid w:val="00552EE7"/>
    <w:rsid w:val="005537B6"/>
    <w:rsid w:val="005540BF"/>
    <w:rsid w:val="005551ED"/>
    <w:rsid w:val="00556419"/>
    <w:rsid w:val="00556D0C"/>
    <w:rsid w:val="00557260"/>
    <w:rsid w:val="005572B4"/>
    <w:rsid w:val="005572DD"/>
    <w:rsid w:val="005574C0"/>
    <w:rsid w:val="00557824"/>
    <w:rsid w:val="00557A78"/>
    <w:rsid w:val="00557CA3"/>
    <w:rsid w:val="00560564"/>
    <w:rsid w:val="00562735"/>
    <w:rsid w:val="00562E2B"/>
    <w:rsid w:val="00564668"/>
    <w:rsid w:val="00564AB6"/>
    <w:rsid w:val="00565477"/>
    <w:rsid w:val="00565A19"/>
    <w:rsid w:val="005668A1"/>
    <w:rsid w:val="0056763E"/>
    <w:rsid w:val="0056774F"/>
    <w:rsid w:val="00567F12"/>
    <w:rsid w:val="00570353"/>
    <w:rsid w:val="00570539"/>
    <w:rsid w:val="00570554"/>
    <w:rsid w:val="00571432"/>
    <w:rsid w:val="005715F5"/>
    <w:rsid w:val="0057171E"/>
    <w:rsid w:val="00571DF2"/>
    <w:rsid w:val="00571EEC"/>
    <w:rsid w:val="00572666"/>
    <w:rsid w:val="0057267E"/>
    <w:rsid w:val="005726BD"/>
    <w:rsid w:val="00573828"/>
    <w:rsid w:val="0057403A"/>
    <w:rsid w:val="005747CA"/>
    <w:rsid w:val="00574975"/>
    <w:rsid w:val="00574A5A"/>
    <w:rsid w:val="00574FAF"/>
    <w:rsid w:val="005752DD"/>
    <w:rsid w:val="005753B8"/>
    <w:rsid w:val="00575F5A"/>
    <w:rsid w:val="00576E57"/>
    <w:rsid w:val="00580661"/>
    <w:rsid w:val="00581D92"/>
    <w:rsid w:val="00583DEF"/>
    <w:rsid w:val="00583ED5"/>
    <w:rsid w:val="00585777"/>
    <w:rsid w:val="005861F1"/>
    <w:rsid w:val="00586364"/>
    <w:rsid w:val="005865D3"/>
    <w:rsid w:val="005865F9"/>
    <w:rsid w:val="00586C4B"/>
    <w:rsid w:val="00586E7D"/>
    <w:rsid w:val="00587437"/>
    <w:rsid w:val="00591414"/>
    <w:rsid w:val="00592678"/>
    <w:rsid w:val="00593170"/>
    <w:rsid w:val="00594644"/>
    <w:rsid w:val="00594A6A"/>
    <w:rsid w:val="0059526F"/>
    <w:rsid w:val="00595D43"/>
    <w:rsid w:val="00595DAD"/>
    <w:rsid w:val="00596B46"/>
    <w:rsid w:val="00596F36"/>
    <w:rsid w:val="00597231"/>
    <w:rsid w:val="005A039A"/>
    <w:rsid w:val="005A1741"/>
    <w:rsid w:val="005A235F"/>
    <w:rsid w:val="005A3A0E"/>
    <w:rsid w:val="005A4D8F"/>
    <w:rsid w:val="005A551F"/>
    <w:rsid w:val="005A6619"/>
    <w:rsid w:val="005A751F"/>
    <w:rsid w:val="005A7719"/>
    <w:rsid w:val="005A77C2"/>
    <w:rsid w:val="005A7CEC"/>
    <w:rsid w:val="005A7EF2"/>
    <w:rsid w:val="005A7F0E"/>
    <w:rsid w:val="005B291B"/>
    <w:rsid w:val="005B2AAC"/>
    <w:rsid w:val="005B3AC5"/>
    <w:rsid w:val="005B4401"/>
    <w:rsid w:val="005B76C5"/>
    <w:rsid w:val="005B7AF0"/>
    <w:rsid w:val="005B7B8A"/>
    <w:rsid w:val="005B7BBC"/>
    <w:rsid w:val="005B7F27"/>
    <w:rsid w:val="005C09C6"/>
    <w:rsid w:val="005C23CF"/>
    <w:rsid w:val="005C29CF"/>
    <w:rsid w:val="005C2F81"/>
    <w:rsid w:val="005C4480"/>
    <w:rsid w:val="005C458D"/>
    <w:rsid w:val="005C491E"/>
    <w:rsid w:val="005C4A71"/>
    <w:rsid w:val="005C4F7E"/>
    <w:rsid w:val="005C5E0A"/>
    <w:rsid w:val="005C63E9"/>
    <w:rsid w:val="005C6403"/>
    <w:rsid w:val="005C682C"/>
    <w:rsid w:val="005C6C0C"/>
    <w:rsid w:val="005C70FB"/>
    <w:rsid w:val="005C7EC6"/>
    <w:rsid w:val="005D13BB"/>
    <w:rsid w:val="005D2205"/>
    <w:rsid w:val="005D2276"/>
    <w:rsid w:val="005D25FD"/>
    <w:rsid w:val="005D2808"/>
    <w:rsid w:val="005D2CD0"/>
    <w:rsid w:val="005D35C2"/>
    <w:rsid w:val="005D3A30"/>
    <w:rsid w:val="005D3BD4"/>
    <w:rsid w:val="005D50DA"/>
    <w:rsid w:val="005D51D7"/>
    <w:rsid w:val="005E0858"/>
    <w:rsid w:val="005E143C"/>
    <w:rsid w:val="005E1E15"/>
    <w:rsid w:val="005E2794"/>
    <w:rsid w:val="005E2945"/>
    <w:rsid w:val="005E3CBF"/>
    <w:rsid w:val="005E3DED"/>
    <w:rsid w:val="005E4250"/>
    <w:rsid w:val="005E487F"/>
    <w:rsid w:val="005E4BA7"/>
    <w:rsid w:val="005E5B1B"/>
    <w:rsid w:val="005E604A"/>
    <w:rsid w:val="005E6255"/>
    <w:rsid w:val="005E6867"/>
    <w:rsid w:val="005E6F9D"/>
    <w:rsid w:val="005E7B5A"/>
    <w:rsid w:val="005E7F3D"/>
    <w:rsid w:val="005F01FC"/>
    <w:rsid w:val="005F074E"/>
    <w:rsid w:val="005F0C89"/>
    <w:rsid w:val="005F0DE2"/>
    <w:rsid w:val="005F1A24"/>
    <w:rsid w:val="005F2267"/>
    <w:rsid w:val="005F24A9"/>
    <w:rsid w:val="005F25E5"/>
    <w:rsid w:val="005F35B6"/>
    <w:rsid w:val="005F36B0"/>
    <w:rsid w:val="005F3701"/>
    <w:rsid w:val="005F382D"/>
    <w:rsid w:val="005F41DF"/>
    <w:rsid w:val="005F4521"/>
    <w:rsid w:val="005F5478"/>
    <w:rsid w:val="005F5729"/>
    <w:rsid w:val="005F72A9"/>
    <w:rsid w:val="00600316"/>
    <w:rsid w:val="006006FC"/>
    <w:rsid w:val="006015F5"/>
    <w:rsid w:val="00602299"/>
    <w:rsid w:val="0060260D"/>
    <w:rsid w:val="006026B5"/>
    <w:rsid w:val="00602CE0"/>
    <w:rsid w:val="00604496"/>
    <w:rsid w:val="006045BA"/>
    <w:rsid w:val="0060583A"/>
    <w:rsid w:val="0060683B"/>
    <w:rsid w:val="00611191"/>
    <w:rsid w:val="00611649"/>
    <w:rsid w:val="00611A0E"/>
    <w:rsid w:val="00611B04"/>
    <w:rsid w:val="00611EF1"/>
    <w:rsid w:val="00612345"/>
    <w:rsid w:val="0061298B"/>
    <w:rsid w:val="006132E0"/>
    <w:rsid w:val="00613ECA"/>
    <w:rsid w:val="00614154"/>
    <w:rsid w:val="00614205"/>
    <w:rsid w:val="00614BD3"/>
    <w:rsid w:val="0061569B"/>
    <w:rsid w:val="00616E26"/>
    <w:rsid w:val="00620339"/>
    <w:rsid w:val="00620A9B"/>
    <w:rsid w:val="00621099"/>
    <w:rsid w:val="00622275"/>
    <w:rsid w:val="00623A77"/>
    <w:rsid w:val="00624033"/>
    <w:rsid w:val="00624AA0"/>
    <w:rsid w:val="006256F5"/>
    <w:rsid w:val="006257A6"/>
    <w:rsid w:val="006265A5"/>
    <w:rsid w:val="0062681E"/>
    <w:rsid w:val="00626854"/>
    <w:rsid w:val="00626BCF"/>
    <w:rsid w:val="00626F69"/>
    <w:rsid w:val="0063097B"/>
    <w:rsid w:val="00631B26"/>
    <w:rsid w:val="006327D2"/>
    <w:rsid w:val="00632CAA"/>
    <w:rsid w:val="006334D9"/>
    <w:rsid w:val="00633BBA"/>
    <w:rsid w:val="00633DC6"/>
    <w:rsid w:val="0063496E"/>
    <w:rsid w:val="00635148"/>
    <w:rsid w:val="00635498"/>
    <w:rsid w:val="00635B54"/>
    <w:rsid w:val="006363E5"/>
    <w:rsid w:val="006364B8"/>
    <w:rsid w:val="00636736"/>
    <w:rsid w:val="00636A64"/>
    <w:rsid w:val="00636B93"/>
    <w:rsid w:val="00637473"/>
    <w:rsid w:val="00637EAE"/>
    <w:rsid w:val="00640550"/>
    <w:rsid w:val="0064326A"/>
    <w:rsid w:val="0064345E"/>
    <w:rsid w:val="00644171"/>
    <w:rsid w:val="00644764"/>
    <w:rsid w:val="00644D5D"/>
    <w:rsid w:val="00645430"/>
    <w:rsid w:val="00645434"/>
    <w:rsid w:val="006465CC"/>
    <w:rsid w:val="006465EB"/>
    <w:rsid w:val="0064686A"/>
    <w:rsid w:val="0064695B"/>
    <w:rsid w:val="00646DC7"/>
    <w:rsid w:val="00647AFA"/>
    <w:rsid w:val="00647D2B"/>
    <w:rsid w:val="0065066D"/>
    <w:rsid w:val="006511FB"/>
    <w:rsid w:val="00651666"/>
    <w:rsid w:val="00651A9D"/>
    <w:rsid w:val="006534BE"/>
    <w:rsid w:val="006544CA"/>
    <w:rsid w:val="00654B0B"/>
    <w:rsid w:val="00654C93"/>
    <w:rsid w:val="00656092"/>
    <w:rsid w:val="0065741C"/>
    <w:rsid w:val="006579A7"/>
    <w:rsid w:val="00660536"/>
    <w:rsid w:val="00660B85"/>
    <w:rsid w:val="00660FE7"/>
    <w:rsid w:val="00661914"/>
    <w:rsid w:val="006622E0"/>
    <w:rsid w:val="00662DCE"/>
    <w:rsid w:val="00663680"/>
    <w:rsid w:val="006636B8"/>
    <w:rsid w:val="00664877"/>
    <w:rsid w:val="00664F6D"/>
    <w:rsid w:val="006650B8"/>
    <w:rsid w:val="00665F1B"/>
    <w:rsid w:val="00666329"/>
    <w:rsid w:val="0066664A"/>
    <w:rsid w:val="006672EE"/>
    <w:rsid w:val="00667924"/>
    <w:rsid w:val="006700FE"/>
    <w:rsid w:val="0067011F"/>
    <w:rsid w:val="0067015E"/>
    <w:rsid w:val="0067029C"/>
    <w:rsid w:val="00672454"/>
    <w:rsid w:val="006730E7"/>
    <w:rsid w:val="00674813"/>
    <w:rsid w:val="00674BF8"/>
    <w:rsid w:val="00675D83"/>
    <w:rsid w:val="00675FC7"/>
    <w:rsid w:val="0068031C"/>
    <w:rsid w:val="00680453"/>
    <w:rsid w:val="00680FCA"/>
    <w:rsid w:val="00682526"/>
    <w:rsid w:val="00683555"/>
    <w:rsid w:val="00683954"/>
    <w:rsid w:val="00685A77"/>
    <w:rsid w:val="00686C89"/>
    <w:rsid w:val="00686DFF"/>
    <w:rsid w:val="00686F1D"/>
    <w:rsid w:val="00690219"/>
    <w:rsid w:val="0069097E"/>
    <w:rsid w:val="006914A0"/>
    <w:rsid w:val="00692F7A"/>
    <w:rsid w:val="006933A7"/>
    <w:rsid w:val="00693831"/>
    <w:rsid w:val="00693BB9"/>
    <w:rsid w:val="006948A6"/>
    <w:rsid w:val="006949EE"/>
    <w:rsid w:val="00694D97"/>
    <w:rsid w:val="006954A0"/>
    <w:rsid w:val="00695E06"/>
    <w:rsid w:val="00696315"/>
    <w:rsid w:val="0069744B"/>
    <w:rsid w:val="006975D0"/>
    <w:rsid w:val="00697BF3"/>
    <w:rsid w:val="006A0171"/>
    <w:rsid w:val="006A0D51"/>
    <w:rsid w:val="006A16BE"/>
    <w:rsid w:val="006A1977"/>
    <w:rsid w:val="006A1C05"/>
    <w:rsid w:val="006A225B"/>
    <w:rsid w:val="006A2738"/>
    <w:rsid w:val="006A2EAD"/>
    <w:rsid w:val="006A30D2"/>
    <w:rsid w:val="006A32B9"/>
    <w:rsid w:val="006A3924"/>
    <w:rsid w:val="006A4132"/>
    <w:rsid w:val="006A5A6A"/>
    <w:rsid w:val="006A5D1A"/>
    <w:rsid w:val="006A5FE3"/>
    <w:rsid w:val="006A6003"/>
    <w:rsid w:val="006B0738"/>
    <w:rsid w:val="006B0A4D"/>
    <w:rsid w:val="006B0CD5"/>
    <w:rsid w:val="006B0E63"/>
    <w:rsid w:val="006B1161"/>
    <w:rsid w:val="006B11A8"/>
    <w:rsid w:val="006B23B2"/>
    <w:rsid w:val="006B2EEA"/>
    <w:rsid w:val="006B37AE"/>
    <w:rsid w:val="006B3AF1"/>
    <w:rsid w:val="006B4845"/>
    <w:rsid w:val="006B57E1"/>
    <w:rsid w:val="006B5E77"/>
    <w:rsid w:val="006B635C"/>
    <w:rsid w:val="006B7270"/>
    <w:rsid w:val="006C0230"/>
    <w:rsid w:val="006C1708"/>
    <w:rsid w:val="006C1887"/>
    <w:rsid w:val="006C1C29"/>
    <w:rsid w:val="006C20F3"/>
    <w:rsid w:val="006C28C1"/>
    <w:rsid w:val="006C3782"/>
    <w:rsid w:val="006C3CDE"/>
    <w:rsid w:val="006C4745"/>
    <w:rsid w:val="006C5032"/>
    <w:rsid w:val="006C533E"/>
    <w:rsid w:val="006C5645"/>
    <w:rsid w:val="006C58F4"/>
    <w:rsid w:val="006C5C2A"/>
    <w:rsid w:val="006C6D8B"/>
    <w:rsid w:val="006C6E0D"/>
    <w:rsid w:val="006C702E"/>
    <w:rsid w:val="006D0406"/>
    <w:rsid w:val="006D04F4"/>
    <w:rsid w:val="006D06FA"/>
    <w:rsid w:val="006D0E4E"/>
    <w:rsid w:val="006D0EE8"/>
    <w:rsid w:val="006D14A6"/>
    <w:rsid w:val="006D1977"/>
    <w:rsid w:val="006D244E"/>
    <w:rsid w:val="006D2D3D"/>
    <w:rsid w:val="006D3162"/>
    <w:rsid w:val="006D37E7"/>
    <w:rsid w:val="006D389F"/>
    <w:rsid w:val="006D4CD9"/>
    <w:rsid w:val="006D5146"/>
    <w:rsid w:val="006D5507"/>
    <w:rsid w:val="006D59D6"/>
    <w:rsid w:val="006D5C04"/>
    <w:rsid w:val="006D611C"/>
    <w:rsid w:val="006D7508"/>
    <w:rsid w:val="006D794A"/>
    <w:rsid w:val="006E0F2F"/>
    <w:rsid w:val="006E0F4D"/>
    <w:rsid w:val="006E19D7"/>
    <w:rsid w:val="006E23C1"/>
    <w:rsid w:val="006E2DEF"/>
    <w:rsid w:val="006E376F"/>
    <w:rsid w:val="006E388A"/>
    <w:rsid w:val="006E406C"/>
    <w:rsid w:val="006E4192"/>
    <w:rsid w:val="006E424C"/>
    <w:rsid w:val="006E424E"/>
    <w:rsid w:val="006E6095"/>
    <w:rsid w:val="006E6B70"/>
    <w:rsid w:val="006E71B9"/>
    <w:rsid w:val="006E7275"/>
    <w:rsid w:val="006F031D"/>
    <w:rsid w:val="006F0B09"/>
    <w:rsid w:val="006F0F1A"/>
    <w:rsid w:val="006F0FB8"/>
    <w:rsid w:val="006F2943"/>
    <w:rsid w:val="006F2AAE"/>
    <w:rsid w:val="006F39B2"/>
    <w:rsid w:val="006F3C7B"/>
    <w:rsid w:val="006F4FF1"/>
    <w:rsid w:val="006F5384"/>
    <w:rsid w:val="006F648B"/>
    <w:rsid w:val="006F6604"/>
    <w:rsid w:val="006F6896"/>
    <w:rsid w:val="006F71D8"/>
    <w:rsid w:val="006F7D1A"/>
    <w:rsid w:val="00701A89"/>
    <w:rsid w:val="00701CEC"/>
    <w:rsid w:val="00702F6F"/>
    <w:rsid w:val="0070346C"/>
    <w:rsid w:val="007042EC"/>
    <w:rsid w:val="00704FBF"/>
    <w:rsid w:val="007051A0"/>
    <w:rsid w:val="0070598E"/>
    <w:rsid w:val="00706496"/>
    <w:rsid w:val="007110B9"/>
    <w:rsid w:val="00711A12"/>
    <w:rsid w:val="00711F11"/>
    <w:rsid w:val="00712E2D"/>
    <w:rsid w:val="0071405A"/>
    <w:rsid w:val="007142AC"/>
    <w:rsid w:val="007147C1"/>
    <w:rsid w:val="007154C4"/>
    <w:rsid w:val="00715DB9"/>
    <w:rsid w:val="007174BE"/>
    <w:rsid w:val="007218A0"/>
    <w:rsid w:val="007238AF"/>
    <w:rsid w:val="00723D43"/>
    <w:rsid w:val="007240C2"/>
    <w:rsid w:val="00726321"/>
    <w:rsid w:val="007266C6"/>
    <w:rsid w:val="00726908"/>
    <w:rsid w:val="00726B8C"/>
    <w:rsid w:val="00726E11"/>
    <w:rsid w:val="007270C7"/>
    <w:rsid w:val="007274D4"/>
    <w:rsid w:val="00730F3A"/>
    <w:rsid w:val="00731F86"/>
    <w:rsid w:val="00732F7B"/>
    <w:rsid w:val="00734400"/>
    <w:rsid w:val="00734CED"/>
    <w:rsid w:val="00735E97"/>
    <w:rsid w:val="00735F34"/>
    <w:rsid w:val="00736514"/>
    <w:rsid w:val="00736944"/>
    <w:rsid w:val="007369B5"/>
    <w:rsid w:val="00736ED8"/>
    <w:rsid w:val="00736F79"/>
    <w:rsid w:val="007372D0"/>
    <w:rsid w:val="00737C48"/>
    <w:rsid w:val="00740451"/>
    <w:rsid w:val="00741200"/>
    <w:rsid w:val="00741333"/>
    <w:rsid w:val="007416EC"/>
    <w:rsid w:val="00742FF2"/>
    <w:rsid w:val="00743C7D"/>
    <w:rsid w:val="007443DE"/>
    <w:rsid w:val="00744D6A"/>
    <w:rsid w:val="00745E4B"/>
    <w:rsid w:val="00746138"/>
    <w:rsid w:val="0074620A"/>
    <w:rsid w:val="00747AD9"/>
    <w:rsid w:val="00751BF2"/>
    <w:rsid w:val="00751D50"/>
    <w:rsid w:val="007527D5"/>
    <w:rsid w:val="00752B86"/>
    <w:rsid w:val="00752E02"/>
    <w:rsid w:val="00752F3C"/>
    <w:rsid w:val="00753C06"/>
    <w:rsid w:val="00753E52"/>
    <w:rsid w:val="007548B1"/>
    <w:rsid w:val="007553E1"/>
    <w:rsid w:val="007555E5"/>
    <w:rsid w:val="00755867"/>
    <w:rsid w:val="007561FC"/>
    <w:rsid w:val="007564C3"/>
    <w:rsid w:val="00756BA5"/>
    <w:rsid w:val="00757510"/>
    <w:rsid w:val="0075767B"/>
    <w:rsid w:val="00761BB5"/>
    <w:rsid w:val="00761D34"/>
    <w:rsid w:val="00762D2D"/>
    <w:rsid w:val="00762E1A"/>
    <w:rsid w:val="00763F7D"/>
    <w:rsid w:val="00764622"/>
    <w:rsid w:val="00764CAD"/>
    <w:rsid w:val="00765BD7"/>
    <w:rsid w:val="007665F6"/>
    <w:rsid w:val="00767A45"/>
    <w:rsid w:val="00770481"/>
    <w:rsid w:val="007707DE"/>
    <w:rsid w:val="00770FA1"/>
    <w:rsid w:val="00772B91"/>
    <w:rsid w:val="00773884"/>
    <w:rsid w:val="00774813"/>
    <w:rsid w:val="00774D11"/>
    <w:rsid w:val="007752E3"/>
    <w:rsid w:val="00775562"/>
    <w:rsid w:val="007760FF"/>
    <w:rsid w:val="00776183"/>
    <w:rsid w:val="00776A08"/>
    <w:rsid w:val="0078052A"/>
    <w:rsid w:val="00781066"/>
    <w:rsid w:val="007812FB"/>
    <w:rsid w:val="0078148B"/>
    <w:rsid w:val="00782027"/>
    <w:rsid w:val="007823ED"/>
    <w:rsid w:val="007825E2"/>
    <w:rsid w:val="007834FA"/>
    <w:rsid w:val="00783F6E"/>
    <w:rsid w:val="00784032"/>
    <w:rsid w:val="00785EC2"/>
    <w:rsid w:val="007864B0"/>
    <w:rsid w:val="00786E79"/>
    <w:rsid w:val="00787925"/>
    <w:rsid w:val="00787C18"/>
    <w:rsid w:val="00790936"/>
    <w:rsid w:val="00790E31"/>
    <w:rsid w:val="00791578"/>
    <w:rsid w:val="007917D0"/>
    <w:rsid w:val="00793B87"/>
    <w:rsid w:val="0079491E"/>
    <w:rsid w:val="007950B1"/>
    <w:rsid w:val="0079566E"/>
    <w:rsid w:val="007960CD"/>
    <w:rsid w:val="00796509"/>
    <w:rsid w:val="0079691E"/>
    <w:rsid w:val="00797723"/>
    <w:rsid w:val="007A0CBD"/>
    <w:rsid w:val="007A0F43"/>
    <w:rsid w:val="007A180B"/>
    <w:rsid w:val="007A1DA8"/>
    <w:rsid w:val="007A1E98"/>
    <w:rsid w:val="007A1FF2"/>
    <w:rsid w:val="007A6E30"/>
    <w:rsid w:val="007B04C9"/>
    <w:rsid w:val="007B04E4"/>
    <w:rsid w:val="007B0574"/>
    <w:rsid w:val="007B0F85"/>
    <w:rsid w:val="007B14D1"/>
    <w:rsid w:val="007B1D68"/>
    <w:rsid w:val="007B1EEE"/>
    <w:rsid w:val="007B249B"/>
    <w:rsid w:val="007B24B4"/>
    <w:rsid w:val="007B4798"/>
    <w:rsid w:val="007B491E"/>
    <w:rsid w:val="007B5404"/>
    <w:rsid w:val="007B6115"/>
    <w:rsid w:val="007B63F1"/>
    <w:rsid w:val="007B6A9A"/>
    <w:rsid w:val="007B6D4D"/>
    <w:rsid w:val="007B6FAF"/>
    <w:rsid w:val="007B78D1"/>
    <w:rsid w:val="007B7A09"/>
    <w:rsid w:val="007C0F7A"/>
    <w:rsid w:val="007C0F7C"/>
    <w:rsid w:val="007C3520"/>
    <w:rsid w:val="007C5569"/>
    <w:rsid w:val="007C5A1F"/>
    <w:rsid w:val="007D05A8"/>
    <w:rsid w:val="007D0B5C"/>
    <w:rsid w:val="007D24A9"/>
    <w:rsid w:val="007D27FA"/>
    <w:rsid w:val="007D30B5"/>
    <w:rsid w:val="007D3528"/>
    <w:rsid w:val="007D4E77"/>
    <w:rsid w:val="007D5EE0"/>
    <w:rsid w:val="007D6218"/>
    <w:rsid w:val="007D6699"/>
    <w:rsid w:val="007D6EC3"/>
    <w:rsid w:val="007D7440"/>
    <w:rsid w:val="007D7E06"/>
    <w:rsid w:val="007D7E30"/>
    <w:rsid w:val="007E0A75"/>
    <w:rsid w:val="007E1101"/>
    <w:rsid w:val="007E1468"/>
    <w:rsid w:val="007E1542"/>
    <w:rsid w:val="007E16E6"/>
    <w:rsid w:val="007E2C72"/>
    <w:rsid w:val="007E30E5"/>
    <w:rsid w:val="007E3EDB"/>
    <w:rsid w:val="007E4B66"/>
    <w:rsid w:val="007E56E0"/>
    <w:rsid w:val="007E6307"/>
    <w:rsid w:val="007E6419"/>
    <w:rsid w:val="007E676E"/>
    <w:rsid w:val="007E6D1F"/>
    <w:rsid w:val="007E6FCC"/>
    <w:rsid w:val="007E7068"/>
    <w:rsid w:val="007F015F"/>
    <w:rsid w:val="007F19F1"/>
    <w:rsid w:val="007F27EB"/>
    <w:rsid w:val="007F2F44"/>
    <w:rsid w:val="007F481F"/>
    <w:rsid w:val="007F5150"/>
    <w:rsid w:val="007F5FA7"/>
    <w:rsid w:val="007F624D"/>
    <w:rsid w:val="007F6815"/>
    <w:rsid w:val="007F6BA8"/>
    <w:rsid w:val="007F6D73"/>
    <w:rsid w:val="007F7589"/>
    <w:rsid w:val="007F7D32"/>
    <w:rsid w:val="00802F0F"/>
    <w:rsid w:val="008033D5"/>
    <w:rsid w:val="00804446"/>
    <w:rsid w:val="00806119"/>
    <w:rsid w:val="00806267"/>
    <w:rsid w:val="0080681B"/>
    <w:rsid w:val="00807360"/>
    <w:rsid w:val="0080738C"/>
    <w:rsid w:val="008102D5"/>
    <w:rsid w:val="008104B2"/>
    <w:rsid w:val="0081094C"/>
    <w:rsid w:val="00810B77"/>
    <w:rsid w:val="00810D34"/>
    <w:rsid w:val="0081165C"/>
    <w:rsid w:val="008119A1"/>
    <w:rsid w:val="00811E74"/>
    <w:rsid w:val="0081210F"/>
    <w:rsid w:val="0081284C"/>
    <w:rsid w:val="008139F7"/>
    <w:rsid w:val="00814DE2"/>
    <w:rsid w:val="00815026"/>
    <w:rsid w:val="008155E5"/>
    <w:rsid w:val="00816F7A"/>
    <w:rsid w:val="00817436"/>
    <w:rsid w:val="0081758A"/>
    <w:rsid w:val="008175F3"/>
    <w:rsid w:val="008203F2"/>
    <w:rsid w:val="00822217"/>
    <w:rsid w:val="00822BAB"/>
    <w:rsid w:val="00822E5F"/>
    <w:rsid w:val="0082542D"/>
    <w:rsid w:val="00825D68"/>
    <w:rsid w:val="008266A9"/>
    <w:rsid w:val="00826F22"/>
    <w:rsid w:val="00827834"/>
    <w:rsid w:val="0082788B"/>
    <w:rsid w:val="00827BDC"/>
    <w:rsid w:val="00827D45"/>
    <w:rsid w:val="0083050D"/>
    <w:rsid w:val="00830C92"/>
    <w:rsid w:val="008326F5"/>
    <w:rsid w:val="00832835"/>
    <w:rsid w:val="00832B04"/>
    <w:rsid w:val="00833095"/>
    <w:rsid w:val="008334D7"/>
    <w:rsid w:val="00834052"/>
    <w:rsid w:val="00834845"/>
    <w:rsid w:val="00835110"/>
    <w:rsid w:val="008351FC"/>
    <w:rsid w:val="00835619"/>
    <w:rsid w:val="00835887"/>
    <w:rsid w:val="00836088"/>
    <w:rsid w:val="0084157C"/>
    <w:rsid w:val="00841F50"/>
    <w:rsid w:val="008422A5"/>
    <w:rsid w:val="00842942"/>
    <w:rsid w:val="00842A99"/>
    <w:rsid w:val="00842EAE"/>
    <w:rsid w:val="008435A3"/>
    <w:rsid w:val="00843A0E"/>
    <w:rsid w:val="00843AF6"/>
    <w:rsid w:val="008452AC"/>
    <w:rsid w:val="00845A60"/>
    <w:rsid w:val="00845DFE"/>
    <w:rsid w:val="00846E17"/>
    <w:rsid w:val="008474EB"/>
    <w:rsid w:val="00847802"/>
    <w:rsid w:val="00850196"/>
    <w:rsid w:val="00851B57"/>
    <w:rsid w:val="0085200A"/>
    <w:rsid w:val="00852D98"/>
    <w:rsid w:val="00853F04"/>
    <w:rsid w:val="00854283"/>
    <w:rsid w:val="0085482A"/>
    <w:rsid w:val="00854D13"/>
    <w:rsid w:val="00854DA2"/>
    <w:rsid w:val="00854FB8"/>
    <w:rsid w:val="00856170"/>
    <w:rsid w:val="008573E3"/>
    <w:rsid w:val="00860AD2"/>
    <w:rsid w:val="00861E81"/>
    <w:rsid w:val="00862022"/>
    <w:rsid w:val="00862331"/>
    <w:rsid w:val="00863808"/>
    <w:rsid w:val="00864061"/>
    <w:rsid w:val="008645FF"/>
    <w:rsid w:val="00866D07"/>
    <w:rsid w:val="00866D42"/>
    <w:rsid w:val="00867641"/>
    <w:rsid w:val="008677EB"/>
    <w:rsid w:val="00867C51"/>
    <w:rsid w:val="00867EEF"/>
    <w:rsid w:val="00867F9E"/>
    <w:rsid w:val="00870188"/>
    <w:rsid w:val="0087030E"/>
    <w:rsid w:val="00870AAC"/>
    <w:rsid w:val="00870BCC"/>
    <w:rsid w:val="008714C1"/>
    <w:rsid w:val="0087240B"/>
    <w:rsid w:val="00872CCA"/>
    <w:rsid w:val="0087343E"/>
    <w:rsid w:val="008734F7"/>
    <w:rsid w:val="00874E9F"/>
    <w:rsid w:val="00877842"/>
    <w:rsid w:val="008806EA"/>
    <w:rsid w:val="008806F8"/>
    <w:rsid w:val="008808E2"/>
    <w:rsid w:val="00881456"/>
    <w:rsid w:val="00881ACB"/>
    <w:rsid w:val="00883B2F"/>
    <w:rsid w:val="008841FA"/>
    <w:rsid w:val="008852CF"/>
    <w:rsid w:val="008853CC"/>
    <w:rsid w:val="0088548C"/>
    <w:rsid w:val="00885BD3"/>
    <w:rsid w:val="00885FC9"/>
    <w:rsid w:val="00886342"/>
    <w:rsid w:val="00886965"/>
    <w:rsid w:val="00887728"/>
    <w:rsid w:val="0089043B"/>
    <w:rsid w:val="00891328"/>
    <w:rsid w:val="00891A47"/>
    <w:rsid w:val="0089252D"/>
    <w:rsid w:val="00892575"/>
    <w:rsid w:val="008926F9"/>
    <w:rsid w:val="00892809"/>
    <w:rsid w:val="00892895"/>
    <w:rsid w:val="0089370F"/>
    <w:rsid w:val="008939AF"/>
    <w:rsid w:val="00893EB3"/>
    <w:rsid w:val="00893FED"/>
    <w:rsid w:val="0089449A"/>
    <w:rsid w:val="00894C21"/>
    <w:rsid w:val="00895E48"/>
    <w:rsid w:val="00896192"/>
    <w:rsid w:val="0089625A"/>
    <w:rsid w:val="00896687"/>
    <w:rsid w:val="008971F4"/>
    <w:rsid w:val="008A00C7"/>
    <w:rsid w:val="008A0204"/>
    <w:rsid w:val="008A0496"/>
    <w:rsid w:val="008A0E7D"/>
    <w:rsid w:val="008A3023"/>
    <w:rsid w:val="008A403F"/>
    <w:rsid w:val="008A6815"/>
    <w:rsid w:val="008A7464"/>
    <w:rsid w:val="008A75D2"/>
    <w:rsid w:val="008B0D8D"/>
    <w:rsid w:val="008B0E3E"/>
    <w:rsid w:val="008B1031"/>
    <w:rsid w:val="008B10DF"/>
    <w:rsid w:val="008B2303"/>
    <w:rsid w:val="008B2740"/>
    <w:rsid w:val="008B2984"/>
    <w:rsid w:val="008B34A0"/>
    <w:rsid w:val="008B530F"/>
    <w:rsid w:val="008B5740"/>
    <w:rsid w:val="008B7169"/>
    <w:rsid w:val="008B71FF"/>
    <w:rsid w:val="008C003A"/>
    <w:rsid w:val="008C0B84"/>
    <w:rsid w:val="008C41DA"/>
    <w:rsid w:val="008C447F"/>
    <w:rsid w:val="008C4803"/>
    <w:rsid w:val="008C53F0"/>
    <w:rsid w:val="008C553A"/>
    <w:rsid w:val="008C57AE"/>
    <w:rsid w:val="008C588E"/>
    <w:rsid w:val="008C68BF"/>
    <w:rsid w:val="008C6D5F"/>
    <w:rsid w:val="008C7102"/>
    <w:rsid w:val="008C7226"/>
    <w:rsid w:val="008D1537"/>
    <w:rsid w:val="008D3B3D"/>
    <w:rsid w:val="008D4888"/>
    <w:rsid w:val="008D63FA"/>
    <w:rsid w:val="008D7001"/>
    <w:rsid w:val="008D7B80"/>
    <w:rsid w:val="008E2239"/>
    <w:rsid w:val="008E235A"/>
    <w:rsid w:val="008E243B"/>
    <w:rsid w:val="008E4184"/>
    <w:rsid w:val="008E42F2"/>
    <w:rsid w:val="008E48FD"/>
    <w:rsid w:val="008E4AE5"/>
    <w:rsid w:val="008E4EF9"/>
    <w:rsid w:val="008E52C2"/>
    <w:rsid w:val="008E549F"/>
    <w:rsid w:val="008E6301"/>
    <w:rsid w:val="008E721D"/>
    <w:rsid w:val="008F0FAF"/>
    <w:rsid w:val="008F10BC"/>
    <w:rsid w:val="008F180A"/>
    <w:rsid w:val="008F2052"/>
    <w:rsid w:val="008F25B3"/>
    <w:rsid w:val="008F26ED"/>
    <w:rsid w:val="008F2A38"/>
    <w:rsid w:val="008F2DEC"/>
    <w:rsid w:val="008F3012"/>
    <w:rsid w:val="008F43EA"/>
    <w:rsid w:val="008F4722"/>
    <w:rsid w:val="008F592B"/>
    <w:rsid w:val="008F5DFF"/>
    <w:rsid w:val="008F6A55"/>
    <w:rsid w:val="008F70C2"/>
    <w:rsid w:val="00901420"/>
    <w:rsid w:val="009016A6"/>
    <w:rsid w:val="009016DC"/>
    <w:rsid w:val="00901D14"/>
    <w:rsid w:val="00903775"/>
    <w:rsid w:val="00903DAB"/>
    <w:rsid w:val="009040F0"/>
    <w:rsid w:val="00904AB3"/>
    <w:rsid w:val="00904CC5"/>
    <w:rsid w:val="00905E8F"/>
    <w:rsid w:val="00906AF7"/>
    <w:rsid w:val="00907571"/>
    <w:rsid w:val="009109F7"/>
    <w:rsid w:val="00910F84"/>
    <w:rsid w:val="0091144E"/>
    <w:rsid w:val="00911DE8"/>
    <w:rsid w:val="00912137"/>
    <w:rsid w:val="00912D6F"/>
    <w:rsid w:val="00912F1E"/>
    <w:rsid w:val="009130FE"/>
    <w:rsid w:val="009137C9"/>
    <w:rsid w:val="009159A4"/>
    <w:rsid w:val="00915BED"/>
    <w:rsid w:val="00916AF7"/>
    <w:rsid w:val="00916B64"/>
    <w:rsid w:val="00916DBE"/>
    <w:rsid w:val="0092145D"/>
    <w:rsid w:val="009228CB"/>
    <w:rsid w:val="009238D4"/>
    <w:rsid w:val="009245DE"/>
    <w:rsid w:val="009245EE"/>
    <w:rsid w:val="0092490F"/>
    <w:rsid w:val="00927520"/>
    <w:rsid w:val="00927D94"/>
    <w:rsid w:val="00927EF8"/>
    <w:rsid w:val="00930762"/>
    <w:rsid w:val="00930C0C"/>
    <w:rsid w:val="00932FDF"/>
    <w:rsid w:val="009335C6"/>
    <w:rsid w:val="00934149"/>
    <w:rsid w:val="009346A4"/>
    <w:rsid w:val="00936B81"/>
    <w:rsid w:val="00941384"/>
    <w:rsid w:val="00942599"/>
    <w:rsid w:val="00943897"/>
    <w:rsid w:val="00943FF3"/>
    <w:rsid w:val="00944701"/>
    <w:rsid w:val="00944ABC"/>
    <w:rsid w:val="00944BFA"/>
    <w:rsid w:val="0094589C"/>
    <w:rsid w:val="00946816"/>
    <w:rsid w:val="00947FDA"/>
    <w:rsid w:val="009500AB"/>
    <w:rsid w:val="00950ED1"/>
    <w:rsid w:val="00950FDF"/>
    <w:rsid w:val="00951C91"/>
    <w:rsid w:val="00952304"/>
    <w:rsid w:val="009524D2"/>
    <w:rsid w:val="009526E4"/>
    <w:rsid w:val="00952A7A"/>
    <w:rsid w:val="00953A02"/>
    <w:rsid w:val="00953B62"/>
    <w:rsid w:val="00953ED9"/>
    <w:rsid w:val="0095444E"/>
    <w:rsid w:val="00954895"/>
    <w:rsid w:val="009548F7"/>
    <w:rsid w:val="00954A52"/>
    <w:rsid w:val="00954F1D"/>
    <w:rsid w:val="00955C67"/>
    <w:rsid w:val="0095618F"/>
    <w:rsid w:val="00956D36"/>
    <w:rsid w:val="009575A4"/>
    <w:rsid w:val="00957B65"/>
    <w:rsid w:val="009605E6"/>
    <w:rsid w:val="009609B3"/>
    <w:rsid w:val="00960AFF"/>
    <w:rsid w:val="00963F62"/>
    <w:rsid w:val="0096578B"/>
    <w:rsid w:val="00965EFC"/>
    <w:rsid w:val="00966E42"/>
    <w:rsid w:val="009674A2"/>
    <w:rsid w:val="0096756D"/>
    <w:rsid w:val="00970676"/>
    <w:rsid w:val="00970ECB"/>
    <w:rsid w:val="0097161B"/>
    <w:rsid w:val="00971769"/>
    <w:rsid w:val="00971815"/>
    <w:rsid w:val="00972047"/>
    <w:rsid w:val="0097289E"/>
    <w:rsid w:val="009746D6"/>
    <w:rsid w:val="00974D86"/>
    <w:rsid w:val="00975A1E"/>
    <w:rsid w:val="009762D2"/>
    <w:rsid w:val="009762F1"/>
    <w:rsid w:val="00976786"/>
    <w:rsid w:val="0097692D"/>
    <w:rsid w:val="00976BFE"/>
    <w:rsid w:val="009775A3"/>
    <w:rsid w:val="009776D2"/>
    <w:rsid w:val="00977B40"/>
    <w:rsid w:val="00977EA8"/>
    <w:rsid w:val="00977F63"/>
    <w:rsid w:val="00981276"/>
    <w:rsid w:val="0098140D"/>
    <w:rsid w:val="00981BBE"/>
    <w:rsid w:val="00981C95"/>
    <w:rsid w:val="00981CED"/>
    <w:rsid w:val="009843FF"/>
    <w:rsid w:val="009848D2"/>
    <w:rsid w:val="00984EDF"/>
    <w:rsid w:val="00985920"/>
    <w:rsid w:val="00986640"/>
    <w:rsid w:val="00986A69"/>
    <w:rsid w:val="00987225"/>
    <w:rsid w:val="009878F2"/>
    <w:rsid w:val="00990870"/>
    <w:rsid w:val="00990DCF"/>
    <w:rsid w:val="00991146"/>
    <w:rsid w:val="009920F5"/>
    <w:rsid w:val="00992B56"/>
    <w:rsid w:val="00992C2D"/>
    <w:rsid w:val="00992CDA"/>
    <w:rsid w:val="00993342"/>
    <w:rsid w:val="009939F1"/>
    <w:rsid w:val="00994023"/>
    <w:rsid w:val="00994BAD"/>
    <w:rsid w:val="00994CCC"/>
    <w:rsid w:val="009958D9"/>
    <w:rsid w:val="00996CE4"/>
    <w:rsid w:val="00996DBD"/>
    <w:rsid w:val="009A0A75"/>
    <w:rsid w:val="009A0FB3"/>
    <w:rsid w:val="009A2152"/>
    <w:rsid w:val="009A2626"/>
    <w:rsid w:val="009A3164"/>
    <w:rsid w:val="009A3645"/>
    <w:rsid w:val="009A3F36"/>
    <w:rsid w:val="009A48D8"/>
    <w:rsid w:val="009A5FD0"/>
    <w:rsid w:val="009A6C59"/>
    <w:rsid w:val="009A7878"/>
    <w:rsid w:val="009A7964"/>
    <w:rsid w:val="009B0121"/>
    <w:rsid w:val="009B0888"/>
    <w:rsid w:val="009B12F2"/>
    <w:rsid w:val="009B33DF"/>
    <w:rsid w:val="009B3B19"/>
    <w:rsid w:val="009B4270"/>
    <w:rsid w:val="009B44CC"/>
    <w:rsid w:val="009B4BA6"/>
    <w:rsid w:val="009B53E3"/>
    <w:rsid w:val="009B5651"/>
    <w:rsid w:val="009B5AD6"/>
    <w:rsid w:val="009B62E4"/>
    <w:rsid w:val="009B6583"/>
    <w:rsid w:val="009B706A"/>
    <w:rsid w:val="009B7BE8"/>
    <w:rsid w:val="009C0DDB"/>
    <w:rsid w:val="009C0E6A"/>
    <w:rsid w:val="009C1075"/>
    <w:rsid w:val="009C18AF"/>
    <w:rsid w:val="009C2769"/>
    <w:rsid w:val="009C2C8B"/>
    <w:rsid w:val="009C4319"/>
    <w:rsid w:val="009C4A34"/>
    <w:rsid w:val="009C4FC0"/>
    <w:rsid w:val="009C6C15"/>
    <w:rsid w:val="009C7952"/>
    <w:rsid w:val="009C7C07"/>
    <w:rsid w:val="009D109E"/>
    <w:rsid w:val="009D16EC"/>
    <w:rsid w:val="009D1CD9"/>
    <w:rsid w:val="009D1F28"/>
    <w:rsid w:val="009D25F5"/>
    <w:rsid w:val="009D28E5"/>
    <w:rsid w:val="009D2E77"/>
    <w:rsid w:val="009D3428"/>
    <w:rsid w:val="009D4830"/>
    <w:rsid w:val="009D4948"/>
    <w:rsid w:val="009D520D"/>
    <w:rsid w:val="009D5EAD"/>
    <w:rsid w:val="009D6D70"/>
    <w:rsid w:val="009D6FB5"/>
    <w:rsid w:val="009D797A"/>
    <w:rsid w:val="009E026A"/>
    <w:rsid w:val="009E3048"/>
    <w:rsid w:val="009E3B56"/>
    <w:rsid w:val="009E3FD6"/>
    <w:rsid w:val="009E49B5"/>
    <w:rsid w:val="009E4D93"/>
    <w:rsid w:val="009E50A4"/>
    <w:rsid w:val="009E551E"/>
    <w:rsid w:val="009E61CA"/>
    <w:rsid w:val="009E7066"/>
    <w:rsid w:val="009F0ED8"/>
    <w:rsid w:val="009F1EF8"/>
    <w:rsid w:val="009F24A4"/>
    <w:rsid w:val="009F2A4D"/>
    <w:rsid w:val="009F392D"/>
    <w:rsid w:val="009F4604"/>
    <w:rsid w:val="009F4B78"/>
    <w:rsid w:val="009F53AD"/>
    <w:rsid w:val="009F59D6"/>
    <w:rsid w:val="009F5BC4"/>
    <w:rsid w:val="009F606B"/>
    <w:rsid w:val="009F6E66"/>
    <w:rsid w:val="009F7888"/>
    <w:rsid w:val="009F7D02"/>
    <w:rsid w:val="00A00538"/>
    <w:rsid w:val="00A02AC3"/>
    <w:rsid w:val="00A02EBF"/>
    <w:rsid w:val="00A0334C"/>
    <w:rsid w:val="00A03AF3"/>
    <w:rsid w:val="00A04459"/>
    <w:rsid w:val="00A05FF9"/>
    <w:rsid w:val="00A06165"/>
    <w:rsid w:val="00A06363"/>
    <w:rsid w:val="00A06840"/>
    <w:rsid w:val="00A06EAD"/>
    <w:rsid w:val="00A06FE6"/>
    <w:rsid w:val="00A10CC6"/>
    <w:rsid w:val="00A1181F"/>
    <w:rsid w:val="00A1182C"/>
    <w:rsid w:val="00A1267B"/>
    <w:rsid w:val="00A12912"/>
    <w:rsid w:val="00A1293C"/>
    <w:rsid w:val="00A12AA0"/>
    <w:rsid w:val="00A140C0"/>
    <w:rsid w:val="00A14F9B"/>
    <w:rsid w:val="00A155F7"/>
    <w:rsid w:val="00A16248"/>
    <w:rsid w:val="00A167F1"/>
    <w:rsid w:val="00A16E5A"/>
    <w:rsid w:val="00A17A01"/>
    <w:rsid w:val="00A2085F"/>
    <w:rsid w:val="00A20EC0"/>
    <w:rsid w:val="00A2150B"/>
    <w:rsid w:val="00A215D9"/>
    <w:rsid w:val="00A2174E"/>
    <w:rsid w:val="00A2292C"/>
    <w:rsid w:val="00A22AEC"/>
    <w:rsid w:val="00A2374A"/>
    <w:rsid w:val="00A23FC3"/>
    <w:rsid w:val="00A24B76"/>
    <w:rsid w:val="00A25F1B"/>
    <w:rsid w:val="00A26571"/>
    <w:rsid w:val="00A27D22"/>
    <w:rsid w:val="00A3017C"/>
    <w:rsid w:val="00A319DB"/>
    <w:rsid w:val="00A31F18"/>
    <w:rsid w:val="00A3288D"/>
    <w:rsid w:val="00A32896"/>
    <w:rsid w:val="00A329DC"/>
    <w:rsid w:val="00A341DB"/>
    <w:rsid w:val="00A34FA9"/>
    <w:rsid w:val="00A362A3"/>
    <w:rsid w:val="00A3695B"/>
    <w:rsid w:val="00A36B38"/>
    <w:rsid w:val="00A370E2"/>
    <w:rsid w:val="00A402EC"/>
    <w:rsid w:val="00A41135"/>
    <w:rsid w:val="00A4196E"/>
    <w:rsid w:val="00A41FEB"/>
    <w:rsid w:val="00A42FBA"/>
    <w:rsid w:val="00A434DC"/>
    <w:rsid w:val="00A43B0F"/>
    <w:rsid w:val="00A44965"/>
    <w:rsid w:val="00A44B15"/>
    <w:rsid w:val="00A44DA6"/>
    <w:rsid w:val="00A45320"/>
    <w:rsid w:val="00A45F46"/>
    <w:rsid w:val="00A46988"/>
    <w:rsid w:val="00A50921"/>
    <w:rsid w:val="00A5160D"/>
    <w:rsid w:val="00A5217D"/>
    <w:rsid w:val="00A53EDA"/>
    <w:rsid w:val="00A5509B"/>
    <w:rsid w:val="00A55D68"/>
    <w:rsid w:val="00A560A8"/>
    <w:rsid w:val="00A56CA4"/>
    <w:rsid w:val="00A60061"/>
    <w:rsid w:val="00A603ED"/>
    <w:rsid w:val="00A63288"/>
    <w:rsid w:val="00A6351E"/>
    <w:rsid w:val="00A63C47"/>
    <w:rsid w:val="00A65949"/>
    <w:rsid w:val="00A65A26"/>
    <w:rsid w:val="00A65F04"/>
    <w:rsid w:val="00A65F2E"/>
    <w:rsid w:val="00A661BC"/>
    <w:rsid w:val="00A662D2"/>
    <w:rsid w:val="00A66E01"/>
    <w:rsid w:val="00A66F30"/>
    <w:rsid w:val="00A67261"/>
    <w:rsid w:val="00A672FF"/>
    <w:rsid w:val="00A7055A"/>
    <w:rsid w:val="00A7086D"/>
    <w:rsid w:val="00A71444"/>
    <w:rsid w:val="00A71AD5"/>
    <w:rsid w:val="00A72E01"/>
    <w:rsid w:val="00A7358B"/>
    <w:rsid w:val="00A73675"/>
    <w:rsid w:val="00A73BFC"/>
    <w:rsid w:val="00A75720"/>
    <w:rsid w:val="00A7765A"/>
    <w:rsid w:val="00A8073E"/>
    <w:rsid w:val="00A80883"/>
    <w:rsid w:val="00A81AC2"/>
    <w:rsid w:val="00A81BED"/>
    <w:rsid w:val="00A827C9"/>
    <w:rsid w:val="00A82FC6"/>
    <w:rsid w:val="00A85A0D"/>
    <w:rsid w:val="00A85C3A"/>
    <w:rsid w:val="00A8774F"/>
    <w:rsid w:val="00A87E89"/>
    <w:rsid w:val="00A87FB4"/>
    <w:rsid w:val="00A9015E"/>
    <w:rsid w:val="00A90625"/>
    <w:rsid w:val="00A906F4"/>
    <w:rsid w:val="00A9153C"/>
    <w:rsid w:val="00A91E8E"/>
    <w:rsid w:val="00A92270"/>
    <w:rsid w:val="00A92891"/>
    <w:rsid w:val="00A929A2"/>
    <w:rsid w:val="00A94929"/>
    <w:rsid w:val="00A966ED"/>
    <w:rsid w:val="00A96D3D"/>
    <w:rsid w:val="00A972FA"/>
    <w:rsid w:val="00A97A49"/>
    <w:rsid w:val="00A97DB5"/>
    <w:rsid w:val="00AA0550"/>
    <w:rsid w:val="00AA10AE"/>
    <w:rsid w:val="00AA19A7"/>
    <w:rsid w:val="00AA1D78"/>
    <w:rsid w:val="00AA21AC"/>
    <w:rsid w:val="00AA2928"/>
    <w:rsid w:val="00AA2D7E"/>
    <w:rsid w:val="00AA329F"/>
    <w:rsid w:val="00AA5D76"/>
    <w:rsid w:val="00AA7B6A"/>
    <w:rsid w:val="00AB01A1"/>
    <w:rsid w:val="00AB22F8"/>
    <w:rsid w:val="00AB3A39"/>
    <w:rsid w:val="00AB593E"/>
    <w:rsid w:val="00AB5978"/>
    <w:rsid w:val="00AB5D37"/>
    <w:rsid w:val="00AB683F"/>
    <w:rsid w:val="00AB6AE9"/>
    <w:rsid w:val="00AB6B7D"/>
    <w:rsid w:val="00AB75A2"/>
    <w:rsid w:val="00AB7F3B"/>
    <w:rsid w:val="00AC0883"/>
    <w:rsid w:val="00AC142F"/>
    <w:rsid w:val="00AC21F7"/>
    <w:rsid w:val="00AC395D"/>
    <w:rsid w:val="00AC3E96"/>
    <w:rsid w:val="00AC4869"/>
    <w:rsid w:val="00AC4A2E"/>
    <w:rsid w:val="00AC4D9C"/>
    <w:rsid w:val="00AC6E0C"/>
    <w:rsid w:val="00AD0DA6"/>
    <w:rsid w:val="00AD1885"/>
    <w:rsid w:val="00AD1F34"/>
    <w:rsid w:val="00AD2C91"/>
    <w:rsid w:val="00AD31C9"/>
    <w:rsid w:val="00AD363E"/>
    <w:rsid w:val="00AD50BA"/>
    <w:rsid w:val="00AD6309"/>
    <w:rsid w:val="00AD72A1"/>
    <w:rsid w:val="00AD768B"/>
    <w:rsid w:val="00AE02E7"/>
    <w:rsid w:val="00AE039A"/>
    <w:rsid w:val="00AE0F75"/>
    <w:rsid w:val="00AE319E"/>
    <w:rsid w:val="00AE3B2C"/>
    <w:rsid w:val="00AE3B4E"/>
    <w:rsid w:val="00AE4021"/>
    <w:rsid w:val="00AE676F"/>
    <w:rsid w:val="00AE6A0C"/>
    <w:rsid w:val="00AE709C"/>
    <w:rsid w:val="00AE7374"/>
    <w:rsid w:val="00AE7DD9"/>
    <w:rsid w:val="00AF0759"/>
    <w:rsid w:val="00AF1786"/>
    <w:rsid w:val="00AF1862"/>
    <w:rsid w:val="00AF2B38"/>
    <w:rsid w:val="00AF34D1"/>
    <w:rsid w:val="00AF4068"/>
    <w:rsid w:val="00AF69E2"/>
    <w:rsid w:val="00AF7273"/>
    <w:rsid w:val="00AF7494"/>
    <w:rsid w:val="00AF7BB5"/>
    <w:rsid w:val="00B004C1"/>
    <w:rsid w:val="00B0168B"/>
    <w:rsid w:val="00B025E3"/>
    <w:rsid w:val="00B03458"/>
    <w:rsid w:val="00B04B8E"/>
    <w:rsid w:val="00B06F41"/>
    <w:rsid w:val="00B0719D"/>
    <w:rsid w:val="00B075DA"/>
    <w:rsid w:val="00B07CAE"/>
    <w:rsid w:val="00B07E5B"/>
    <w:rsid w:val="00B1072F"/>
    <w:rsid w:val="00B11113"/>
    <w:rsid w:val="00B11237"/>
    <w:rsid w:val="00B130C8"/>
    <w:rsid w:val="00B14A7F"/>
    <w:rsid w:val="00B14C28"/>
    <w:rsid w:val="00B150AF"/>
    <w:rsid w:val="00B15820"/>
    <w:rsid w:val="00B16C6D"/>
    <w:rsid w:val="00B16F24"/>
    <w:rsid w:val="00B2093A"/>
    <w:rsid w:val="00B20FF4"/>
    <w:rsid w:val="00B215D8"/>
    <w:rsid w:val="00B2218A"/>
    <w:rsid w:val="00B22E50"/>
    <w:rsid w:val="00B2356B"/>
    <w:rsid w:val="00B246ED"/>
    <w:rsid w:val="00B24F40"/>
    <w:rsid w:val="00B25513"/>
    <w:rsid w:val="00B26D1A"/>
    <w:rsid w:val="00B26DD0"/>
    <w:rsid w:val="00B273C5"/>
    <w:rsid w:val="00B273D2"/>
    <w:rsid w:val="00B277BC"/>
    <w:rsid w:val="00B30749"/>
    <w:rsid w:val="00B315E9"/>
    <w:rsid w:val="00B32982"/>
    <w:rsid w:val="00B338C8"/>
    <w:rsid w:val="00B340D7"/>
    <w:rsid w:val="00B341CC"/>
    <w:rsid w:val="00B35321"/>
    <w:rsid w:val="00B35505"/>
    <w:rsid w:val="00B35BF0"/>
    <w:rsid w:val="00B35CB3"/>
    <w:rsid w:val="00B35E0A"/>
    <w:rsid w:val="00B35FC4"/>
    <w:rsid w:val="00B3675B"/>
    <w:rsid w:val="00B36D4B"/>
    <w:rsid w:val="00B36F1A"/>
    <w:rsid w:val="00B36F93"/>
    <w:rsid w:val="00B3779F"/>
    <w:rsid w:val="00B40124"/>
    <w:rsid w:val="00B40B86"/>
    <w:rsid w:val="00B41D62"/>
    <w:rsid w:val="00B424F6"/>
    <w:rsid w:val="00B42A8E"/>
    <w:rsid w:val="00B42D2B"/>
    <w:rsid w:val="00B42E03"/>
    <w:rsid w:val="00B44275"/>
    <w:rsid w:val="00B443E2"/>
    <w:rsid w:val="00B44C1A"/>
    <w:rsid w:val="00B45901"/>
    <w:rsid w:val="00B46222"/>
    <w:rsid w:val="00B4716B"/>
    <w:rsid w:val="00B47C8F"/>
    <w:rsid w:val="00B47F3A"/>
    <w:rsid w:val="00B500B7"/>
    <w:rsid w:val="00B50819"/>
    <w:rsid w:val="00B51697"/>
    <w:rsid w:val="00B51C89"/>
    <w:rsid w:val="00B521FC"/>
    <w:rsid w:val="00B52D8C"/>
    <w:rsid w:val="00B54092"/>
    <w:rsid w:val="00B5444C"/>
    <w:rsid w:val="00B5469D"/>
    <w:rsid w:val="00B5568B"/>
    <w:rsid w:val="00B557BF"/>
    <w:rsid w:val="00B557D0"/>
    <w:rsid w:val="00B55BD6"/>
    <w:rsid w:val="00B56147"/>
    <w:rsid w:val="00B5683D"/>
    <w:rsid w:val="00B56A9F"/>
    <w:rsid w:val="00B5720A"/>
    <w:rsid w:val="00B57848"/>
    <w:rsid w:val="00B57F36"/>
    <w:rsid w:val="00B604A0"/>
    <w:rsid w:val="00B60761"/>
    <w:rsid w:val="00B619A0"/>
    <w:rsid w:val="00B620A5"/>
    <w:rsid w:val="00B62BB1"/>
    <w:rsid w:val="00B6304E"/>
    <w:rsid w:val="00B63559"/>
    <w:rsid w:val="00B64A8C"/>
    <w:rsid w:val="00B64FFC"/>
    <w:rsid w:val="00B652E7"/>
    <w:rsid w:val="00B6558D"/>
    <w:rsid w:val="00B656A6"/>
    <w:rsid w:val="00B658E7"/>
    <w:rsid w:val="00B6632D"/>
    <w:rsid w:val="00B66517"/>
    <w:rsid w:val="00B669F4"/>
    <w:rsid w:val="00B674BC"/>
    <w:rsid w:val="00B67A07"/>
    <w:rsid w:val="00B67C2B"/>
    <w:rsid w:val="00B70B06"/>
    <w:rsid w:val="00B721D0"/>
    <w:rsid w:val="00B724AC"/>
    <w:rsid w:val="00B73979"/>
    <w:rsid w:val="00B74665"/>
    <w:rsid w:val="00B750A4"/>
    <w:rsid w:val="00B751B0"/>
    <w:rsid w:val="00B754ED"/>
    <w:rsid w:val="00B757C0"/>
    <w:rsid w:val="00B75931"/>
    <w:rsid w:val="00B762E0"/>
    <w:rsid w:val="00B76D75"/>
    <w:rsid w:val="00B76E1F"/>
    <w:rsid w:val="00B77E07"/>
    <w:rsid w:val="00B81456"/>
    <w:rsid w:val="00B818F0"/>
    <w:rsid w:val="00B82DE1"/>
    <w:rsid w:val="00B84E85"/>
    <w:rsid w:val="00B86188"/>
    <w:rsid w:val="00B86C54"/>
    <w:rsid w:val="00B86EBD"/>
    <w:rsid w:val="00B87005"/>
    <w:rsid w:val="00B870D8"/>
    <w:rsid w:val="00B874C4"/>
    <w:rsid w:val="00B87566"/>
    <w:rsid w:val="00B90EBA"/>
    <w:rsid w:val="00B91051"/>
    <w:rsid w:val="00B910F5"/>
    <w:rsid w:val="00B91552"/>
    <w:rsid w:val="00B92112"/>
    <w:rsid w:val="00B92181"/>
    <w:rsid w:val="00B92991"/>
    <w:rsid w:val="00B94188"/>
    <w:rsid w:val="00B9485B"/>
    <w:rsid w:val="00B94A4E"/>
    <w:rsid w:val="00B9510B"/>
    <w:rsid w:val="00B97AA2"/>
    <w:rsid w:val="00B97B8E"/>
    <w:rsid w:val="00B97C6C"/>
    <w:rsid w:val="00BA00A8"/>
    <w:rsid w:val="00BA0378"/>
    <w:rsid w:val="00BA288A"/>
    <w:rsid w:val="00BA2D00"/>
    <w:rsid w:val="00BA2DA1"/>
    <w:rsid w:val="00BA371C"/>
    <w:rsid w:val="00BA37A4"/>
    <w:rsid w:val="00BA40BC"/>
    <w:rsid w:val="00BA4FB0"/>
    <w:rsid w:val="00BA588A"/>
    <w:rsid w:val="00BA5974"/>
    <w:rsid w:val="00BA6138"/>
    <w:rsid w:val="00BA7114"/>
    <w:rsid w:val="00BA7A87"/>
    <w:rsid w:val="00BB0148"/>
    <w:rsid w:val="00BB01C9"/>
    <w:rsid w:val="00BB102C"/>
    <w:rsid w:val="00BB1449"/>
    <w:rsid w:val="00BB1930"/>
    <w:rsid w:val="00BB3478"/>
    <w:rsid w:val="00BB3B59"/>
    <w:rsid w:val="00BB5356"/>
    <w:rsid w:val="00BC0AF6"/>
    <w:rsid w:val="00BC12EA"/>
    <w:rsid w:val="00BC179C"/>
    <w:rsid w:val="00BC2247"/>
    <w:rsid w:val="00BC28F6"/>
    <w:rsid w:val="00BC2B1C"/>
    <w:rsid w:val="00BC2F43"/>
    <w:rsid w:val="00BC3E74"/>
    <w:rsid w:val="00BC5572"/>
    <w:rsid w:val="00BC76B5"/>
    <w:rsid w:val="00BC7FA4"/>
    <w:rsid w:val="00BD0A51"/>
    <w:rsid w:val="00BD13D5"/>
    <w:rsid w:val="00BD4779"/>
    <w:rsid w:val="00BD497C"/>
    <w:rsid w:val="00BD4AA8"/>
    <w:rsid w:val="00BD538F"/>
    <w:rsid w:val="00BD57EE"/>
    <w:rsid w:val="00BD70A9"/>
    <w:rsid w:val="00BE15D6"/>
    <w:rsid w:val="00BE15F7"/>
    <w:rsid w:val="00BE1F97"/>
    <w:rsid w:val="00BE25A6"/>
    <w:rsid w:val="00BE2DB1"/>
    <w:rsid w:val="00BE2F38"/>
    <w:rsid w:val="00BE38DB"/>
    <w:rsid w:val="00BE394E"/>
    <w:rsid w:val="00BE4780"/>
    <w:rsid w:val="00BE4E07"/>
    <w:rsid w:val="00BE4E8A"/>
    <w:rsid w:val="00BE6D21"/>
    <w:rsid w:val="00BE7464"/>
    <w:rsid w:val="00BE7E3F"/>
    <w:rsid w:val="00BF0916"/>
    <w:rsid w:val="00BF17F5"/>
    <w:rsid w:val="00BF1CE5"/>
    <w:rsid w:val="00BF2A79"/>
    <w:rsid w:val="00BF2DFF"/>
    <w:rsid w:val="00BF375F"/>
    <w:rsid w:val="00BF3A11"/>
    <w:rsid w:val="00BF5886"/>
    <w:rsid w:val="00BF74BF"/>
    <w:rsid w:val="00C00C5D"/>
    <w:rsid w:val="00C01319"/>
    <w:rsid w:val="00C02372"/>
    <w:rsid w:val="00C02FCA"/>
    <w:rsid w:val="00C04269"/>
    <w:rsid w:val="00C044C3"/>
    <w:rsid w:val="00C048C4"/>
    <w:rsid w:val="00C05817"/>
    <w:rsid w:val="00C0611F"/>
    <w:rsid w:val="00C063BE"/>
    <w:rsid w:val="00C06B54"/>
    <w:rsid w:val="00C06CF7"/>
    <w:rsid w:val="00C078A2"/>
    <w:rsid w:val="00C101D1"/>
    <w:rsid w:val="00C103AD"/>
    <w:rsid w:val="00C10453"/>
    <w:rsid w:val="00C104D5"/>
    <w:rsid w:val="00C10585"/>
    <w:rsid w:val="00C1149D"/>
    <w:rsid w:val="00C117AE"/>
    <w:rsid w:val="00C12E60"/>
    <w:rsid w:val="00C13964"/>
    <w:rsid w:val="00C13BCA"/>
    <w:rsid w:val="00C141B9"/>
    <w:rsid w:val="00C158CF"/>
    <w:rsid w:val="00C16518"/>
    <w:rsid w:val="00C17806"/>
    <w:rsid w:val="00C1787D"/>
    <w:rsid w:val="00C2073C"/>
    <w:rsid w:val="00C20BC6"/>
    <w:rsid w:val="00C20F14"/>
    <w:rsid w:val="00C22B7C"/>
    <w:rsid w:val="00C234BA"/>
    <w:rsid w:val="00C237D1"/>
    <w:rsid w:val="00C23B8E"/>
    <w:rsid w:val="00C23C12"/>
    <w:rsid w:val="00C23E62"/>
    <w:rsid w:val="00C24250"/>
    <w:rsid w:val="00C24755"/>
    <w:rsid w:val="00C2493C"/>
    <w:rsid w:val="00C24DE1"/>
    <w:rsid w:val="00C25265"/>
    <w:rsid w:val="00C255DB"/>
    <w:rsid w:val="00C257CC"/>
    <w:rsid w:val="00C26796"/>
    <w:rsid w:val="00C26F7C"/>
    <w:rsid w:val="00C303FF"/>
    <w:rsid w:val="00C30785"/>
    <w:rsid w:val="00C3184D"/>
    <w:rsid w:val="00C31E7C"/>
    <w:rsid w:val="00C32026"/>
    <w:rsid w:val="00C324B8"/>
    <w:rsid w:val="00C328CA"/>
    <w:rsid w:val="00C331FD"/>
    <w:rsid w:val="00C34DCB"/>
    <w:rsid w:val="00C36D0C"/>
    <w:rsid w:val="00C36D10"/>
    <w:rsid w:val="00C3708D"/>
    <w:rsid w:val="00C4068D"/>
    <w:rsid w:val="00C40A57"/>
    <w:rsid w:val="00C40DE0"/>
    <w:rsid w:val="00C40F13"/>
    <w:rsid w:val="00C4138A"/>
    <w:rsid w:val="00C427F0"/>
    <w:rsid w:val="00C43EAB"/>
    <w:rsid w:val="00C440B4"/>
    <w:rsid w:val="00C44682"/>
    <w:rsid w:val="00C446F9"/>
    <w:rsid w:val="00C462CB"/>
    <w:rsid w:val="00C46F39"/>
    <w:rsid w:val="00C47AFE"/>
    <w:rsid w:val="00C5067F"/>
    <w:rsid w:val="00C515C3"/>
    <w:rsid w:val="00C516AC"/>
    <w:rsid w:val="00C51AA2"/>
    <w:rsid w:val="00C51EC4"/>
    <w:rsid w:val="00C52E43"/>
    <w:rsid w:val="00C5331C"/>
    <w:rsid w:val="00C5351C"/>
    <w:rsid w:val="00C53DCF"/>
    <w:rsid w:val="00C542E8"/>
    <w:rsid w:val="00C5435E"/>
    <w:rsid w:val="00C54A32"/>
    <w:rsid w:val="00C55416"/>
    <w:rsid w:val="00C56CD4"/>
    <w:rsid w:val="00C572B4"/>
    <w:rsid w:val="00C57875"/>
    <w:rsid w:val="00C57F3F"/>
    <w:rsid w:val="00C609C3"/>
    <w:rsid w:val="00C60CA5"/>
    <w:rsid w:val="00C60DE0"/>
    <w:rsid w:val="00C60E16"/>
    <w:rsid w:val="00C61529"/>
    <w:rsid w:val="00C637DC"/>
    <w:rsid w:val="00C63CC6"/>
    <w:rsid w:val="00C64E0D"/>
    <w:rsid w:val="00C654BD"/>
    <w:rsid w:val="00C65E4E"/>
    <w:rsid w:val="00C66610"/>
    <w:rsid w:val="00C66648"/>
    <w:rsid w:val="00C66FEF"/>
    <w:rsid w:val="00C673F7"/>
    <w:rsid w:val="00C706B4"/>
    <w:rsid w:val="00C70CB4"/>
    <w:rsid w:val="00C727A7"/>
    <w:rsid w:val="00C728D5"/>
    <w:rsid w:val="00C72CF7"/>
    <w:rsid w:val="00C74B20"/>
    <w:rsid w:val="00C75119"/>
    <w:rsid w:val="00C766B6"/>
    <w:rsid w:val="00C767E3"/>
    <w:rsid w:val="00C76DD6"/>
    <w:rsid w:val="00C806C6"/>
    <w:rsid w:val="00C80BB5"/>
    <w:rsid w:val="00C84C39"/>
    <w:rsid w:val="00C85946"/>
    <w:rsid w:val="00C87D06"/>
    <w:rsid w:val="00C87D73"/>
    <w:rsid w:val="00C90B62"/>
    <w:rsid w:val="00C91C08"/>
    <w:rsid w:val="00C931E3"/>
    <w:rsid w:val="00C9390B"/>
    <w:rsid w:val="00C95770"/>
    <w:rsid w:val="00C959F3"/>
    <w:rsid w:val="00C97156"/>
    <w:rsid w:val="00C97E48"/>
    <w:rsid w:val="00C97F0E"/>
    <w:rsid w:val="00CA05AD"/>
    <w:rsid w:val="00CA06AC"/>
    <w:rsid w:val="00CA0A9A"/>
    <w:rsid w:val="00CA1701"/>
    <w:rsid w:val="00CA1D9E"/>
    <w:rsid w:val="00CA242A"/>
    <w:rsid w:val="00CA27BD"/>
    <w:rsid w:val="00CA2AB6"/>
    <w:rsid w:val="00CA36DE"/>
    <w:rsid w:val="00CA3926"/>
    <w:rsid w:val="00CA4369"/>
    <w:rsid w:val="00CA4BCC"/>
    <w:rsid w:val="00CA51C0"/>
    <w:rsid w:val="00CA5313"/>
    <w:rsid w:val="00CA54DC"/>
    <w:rsid w:val="00CA6209"/>
    <w:rsid w:val="00CA659B"/>
    <w:rsid w:val="00CA7924"/>
    <w:rsid w:val="00CA7AA3"/>
    <w:rsid w:val="00CB01D6"/>
    <w:rsid w:val="00CB06DD"/>
    <w:rsid w:val="00CB07F8"/>
    <w:rsid w:val="00CB0B34"/>
    <w:rsid w:val="00CB23B8"/>
    <w:rsid w:val="00CB2EBF"/>
    <w:rsid w:val="00CB311E"/>
    <w:rsid w:val="00CB324F"/>
    <w:rsid w:val="00CB3AC6"/>
    <w:rsid w:val="00CB4118"/>
    <w:rsid w:val="00CB4A39"/>
    <w:rsid w:val="00CB5980"/>
    <w:rsid w:val="00CB6C61"/>
    <w:rsid w:val="00CB71E1"/>
    <w:rsid w:val="00CC01A9"/>
    <w:rsid w:val="00CC0ED3"/>
    <w:rsid w:val="00CC1894"/>
    <w:rsid w:val="00CC1921"/>
    <w:rsid w:val="00CC1C55"/>
    <w:rsid w:val="00CC25DF"/>
    <w:rsid w:val="00CC2EE2"/>
    <w:rsid w:val="00CC3D03"/>
    <w:rsid w:val="00CC42A1"/>
    <w:rsid w:val="00CC45DB"/>
    <w:rsid w:val="00CC5281"/>
    <w:rsid w:val="00CC5651"/>
    <w:rsid w:val="00CC5793"/>
    <w:rsid w:val="00CC73FF"/>
    <w:rsid w:val="00CD00E3"/>
    <w:rsid w:val="00CD0C64"/>
    <w:rsid w:val="00CD141E"/>
    <w:rsid w:val="00CD185B"/>
    <w:rsid w:val="00CD1DA7"/>
    <w:rsid w:val="00CD2269"/>
    <w:rsid w:val="00CD2530"/>
    <w:rsid w:val="00CD45DA"/>
    <w:rsid w:val="00CD4A62"/>
    <w:rsid w:val="00CD571D"/>
    <w:rsid w:val="00CD58A6"/>
    <w:rsid w:val="00CD5CB8"/>
    <w:rsid w:val="00CD71BD"/>
    <w:rsid w:val="00CD7926"/>
    <w:rsid w:val="00CD7C00"/>
    <w:rsid w:val="00CE0B75"/>
    <w:rsid w:val="00CE0EB0"/>
    <w:rsid w:val="00CE184F"/>
    <w:rsid w:val="00CE2088"/>
    <w:rsid w:val="00CE2EA4"/>
    <w:rsid w:val="00CE416F"/>
    <w:rsid w:val="00CE4340"/>
    <w:rsid w:val="00CE49D7"/>
    <w:rsid w:val="00CE5714"/>
    <w:rsid w:val="00CE6138"/>
    <w:rsid w:val="00CE6163"/>
    <w:rsid w:val="00CE61DC"/>
    <w:rsid w:val="00CE63B5"/>
    <w:rsid w:val="00CE6F59"/>
    <w:rsid w:val="00CE7059"/>
    <w:rsid w:val="00CE75F1"/>
    <w:rsid w:val="00CE7AAB"/>
    <w:rsid w:val="00CE7D38"/>
    <w:rsid w:val="00CF2673"/>
    <w:rsid w:val="00CF2C31"/>
    <w:rsid w:val="00CF2DA1"/>
    <w:rsid w:val="00CF3E45"/>
    <w:rsid w:val="00CF43B1"/>
    <w:rsid w:val="00CF738A"/>
    <w:rsid w:val="00CF744F"/>
    <w:rsid w:val="00D002F5"/>
    <w:rsid w:val="00D00717"/>
    <w:rsid w:val="00D036F6"/>
    <w:rsid w:val="00D0371D"/>
    <w:rsid w:val="00D045C7"/>
    <w:rsid w:val="00D04C9F"/>
    <w:rsid w:val="00D0614B"/>
    <w:rsid w:val="00D0682E"/>
    <w:rsid w:val="00D06AD1"/>
    <w:rsid w:val="00D1070C"/>
    <w:rsid w:val="00D110F9"/>
    <w:rsid w:val="00D12B14"/>
    <w:rsid w:val="00D13195"/>
    <w:rsid w:val="00D14A47"/>
    <w:rsid w:val="00D1546E"/>
    <w:rsid w:val="00D1557F"/>
    <w:rsid w:val="00D15B28"/>
    <w:rsid w:val="00D16DB5"/>
    <w:rsid w:val="00D17549"/>
    <w:rsid w:val="00D20358"/>
    <w:rsid w:val="00D20D49"/>
    <w:rsid w:val="00D2130D"/>
    <w:rsid w:val="00D23491"/>
    <w:rsid w:val="00D24D97"/>
    <w:rsid w:val="00D25B31"/>
    <w:rsid w:val="00D266E1"/>
    <w:rsid w:val="00D275F5"/>
    <w:rsid w:val="00D30860"/>
    <w:rsid w:val="00D31FDD"/>
    <w:rsid w:val="00D325D9"/>
    <w:rsid w:val="00D32A25"/>
    <w:rsid w:val="00D34FF1"/>
    <w:rsid w:val="00D35DA1"/>
    <w:rsid w:val="00D376F1"/>
    <w:rsid w:val="00D412E9"/>
    <w:rsid w:val="00D4234A"/>
    <w:rsid w:val="00D43138"/>
    <w:rsid w:val="00D43CA8"/>
    <w:rsid w:val="00D44DAE"/>
    <w:rsid w:val="00D4523D"/>
    <w:rsid w:val="00D45621"/>
    <w:rsid w:val="00D4593F"/>
    <w:rsid w:val="00D45BD4"/>
    <w:rsid w:val="00D4668E"/>
    <w:rsid w:val="00D46B80"/>
    <w:rsid w:val="00D4775B"/>
    <w:rsid w:val="00D47AB8"/>
    <w:rsid w:val="00D50A8D"/>
    <w:rsid w:val="00D51392"/>
    <w:rsid w:val="00D52EA5"/>
    <w:rsid w:val="00D5456A"/>
    <w:rsid w:val="00D55740"/>
    <w:rsid w:val="00D55D94"/>
    <w:rsid w:val="00D56566"/>
    <w:rsid w:val="00D56843"/>
    <w:rsid w:val="00D60126"/>
    <w:rsid w:val="00D60C5F"/>
    <w:rsid w:val="00D639E7"/>
    <w:rsid w:val="00D643F6"/>
    <w:rsid w:val="00D647A4"/>
    <w:rsid w:val="00D6487A"/>
    <w:rsid w:val="00D648BB"/>
    <w:rsid w:val="00D64E04"/>
    <w:rsid w:val="00D651C0"/>
    <w:rsid w:val="00D65A5E"/>
    <w:rsid w:val="00D661B4"/>
    <w:rsid w:val="00D669D1"/>
    <w:rsid w:val="00D67758"/>
    <w:rsid w:val="00D67E7F"/>
    <w:rsid w:val="00D7049A"/>
    <w:rsid w:val="00D704F6"/>
    <w:rsid w:val="00D70D99"/>
    <w:rsid w:val="00D71EED"/>
    <w:rsid w:val="00D722B1"/>
    <w:rsid w:val="00D72A47"/>
    <w:rsid w:val="00D72B69"/>
    <w:rsid w:val="00D73E8F"/>
    <w:rsid w:val="00D73FB3"/>
    <w:rsid w:val="00D74A82"/>
    <w:rsid w:val="00D74E46"/>
    <w:rsid w:val="00D751E6"/>
    <w:rsid w:val="00D753F6"/>
    <w:rsid w:val="00D76B3F"/>
    <w:rsid w:val="00D76CB7"/>
    <w:rsid w:val="00D7737D"/>
    <w:rsid w:val="00D77471"/>
    <w:rsid w:val="00D7781F"/>
    <w:rsid w:val="00D77B30"/>
    <w:rsid w:val="00D80897"/>
    <w:rsid w:val="00D80F10"/>
    <w:rsid w:val="00D81375"/>
    <w:rsid w:val="00D81965"/>
    <w:rsid w:val="00D81E0D"/>
    <w:rsid w:val="00D81F77"/>
    <w:rsid w:val="00D8540E"/>
    <w:rsid w:val="00D85727"/>
    <w:rsid w:val="00D857DB"/>
    <w:rsid w:val="00D85C4D"/>
    <w:rsid w:val="00D8632F"/>
    <w:rsid w:val="00D8730B"/>
    <w:rsid w:val="00D9051A"/>
    <w:rsid w:val="00D9072A"/>
    <w:rsid w:val="00D91AEF"/>
    <w:rsid w:val="00D91CEA"/>
    <w:rsid w:val="00D92844"/>
    <w:rsid w:val="00D94852"/>
    <w:rsid w:val="00D94EC1"/>
    <w:rsid w:val="00D956C8"/>
    <w:rsid w:val="00D95F2C"/>
    <w:rsid w:val="00D968AE"/>
    <w:rsid w:val="00DA039C"/>
    <w:rsid w:val="00DA0892"/>
    <w:rsid w:val="00DA0998"/>
    <w:rsid w:val="00DA0DAA"/>
    <w:rsid w:val="00DA10B4"/>
    <w:rsid w:val="00DA19CD"/>
    <w:rsid w:val="00DA1A41"/>
    <w:rsid w:val="00DA27BB"/>
    <w:rsid w:val="00DA2A2A"/>
    <w:rsid w:val="00DA5886"/>
    <w:rsid w:val="00DA5EE2"/>
    <w:rsid w:val="00DA61F6"/>
    <w:rsid w:val="00DA6706"/>
    <w:rsid w:val="00DA67A0"/>
    <w:rsid w:val="00DA6EBE"/>
    <w:rsid w:val="00DA7427"/>
    <w:rsid w:val="00DB1247"/>
    <w:rsid w:val="00DB1C83"/>
    <w:rsid w:val="00DB2467"/>
    <w:rsid w:val="00DB27CC"/>
    <w:rsid w:val="00DB2A54"/>
    <w:rsid w:val="00DB3F48"/>
    <w:rsid w:val="00DB4490"/>
    <w:rsid w:val="00DB45CE"/>
    <w:rsid w:val="00DB4ED2"/>
    <w:rsid w:val="00DB4EF9"/>
    <w:rsid w:val="00DB56C2"/>
    <w:rsid w:val="00DB6934"/>
    <w:rsid w:val="00DB6F2B"/>
    <w:rsid w:val="00DC08B5"/>
    <w:rsid w:val="00DC1228"/>
    <w:rsid w:val="00DC29FE"/>
    <w:rsid w:val="00DC2AEA"/>
    <w:rsid w:val="00DC3116"/>
    <w:rsid w:val="00DC3520"/>
    <w:rsid w:val="00DC3A15"/>
    <w:rsid w:val="00DC40C0"/>
    <w:rsid w:val="00DC430C"/>
    <w:rsid w:val="00DC5033"/>
    <w:rsid w:val="00DC5A49"/>
    <w:rsid w:val="00DC5FA8"/>
    <w:rsid w:val="00DC60FB"/>
    <w:rsid w:val="00DC6D24"/>
    <w:rsid w:val="00DC7319"/>
    <w:rsid w:val="00DC742E"/>
    <w:rsid w:val="00DC7504"/>
    <w:rsid w:val="00DC7596"/>
    <w:rsid w:val="00DD17BA"/>
    <w:rsid w:val="00DD1A86"/>
    <w:rsid w:val="00DD1D78"/>
    <w:rsid w:val="00DD2D8D"/>
    <w:rsid w:val="00DD38DC"/>
    <w:rsid w:val="00DD3D66"/>
    <w:rsid w:val="00DD432C"/>
    <w:rsid w:val="00DD4A8D"/>
    <w:rsid w:val="00DD544C"/>
    <w:rsid w:val="00DD63FF"/>
    <w:rsid w:val="00DD68B2"/>
    <w:rsid w:val="00DE0FDC"/>
    <w:rsid w:val="00DE1A90"/>
    <w:rsid w:val="00DE49B9"/>
    <w:rsid w:val="00DE6382"/>
    <w:rsid w:val="00DF1BBF"/>
    <w:rsid w:val="00DF3145"/>
    <w:rsid w:val="00DF315A"/>
    <w:rsid w:val="00DF4737"/>
    <w:rsid w:val="00DF4B0E"/>
    <w:rsid w:val="00DF4D24"/>
    <w:rsid w:val="00DF68F0"/>
    <w:rsid w:val="00E0072B"/>
    <w:rsid w:val="00E00A51"/>
    <w:rsid w:val="00E00C2D"/>
    <w:rsid w:val="00E01E4B"/>
    <w:rsid w:val="00E029D7"/>
    <w:rsid w:val="00E02C1F"/>
    <w:rsid w:val="00E03586"/>
    <w:rsid w:val="00E03E63"/>
    <w:rsid w:val="00E04784"/>
    <w:rsid w:val="00E05298"/>
    <w:rsid w:val="00E05477"/>
    <w:rsid w:val="00E062B0"/>
    <w:rsid w:val="00E0711E"/>
    <w:rsid w:val="00E0770C"/>
    <w:rsid w:val="00E0779C"/>
    <w:rsid w:val="00E100D6"/>
    <w:rsid w:val="00E10ECF"/>
    <w:rsid w:val="00E12323"/>
    <w:rsid w:val="00E12D10"/>
    <w:rsid w:val="00E12ED7"/>
    <w:rsid w:val="00E14965"/>
    <w:rsid w:val="00E14C0A"/>
    <w:rsid w:val="00E14DFA"/>
    <w:rsid w:val="00E14F8F"/>
    <w:rsid w:val="00E1652B"/>
    <w:rsid w:val="00E16B39"/>
    <w:rsid w:val="00E16FF4"/>
    <w:rsid w:val="00E1791A"/>
    <w:rsid w:val="00E17E9F"/>
    <w:rsid w:val="00E17EA5"/>
    <w:rsid w:val="00E2130C"/>
    <w:rsid w:val="00E229DB"/>
    <w:rsid w:val="00E22B98"/>
    <w:rsid w:val="00E25684"/>
    <w:rsid w:val="00E25703"/>
    <w:rsid w:val="00E2571A"/>
    <w:rsid w:val="00E257A6"/>
    <w:rsid w:val="00E26EDC"/>
    <w:rsid w:val="00E2713C"/>
    <w:rsid w:val="00E27383"/>
    <w:rsid w:val="00E27619"/>
    <w:rsid w:val="00E30B42"/>
    <w:rsid w:val="00E323F4"/>
    <w:rsid w:val="00E33185"/>
    <w:rsid w:val="00E33656"/>
    <w:rsid w:val="00E33C98"/>
    <w:rsid w:val="00E342D7"/>
    <w:rsid w:val="00E34D1F"/>
    <w:rsid w:val="00E34E28"/>
    <w:rsid w:val="00E359EB"/>
    <w:rsid w:val="00E35C26"/>
    <w:rsid w:val="00E36D62"/>
    <w:rsid w:val="00E36F2D"/>
    <w:rsid w:val="00E377F7"/>
    <w:rsid w:val="00E37C7E"/>
    <w:rsid w:val="00E410EA"/>
    <w:rsid w:val="00E4156B"/>
    <w:rsid w:val="00E415DA"/>
    <w:rsid w:val="00E41A30"/>
    <w:rsid w:val="00E41D5C"/>
    <w:rsid w:val="00E41DD6"/>
    <w:rsid w:val="00E42092"/>
    <w:rsid w:val="00E42DEB"/>
    <w:rsid w:val="00E437F7"/>
    <w:rsid w:val="00E43CB7"/>
    <w:rsid w:val="00E44C13"/>
    <w:rsid w:val="00E45253"/>
    <w:rsid w:val="00E4623E"/>
    <w:rsid w:val="00E46C4E"/>
    <w:rsid w:val="00E5097F"/>
    <w:rsid w:val="00E50A18"/>
    <w:rsid w:val="00E51DB3"/>
    <w:rsid w:val="00E52105"/>
    <w:rsid w:val="00E52276"/>
    <w:rsid w:val="00E526EF"/>
    <w:rsid w:val="00E529F9"/>
    <w:rsid w:val="00E53FFA"/>
    <w:rsid w:val="00E5494B"/>
    <w:rsid w:val="00E54A69"/>
    <w:rsid w:val="00E55017"/>
    <w:rsid w:val="00E55416"/>
    <w:rsid w:val="00E557D1"/>
    <w:rsid w:val="00E55EC0"/>
    <w:rsid w:val="00E56282"/>
    <w:rsid w:val="00E56D0E"/>
    <w:rsid w:val="00E56FDD"/>
    <w:rsid w:val="00E60BD0"/>
    <w:rsid w:val="00E61169"/>
    <w:rsid w:val="00E613BC"/>
    <w:rsid w:val="00E616BF"/>
    <w:rsid w:val="00E633C8"/>
    <w:rsid w:val="00E63A74"/>
    <w:rsid w:val="00E64A64"/>
    <w:rsid w:val="00E655D5"/>
    <w:rsid w:val="00E658AA"/>
    <w:rsid w:val="00E65A82"/>
    <w:rsid w:val="00E662F9"/>
    <w:rsid w:val="00E6656A"/>
    <w:rsid w:val="00E70D30"/>
    <w:rsid w:val="00E716BA"/>
    <w:rsid w:val="00E7224D"/>
    <w:rsid w:val="00E72607"/>
    <w:rsid w:val="00E72B83"/>
    <w:rsid w:val="00E72D74"/>
    <w:rsid w:val="00E731CF"/>
    <w:rsid w:val="00E73CF0"/>
    <w:rsid w:val="00E7516C"/>
    <w:rsid w:val="00E75977"/>
    <w:rsid w:val="00E76431"/>
    <w:rsid w:val="00E7686D"/>
    <w:rsid w:val="00E76CEF"/>
    <w:rsid w:val="00E770F4"/>
    <w:rsid w:val="00E813BA"/>
    <w:rsid w:val="00E814CE"/>
    <w:rsid w:val="00E81C56"/>
    <w:rsid w:val="00E83D96"/>
    <w:rsid w:val="00E843C7"/>
    <w:rsid w:val="00E8590C"/>
    <w:rsid w:val="00E85F76"/>
    <w:rsid w:val="00E861A0"/>
    <w:rsid w:val="00E9085C"/>
    <w:rsid w:val="00E93590"/>
    <w:rsid w:val="00E94506"/>
    <w:rsid w:val="00E95A7B"/>
    <w:rsid w:val="00E969E9"/>
    <w:rsid w:val="00E96EFB"/>
    <w:rsid w:val="00E97100"/>
    <w:rsid w:val="00E976C6"/>
    <w:rsid w:val="00E97EF8"/>
    <w:rsid w:val="00EA01A0"/>
    <w:rsid w:val="00EA0415"/>
    <w:rsid w:val="00EA0826"/>
    <w:rsid w:val="00EA0A83"/>
    <w:rsid w:val="00EA0BD2"/>
    <w:rsid w:val="00EA155A"/>
    <w:rsid w:val="00EA24D4"/>
    <w:rsid w:val="00EA254A"/>
    <w:rsid w:val="00EA2851"/>
    <w:rsid w:val="00EA2FF1"/>
    <w:rsid w:val="00EA3515"/>
    <w:rsid w:val="00EA4F79"/>
    <w:rsid w:val="00EA55FE"/>
    <w:rsid w:val="00EA579C"/>
    <w:rsid w:val="00EA616B"/>
    <w:rsid w:val="00EB0B4F"/>
    <w:rsid w:val="00EB1007"/>
    <w:rsid w:val="00EB1B59"/>
    <w:rsid w:val="00EB1C0E"/>
    <w:rsid w:val="00EB331F"/>
    <w:rsid w:val="00EB3600"/>
    <w:rsid w:val="00EB3F4C"/>
    <w:rsid w:val="00EB4384"/>
    <w:rsid w:val="00EB54D7"/>
    <w:rsid w:val="00EB6065"/>
    <w:rsid w:val="00EB6243"/>
    <w:rsid w:val="00EB66E0"/>
    <w:rsid w:val="00EB6C81"/>
    <w:rsid w:val="00EB7E60"/>
    <w:rsid w:val="00EC0826"/>
    <w:rsid w:val="00EC0C8B"/>
    <w:rsid w:val="00EC1099"/>
    <w:rsid w:val="00EC1545"/>
    <w:rsid w:val="00EC164A"/>
    <w:rsid w:val="00EC43B2"/>
    <w:rsid w:val="00EC4990"/>
    <w:rsid w:val="00EC4D41"/>
    <w:rsid w:val="00EC4E99"/>
    <w:rsid w:val="00EC5F5E"/>
    <w:rsid w:val="00EC7E23"/>
    <w:rsid w:val="00ED0509"/>
    <w:rsid w:val="00ED0D3B"/>
    <w:rsid w:val="00ED21FF"/>
    <w:rsid w:val="00ED358C"/>
    <w:rsid w:val="00ED3A21"/>
    <w:rsid w:val="00ED3FD4"/>
    <w:rsid w:val="00ED4628"/>
    <w:rsid w:val="00ED54F9"/>
    <w:rsid w:val="00ED55B2"/>
    <w:rsid w:val="00ED5C6F"/>
    <w:rsid w:val="00ED6982"/>
    <w:rsid w:val="00ED6B11"/>
    <w:rsid w:val="00EE0218"/>
    <w:rsid w:val="00EE0E54"/>
    <w:rsid w:val="00EE1033"/>
    <w:rsid w:val="00EE114E"/>
    <w:rsid w:val="00EE2FA2"/>
    <w:rsid w:val="00EE352B"/>
    <w:rsid w:val="00EE36D3"/>
    <w:rsid w:val="00EE3856"/>
    <w:rsid w:val="00EE4186"/>
    <w:rsid w:val="00EE4EEF"/>
    <w:rsid w:val="00EE66D0"/>
    <w:rsid w:val="00EE77A6"/>
    <w:rsid w:val="00EE7D51"/>
    <w:rsid w:val="00EF107C"/>
    <w:rsid w:val="00EF1831"/>
    <w:rsid w:val="00EF24BB"/>
    <w:rsid w:val="00EF2910"/>
    <w:rsid w:val="00EF2B90"/>
    <w:rsid w:val="00EF2F55"/>
    <w:rsid w:val="00EF32F6"/>
    <w:rsid w:val="00EF33E8"/>
    <w:rsid w:val="00EF4114"/>
    <w:rsid w:val="00EF448F"/>
    <w:rsid w:val="00EF4634"/>
    <w:rsid w:val="00EF472E"/>
    <w:rsid w:val="00EF4A5A"/>
    <w:rsid w:val="00EF4B8E"/>
    <w:rsid w:val="00EF4EC4"/>
    <w:rsid w:val="00EF6122"/>
    <w:rsid w:val="00EF6497"/>
    <w:rsid w:val="00EF6605"/>
    <w:rsid w:val="00EF66A9"/>
    <w:rsid w:val="00EF68F2"/>
    <w:rsid w:val="00EF73A2"/>
    <w:rsid w:val="00EF74D8"/>
    <w:rsid w:val="00F001CA"/>
    <w:rsid w:val="00F0043B"/>
    <w:rsid w:val="00F00509"/>
    <w:rsid w:val="00F008A2"/>
    <w:rsid w:val="00F01398"/>
    <w:rsid w:val="00F01815"/>
    <w:rsid w:val="00F01898"/>
    <w:rsid w:val="00F01DE3"/>
    <w:rsid w:val="00F01ECD"/>
    <w:rsid w:val="00F03D50"/>
    <w:rsid w:val="00F0411F"/>
    <w:rsid w:val="00F04489"/>
    <w:rsid w:val="00F04751"/>
    <w:rsid w:val="00F0494D"/>
    <w:rsid w:val="00F05EE0"/>
    <w:rsid w:val="00F0668E"/>
    <w:rsid w:val="00F06985"/>
    <w:rsid w:val="00F06BBD"/>
    <w:rsid w:val="00F0744C"/>
    <w:rsid w:val="00F07DE8"/>
    <w:rsid w:val="00F1026D"/>
    <w:rsid w:val="00F111D8"/>
    <w:rsid w:val="00F11F98"/>
    <w:rsid w:val="00F13C9D"/>
    <w:rsid w:val="00F14D26"/>
    <w:rsid w:val="00F156B3"/>
    <w:rsid w:val="00F15F50"/>
    <w:rsid w:val="00F15FD8"/>
    <w:rsid w:val="00F16152"/>
    <w:rsid w:val="00F164CF"/>
    <w:rsid w:val="00F171E8"/>
    <w:rsid w:val="00F17514"/>
    <w:rsid w:val="00F205AB"/>
    <w:rsid w:val="00F20C8B"/>
    <w:rsid w:val="00F218EE"/>
    <w:rsid w:val="00F21A1A"/>
    <w:rsid w:val="00F21F5C"/>
    <w:rsid w:val="00F22813"/>
    <w:rsid w:val="00F22FC8"/>
    <w:rsid w:val="00F2324C"/>
    <w:rsid w:val="00F240C1"/>
    <w:rsid w:val="00F24B5D"/>
    <w:rsid w:val="00F24DA5"/>
    <w:rsid w:val="00F2660E"/>
    <w:rsid w:val="00F26E68"/>
    <w:rsid w:val="00F27E36"/>
    <w:rsid w:val="00F27F36"/>
    <w:rsid w:val="00F32A45"/>
    <w:rsid w:val="00F32B8C"/>
    <w:rsid w:val="00F33383"/>
    <w:rsid w:val="00F33423"/>
    <w:rsid w:val="00F33D5B"/>
    <w:rsid w:val="00F37A9D"/>
    <w:rsid w:val="00F4030B"/>
    <w:rsid w:val="00F404FB"/>
    <w:rsid w:val="00F40596"/>
    <w:rsid w:val="00F41ECE"/>
    <w:rsid w:val="00F42A77"/>
    <w:rsid w:val="00F42DED"/>
    <w:rsid w:val="00F42F65"/>
    <w:rsid w:val="00F439FB"/>
    <w:rsid w:val="00F444F5"/>
    <w:rsid w:val="00F452F7"/>
    <w:rsid w:val="00F45AE7"/>
    <w:rsid w:val="00F4602E"/>
    <w:rsid w:val="00F468EB"/>
    <w:rsid w:val="00F46B51"/>
    <w:rsid w:val="00F46BCF"/>
    <w:rsid w:val="00F515AF"/>
    <w:rsid w:val="00F51CB5"/>
    <w:rsid w:val="00F5241C"/>
    <w:rsid w:val="00F53780"/>
    <w:rsid w:val="00F53E05"/>
    <w:rsid w:val="00F540ED"/>
    <w:rsid w:val="00F5456B"/>
    <w:rsid w:val="00F5550A"/>
    <w:rsid w:val="00F55524"/>
    <w:rsid w:val="00F55539"/>
    <w:rsid w:val="00F55A56"/>
    <w:rsid w:val="00F56088"/>
    <w:rsid w:val="00F57D92"/>
    <w:rsid w:val="00F60221"/>
    <w:rsid w:val="00F6031D"/>
    <w:rsid w:val="00F61303"/>
    <w:rsid w:val="00F639F5"/>
    <w:rsid w:val="00F63E85"/>
    <w:rsid w:val="00F64DD1"/>
    <w:rsid w:val="00F6509C"/>
    <w:rsid w:val="00F65606"/>
    <w:rsid w:val="00F65647"/>
    <w:rsid w:val="00F658BB"/>
    <w:rsid w:val="00F6621C"/>
    <w:rsid w:val="00F66614"/>
    <w:rsid w:val="00F66A58"/>
    <w:rsid w:val="00F67764"/>
    <w:rsid w:val="00F67A99"/>
    <w:rsid w:val="00F67D8A"/>
    <w:rsid w:val="00F7017D"/>
    <w:rsid w:val="00F70FA2"/>
    <w:rsid w:val="00F71232"/>
    <w:rsid w:val="00F71905"/>
    <w:rsid w:val="00F746FE"/>
    <w:rsid w:val="00F74722"/>
    <w:rsid w:val="00F7522F"/>
    <w:rsid w:val="00F75940"/>
    <w:rsid w:val="00F75F45"/>
    <w:rsid w:val="00F7667F"/>
    <w:rsid w:val="00F800EA"/>
    <w:rsid w:val="00F80EC5"/>
    <w:rsid w:val="00F82957"/>
    <w:rsid w:val="00F82E8D"/>
    <w:rsid w:val="00F83BD2"/>
    <w:rsid w:val="00F843D7"/>
    <w:rsid w:val="00F8498C"/>
    <w:rsid w:val="00F84F22"/>
    <w:rsid w:val="00F857CA"/>
    <w:rsid w:val="00F90C04"/>
    <w:rsid w:val="00F911FF"/>
    <w:rsid w:val="00F926A2"/>
    <w:rsid w:val="00F92C2B"/>
    <w:rsid w:val="00F93638"/>
    <w:rsid w:val="00F94241"/>
    <w:rsid w:val="00F945CD"/>
    <w:rsid w:val="00F951BC"/>
    <w:rsid w:val="00F95263"/>
    <w:rsid w:val="00F95556"/>
    <w:rsid w:val="00F95ECF"/>
    <w:rsid w:val="00F9648E"/>
    <w:rsid w:val="00F97080"/>
    <w:rsid w:val="00F976E5"/>
    <w:rsid w:val="00F9792C"/>
    <w:rsid w:val="00F97AAA"/>
    <w:rsid w:val="00FA0509"/>
    <w:rsid w:val="00FA14C1"/>
    <w:rsid w:val="00FA1708"/>
    <w:rsid w:val="00FA276D"/>
    <w:rsid w:val="00FA40FC"/>
    <w:rsid w:val="00FA4AD8"/>
    <w:rsid w:val="00FA5841"/>
    <w:rsid w:val="00FA61C7"/>
    <w:rsid w:val="00FA65E7"/>
    <w:rsid w:val="00FA69E0"/>
    <w:rsid w:val="00FA7FEF"/>
    <w:rsid w:val="00FB0C87"/>
    <w:rsid w:val="00FB0CE2"/>
    <w:rsid w:val="00FB2203"/>
    <w:rsid w:val="00FB2776"/>
    <w:rsid w:val="00FB2A29"/>
    <w:rsid w:val="00FB2FC4"/>
    <w:rsid w:val="00FB3597"/>
    <w:rsid w:val="00FB49CB"/>
    <w:rsid w:val="00FB53CA"/>
    <w:rsid w:val="00FC05FE"/>
    <w:rsid w:val="00FC0A74"/>
    <w:rsid w:val="00FC0BA8"/>
    <w:rsid w:val="00FC3111"/>
    <w:rsid w:val="00FC32B0"/>
    <w:rsid w:val="00FC3750"/>
    <w:rsid w:val="00FC45D8"/>
    <w:rsid w:val="00FC487C"/>
    <w:rsid w:val="00FC4DCD"/>
    <w:rsid w:val="00FC4DD3"/>
    <w:rsid w:val="00FC51A5"/>
    <w:rsid w:val="00FC66FB"/>
    <w:rsid w:val="00FD091E"/>
    <w:rsid w:val="00FD0B36"/>
    <w:rsid w:val="00FD14E6"/>
    <w:rsid w:val="00FD168A"/>
    <w:rsid w:val="00FD189D"/>
    <w:rsid w:val="00FD1A31"/>
    <w:rsid w:val="00FD1F43"/>
    <w:rsid w:val="00FD21B8"/>
    <w:rsid w:val="00FD25BC"/>
    <w:rsid w:val="00FD2D3E"/>
    <w:rsid w:val="00FD2FE6"/>
    <w:rsid w:val="00FD318A"/>
    <w:rsid w:val="00FD3213"/>
    <w:rsid w:val="00FD3643"/>
    <w:rsid w:val="00FD3E0B"/>
    <w:rsid w:val="00FD553C"/>
    <w:rsid w:val="00FD5D74"/>
    <w:rsid w:val="00FD5FB5"/>
    <w:rsid w:val="00FD6F5E"/>
    <w:rsid w:val="00FD7FEF"/>
    <w:rsid w:val="00FE0425"/>
    <w:rsid w:val="00FE087D"/>
    <w:rsid w:val="00FE0F0C"/>
    <w:rsid w:val="00FE133D"/>
    <w:rsid w:val="00FE1498"/>
    <w:rsid w:val="00FE1CF9"/>
    <w:rsid w:val="00FE2090"/>
    <w:rsid w:val="00FE27FB"/>
    <w:rsid w:val="00FE2A4F"/>
    <w:rsid w:val="00FE2A91"/>
    <w:rsid w:val="00FE359D"/>
    <w:rsid w:val="00FE3C99"/>
    <w:rsid w:val="00FE4299"/>
    <w:rsid w:val="00FE45F6"/>
    <w:rsid w:val="00FE47EA"/>
    <w:rsid w:val="00FE4D5F"/>
    <w:rsid w:val="00FE6942"/>
    <w:rsid w:val="00FE6D56"/>
    <w:rsid w:val="00FE7BC4"/>
    <w:rsid w:val="00FF0A73"/>
    <w:rsid w:val="00FF0EB3"/>
    <w:rsid w:val="00FF22AB"/>
    <w:rsid w:val="00FF2453"/>
    <w:rsid w:val="00FF29D4"/>
    <w:rsid w:val="00FF3122"/>
    <w:rsid w:val="00FF3857"/>
    <w:rsid w:val="00FF388D"/>
    <w:rsid w:val="00FF4287"/>
    <w:rsid w:val="00FF498F"/>
    <w:rsid w:val="00FF4C92"/>
    <w:rsid w:val="00FF5417"/>
    <w:rsid w:val="00FF5453"/>
    <w:rsid w:val="00FF6704"/>
    <w:rsid w:val="00FF69C2"/>
    <w:rsid w:val="00FF799A"/>
    <w:rsid w:val="00FF7B35"/>
    <w:rsid w:val="00FF7D15"/>
    <w:rsid w:val="010D7DD7"/>
    <w:rsid w:val="01213882"/>
    <w:rsid w:val="012D66CB"/>
    <w:rsid w:val="01315448"/>
    <w:rsid w:val="01372215"/>
    <w:rsid w:val="015D0D5E"/>
    <w:rsid w:val="015E0632"/>
    <w:rsid w:val="015F7975"/>
    <w:rsid w:val="01671CF5"/>
    <w:rsid w:val="01761E20"/>
    <w:rsid w:val="01CF3F68"/>
    <w:rsid w:val="01F64D0F"/>
    <w:rsid w:val="01FA3D45"/>
    <w:rsid w:val="0201446A"/>
    <w:rsid w:val="02306473"/>
    <w:rsid w:val="02604429"/>
    <w:rsid w:val="02E903CF"/>
    <w:rsid w:val="02EE3C38"/>
    <w:rsid w:val="030C31A3"/>
    <w:rsid w:val="03100052"/>
    <w:rsid w:val="03241D96"/>
    <w:rsid w:val="032D650E"/>
    <w:rsid w:val="033B3C78"/>
    <w:rsid w:val="035B12CD"/>
    <w:rsid w:val="03AF33C7"/>
    <w:rsid w:val="03FD05D6"/>
    <w:rsid w:val="040D64B5"/>
    <w:rsid w:val="0429473C"/>
    <w:rsid w:val="04517B13"/>
    <w:rsid w:val="04853043"/>
    <w:rsid w:val="049251C3"/>
    <w:rsid w:val="04ED064B"/>
    <w:rsid w:val="05070317"/>
    <w:rsid w:val="052120A3"/>
    <w:rsid w:val="052F2A11"/>
    <w:rsid w:val="05486BAC"/>
    <w:rsid w:val="054878AC"/>
    <w:rsid w:val="05684F7F"/>
    <w:rsid w:val="05806016"/>
    <w:rsid w:val="058D598A"/>
    <w:rsid w:val="05C0567F"/>
    <w:rsid w:val="05C3315A"/>
    <w:rsid w:val="05D604F6"/>
    <w:rsid w:val="05EE467B"/>
    <w:rsid w:val="06043E9E"/>
    <w:rsid w:val="06624721"/>
    <w:rsid w:val="06897EFF"/>
    <w:rsid w:val="069114AA"/>
    <w:rsid w:val="069D3161"/>
    <w:rsid w:val="06AD62E4"/>
    <w:rsid w:val="06C63DFD"/>
    <w:rsid w:val="06CD24E2"/>
    <w:rsid w:val="06EE64D1"/>
    <w:rsid w:val="070F7027"/>
    <w:rsid w:val="071D4D23"/>
    <w:rsid w:val="071F6C5C"/>
    <w:rsid w:val="0721408E"/>
    <w:rsid w:val="07462294"/>
    <w:rsid w:val="078C2E9A"/>
    <w:rsid w:val="0797379E"/>
    <w:rsid w:val="07AF3996"/>
    <w:rsid w:val="07C02833"/>
    <w:rsid w:val="07C66F31"/>
    <w:rsid w:val="07ED44BE"/>
    <w:rsid w:val="07F24004"/>
    <w:rsid w:val="07F341CA"/>
    <w:rsid w:val="07F41CF0"/>
    <w:rsid w:val="07F42916"/>
    <w:rsid w:val="07F97307"/>
    <w:rsid w:val="080E1791"/>
    <w:rsid w:val="08112B9A"/>
    <w:rsid w:val="083F3FAD"/>
    <w:rsid w:val="08670714"/>
    <w:rsid w:val="0873716D"/>
    <w:rsid w:val="0897720D"/>
    <w:rsid w:val="089F1C5C"/>
    <w:rsid w:val="08BE7C77"/>
    <w:rsid w:val="08F16230"/>
    <w:rsid w:val="08FA1588"/>
    <w:rsid w:val="08FB7730"/>
    <w:rsid w:val="09240FD9"/>
    <w:rsid w:val="0933746E"/>
    <w:rsid w:val="095D5673"/>
    <w:rsid w:val="097E12ED"/>
    <w:rsid w:val="09802330"/>
    <w:rsid w:val="09860A51"/>
    <w:rsid w:val="09880942"/>
    <w:rsid w:val="099D3B73"/>
    <w:rsid w:val="09C561C3"/>
    <w:rsid w:val="09F00295"/>
    <w:rsid w:val="0A2B3B55"/>
    <w:rsid w:val="0A2D5046"/>
    <w:rsid w:val="0A374116"/>
    <w:rsid w:val="0A3B7763"/>
    <w:rsid w:val="0A762E91"/>
    <w:rsid w:val="0A8C6210"/>
    <w:rsid w:val="0AC37758"/>
    <w:rsid w:val="0AEC0A3A"/>
    <w:rsid w:val="0AFB3396"/>
    <w:rsid w:val="0B293A5F"/>
    <w:rsid w:val="0B5605CC"/>
    <w:rsid w:val="0B5A630E"/>
    <w:rsid w:val="0B5D7BAD"/>
    <w:rsid w:val="0B6C7DF0"/>
    <w:rsid w:val="0B6E1DBA"/>
    <w:rsid w:val="0B786794"/>
    <w:rsid w:val="0B8D041F"/>
    <w:rsid w:val="0B9D61FB"/>
    <w:rsid w:val="0BDC31C7"/>
    <w:rsid w:val="0BFE313E"/>
    <w:rsid w:val="0C083FBC"/>
    <w:rsid w:val="0C0D15D3"/>
    <w:rsid w:val="0C2506CA"/>
    <w:rsid w:val="0C3630EF"/>
    <w:rsid w:val="0C3703FE"/>
    <w:rsid w:val="0C5E3BDC"/>
    <w:rsid w:val="0C605BA6"/>
    <w:rsid w:val="0C782EF0"/>
    <w:rsid w:val="0C790A16"/>
    <w:rsid w:val="0CCF0636"/>
    <w:rsid w:val="0CD36378"/>
    <w:rsid w:val="0CD64256"/>
    <w:rsid w:val="0CD67C16"/>
    <w:rsid w:val="0CDA596F"/>
    <w:rsid w:val="0CE51C08"/>
    <w:rsid w:val="0CEF0CD8"/>
    <w:rsid w:val="0CF167FE"/>
    <w:rsid w:val="0CFA1C03"/>
    <w:rsid w:val="0D033E95"/>
    <w:rsid w:val="0D0C39C1"/>
    <w:rsid w:val="0D667968"/>
    <w:rsid w:val="0D86163D"/>
    <w:rsid w:val="0D98311E"/>
    <w:rsid w:val="0DA675E9"/>
    <w:rsid w:val="0DA815B3"/>
    <w:rsid w:val="0E344BF5"/>
    <w:rsid w:val="0E682AF0"/>
    <w:rsid w:val="0E7201B5"/>
    <w:rsid w:val="0E9B1118"/>
    <w:rsid w:val="0E9C279A"/>
    <w:rsid w:val="0EAD49A7"/>
    <w:rsid w:val="0EB9334C"/>
    <w:rsid w:val="0EE4486D"/>
    <w:rsid w:val="0F056591"/>
    <w:rsid w:val="0F114F36"/>
    <w:rsid w:val="0F3F4B0F"/>
    <w:rsid w:val="0F437CE3"/>
    <w:rsid w:val="0F4B3FBB"/>
    <w:rsid w:val="0F59068B"/>
    <w:rsid w:val="0F6261B0"/>
    <w:rsid w:val="0F772126"/>
    <w:rsid w:val="0FD5302D"/>
    <w:rsid w:val="0FE32D76"/>
    <w:rsid w:val="10032F64"/>
    <w:rsid w:val="10101691"/>
    <w:rsid w:val="104C1B9D"/>
    <w:rsid w:val="105B0B5E"/>
    <w:rsid w:val="108160EB"/>
    <w:rsid w:val="1088747A"/>
    <w:rsid w:val="10AA73F0"/>
    <w:rsid w:val="10B65D95"/>
    <w:rsid w:val="10BA4983"/>
    <w:rsid w:val="10C304B2"/>
    <w:rsid w:val="10E431EE"/>
    <w:rsid w:val="10F44B0F"/>
    <w:rsid w:val="1102547E"/>
    <w:rsid w:val="11084921"/>
    <w:rsid w:val="110F1949"/>
    <w:rsid w:val="11131439"/>
    <w:rsid w:val="111700D2"/>
    <w:rsid w:val="112E1DCF"/>
    <w:rsid w:val="11357601"/>
    <w:rsid w:val="113D10EE"/>
    <w:rsid w:val="114C66F9"/>
    <w:rsid w:val="116E041E"/>
    <w:rsid w:val="117143B2"/>
    <w:rsid w:val="11AC0F46"/>
    <w:rsid w:val="11B06C88"/>
    <w:rsid w:val="11BD13A5"/>
    <w:rsid w:val="11C15189"/>
    <w:rsid w:val="11CA5486"/>
    <w:rsid w:val="11D96D2F"/>
    <w:rsid w:val="11E44848"/>
    <w:rsid w:val="11E44B84"/>
    <w:rsid w:val="11E9219A"/>
    <w:rsid w:val="1202325C"/>
    <w:rsid w:val="121D1E44"/>
    <w:rsid w:val="1225307D"/>
    <w:rsid w:val="12341A90"/>
    <w:rsid w:val="12392ED8"/>
    <w:rsid w:val="124D39CA"/>
    <w:rsid w:val="12802AFE"/>
    <w:rsid w:val="12955E7E"/>
    <w:rsid w:val="12A55CF8"/>
    <w:rsid w:val="12C64A9C"/>
    <w:rsid w:val="12CD1ABC"/>
    <w:rsid w:val="12DE5A77"/>
    <w:rsid w:val="132D4308"/>
    <w:rsid w:val="13315BA7"/>
    <w:rsid w:val="133E63BF"/>
    <w:rsid w:val="136114F2"/>
    <w:rsid w:val="136C52FA"/>
    <w:rsid w:val="13923D70"/>
    <w:rsid w:val="13961EAE"/>
    <w:rsid w:val="13A445CA"/>
    <w:rsid w:val="13B10A95"/>
    <w:rsid w:val="13F217DA"/>
    <w:rsid w:val="140C03C2"/>
    <w:rsid w:val="140E2AB3"/>
    <w:rsid w:val="14131750"/>
    <w:rsid w:val="14302E65"/>
    <w:rsid w:val="1448764C"/>
    <w:rsid w:val="144D4C62"/>
    <w:rsid w:val="144E4536"/>
    <w:rsid w:val="14585470"/>
    <w:rsid w:val="146F464F"/>
    <w:rsid w:val="1492282F"/>
    <w:rsid w:val="149363ED"/>
    <w:rsid w:val="14956609"/>
    <w:rsid w:val="15125C0F"/>
    <w:rsid w:val="152D6842"/>
    <w:rsid w:val="1537146E"/>
    <w:rsid w:val="15437E13"/>
    <w:rsid w:val="1548367B"/>
    <w:rsid w:val="154A2F50"/>
    <w:rsid w:val="15612688"/>
    <w:rsid w:val="156F6E5A"/>
    <w:rsid w:val="158F12AA"/>
    <w:rsid w:val="159A3ED7"/>
    <w:rsid w:val="159D5775"/>
    <w:rsid w:val="15A62EDD"/>
    <w:rsid w:val="15BD5E17"/>
    <w:rsid w:val="15EB4733"/>
    <w:rsid w:val="16133C89"/>
    <w:rsid w:val="161D1E9E"/>
    <w:rsid w:val="16302179"/>
    <w:rsid w:val="16525286"/>
    <w:rsid w:val="16685D83"/>
    <w:rsid w:val="167A5AB7"/>
    <w:rsid w:val="169D782C"/>
    <w:rsid w:val="169E79F7"/>
    <w:rsid w:val="16AD19E8"/>
    <w:rsid w:val="16B25250"/>
    <w:rsid w:val="16C87AE3"/>
    <w:rsid w:val="16DB0F22"/>
    <w:rsid w:val="16FB6BF7"/>
    <w:rsid w:val="171F21BA"/>
    <w:rsid w:val="17233804"/>
    <w:rsid w:val="178963E1"/>
    <w:rsid w:val="17E04ED0"/>
    <w:rsid w:val="17E94CA2"/>
    <w:rsid w:val="1803440F"/>
    <w:rsid w:val="180C43D8"/>
    <w:rsid w:val="1822771A"/>
    <w:rsid w:val="18534811"/>
    <w:rsid w:val="185A794E"/>
    <w:rsid w:val="18876269"/>
    <w:rsid w:val="189C0700"/>
    <w:rsid w:val="189C4ECD"/>
    <w:rsid w:val="189D0617"/>
    <w:rsid w:val="189D7D8B"/>
    <w:rsid w:val="18A8690B"/>
    <w:rsid w:val="18B904BA"/>
    <w:rsid w:val="18D65C22"/>
    <w:rsid w:val="18D94D16"/>
    <w:rsid w:val="18DB7D41"/>
    <w:rsid w:val="18EA6F23"/>
    <w:rsid w:val="18F06FEA"/>
    <w:rsid w:val="18F45BA2"/>
    <w:rsid w:val="191F46F3"/>
    <w:rsid w:val="19324427"/>
    <w:rsid w:val="1937087B"/>
    <w:rsid w:val="193F0202"/>
    <w:rsid w:val="196B16E7"/>
    <w:rsid w:val="197B5DCD"/>
    <w:rsid w:val="19801636"/>
    <w:rsid w:val="19996254"/>
    <w:rsid w:val="19A90B8D"/>
    <w:rsid w:val="19BE5CBA"/>
    <w:rsid w:val="19E25E4D"/>
    <w:rsid w:val="19E35721"/>
    <w:rsid w:val="1A0C7662"/>
    <w:rsid w:val="1A133D8B"/>
    <w:rsid w:val="1A3F6DFB"/>
    <w:rsid w:val="1A5605E9"/>
    <w:rsid w:val="1A584361"/>
    <w:rsid w:val="1A620D3B"/>
    <w:rsid w:val="1A670100"/>
    <w:rsid w:val="1A7867B1"/>
    <w:rsid w:val="1A8E7D82"/>
    <w:rsid w:val="1A935399"/>
    <w:rsid w:val="1AA44EB0"/>
    <w:rsid w:val="1AAA1333"/>
    <w:rsid w:val="1AD82DAC"/>
    <w:rsid w:val="1B0921AE"/>
    <w:rsid w:val="1B2F12C2"/>
    <w:rsid w:val="1B3133C8"/>
    <w:rsid w:val="1B414DF5"/>
    <w:rsid w:val="1B4641B9"/>
    <w:rsid w:val="1B486183"/>
    <w:rsid w:val="1B522B5E"/>
    <w:rsid w:val="1B5C39DD"/>
    <w:rsid w:val="1B5C578B"/>
    <w:rsid w:val="1B9B2757"/>
    <w:rsid w:val="1BC24EDA"/>
    <w:rsid w:val="1BE57827"/>
    <w:rsid w:val="1BF81957"/>
    <w:rsid w:val="1BFB1448"/>
    <w:rsid w:val="1C2E5379"/>
    <w:rsid w:val="1C6043F9"/>
    <w:rsid w:val="1C6D7577"/>
    <w:rsid w:val="1CB515F6"/>
    <w:rsid w:val="1CCD74C1"/>
    <w:rsid w:val="1CFE1B1D"/>
    <w:rsid w:val="1D1E53EE"/>
    <w:rsid w:val="1D303373"/>
    <w:rsid w:val="1D322C47"/>
    <w:rsid w:val="1D645F56"/>
    <w:rsid w:val="1D6923E1"/>
    <w:rsid w:val="1D70551D"/>
    <w:rsid w:val="1D76522A"/>
    <w:rsid w:val="1D81597C"/>
    <w:rsid w:val="1DAB47A7"/>
    <w:rsid w:val="1DC064A5"/>
    <w:rsid w:val="1DD13FE0"/>
    <w:rsid w:val="1DE5415D"/>
    <w:rsid w:val="1DEC54EC"/>
    <w:rsid w:val="1DF61EC7"/>
    <w:rsid w:val="1E002D45"/>
    <w:rsid w:val="1E250DE6"/>
    <w:rsid w:val="1E393F43"/>
    <w:rsid w:val="1E7B061E"/>
    <w:rsid w:val="1E92362B"/>
    <w:rsid w:val="1EA0340A"/>
    <w:rsid w:val="1EBE0106"/>
    <w:rsid w:val="1ED86B87"/>
    <w:rsid w:val="1ED8781E"/>
    <w:rsid w:val="1EE73F05"/>
    <w:rsid w:val="1EFA0440"/>
    <w:rsid w:val="1F041D62"/>
    <w:rsid w:val="1F093E7B"/>
    <w:rsid w:val="1F2667DB"/>
    <w:rsid w:val="1F58270D"/>
    <w:rsid w:val="1F7532BF"/>
    <w:rsid w:val="1F9B6D5D"/>
    <w:rsid w:val="1FBC0EEE"/>
    <w:rsid w:val="1FC57DA2"/>
    <w:rsid w:val="1FD617DD"/>
    <w:rsid w:val="1FEA15B7"/>
    <w:rsid w:val="2007660D"/>
    <w:rsid w:val="201C373B"/>
    <w:rsid w:val="204A02A8"/>
    <w:rsid w:val="205904EB"/>
    <w:rsid w:val="20621A95"/>
    <w:rsid w:val="20831A0C"/>
    <w:rsid w:val="20BF0C96"/>
    <w:rsid w:val="20DB1848"/>
    <w:rsid w:val="20DD2ECA"/>
    <w:rsid w:val="20F10A60"/>
    <w:rsid w:val="20F9026B"/>
    <w:rsid w:val="211D660F"/>
    <w:rsid w:val="21425423"/>
    <w:rsid w:val="21941BD4"/>
    <w:rsid w:val="21A165ED"/>
    <w:rsid w:val="21A22516"/>
    <w:rsid w:val="21A67760"/>
    <w:rsid w:val="21DA38AD"/>
    <w:rsid w:val="21EE07BA"/>
    <w:rsid w:val="21FE3BC6"/>
    <w:rsid w:val="22142615"/>
    <w:rsid w:val="226D5F7F"/>
    <w:rsid w:val="229E414F"/>
    <w:rsid w:val="22A01D00"/>
    <w:rsid w:val="22AB3C8E"/>
    <w:rsid w:val="22AF0896"/>
    <w:rsid w:val="22B66D05"/>
    <w:rsid w:val="22C500B9"/>
    <w:rsid w:val="22CF518F"/>
    <w:rsid w:val="22DD3655"/>
    <w:rsid w:val="22F25F19"/>
    <w:rsid w:val="22F83FEB"/>
    <w:rsid w:val="233A0AA7"/>
    <w:rsid w:val="23445482"/>
    <w:rsid w:val="23490CEA"/>
    <w:rsid w:val="235D6544"/>
    <w:rsid w:val="236238CB"/>
    <w:rsid w:val="23653BF9"/>
    <w:rsid w:val="239177C5"/>
    <w:rsid w:val="23A128D5"/>
    <w:rsid w:val="23AE4FF1"/>
    <w:rsid w:val="23B6403B"/>
    <w:rsid w:val="23BC326A"/>
    <w:rsid w:val="23DA5DE6"/>
    <w:rsid w:val="24174945"/>
    <w:rsid w:val="2429118E"/>
    <w:rsid w:val="24302F2D"/>
    <w:rsid w:val="243629A0"/>
    <w:rsid w:val="244A6AC8"/>
    <w:rsid w:val="247A28E0"/>
    <w:rsid w:val="2480073C"/>
    <w:rsid w:val="24885842"/>
    <w:rsid w:val="2493065F"/>
    <w:rsid w:val="24A82CBA"/>
    <w:rsid w:val="24E0567E"/>
    <w:rsid w:val="250255F5"/>
    <w:rsid w:val="25663CBD"/>
    <w:rsid w:val="25710085"/>
    <w:rsid w:val="25897AC4"/>
    <w:rsid w:val="258A22DA"/>
    <w:rsid w:val="25975BDA"/>
    <w:rsid w:val="25D7082F"/>
    <w:rsid w:val="25D86356"/>
    <w:rsid w:val="26013AFE"/>
    <w:rsid w:val="260D506B"/>
    <w:rsid w:val="26127ABA"/>
    <w:rsid w:val="26696E9A"/>
    <w:rsid w:val="266A16A4"/>
    <w:rsid w:val="267274AB"/>
    <w:rsid w:val="268709AF"/>
    <w:rsid w:val="26971D6D"/>
    <w:rsid w:val="26A10E3D"/>
    <w:rsid w:val="26CC5EBA"/>
    <w:rsid w:val="26DD00C8"/>
    <w:rsid w:val="26EB3E67"/>
    <w:rsid w:val="2714160F"/>
    <w:rsid w:val="271E248E"/>
    <w:rsid w:val="274C0DA9"/>
    <w:rsid w:val="276D219D"/>
    <w:rsid w:val="276F0EA7"/>
    <w:rsid w:val="279544FE"/>
    <w:rsid w:val="279E0B42"/>
    <w:rsid w:val="27D03788"/>
    <w:rsid w:val="27D12ABF"/>
    <w:rsid w:val="27DB0851"/>
    <w:rsid w:val="27E10412"/>
    <w:rsid w:val="27E502D5"/>
    <w:rsid w:val="27EB6814"/>
    <w:rsid w:val="28033B5E"/>
    <w:rsid w:val="281D44F4"/>
    <w:rsid w:val="28304227"/>
    <w:rsid w:val="2837470D"/>
    <w:rsid w:val="283D3DC4"/>
    <w:rsid w:val="28565D06"/>
    <w:rsid w:val="287C683E"/>
    <w:rsid w:val="287E6252"/>
    <w:rsid w:val="288B2446"/>
    <w:rsid w:val="28A15125"/>
    <w:rsid w:val="28A55563"/>
    <w:rsid w:val="28B416F4"/>
    <w:rsid w:val="28B866DE"/>
    <w:rsid w:val="28B906C0"/>
    <w:rsid w:val="28CA467C"/>
    <w:rsid w:val="28D56B7C"/>
    <w:rsid w:val="28EF5E90"/>
    <w:rsid w:val="290A5ABA"/>
    <w:rsid w:val="29183639"/>
    <w:rsid w:val="29695C42"/>
    <w:rsid w:val="296F10CE"/>
    <w:rsid w:val="297665B1"/>
    <w:rsid w:val="298A5BB9"/>
    <w:rsid w:val="29B82DCC"/>
    <w:rsid w:val="29D53EFE"/>
    <w:rsid w:val="29DB4666"/>
    <w:rsid w:val="29E4176D"/>
    <w:rsid w:val="29EA6657"/>
    <w:rsid w:val="29FA689B"/>
    <w:rsid w:val="2A0E497A"/>
    <w:rsid w:val="2A110088"/>
    <w:rsid w:val="2A253F15"/>
    <w:rsid w:val="2A306818"/>
    <w:rsid w:val="2A3F0751"/>
    <w:rsid w:val="2A645282"/>
    <w:rsid w:val="2A6B1546"/>
    <w:rsid w:val="2AA44A58"/>
    <w:rsid w:val="2ABB0720"/>
    <w:rsid w:val="2ACD656D"/>
    <w:rsid w:val="2AE9690F"/>
    <w:rsid w:val="2B287437"/>
    <w:rsid w:val="2B312790"/>
    <w:rsid w:val="2B3E30FF"/>
    <w:rsid w:val="2B525912"/>
    <w:rsid w:val="2B5E10AB"/>
    <w:rsid w:val="2B795EE5"/>
    <w:rsid w:val="2B7D1AF3"/>
    <w:rsid w:val="2B8A55A7"/>
    <w:rsid w:val="2B9B5E5B"/>
    <w:rsid w:val="2BE05F64"/>
    <w:rsid w:val="2BE617CC"/>
    <w:rsid w:val="2BED7625"/>
    <w:rsid w:val="2C4047C0"/>
    <w:rsid w:val="2C444A00"/>
    <w:rsid w:val="2C73502A"/>
    <w:rsid w:val="2CB96F67"/>
    <w:rsid w:val="2CEC72E2"/>
    <w:rsid w:val="2D12039F"/>
    <w:rsid w:val="2D177764"/>
    <w:rsid w:val="2D2C76B3"/>
    <w:rsid w:val="2D3E18A3"/>
    <w:rsid w:val="2D426ED6"/>
    <w:rsid w:val="2D4349FC"/>
    <w:rsid w:val="2D630BFB"/>
    <w:rsid w:val="2D746964"/>
    <w:rsid w:val="2D7828F8"/>
    <w:rsid w:val="2D7E77E3"/>
    <w:rsid w:val="2D86246C"/>
    <w:rsid w:val="2D8A285E"/>
    <w:rsid w:val="2DA57DEA"/>
    <w:rsid w:val="2DA74BEE"/>
    <w:rsid w:val="2DAF2B71"/>
    <w:rsid w:val="2DE27D71"/>
    <w:rsid w:val="2DF93713"/>
    <w:rsid w:val="2E0C7407"/>
    <w:rsid w:val="2E1A39AF"/>
    <w:rsid w:val="2E530C6F"/>
    <w:rsid w:val="2E6E7857"/>
    <w:rsid w:val="2E8520C7"/>
    <w:rsid w:val="2E8A6368"/>
    <w:rsid w:val="2E9038FC"/>
    <w:rsid w:val="2EA360FA"/>
    <w:rsid w:val="2EC417ED"/>
    <w:rsid w:val="2EC4391B"/>
    <w:rsid w:val="2EC851B9"/>
    <w:rsid w:val="2EE95130"/>
    <w:rsid w:val="2EEB534C"/>
    <w:rsid w:val="2F15220C"/>
    <w:rsid w:val="2F3565C7"/>
    <w:rsid w:val="2F451AD0"/>
    <w:rsid w:val="2F520F27"/>
    <w:rsid w:val="2F542EF1"/>
    <w:rsid w:val="2F881E6F"/>
    <w:rsid w:val="2FC31E25"/>
    <w:rsid w:val="2FCA20B6"/>
    <w:rsid w:val="2FD47B8E"/>
    <w:rsid w:val="2FEE6EA1"/>
    <w:rsid w:val="30257261"/>
    <w:rsid w:val="302B7F90"/>
    <w:rsid w:val="30647164"/>
    <w:rsid w:val="306A1EE1"/>
    <w:rsid w:val="306B04F2"/>
    <w:rsid w:val="307B44AD"/>
    <w:rsid w:val="30A05CC2"/>
    <w:rsid w:val="30A82846"/>
    <w:rsid w:val="30DC3E88"/>
    <w:rsid w:val="30E6401D"/>
    <w:rsid w:val="31266E02"/>
    <w:rsid w:val="31352B82"/>
    <w:rsid w:val="315174A9"/>
    <w:rsid w:val="315A57EF"/>
    <w:rsid w:val="31B22D77"/>
    <w:rsid w:val="31BA1C29"/>
    <w:rsid w:val="31BC6B2B"/>
    <w:rsid w:val="31C25868"/>
    <w:rsid w:val="3200110E"/>
    <w:rsid w:val="320504D2"/>
    <w:rsid w:val="322C3CB1"/>
    <w:rsid w:val="3240775C"/>
    <w:rsid w:val="325F5E35"/>
    <w:rsid w:val="32877139"/>
    <w:rsid w:val="328E671A"/>
    <w:rsid w:val="32AB107A"/>
    <w:rsid w:val="32B37CAB"/>
    <w:rsid w:val="32CB171C"/>
    <w:rsid w:val="32D00AE0"/>
    <w:rsid w:val="32EB1476"/>
    <w:rsid w:val="32F50547"/>
    <w:rsid w:val="32FA465D"/>
    <w:rsid w:val="33016EEC"/>
    <w:rsid w:val="33150BE9"/>
    <w:rsid w:val="33247082"/>
    <w:rsid w:val="333A41AC"/>
    <w:rsid w:val="33437504"/>
    <w:rsid w:val="33552D94"/>
    <w:rsid w:val="3364747B"/>
    <w:rsid w:val="33AE4C72"/>
    <w:rsid w:val="33BB2EB2"/>
    <w:rsid w:val="33BC1065"/>
    <w:rsid w:val="33F50A6A"/>
    <w:rsid w:val="344E43B3"/>
    <w:rsid w:val="345E3ECA"/>
    <w:rsid w:val="34B34A13"/>
    <w:rsid w:val="34BA441C"/>
    <w:rsid w:val="34C21CB4"/>
    <w:rsid w:val="34CD705B"/>
    <w:rsid w:val="34E54D5C"/>
    <w:rsid w:val="35004F81"/>
    <w:rsid w:val="352510D3"/>
    <w:rsid w:val="352C5D76"/>
    <w:rsid w:val="352E1AEE"/>
    <w:rsid w:val="35494B7A"/>
    <w:rsid w:val="35542D6D"/>
    <w:rsid w:val="355C72C0"/>
    <w:rsid w:val="355E0625"/>
    <w:rsid w:val="355F275A"/>
    <w:rsid w:val="357C6CFE"/>
    <w:rsid w:val="35B76948"/>
    <w:rsid w:val="35BE7316"/>
    <w:rsid w:val="35CE6E2D"/>
    <w:rsid w:val="35D119BA"/>
    <w:rsid w:val="35EF127D"/>
    <w:rsid w:val="3619279E"/>
    <w:rsid w:val="3627310D"/>
    <w:rsid w:val="36435A6D"/>
    <w:rsid w:val="364A6DFC"/>
    <w:rsid w:val="3651018A"/>
    <w:rsid w:val="36965B9D"/>
    <w:rsid w:val="369C3F7E"/>
    <w:rsid w:val="36E42DAC"/>
    <w:rsid w:val="36E7289C"/>
    <w:rsid w:val="36EC52AA"/>
    <w:rsid w:val="370C40B1"/>
    <w:rsid w:val="3717649E"/>
    <w:rsid w:val="37343B7A"/>
    <w:rsid w:val="37C91822"/>
    <w:rsid w:val="38295D87"/>
    <w:rsid w:val="383E029A"/>
    <w:rsid w:val="38404012"/>
    <w:rsid w:val="385E26EA"/>
    <w:rsid w:val="38641F79"/>
    <w:rsid w:val="3881462B"/>
    <w:rsid w:val="38D155B2"/>
    <w:rsid w:val="38DB3179"/>
    <w:rsid w:val="38EE1CC0"/>
    <w:rsid w:val="38F463D5"/>
    <w:rsid w:val="38F80D91"/>
    <w:rsid w:val="39180BBD"/>
    <w:rsid w:val="39333B77"/>
    <w:rsid w:val="39406294"/>
    <w:rsid w:val="39567866"/>
    <w:rsid w:val="3972239A"/>
    <w:rsid w:val="399C13FB"/>
    <w:rsid w:val="399E683B"/>
    <w:rsid w:val="39A42F75"/>
    <w:rsid w:val="39AC56D7"/>
    <w:rsid w:val="39BD5776"/>
    <w:rsid w:val="39C52500"/>
    <w:rsid w:val="39D966E3"/>
    <w:rsid w:val="39F03816"/>
    <w:rsid w:val="39F60409"/>
    <w:rsid w:val="39F96B6F"/>
    <w:rsid w:val="3A007C75"/>
    <w:rsid w:val="3A035551"/>
    <w:rsid w:val="3A3F02FA"/>
    <w:rsid w:val="3A577D39"/>
    <w:rsid w:val="3A730BA7"/>
    <w:rsid w:val="3A80103E"/>
    <w:rsid w:val="3A856654"/>
    <w:rsid w:val="3A9248CD"/>
    <w:rsid w:val="3A9839D5"/>
    <w:rsid w:val="3A9E3272"/>
    <w:rsid w:val="3AA34D2C"/>
    <w:rsid w:val="3ABC194A"/>
    <w:rsid w:val="3AC5548E"/>
    <w:rsid w:val="3ACC6031"/>
    <w:rsid w:val="3AF81008"/>
    <w:rsid w:val="3B021A53"/>
    <w:rsid w:val="3B0E664A"/>
    <w:rsid w:val="3B131EB2"/>
    <w:rsid w:val="3B3237CF"/>
    <w:rsid w:val="3B4262F3"/>
    <w:rsid w:val="3B6A75F8"/>
    <w:rsid w:val="3B8E1539"/>
    <w:rsid w:val="3BBD597A"/>
    <w:rsid w:val="3BC66F24"/>
    <w:rsid w:val="3BE8095F"/>
    <w:rsid w:val="3BED6EE9"/>
    <w:rsid w:val="3C1F3773"/>
    <w:rsid w:val="3C2B4FD9"/>
    <w:rsid w:val="3C357C06"/>
    <w:rsid w:val="3C4165AB"/>
    <w:rsid w:val="3C434910"/>
    <w:rsid w:val="3C495460"/>
    <w:rsid w:val="3C4A1903"/>
    <w:rsid w:val="3C85293C"/>
    <w:rsid w:val="3C88242C"/>
    <w:rsid w:val="3C884E28"/>
    <w:rsid w:val="3C9708C1"/>
    <w:rsid w:val="3C983CE2"/>
    <w:rsid w:val="3CB959D9"/>
    <w:rsid w:val="3CCA65A0"/>
    <w:rsid w:val="3CEA4D9C"/>
    <w:rsid w:val="3D05582A"/>
    <w:rsid w:val="3D10475F"/>
    <w:rsid w:val="3D323E6D"/>
    <w:rsid w:val="3D47699C"/>
    <w:rsid w:val="3D641F1A"/>
    <w:rsid w:val="3D6954E4"/>
    <w:rsid w:val="3D70539A"/>
    <w:rsid w:val="3D7752D1"/>
    <w:rsid w:val="3D7B3D3F"/>
    <w:rsid w:val="3DBE4B91"/>
    <w:rsid w:val="3DC56D68"/>
    <w:rsid w:val="3DCE3E6E"/>
    <w:rsid w:val="3DE46753"/>
    <w:rsid w:val="3DF859AA"/>
    <w:rsid w:val="3DFF671E"/>
    <w:rsid w:val="3E06185A"/>
    <w:rsid w:val="3E0942F2"/>
    <w:rsid w:val="3E2B2052"/>
    <w:rsid w:val="3E3C34CE"/>
    <w:rsid w:val="3E43485C"/>
    <w:rsid w:val="3E5D51F2"/>
    <w:rsid w:val="3E751BE4"/>
    <w:rsid w:val="3ECF4342"/>
    <w:rsid w:val="3ECF60F0"/>
    <w:rsid w:val="3F122481"/>
    <w:rsid w:val="3F1E0E25"/>
    <w:rsid w:val="3F454604"/>
    <w:rsid w:val="3F5E53AF"/>
    <w:rsid w:val="3F854A01"/>
    <w:rsid w:val="3F886E96"/>
    <w:rsid w:val="3FAF1A7E"/>
    <w:rsid w:val="3FB33471"/>
    <w:rsid w:val="3FBF6165"/>
    <w:rsid w:val="3FC4377B"/>
    <w:rsid w:val="3FD0327C"/>
    <w:rsid w:val="3FD57736"/>
    <w:rsid w:val="3FE86C0B"/>
    <w:rsid w:val="3FEF0B07"/>
    <w:rsid w:val="3FF04570"/>
    <w:rsid w:val="3FF37C58"/>
    <w:rsid w:val="40297539"/>
    <w:rsid w:val="403C77B5"/>
    <w:rsid w:val="404B17A6"/>
    <w:rsid w:val="405204BF"/>
    <w:rsid w:val="40543FCB"/>
    <w:rsid w:val="40580367"/>
    <w:rsid w:val="4077259B"/>
    <w:rsid w:val="40870703"/>
    <w:rsid w:val="40955117"/>
    <w:rsid w:val="40B90226"/>
    <w:rsid w:val="40BF77BE"/>
    <w:rsid w:val="40C10152"/>
    <w:rsid w:val="40C770F8"/>
    <w:rsid w:val="40E340D5"/>
    <w:rsid w:val="40FC5196"/>
    <w:rsid w:val="41390F1D"/>
    <w:rsid w:val="41440C19"/>
    <w:rsid w:val="4148218A"/>
    <w:rsid w:val="415648A7"/>
    <w:rsid w:val="415A3663"/>
    <w:rsid w:val="41600DE8"/>
    <w:rsid w:val="416243F4"/>
    <w:rsid w:val="416D399E"/>
    <w:rsid w:val="41881D81"/>
    <w:rsid w:val="418D4040"/>
    <w:rsid w:val="4193231D"/>
    <w:rsid w:val="41E40104"/>
    <w:rsid w:val="421A3B26"/>
    <w:rsid w:val="425F2D4F"/>
    <w:rsid w:val="427149E5"/>
    <w:rsid w:val="42A44BF6"/>
    <w:rsid w:val="42A94EAA"/>
    <w:rsid w:val="42B5384F"/>
    <w:rsid w:val="42D4469C"/>
    <w:rsid w:val="42E163F2"/>
    <w:rsid w:val="430976F7"/>
    <w:rsid w:val="4326474D"/>
    <w:rsid w:val="43315D2E"/>
    <w:rsid w:val="434E6AD4"/>
    <w:rsid w:val="438020AF"/>
    <w:rsid w:val="438E2857"/>
    <w:rsid w:val="43913333"/>
    <w:rsid w:val="43A318F9"/>
    <w:rsid w:val="443F7874"/>
    <w:rsid w:val="446612A5"/>
    <w:rsid w:val="446B68BB"/>
    <w:rsid w:val="44A361F7"/>
    <w:rsid w:val="44AF59B1"/>
    <w:rsid w:val="44B31EE6"/>
    <w:rsid w:val="44BA15F0"/>
    <w:rsid w:val="44CB1EBC"/>
    <w:rsid w:val="44D516DB"/>
    <w:rsid w:val="45097E82"/>
    <w:rsid w:val="450E5BDE"/>
    <w:rsid w:val="4514742D"/>
    <w:rsid w:val="45237196"/>
    <w:rsid w:val="45322F35"/>
    <w:rsid w:val="454E6A62"/>
    <w:rsid w:val="4579549F"/>
    <w:rsid w:val="45965BB9"/>
    <w:rsid w:val="45BB5B10"/>
    <w:rsid w:val="45C864B7"/>
    <w:rsid w:val="45E306D3"/>
    <w:rsid w:val="45E36119"/>
    <w:rsid w:val="4654337F"/>
    <w:rsid w:val="465A166B"/>
    <w:rsid w:val="465B1E84"/>
    <w:rsid w:val="46691355"/>
    <w:rsid w:val="466B2BA2"/>
    <w:rsid w:val="469320F9"/>
    <w:rsid w:val="46C6602A"/>
    <w:rsid w:val="46E62229"/>
    <w:rsid w:val="46F17D02"/>
    <w:rsid w:val="46FB5788"/>
    <w:rsid w:val="471E7C15"/>
    <w:rsid w:val="472701DB"/>
    <w:rsid w:val="4741081D"/>
    <w:rsid w:val="47527C17"/>
    <w:rsid w:val="4758474D"/>
    <w:rsid w:val="476D25D3"/>
    <w:rsid w:val="47A177DE"/>
    <w:rsid w:val="47CD163B"/>
    <w:rsid w:val="47D27A55"/>
    <w:rsid w:val="47ED5839"/>
    <w:rsid w:val="47EF7803"/>
    <w:rsid w:val="4840005F"/>
    <w:rsid w:val="484237C1"/>
    <w:rsid w:val="484F02A2"/>
    <w:rsid w:val="486A50DB"/>
    <w:rsid w:val="48853CA2"/>
    <w:rsid w:val="488F1F82"/>
    <w:rsid w:val="48D662CD"/>
    <w:rsid w:val="48F21359"/>
    <w:rsid w:val="490948F4"/>
    <w:rsid w:val="490C453C"/>
    <w:rsid w:val="49172B6D"/>
    <w:rsid w:val="492359B6"/>
    <w:rsid w:val="49296D45"/>
    <w:rsid w:val="494801D5"/>
    <w:rsid w:val="49480416"/>
    <w:rsid w:val="494A2C73"/>
    <w:rsid w:val="494E56CC"/>
    <w:rsid w:val="49663AF5"/>
    <w:rsid w:val="49891591"/>
    <w:rsid w:val="49A5461D"/>
    <w:rsid w:val="49AB1508"/>
    <w:rsid w:val="49C9005F"/>
    <w:rsid w:val="49E306C4"/>
    <w:rsid w:val="49E60792"/>
    <w:rsid w:val="49EB7B56"/>
    <w:rsid w:val="49F41101"/>
    <w:rsid w:val="4A266DE0"/>
    <w:rsid w:val="4A4E36E4"/>
    <w:rsid w:val="4A653DAC"/>
    <w:rsid w:val="4A6F0787"/>
    <w:rsid w:val="4A852A8D"/>
    <w:rsid w:val="4A904F07"/>
    <w:rsid w:val="4AAA6136"/>
    <w:rsid w:val="4AC5484B"/>
    <w:rsid w:val="4ACF1226"/>
    <w:rsid w:val="4B31324F"/>
    <w:rsid w:val="4B3B06EC"/>
    <w:rsid w:val="4B897627"/>
    <w:rsid w:val="4BA803F5"/>
    <w:rsid w:val="4BB072A9"/>
    <w:rsid w:val="4BC845F3"/>
    <w:rsid w:val="4BCD2D45"/>
    <w:rsid w:val="4BE3142D"/>
    <w:rsid w:val="4C4E7F9D"/>
    <w:rsid w:val="4C5440D8"/>
    <w:rsid w:val="4C5F2E23"/>
    <w:rsid w:val="4C5F36AF"/>
    <w:rsid w:val="4C787DC7"/>
    <w:rsid w:val="4C891FD4"/>
    <w:rsid w:val="4C8A7AFA"/>
    <w:rsid w:val="4C9F5103"/>
    <w:rsid w:val="4CB61515"/>
    <w:rsid w:val="4CC4300C"/>
    <w:rsid w:val="4CC528E0"/>
    <w:rsid w:val="4CD80866"/>
    <w:rsid w:val="4CE4545C"/>
    <w:rsid w:val="4CEA67EB"/>
    <w:rsid w:val="4CF82CB6"/>
    <w:rsid w:val="4CFA4C80"/>
    <w:rsid w:val="4D021D86"/>
    <w:rsid w:val="4D07114B"/>
    <w:rsid w:val="4D115B26"/>
    <w:rsid w:val="4D245859"/>
    <w:rsid w:val="4D2526C9"/>
    <w:rsid w:val="4D3A507C"/>
    <w:rsid w:val="4D3C7046"/>
    <w:rsid w:val="4D5A571F"/>
    <w:rsid w:val="4D602609"/>
    <w:rsid w:val="4D6E4D26"/>
    <w:rsid w:val="4D8409ED"/>
    <w:rsid w:val="4DA846DC"/>
    <w:rsid w:val="4DFC03F6"/>
    <w:rsid w:val="4DFF1E22"/>
    <w:rsid w:val="4E0A1DAD"/>
    <w:rsid w:val="4E125FF9"/>
    <w:rsid w:val="4E320449"/>
    <w:rsid w:val="4E347D1E"/>
    <w:rsid w:val="4E571C5E"/>
    <w:rsid w:val="4E802B2D"/>
    <w:rsid w:val="4EA2737D"/>
    <w:rsid w:val="4EAA119F"/>
    <w:rsid w:val="4EC372F3"/>
    <w:rsid w:val="4EC5306C"/>
    <w:rsid w:val="4ECE44E0"/>
    <w:rsid w:val="4EE259CC"/>
    <w:rsid w:val="4EE85A03"/>
    <w:rsid w:val="4EFC3A63"/>
    <w:rsid w:val="4F10078B"/>
    <w:rsid w:val="4F247D92"/>
    <w:rsid w:val="4F2A7373"/>
    <w:rsid w:val="4F304989"/>
    <w:rsid w:val="4F610FE6"/>
    <w:rsid w:val="4F8C5937"/>
    <w:rsid w:val="4FB94CCB"/>
    <w:rsid w:val="4FC357FD"/>
    <w:rsid w:val="501E2A33"/>
    <w:rsid w:val="502142D2"/>
    <w:rsid w:val="505A5A36"/>
    <w:rsid w:val="507C6790"/>
    <w:rsid w:val="50836D3A"/>
    <w:rsid w:val="50A142FC"/>
    <w:rsid w:val="50C45A60"/>
    <w:rsid w:val="50C555A5"/>
    <w:rsid w:val="50CE3D7F"/>
    <w:rsid w:val="50D17AA6"/>
    <w:rsid w:val="50DE6A41"/>
    <w:rsid w:val="50E24360"/>
    <w:rsid w:val="50EC5412"/>
    <w:rsid w:val="50FF5056"/>
    <w:rsid w:val="51124B24"/>
    <w:rsid w:val="51181B78"/>
    <w:rsid w:val="51295DBA"/>
    <w:rsid w:val="513E2C61"/>
    <w:rsid w:val="51450494"/>
    <w:rsid w:val="515843F5"/>
    <w:rsid w:val="516721B8"/>
    <w:rsid w:val="518C687F"/>
    <w:rsid w:val="51A72EFC"/>
    <w:rsid w:val="51AF590D"/>
    <w:rsid w:val="51B63A1D"/>
    <w:rsid w:val="51DF6918"/>
    <w:rsid w:val="52575E63"/>
    <w:rsid w:val="52636E23"/>
    <w:rsid w:val="526D7CA2"/>
    <w:rsid w:val="5279607C"/>
    <w:rsid w:val="52A435AE"/>
    <w:rsid w:val="52DA2B85"/>
    <w:rsid w:val="52DC6673"/>
    <w:rsid w:val="52EE21C9"/>
    <w:rsid w:val="530A54F1"/>
    <w:rsid w:val="5334431C"/>
    <w:rsid w:val="534722A1"/>
    <w:rsid w:val="53513EE3"/>
    <w:rsid w:val="53605111"/>
    <w:rsid w:val="53980D4F"/>
    <w:rsid w:val="53BC2E44"/>
    <w:rsid w:val="53F046E7"/>
    <w:rsid w:val="54047A2B"/>
    <w:rsid w:val="54224ABC"/>
    <w:rsid w:val="54437678"/>
    <w:rsid w:val="544E58B1"/>
    <w:rsid w:val="54686973"/>
    <w:rsid w:val="547F2672"/>
    <w:rsid w:val="54946EBB"/>
    <w:rsid w:val="549D3EDA"/>
    <w:rsid w:val="54B5148C"/>
    <w:rsid w:val="54C85B32"/>
    <w:rsid w:val="54E04C40"/>
    <w:rsid w:val="55080E71"/>
    <w:rsid w:val="5511700B"/>
    <w:rsid w:val="5516017D"/>
    <w:rsid w:val="554A42CB"/>
    <w:rsid w:val="55524F2D"/>
    <w:rsid w:val="55705D98"/>
    <w:rsid w:val="55706A82"/>
    <w:rsid w:val="557F3BF8"/>
    <w:rsid w:val="558C48E3"/>
    <w:rsid w:val="558F2703"/>
    <w:rsid w:val="55A16125"/>
    <w:rsid w:val="55A172B1"/>
    <w:rsid w:val="55A41C2D"/>
    <w:rsid w:val="55AC57E6"/>
    <w:rsid w:val="55CB540B"/>
    <w:rsid w:val="55CE0A58"/>
    <w:rsid w:val="55F67FAE"/>
    <w:rsid w:val="560E566E"/>
    <w:rsid w:val="561D6DAD"/>
    <w:rsid w:val="561F5757"/>
    <w:rsid w:val="562C577E"/>
    <w:rsid w:val="5637484F"/>
    <w:rsid w:val="56486A5C"/>
    <w:rsid w:val="56551179"/>
    <w:rsid w:val="565847C5"/>
    <w:rsid w:val="56EE0C86"/>
    <w:rsid w:val="56F40992"/>
    <w:rsid w:val="572052E3"/>
    <w:rsid w:val="5748483A"/>
    <w:rsid w:val="574F7976"/>
    <w:rsid w:val="579B33D3"/>
    <w:rsid w:val="57C670E2"/>
    <w:rsid w:val="58022C3B"/>
    <w:rsid w:val="58030761"/>
    <w:rsid w:val="58207565"/>
    <w:rsid w:val="58472D43"/>
    <w:rsid w:val="584A6390"/>
    <w:rsid w:val="58690F0C"/>
    <w:rsid w:val="589D2963"/>
    <w:rsid w:val="58B24661"/>
    <w:rsid w:val="58BF28DA"/>
    <w:rsid w:val="58CD1630"/>
    <w:rsid w:val="58D832B1"/>
    <w:rsid w:val="58E460CF"/>
    <w:rsid w:val="58E97957"/>
    <w:rsid w:val="58FE78A6"/>
    <w:rsid w:val="590B2E55"/>
    <w:rsid w:val="5919023C"/>
    <w:rsid w:val="59262959"/>
    <w:rsid w:val="59457283"/>
    <w:rsid w:val="59484FC5"/>
    <w:rsid w:val="594A4899"/>
    <w:rsid w:val="596967DD"/>
    <w:rsid w:val="596D4A2C"/>
    <w:rsid w:val="597D4C6F"/>
    <w:rsid w:val="59827F33"/>
    <w:rsid w:val="59851D75"/>
    <w:rsid w:val="59853B23"/>
    <w:rsid w:val="59943D66"/>
    <w:rsid w:val="59BA29B8"/>
    <w:rsid w:val="59D03A04"/>
    <w:rsid w:val="59D2663D"/>
    <w:rsid w:val="59E602F9"/>
    <w:rsid w:val="59E63722"/>
    <w:rsid w:val="59E940B2"/>
    <w:rsid w:val="5A690D4F"/>
    <w:rsid w:val="5A7871E4"/>
    <w:rsid w:val="5A81253D"/>
    <w:rsid w:val="5A871B1D"/>
    <w:rsid w:val="5A8D7133"/>
    <w:rsid w:val="5A9009D2"/>
    <w:rsid w:val="5AB346C0"/>
    <w:rsid w:val="5B062A42"/>
    <w:rsid w:val="5B4D68C3"/>
    <w:rsid w:val="5B5F5C30"/>
    <w:rsid w:val="5B7F2398"/>
    <w:rsid w:val="5B8B17A8"/>
    <w:rsid w:val="5B8D3163"/>
    <w:rsid w:val="5BB93137"/>
    <w:rsid w:val="5BDB5C7C"/>
    <w:rsid w:val="5C2C0286"/>
    <w:rsid w:val="5C6A0DAE"/>
    <w:rsid w:val="5C741C2D"/>
    <w:rsid w:val="5C7F2AAC"/>
    <w:rsid w:val="5C82434A"/>
    <w:rsid w:val="5C837D51"/>
    <w:rsid w:val="5CB564CD"/>
    <w:rsid w:val="5CD07C61"/>
    <w:rsid w:val="5CED3638"/>
    <w:rsid w:val="5D192F00"/>
    <w:rsid w:val="5D3A4C25"/>
    <w:rsid w:val="5D4C6C8C"/>
    <w:rsid w:val="5D9B1B67"/>
    <w:rsid w:val="5DAB1924"/>
    <w:rsid w:val="5DDB6408"/>
    <w:rsid w:val="5DEA21A7"/>
    <w:rsid w:val="5DEA7DBC"/>
    <w:rsid w:val="5DF50B4C"/>
    <w:rsid w:val="5E0177C2"/>
    <w:rsid w:val="5E046F65"/>
    <w:rsid w:val="5E0C4354"/>
    <w:rsid w:val="5E0D2339"/>
    <w:rsid w:val="5E224037"/>
    <w:rsid w:val="5E29091E"/>
    <w:rsid w:val="5E4E4E2C"/>
    <w:rsid w:val="5E6957C1"/>
    <w:rsid w:val="5E8720EC"/>
    <w:rsid w:val="5E940365"/>
    <w:rsid w:val="5E96232F"/>
    <w:rsid w:val="5EA471D4"/>
    <w:rsid w:val="5EE017FC"/>
    <w:rsid w:val="5EF534F9"/>
    <w:rsid w:val="5EFA0B0F"/>
    <w:rsid w:val="5EFD0600"/>
    <w:rsid w:val="5F0E45BB"/>
    <w:rsid w:val="5F21609C"/>
    <w:rsid w:val="5F331155"/>
    <w:rsid w:val="5F5E109E"/>
    <w:rsid w:val="5F6146EB"/>
    <w:rsid w:val="5F675F94"/>
    <w:rsid w:val="5F6C5C7E"/>
    <w:rsid w:val="5F724B4A"/>
    <w:rsid w:val="5F867CB5"/>
    <w:rsid w:val="5F897363"/>
    <w:rsid w:val="5F9A7BFD"/>
    <w:rsid w:val="5FAB0540"/>
    <w:rsid w:val="5FAD7930"/>
    <w:rsid w:val="5FC5111D"/>
    <w:rsid w:val="5FC6786A"/>
    <w:rsid w:val="5FD16B14"/>
    <w:rsid w:val="5FD90725"/>
    <w:rsid w:val="6014175D"/>
    <w:rsid w:val="60156AAD"/>
    <w:rsid w:val="601B6F8F"/>
    <w:rsid w:val="60883EF9"/>
    <w:rsid w:val="608A1A1F"/>
    <w:rsid w:val="608C41A9"/>
    <w:rsid w:val="60A2320D"/>
    <w:rsid w:val="60AD6572"/>
    <w:rsid w:val="60BA67A8"/>
    <w:rsid w:val="60C05316"/>
    <w:rsid w:val="61021EFD"/>
    <w:rsid w:val="6147235A"/>
    <w:rsid w:val="619C1A0A"/>
    <w:rsid w:val="61E33ADD"/>
    <w:rsid w:val="61F2727D"/>
    <w:rsid w:val="62195750"/>
    <w:rsid w:val="62400F9F"/>
    <w:rsid w:val="62405C9B"/>
    <w:rsid w:val="628C7CD0"/>
    <w:rsid w:val="628D57F7"/>
    <w:rsid w:val="62B05356"/>
    <w:rsid w:val="62BD432E"/>
    <w:rsid w:val="62E0001C"/>
    <w:rsid w:val="62EE44E7"/>
    <w:rsid w:val="630F2E14"/>
    <w:rsid w:val="631E0B44"/>
    <w:rsid w:val="63247F09"/>
    <w:rsid w:val="63332842"/>
    <w:rsid w:val="63750765"/>
    <w:rsid w:val="637F15E3"/>
    <w:rsid w:val="63836698"/>
    <w:rsid w:val="63B108C9"/>
    <w:rsid w:val="63B70D7D"/>
    <w:rsid w:val="63C07378"/>
    <w:rsid w:val="63C811DC"/>
    <w:rsid w:val="63E61662"/>
    <w:rsid w:val="63FA510E"/>
    <w:rsid w:val="6408201E"/>
    <w:rsid w:val="64346872"/>
    <w:rsid w:val="64835103"/>
    <w:rsid w:val="64947310"/>
    <w:rsid w:val="64AD2180"/>
    <w:rsid w:val="64B654D9"/>
    <w:rsid w:val="64D03395"/>
    <w:rsid w:val="65031DA0"/>
    <w:rsid w:val="651D2E62"/>
    <w:rsid w:val="65200BE5"/>
    <w:rsid w:val="65271F32"/>
    <w:rsid w:val="654F3237"/>
    <w:rsid w:val="655836D3"/>
    <w:rsid w:val="656A4F30"/>
    <w:rsid w:val="65764C68"/>
    <w:rsid w:val="657761D6"/>
    <w:rsid w:val="657F083D"/>
    <w:rsid w:val="65A67F21"/>
    <w:rsid w:val="65B116C2"/>
    <w:rsid w:val="65D4762D"/>
    <w:rsid w:val="65DB60A3"/>
    <w:rsid w:val="65E362B1"/>
    <w:rsid w:val="65F22B2C"/>
    <w:rsid w:val="65F71905"/>
    <w:rsid w:val="66285F62"/>
    <w:rsid w:val="663C1A0D"/>
    <w:rsid w:val="666A657B"/>
    <w:rsid w:val="666C2F5C"/>
    <w:rsid w:val="66813541"/>
    <w:rsid w:val="66A80E51"/>
    <w:rsid w:val="66B94E0C"/>
    <w:rsid w:val="66E005EB"/>
    <w:rsid w:val="66F9345B"/>
    <w:rsid w:val="6712451C"/>
    <w:rsid w:val="674F5770"/>
    <w:rsid w:val="675B2367"/>
    <w:rsid w:val="67825B46"/>
    <w:rsid w:val="678C0773"/>
    <w:rsid w:val="679F007B"/>
    <w:rsid w:val="67C24194"/>
    <w:rsid w:val="67D22629"/>
    <w:rsid w:val="67F85E08"/>
    <w:rsid w:val="67FF0F45"/>
    <w:rsid w:val="680822C2"/>
    <w:rsid w:val="68432C8D"/>
    <w:rsid w:val="686479DF"/>
    <w:rsid w:val="686B65DA"/>
    <w:rsid w:val="68863414"/>
    <w:rsid w:val="68945B31"/>
    <w:rsid w:val="689618A9"/>
    <w:rsid w:val="68AD09A1"/>
    <w:rsid w:val="68AD6BF3"/>
    <w:rsid w:val="68C71DD3"/>
    <w:rsid w:val="68D76BE1"/>
    <w:rsid w:val="68DB4E22"/>
    <w:rsid w:val="68DC4DE2"/>
    <w:rsid w:val="68EF2D67"/>
    <w:rsid w:val="690C1B6B"/>
    <w:rsid w:val="69166546"/>
    <w:rsid w:val="691722BE"/>
    <w:rsid w:val="6939071B"/>
    <w:rsid w:val="693C3AD3"/>
    <w:rsid w:val="6983783B"/>
    <w:rsid w:val="69A55B1C"/>
    <w:rsid w:val="6A06480C"/>
    <w:rsid w:val="6A277888"/>
    <w:rsid w:val="6A486BD3"/>
    <w:rsid w:val="6A5F216E"/>
    <w:rsid w:val="6A771266"/>
    <w:rsid w:val="6A786D8C"/>
    <w:rsid w:val="6A7B243E"/>
    <w:rsid w:val="6A7F636D"/>
    <w:rsid w:val="6A8B2F63"/>
    <w:rsid w:val="6A927BDD"/>
    <w:rsid w:val="6AA00F7B"/>
    <w:rsid w:val="6AA47B81"/>
    <w:rsid w:val="6AB04778"/>
    <w:rsid w:val="6AD62431"/>
    <w:rsid w:val="6B0D5727"/>
    <w:rsid w:val="6B6932A5"/>
    <w:rsid w:val="6B741C4A"/>
    <w:rsid w:val="6B9B194C"/>
    <w:rsid w:val="6BAE6F0A"/>
    <w:rsid w:val="6BC02799"/>
    <w:rsid w:val="6C041978"/>
    <w:rsid w:val="6C3A66BC"/>
    <w:rsid w:val="6C687DD2"/>
    <w:rsid w:val="6C692BA0"/>
    <w:rsid w:val="6C6B6BA9"/>
    <w:rsid w:val="6C895281"/>
    <w:rsid w:val="6C8D4D71"/>
    <w:rsid w:val="6C8E60EC"/>
    <w:rsid w:val="6C9068AF"/>
    <w:rsid w:val="6CE150BD"/>
    <w:rsid w:val="6CE576EB"/>
    <w:rsid w:val="6CE64481"/>
    <w:rsid w:val="6D0137F7"/>
    <w:rsid w:val="6D071A94"/>
    <w:rsid w:val="6D162FB8"/>
    <w:rsid w:val="6D2E2538"/>
    <w:rsid w:val="6D323B6A"/>
    <w:rsid w:val="6D54588F"/>
    <w:rsid w:val="6D817056"/>
    <w:rsid w:val="6D9D5488"/>
    <w:rsid w:val="6DD95D94"/>
    <w:rsid w:val="6DFA4688"/>
    <w:rsid w:val="6E124509"/>
    <w:rsid w:val="6E377600"/>
    <w:rsid w:val="6E3A69E2"/>
    <w:rsid w:val="6E4B6C92"/>
    <w:rsid w:val="6E5F1847"/>
    <w:rsid w:val="6E6A4AE2"/>
    <w:rsid w:val="6E7837FF"/>
    <w:rsid w:val="6E7D7067"/>
    <w:rsid w:val="6E9D193C"/>
    <w:rsid w:val="6EA97E5C"/>
    <w:rsid w:val="6ED50C51"/>
    <w:rsid w:val="6EE573DC"/>
    <w:rsid w:val="6EE82732"/>
    <w:rsid w:val="6F094457"/>
    <w:rsid w:val="6F0A08FB"/>
    <w:rsid w:val="6F0B6421"/>
    <w:rsid w:val="6F1F39F4"/>
    <w:rsid w:val="6F321C00"/>
    <w:rsid w:val="6F3E2352"/>
    <w:rsid w:val="6F415726"/>
    <w:rsid w:val="6F4837F9"/>
    <w:rsid w:val="6F655B31"/>
    <w:rsid w:val="6F7B4CFB"/>
    <w:rsid w:val="6F7E3097"/>
    <w:rsid w:val="6F825B12"/>
    <w:rsid w:val="6F90296F"/>
    <w:rsid w:val="6FFA6C73"/>
    <w:rsid w:val="70161521"/>
    <w:rsid w:val="70182BA3"/>
    <w:rsid w:val="701D28B0"/>
    <w:rsid w:val="70205EFC"/>
    <w:rsid w:val="704C4F43"/>
    <w:rsid w:val="70585696"/>
    <w:rsid w:val="70647373"/>
    <w:rsid w:val="707F4466"/>
    <w:rsid w:val="708446DD"/>
    <w:rsid w:val="709E433C"/>
    <w:rsid w:val="70A22DB5"/>
    <w:rsid w:val="70BF5715"/>
    <w:rsid w:val="70DA254F"/>
    <w:rsid w:val="70FB773A"/>
    <w:rsid w:val="71096990"/>
    <w:rsid w:val="71153587"/>
    <w:rsid w:val="713752AB"/>
    <w:rsid w:val="71560DD5"/>
    <w:rsid w:val="717F022A"/>
    <w:rsid w:val="71922E29"/>
    <w:rsid w:val="71A212BE"/>
    <w:rsid w:val="71B45234"/>
    <w:rsid w:val="71B608C6"/>
    <w:rsid w:val="71B7463E"/>
    <w:rsid w:val="71D76A8E"/>
    <w:rsid w:val="71E73175"/>
    <w:rsid w:val="7214383E"/>
    <w:rsid w:val="722525DA"/>
    <w:rsid w:val="722905FA"/>
    <w:rsid w:val="724F2AC9"/>
    <w:rsid w:val="7278201F"/>
    <w:rsid w:val="728C1627"/>
    <w:rsid w:val="72966949"/>
    <w:rsid w:val="729C2CCE"/>
    <w:rsid w:val="72A37A9C"/>
    <w:rsid w:val="72B55021"/>
    <w:rsid w:val="72D57833"/>
    <w:rsid w:val="72E40314"/>
    <w:rsid w:val="72ED47BB"/>
    <w:rsid w:val="73424E40"/>
    <w:rsid w:val="734C2742"/>
    <w:rsid w:val="739C1D3D"/>
    <w:rsid w:val="73A17354"/>
    <w:rsid w:val="73AB3D2F"/>
    <w:rsid w:val="73C31078"/>
    <w:rsid w:val="73C501BF"/>
    <w:rsid w:val="73D6524F"/>
    <w:rsid w:val="7434172B"/>
    <w:rsid w:val="74363F40"/>
    <w:rsid w:val="743B217D"/>
    <w:rsid w:val="747E4F8E"/>
    <w:rsid w:val="74806F69"/>
    <w:rsid w:val="749D3FBF"/>
    <w:rsid w:val="74AE43A2"/>
    <w:rsid w:val="74B03CF2"/>
    <w:rsid w:val="74CE3805"/>
    <w:rsid w:val="74E50DAE"/>
    <w:rsid w:val="75023E22"/>
    <w:rsid w:val="7516167C"/>
    <w:rsid w:val="75250343"/>
    <w:rsid w:val="75750A98"/>
    <w:rsid w:val="7590142E"/>
    <w:rsid w:val="75BA46FD"/>
    <w:rsid w:val="75C15A8B"/>
    <w:rsid w:val="75D25EEA"/>
    <w:rsid w:val="7601057E"/>
    <w:rsid w:val="761314ED"/>
    <w:rsid w:val="762C1BC5"/>
    <w:rsid w:val="76312C11"/>
    <w:rsid w:val="763B3A90"/>
    <w:rsid w:val="765968DC"/>
    <w:rsid w:val="76634D94"/>
    <w:rsid w:val="76785143"/>
    <w:rsid w:val="767945B8"/>
    <w:rsid w:val="76844D00"/>
    <w:rsid w:val="768D3BBF"/>
    <w:rsid w:val="769E7B7B"/>
    <w:rsid w:val="76E2215D"/>
    <w:rsid w:val="770420D4"/>
    <w:rsid w:val="771B11CB"/>
    <w:rsid w:val="773109EF"/>
    <w:rsid w:val="7734311F"/>
    <w:rsid w:val="77461973"/>
    <w:rsid w:val="774921DC"/>
    <w:rsid w:val="776C2FFF"/>
    <w:rsid w:val="77703384"/>
    <w:rsid w:val="779C055E"/>
    <w:rsid w:val="779F3BAA"/>
    <w:rsid w:val="77F17064"/>
    <w:rsid w:val="78047EB1"/>
    <w:rsid w:val="783F0EE9"/>
    <w:rsid w:val="785D5F3F"/>
    <w:rsid w:val="78C55892"/>
    <w:rsid w:val="78DB22B9"/>
    <w:rsid w:val="78F148D9"/>
    <w:rsid w:val="78F817C4"/>
    <w:rsid w:val="78FB3062"/>
    <w:rsid w:val="79022643"/>
    <w:rsid w:val="796C5D0E"/>
    <w:rsid w:val="797719D7"/>
    <w:rsid w:val="798414E1"/>
    <w:rsid w:val="79935991"/>
    <w:rsid w:val="79B06543"/>
    <w:rsid w:val="79B73D36"/>
    <w:rsid w:val="79D9178E"/>
    <w:rsid w:val="79F04B91"/>
    <w:rsid w:val="7A0B19CB"/>
    <w:rsid w:val="7A266805"/>
    <w:rsid w:val="7A41363F"/>
    <w:rsid w:val="7A4E3666"/>
    <w:rsid w:val="7A5B64AE"/>
    <w:rsid w:val="7A965738"/>
    <w:rsid w:val="7AB23BF5"/>
    <w:rsid w:val="7AC2652D"/>
    <w:rsid w:val="7B3F7B7E"/>
    <w:rsid w:val="7B6A2721"/>
    <w:rsid w:val="7B6E1C07"/>
    <w:rsid w:val="7B7B492E"/>
    <w:rsid w:val="7B8F3F36"/>
    <w:rsid w:val="7B9C1CE2"/>
    <w:rsid w:val="7BA225C0"/>
    <w:rsid w:val="7BB3231A"/>
    <w:rsid w:val="7BB61AD4"/>
    <w:rsid w:val="7BBC593D"/>
    <w:rsid w:val="7BCC0CE6"/>
    <w:rsid w:val="7BD71BD7"/>
    <w:rsid w:val="7BDF310F"/>
    <w:rsid w:val="7BF70459"/>
    <w:rsid w:val="7BFC5A6F"/>
    <w:rsid w:val="7BFC7C03"/>
    <w:rsid w:val="7C23124E"/>
    <w:rsid w:val="7C374594"/>
    <w:rsid w:val="7C3945CD"/>
    <w:rsid w:val="7C574A54"/>
    <w:rsid w:val="7C6F4493"/>
    <w:rsid w:val="7C7F14D1"/>
    <w:rsid w:val="7C8418B8"/>
    <w:rsid w:val="7C8863E3"/>
    <w:rsid w:val="7CA73C2D"/>
    <w:rsid w:val="7CCD0D54"/>
    <w:rsid w:val="7CD67231"/>
    <w:rsid w:val="7CE16A13"/>
    <w:rsid w:val="7CF6371B"/>
    <w:rsid w:val="7D1312C2"/>
    <w:rsid w:val="7D1B0177"/>
    <w:rsid w:val="7D2A2168"/>
    <w:rsid w:val="7D2D3A06"/>
    <w:rsid w:val="7D397475"/>
    <w:rsid w:val="7D421957"/>
    <w:rsid w:val="7D5611AF"/>
    <w:rsid w:val="7D5E0A94"/>
    <w:rsid w:val="7D68553C"/>
    <w:rsid w:val="7D690EE2"/>
    <w:rsid w:val="7D692C90"/>
    <w:rsid w:val="7D9341B1"/>
    <w:rsid w:val="7D9D293A"/>
    <w:rsid w:val="7DA939D5"/>
    <w:rsid w:val="7DC539A7"/>
    <w:rsid w:val="7DD35B85"/>
    <w:rsid w:val="7DEF11E8"/>
    <w:rsid w:val="7E094473"/>
    <w:rsid w:val="7E0B01EB"/>
    <w:rsid w:val="7E153D01"/>
    <w:rsid w:val="7E355268"/>
    <w:rsid w:val="7E486D4A"/>
    <w:rsid w:val="7E5A6A7D"/>
    <w:rsid w:val="7E927FC5"/>
    <w:rsid w:val="7E9F0934"/>
    <w:rsid w:val="7EB73ECF"/>
    <w:rsid w:val="7EC14D4E"/>
    <w:rsid w:val="7EE54599"/>
    <w:rsid w:val="7EE84089"/>
    <w:rsid w:val="7EF04D95"/>
    <w:rsid w:val="7EF90044"/>
    <w:rsid w:val="7F037115"/>
    <w:rsid w:val="7F0709B3"/>
    <w:rsid w:val="7F127358"/>
    <w:rsid w:val="7F1E5CFC"/>
    <w:rsid w:val="7F315A30"/>
    <w:rsid w:val="7F460DAF"/>
    <w:rsid w:val="7F4F0220"/>
    <w:rsid w:val="7F5A1343"/>
    <w:rsid w:val="7FB16B71"/>
    <w:rsid w:val="7FBA0A36"/>
    <w:rsid w:val="7FCE7723"/>
    <w:rsid w:val="7FCF591A"/>
    <w:rsid w:val="7FD10FC1"/>
    <w:rsid w:val="7FF60A27"/>
  </w:rsids>
  <m:mathPr>
    <m:mathFont m:val="Cambria Math"/>
    <m:brkBin m:val="before"/>
    <m:brkBinSub m:val="--"/>
    <m:smallFrac m:val="0"/>
    <m:dispDef/>
    <m:lMargin m:val="0"/>
    <m:rMargin m:val="0"/>
    <m:defJc m:val="centerGroup"/>
    <m:wrapIndent m:val="1440"/>
    <m:intLim m:val="subSup"/>
    <m:naryLim m:val="undOvr"/>
  </m:mathPr>
  <w:doNotAutoCompressPictures/>
  <w:themeFontLang w:val="en-GB" w:eastAsia="zh-CN"/>
  <w:clrSchemeMapping w:bg1="light1" w:t1="dark1" w:bg2="light2" w:t2="dark2" w:accent1="accent1" w:accent2="accent2" w:accent3="accent3" w:accent4="accent4" w:accent5="accent5" w:accent6="accent6" w:hyperlink="hyperlink" w:followedHyperlink="followedHyperlink"/>
  <w:doNotIncludeSubdocsInSta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9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MS Mincho" w:cs="Times New Roman"/>
      <w:sz w:val="24"/>
      <w:szCs w:val="24"/>
      <w:lang w:val="de-DE" w:eastAsia="ja-JP" w:bidi="ar-SA"/>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51"/>
    <w:semiHidden/>
    <w:unhideWhenUsed/>
    <w:qFormat/>
    <w:uiPriority w:val="99"/>
    <w:rPr>
      <w:sz w:val="20"/>
      <w:szCs w:val="20"/>
      <w:lang w:val="zh-CN"/>
    </w:rPr>
  </w:style>
  <w:style w:type="paragraph" w:styleId="3">
    <w:name w:val="Balloon Text"/>
    <w:basedOn w:val="1"/>
    <w:semiHidden/>
    <w:qFormat/>
    <w:uiPriority w:val="0"/>
    <w:rPr>
      <w:rFonts w:ascii="Tahoma" w:hAnsi="Tahoma" w:cs="Tahoma"/>
      <w:sz w:val="16"/>
      <w:szCs w:val="16"/>
    </w:rPr>
  </w:style>
  <w:style w:type="paragraph" w:styleId="4">
    <w:name w:val="footer"/>
    <w:basedOn w:val="1"/>
    <w:link w:val="53"/>
    <w:qFormat/>
    <w:uiPriority w:val="99"/>
    <w:pPr>
      <w:tabs>
        <w:tab w:val="center" w:pos="4536"/>
        <w:tab w:val="right" w:pos="9072"/>
      </w:tabs>
    </w:pPr>
  </w:style>
  <w:style w:type="paragraph" w:styleId="5">
    <w:name w:val="header"/>
    <w:basedOn w:val="1"/>
    <w:link w:val="50"/>
    <w:qFormat/>
    <w:uiPriority w:val="99"/>
    <w:pPr>
      <w:tabs>
        <w:tab w:val="center" w:pos="4536"/>
        <w:tab w:val="right" w:pos="9072"/>
      </w:tabs>
    </w:pPr>
    <w:rPr>
      <w:lang w:val="zh-CN"/>
    </w:rPr>
  </w:style>
  <w:style w:type="paragraph" w:styleId="6">
    <w:name w:val="footnote text"/>
    <w:basedOn w:val="1"/>
    <w:semiHidden/>
    <w:qFormat/>
    <w:uiPriority w:val="0"/>
    <w:pPr>
      <w:keepLines/>
      <w:widowControl w:val="0"/>
      <w:jc w:val="both"/>
    </w:pPr>
    <w:rPr>
      <w:rFonts w:eastAsia="Times New Roman"/>
      <w:sz w:val="20"/>
      <w:szCs w:val="20"/>
      <w:lang w:val="en-GB" w:eastAsia="ro-RO"/>
    </w:rPr>
  </w:style>
  <w:style w:type="paragraph" w:styleId="7">
    <w:name w:val="Normal (Web)"/>
    <w:basedOn w:val="1"/>
    <w:semiHidden/>
    <w:unhideWhenUsed/>
    <w:uiPriority w:val="99"/>
  </w:style>
  <w:style w:type="paragraph" w:styleId="8">
    <w:name w:val="annotation subject"/>
    <w:basedOn w:val="2"/>
    <w:next w:val="2"/>
    <w:link w:val="52"/>
    <w:semiHidden/>
    <w:unhideWhenUsed/>
    <w:qFormat/>
    <w:uiPriority w:val="99"/>
    <w:rPr>
      <w:b/>
      <w:bCs/>
    </w:rPr>
  </w:style>
  <w:style w:type="table" w:styleId="10">
    <w:name w:val="Table Grid"/>
    <w:basedOn w:val="9"/>
    <w:autoRedefine/>
    <w:qFormat/>
    <w:uiPriority w:val="99"/>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line number"/>
    <w:basedOn w:val="11"/>
    <w:semiHidden/>
    <w:unhideWhenUsed/>
    <w:qFormat/>
    <w:uiPriority w:val="99"/>
  </w:style>
  <w:style w:type="character" w:styleId="13">
    <w:name w:val="Hyperlink"/>
    <w:basedOn w:val="11"/>
    <w:unhideWhenUsed/>
    <w:qFormat/>
    <w:uiPriority w:val="99"/>
    <w:rPr>
      <w:color w:val="0563C1" w:themeColor="hyperlink"/>
      <w:u w:val="single"/>
      <w14:textFill>
        <w14:solidFill>
          <w14:schemeClr w14:val="hlink"/>
        </w14:solidFill>
      </w14:textFill>
    </w:rPr>
  </w:style>
  <w:style w:type="character" w:styleId="14">
    <w:name w:val="annotation reference"/>
    <w:semiHidden/>
    <w:unhideWhenUsed/>
    <w:qFormat/>
    <w:uiPriority w:val="99"/>
    <w:rPr>
      <w:sz w:val="16"/>
      <w:szCs w:val="16"/>
    </w:rPr>
  </w:style>
  <w:style w:type="paragraph" w:customStyle="1" w:styleId="15">
    <w:name w:val="History"/>
    <w:basedOn w:val="1"/>
    <w:qFormat/>
    <w:uiPriority w:val="0"/>
    <w:pPr>
      <w:spacing w:before="230" w:after="460" w:line="180" w:lineRule="exact"/>
      <w:jc w:val="right"/>
    </w:pPr>
    <w:rPr>
      <w:rFonts w:ascii="Arial" w:hAnsi="Arial"/>
      <w:sz w:val="14"/>
      <w:szCs w:val="16"/>
    </w:rPr>
  </w:style>
  <w:style w:type="paragraph" w:customStyle="1" w:styleId="16">
    <w:name w:val="References"/>
    <w:basedOn w:val="1"/>
    <w:qFormat/>
    <w:uiPriority w:val="0"/>
    <w:pPr>
      <w:spacing w:line="200" w:lineRule="exact"/>
      <w:ind w:left="425" w:hanging="425"/>
      <w:jc w:val="both"/>
    </w:pPr>
    <w:rPr>
      <w:sz w:val="15"/>
      <w:szCs w:val="14"/>
      <w:lang w:val="en-GB"/>
    </w:rPr>
  </w:style>
  <w:style w:type="paragraph" w:customStyle="1" w:styleId="17">
    <w:name w:val="HExperimental_Section"/>
    <w:basedOn w:val="1"/>
    <w:qFormat/>
    <w:uiPriority w:val="0"/>
    <w:pPr>
      <w:spacing w:before="460" w:after="230" w:line="230" w:lineRule="atLeast"/>
    </w:pPr>
    <w:rPr>
      <w:i/>
      <w:szCs w:val="20"/>
    </w:rPr>
  </w:style>
  <w:style w:type="paragraph" w:customStyle="1" w:styleId="18">
    <w:name w:val="ExperimentalSection"/>
    <w:basedOn w:val="1"/>
    <w:qFormat/>
    <w:uiPriority w:val="0"/>
    <w:pPr>
      <w:spacing w:after="240" w:line="200" w:lineRule="exact"/>
      <w:ind w:firstLine="170"/>
      <w:jc w:val="both"/>
    </w:pPr>
    <w:rPr>
      <w:sz w:val="16"/>
      <w:szCs w:val="14"/>
      <w:lang w:val="en-GB"/>
    </w:rPr>
  </w:style>
  <w:style w:type="paragraph" w:customStyle="1" w:styleId="19">
    <w:name w:val="FNB"/>
    <w:basedOn w:val="1"/>
    <w:link w:val="20"/>
    <w:qFormat/>
    <w:uiPriority w:val="0"/>
    <w:pPr>
      <w:widowControl w:val="0"/>
      <w:spacing w:after="40" w:line="160" w:lineRule="exact"/>
      <w:ind w:left="567" w:right="4434" w:hanging="567"/>
      <w:jc w:val="both"/>
    </w:pPr>
    <w:rPr>
      <w:rFonts w:ascii="Times" w:hAnsi="Times"/>
      <w:sz w:val="14"/>
      <w:szCs w:val="3276"/>
      <w:lang w:val="en-GB" w:eastAsia="de-DE"/>
    </w:rPr>
  </w:style>
  <w:style w:type="character" w:customStyle="1" w:styleId="20">
    <w:name w:val="FNB Char"/>
    <w:link w:val="19"/>
    <w:qFormat/>
    <w:uiPriority w:val="0"/>
    <w:rPr>
      <w:rFonts w:ascii="Times" w:hAnsi="Times"/>
      <w:sz w:val="14"/>
      <w:szCs w:val="3276"/>
      <w:lang w:val="en-GB" w:eastAsia="de-DE" w:bidi="ar-SA"/>
    </w:rPr>
  </w:style>
  <w:style w:type="paragraph" w:customStyle="1" w:styleId="21">
    <w:name w:val="Ack"/>
    <w:basedOn w:val="1"/>
    <w:qFormat/>
    <w:uiPriority w:val="0"/>
  </w:style>
  <w:style w:type="paragraph" w:customStyle="1" w:styleId="22">
    <w:name w:val="TableCaption"/>
    <w:basedOn w:val="1"/>
    <w:qFormat/>
    <w:uiPriority w:val="0"/>
    <w:pPr>
      <w:spacing w:after="120" w:line="190" w:lineRule="exact"/>
      <w:jc w:val="both"/>
    </w:pPr>
    <w:rPr>
      <w:rFonts w:ascii="Arial" w:hAnsi="Arial"/>
      <w:sz w:val="16"/>
      <w:szCs w:val="14"/>
      <w:lang w:val="en-GB"/>
    </w:rPr>
  </w:style>
  <w:style w:type="paragraph" w:customStyle="1" w:styleId="23">
    <w:name w:val="TableHead"/>
    <w:basedOn w:val="22"/>
    <w:qFormat/>
    <w:uiPriority w:val="0"/>
    <w:pPr>
      <w:pBdr>
        <w:top w:val="single" w:color="FFFFFF" w:sz="4" w:space="4"/>
        <w:left w:val="single" w:color="FFFFFF" w:sz="4" w:space="4"/>
        <w:bottom w:val="single" w:color="FFFFFF" w:sz="4" w:space="4"/>
        <w:right w:val="single" w:color="FFFFFF" w:sz="4" w:space="4"/>
      </w:pBdr>
      <w:spacing w:after="0"/>
    </w:pPr>
  </w:style>
  <w:style w:type="paragraph" w:customStyle="1" w:styleId="24">
    <w:name w:val="TableBody"/>
    <w:basedOn w:val="23"/>
    <w:qFormat/>
    <w:uiPriority w:val="0"/>
  </w:style>
  <w:style w:type="paragraph" w:customStyle="1" w:styleId="25">
    <w:name w:val="TableFoot"/>
    <w:basedOn w:val="24"/>
    <w:qFormat/>
    <w:uiPriority w:val="0"/>
    <w:pPr>
      <w:spacing w:before="60" w:after="60"/>
    </w:pPr>
  </w:style>
  <w:style w:type="paragraph" w:customStyle="1" w:styleId="26">
    <w:name w:val="SchemeCaption"/>
    <w:basedOn w:val="1"/>
    <w:qFormat/>
    <w:uiPriority w:val="0"/>
    <w:pPr>
      <w:spacing w:before="230" w:after="460" w:line="190" w:lineRule="exact"/>
      <w:jc w:val="both"/>
    </w:pPr>
    <w:rPr>
      <w:rFonts w:ascii="Arial" w:hAnsi="Arial"/>
      <w:sz w:val="16"/>
      <w:szCs w:val="14"/>
      <w:lang w:val="en-GB"/>
    </w:rPr>
  </w:style>
  <w:style w:type="paragraph" w:customStyle="1" w:styleId="27">
    <w:name w:val="STOE"/>
    <w:basedOn w:val="1"/>
    <w:link w:val="28"/>
    <w:qFormat/>
    <w:uiPriority w:val="0"/>
    <w:pPr>
      <w:widowControl w:val="0"/>
      <w:spacing w:line="236" w:lineRule="exact"/>
      <w:ind w:right="4434"/>
      <w:jc w:val="both"/>
    </w:pPr>
    <w:rPr>
      <w:rFonts w:ascii="Times" w:hAnsi="Times"/>
      <w:sz w:val="18"/>
      <w:szCs w:val="3276"/>
      <w:lang w:val="en-GB" w:eastAsia="de-DE"/>
    </w:rPr>
  </w:style>
  <w:style w:type="character" w:customStyle="1" w:styleId="28">
    <w:name w:val="STOE Char1"/>
    <w:link w:val="27"/>
    <w:qFormat/>
    <w:uiPriority w:val="0"/>
    <w:rPr>
      <w:rFonts w:ascii="Times" w:hAnsi="Times"/>
      <w:sz w:val="18"/>
      <w:szCs w:val="3276"/>
      <w:lang w:val="en-GB" w:eastAsia="de-DE" w:bidi="ar-SA"/>
    </w:rPr>
  </w:style>
  <w:style w:type="paragraph" w:customStyle="1" w:styleId="29">
    <w:name w:val="Title1"/>
    <w:basedOn w:val="1"/>
    <w:qFormat/>
    <w:uiPriority w:val="0"/>
    <w:rPr>
      <w:b/>
      <w:lang w:val="en-US"/>
    </w:rPr>
  </w:style>
  <w:style w:type="paragraph" w:customStyle="1" w:styleId="30">
    <w:name w:val="Authors Full"/>
    <w:basedOn w:val="1"/>
    <w:qFormat/>
    <w:uiPriority w:val="0"/>
    <w:rPr>
      <w:i/>
      <w:lang w:val="en-US"/>
    </w:rPr>
  </w:style>
  <w:style w:type="paragraph" w:customStyle="1" w:styleId="31">
    <w:name w:val="dedication"/>
    <w:basedOn w:val="1"/>
    <w:qFormat/>
    <w:uiPriority w:val="0"/>
    <w:rPr>
      <w:i/>
      <w:lang w:val="en-US"/>
    </w:rPr>
  </w:style>
  <w:style w:type="paragraph" w:customStyle="1" w:styleId="32">
    <w:name w:val="Addresses"/>
    <w:basedOn w:val="1"/>
    <w:qFormat/>
    <w:uiPriority w:val="0"/>
    <w:rPr>
      <w:lang w:val="en-US"/>
    </w:rPr>
  </w:style>
  <w:style w:type="paragraph" w:customStyle="1" w:styleId="33">
    <w:name w:val="Acknowledgements"/>
    <w:basedOn w:val="1"/>
    <w:qFormat/>
    <w:uiPriority w:val="0"/>
    <w:rPr>
      <w:lang w:val="en-US"/>
    </w:rPr>
  </w:style>
  <w:style w:type="paragraph" w:customStyle="1" w:styleId="34">
    <w:name w:val="Abstract"/>
    <w:basedOn w:val="1"/>
    <w:qFormat/>
    <w:uiPriority w:val="0"/>
    <w:pPr>
      <w:spacing w:line="480" w:lineRule="auto"/>
    </w:pPr>
    <w:rPr>
      <w:lang w:val="en-US"/>
    </w:rPr>
  </w:style>
  <w:style w:type="paragraph" w:customStyle="1" w:styleId="35">
    <w:name w:val="Head 1"/>
    <w:basedOn w:val="1"/>
    <w:qFormat/>
    <w:uiPriority w:val="0"/>
    <w:pPr>
      <w:spacing w:line="360" w:lineRule="auto"/>
    </w:pPr>
    <w:rPr>
      <w:b/>
      <w:lang w:val="en-US"/>
    </w:rPr>
  </w:style>
  <w:style w:type="paragraph" w:customStyle="1" w:styleId="36">
    <w:name w:val="Head 2"/>
    <w:basedOn w:val="1"/>
    <w:qFormat/>
    <w:uiPriority w:val="0"/>
    <w:pPr>
      <w:spacing w:line="360" w:lineRule="auto"/>
    </w:pPr>
    <w:rPr>
      <w:i/>
      <w:lang w:val="en-US"/>
    </w:rPr>
  </w:style>
  <w:style w:type="paragraph" w:customStyle="1" w:styleId="37">
    <w:name w:val="dates"/>
    <w:basedOn w:val="1"/>
    <w:qFormat/>
    <w:uiPriority w:val="0"/>
    <w:pPr>
      <w:jc w:val="right"/>
    </w:pPr>
    <w:rPr>
      <w:lang w:val="en-US"/>
    </w:rPr>
  </w:style>
  <w:style w:type="paragraph" w:customStyle="1" w:styleId="38">
    <w:name w:val="Literature"/>
    <w:basedOn w:val="1"/>
    <w:qFormat/>
    <w:uiPriority w:val="0"/>
    <w:pPr>
      <w:spacing w:line="480" w:lineRule="auto"/>
    </w:pPr>
  </w:style>
  <w:style w:type="paragraph" w:customStyle="1" w:styleId="39">
    <w:name w:val="Legend"/>
    <w:basedOn w:val="1"/>
    <w:autoRedefine/>
    <w:qFormat/>
    <w:uiPriority w:val="0"/>
    <w:rPr>
      <w:lang w:val="en-US"/>
    </w:rPr>
  </w:style>
  <w:style w:type="paragraph" w:customStyle="1" w:styleId="40">
    <w:name w:val="Main Text"/>
    <w:basedOn w:val="1"/>
    <w:link w:val="44"/>
    <w:autoRedefine/>
    <w:qFormat/>
    <w:uiPriority w:val="0"/>
    <w:pPr>
      <w:spacing w:before="240" w:line="360" w:lineRule="auto"/>
      <w:jc w:val="both"/>
    </w:pPr>
    <w:rPr>
      <w:rFonts w:asciiTheme="minorHAnsi" w:hAnsiTheme="minorHAnsi" w:cstheme="minorHAnsi"/>
      <w:b/>
      <w:sz w:val="28"/>
      <w:szCs w:val="28"/>
      <w:lang w:val="en-US"/>
    </w:rPr>
  </w:style>
  <w:style w:type="paragraph" w:customStyle="1" w:styleId="41">
    <w:name w:val="Table of contents"/>
    <w:basedOn w:val="1"/>
    <w:autoRedefine/>
    <w:qFormat/>
    <w:uiPriority w:val="0"/>
    <w:rPr>
      <w:lang w:val="en-US"/>
    </w:rPr>
  </w:style>
  <w:style w:type="paragraph" w:customStyle="1" w:styleId="42">
    <w:name w:val="Experimental Text"/>
    <w:basedOn w:val="1"/>
    <w:link w:val="43"/>
    <w:autoRedefine/>
    <w:qFormat/>
    <w:uiPriority w:val="0"/>
    <w:pPr>
      <w:spacing w:line="480" w:lineRule="auto"/>
    </w:pPr>
    <w:rPr>
      <w:lang w:val="en-US"/>
    </w:rPr>
  </w:style>
  <w:style w:type="character" w:customStyle="1" w:styleId="43">
    <w:name w:val="Experimental Text Char"/>
    <w:link w:val="42"/>
    <w:autoRedefine/>
    <w:qFormat/>
    <w:uiPriority w:val="0"/>
    <w:rPr>
      <w:rFonts w:eastAsia="MS Mincho"/>
      <w:sz w:val="24"/>
      <w:szCs w:val="24"/>
      <w:lang w:val="en-US" w:eastAsia="ja-JP" w:bidi="ar-SA"/>
    </w:rPr>
  </w:style>
  <w:style w:type="character" w:customStyle="1" w:styleId="44">
    <w:name w:val="Main Text Char"/>
    <w:link w:val="40"/>
    <w:autoRedefine/>
    <w:qFormat/>
    <w:uiPriority w:val="0"/>
    <w:rPr>
      <w:rFonts w:eastAsia="MS Mincho" w:asciiTheme="minorHAnsi" w:hAnsiTheme="minorHAnsi" w:cstheme="minorHAnsi"/>
      <w:b/>
      <w:sz w:val="28"/>
      <w:szCs w:val="28"/>
      <w:lang w:val="en-US" w:eastAsia="ja-JP"/>
    </w:rPr>
  </w:style>
  <w:style w:type="paragraph" w:customStyle="1" w:styleId="45">
    <w:name w:val="Title2"/>
    <w:basedOn w:val="1"/>
    <w:autoRedefine/>
    <w:qFormat/>
    <w:uiPriority w:val="0"/>
    <w:rPr>
      <w:b/>
      <w:lang w:val="en-US"/>
    </w:rPr>
  </w:style>
  <w:style w:type="paragraph" w:customStyle="1" w:styleId="46">
    <w:name w:val="Dedication"/>
    <w:basedOn w:val="1"/>
    <w:autoRedefine/>
    <w:qFormat/>
    <w:uiPriority w:val="0"/>
    <w:rPr>
      <w:lang w:val="en-US"/>
    </w:rPr>
  </w:style>
  <w:style w:type="paragraph" w:customStyle="1" w:styleId="47">
    <w:name w:val="Main text"/>
    <w:basedOn w:val="1"/>
    <w:link w:val="48"/>
    <w:autoRedefine/>
    <w:qFormat/>
    <w:uiPriority w:val="0"/>
    <w:pPr>
      <w:spacing w:after="360" w:line="480" w:lineRule="auto"/>
      <w:jc w:val="both"/>
    </w:pPr>
    <w:rPr>
      <w:b/>
      <w:sz w:val="21"/>
      <w:szCs w:val="21"/>
      <w:lang w:val="en-US"/>
    </w:rPr>
  </w:style>
  <w:style w:type="character" w:customStyle="1" w:styleId="48">
    <w:name w:val="Main text Char"/>
    <w:link w:val="47"/>
    <w:qFormat/>
    <w:uiPriority w:val="0"/>
    <w:rPr>
      <w:rFonts w:eastAsia="MS Mincho"/>
      <w:b/>
      <w:sz w:val="21"/>
      <w:szCs w:val="21"/>
      <w:lang w:eastAsia="ja-JP"/>
    </w:rPr>
  </w:style>
  <w:style w:type="paragraph" w:customStyle="1" w:styleId="49">
    <w:name w:val="Biography"/>
    <w:basedOn w:val="1"/>
    <w:autoRedefine/>
    <w:qFormat/>
    <w:uiPriority w:val="0"/>
    <w:rPr>
      <w:i/>
      <w:lang w:val="en-US"/>
    </w:rPr>
  </w:style>
  <w:style w:type="character" w:customStyle="1" w:styleId="50">
    <w:name w:val="页眉 字符"/>
    <w:link w:val="5"/>
    <w:autoRedefine/>
    <w:qFormat/>
    <w:uiPriority w:val="99"/>
    <w:rPr>
      <w:sz w:val="24"/>
      <w:szCs w:val="24"/>
      <w:lang w:eastAsia="ja-JP"/>
    </w:rPr>
  </w:style>
  <w:style w:type="character" w:customStyle="1" w:styleId="51">
    <w:name w:val="批注文字 字符"/>
    <w:link w:val="2"/>
    <w:autoRedefine/>
    <w:semiHidden/>
    <w:qFormat/>
    <w:uiPriority w:val="99"/>
    <w:rPr>
      <w:lang w:eastAsia="ja-JP"/>
    </w:rPr>
  </w:style>
  <w:style w:type="character" w:customStyle="1" w:styleId="52">
    <w:name w:val="批注主题 字符"/>
    <w:link w:val="8"/>
    <w:autoRedefine/>
    <w:semiHidden/>
    <w:qFormat/>
    <w:uiPriority w:val="99"/>
    <w:rPr>
      <w:b/>
      <w:bCs/>
      <w:lang w:eastAsia="ja-JP"/>
    </w:rPr>
  </w:style>
  <w:style w:type="character" w:customStyle="1" w:styleId="53">
    <w:name w:val="页脚 字符"/>
    <w:link w:val="4"/>
    <w:autoRedefine/>
    <w:qFormat/>
    <w:uiPriority w:val="99"/>
    <w:rPr>
      <w:sz w:val="24"/>
      <w:szCs w:val="24"/>
      <w:lang w:eastAsia="ja-JP"/>
    </w:rPr>
  </w:style>
  <w:style w:type="character" w:customStyle="1" w:styleId="54">
    <w:name w:val="未处理的提及1"/>
    <w:basedOn w:val="11"/>
    <w:autoRedefine/>
    <w:semiHidden/>
    <w:unhideWhenUsed/>
    <w:qFormat/>
    <w:uiPriority w:val="99"/>
    <w:rPr>
      <w:color w:val="605E5C"/>
      <w:shd w:val="clear" w:color="auto" w:fill="E1DFDD"/>
    </w:rPr>
  </w:style>
  <w:style w:type="paragraph" w:customStyle="1" w:styleId="55">
    <w:name w:val="10 Body Indent"/>
    <w:basedOn w:val="1"/>
    <w:link w:val="56"/>
    <w:autoRedefine/>
    <w:qFormat/>
    <w:uiPriority w:val="0"/>
    <w:pPr>
      <w:tabs>
        <w:tab w:val="left" w:pos="1350"/>
      </w:tabs>
      <w:autoSpaceDE w:val="0"/>
      <w:autoSpaceDN w:val="0"/>
      <w:adjustRightInd w:val="0"/>
      <w:ind w:firstLine="187"/>
      <w:jc w:val="both"/>
    </w:pPr>
    <w:rPr>
      <w:rFonts w:ascii="Cambria" w:hAnsi="Cambria" w:eastAsia="Malgun Gothic" w:cstheme="minorBidi"/>
      <w:spacing w:val="-8"/>
      <w:sz w:val="18"/>
      <w:szCs w:val="16"/>
      <w:lang w:val="en-US" w:eastAsia="en-US"/>
    </w:rPr>
  </w:style>
  <w:style w:type="character" w:customStyle="1" w:styleId="56">
    <w:name w:val="10 Body Indent Char"/>
    <w:link w:val="55"/>
    <w:autoRedefine/>
    <w:qFormat/>
    <w:locked/>
    <w:uiPriority w:val="0"/>
    <w:rPr>
      <w:rFonts w:ascii="Cambria" w:hAnsi="Cambria" w:eastAsia="Malgun Gothic" w:cstheme="minorBidi"/>
      <w:spacing w:val="-8"/>
      <w:sz w:val="18"/>
      <w:szCs w:val="16"/>
      <w:lang w:val="en-US" w:eastAsia="en-US"/>
    </w:rPr>
  </w:style>
  <w:style w:type="character" w:styleId="57">
    <w:name w:val="Placeholder Text"/>
    <w:basedOn w:val="11"/>
    <w:autoRedefine/>
    <w:semiHidden/>
    <w:qFormat/>
    <w:uiPriority w:val="99"/>
    <w:rPr>
      <w:color w:val="808080"/>
    </w:rPr>
  </w:style>
  <w:style w:type="paragraph" w:customStyle="1" w:styleId="58">
    <w:name w:val="MTDisplayEquation"/>
    <w:basedOn w:val="1"/>
    <w:next w:val="1"/>
    <w:link w:val="59"/>
    <w:autoRedefine/>
    <w:qFormat/>
    <w:uiPriority w:val="0"/>
    <w:pPr>
      <w:tabs>
        <w:tab w:val="center" w:pos="4540"/>
        <w:tab w:val="right" w:pos="9080"/>
      </w:tabs>
      <w:spacing w:line="360" w:lineRule="auto"/>
      <w:ind w:firstLine="240" w:firstLineChars="100"/>
      <w:jc w:val="both"/>
    </w:pPr>
    <w:rPr>
      <w:lang w:val="en-US"/>
    </w:rPr>
  </w:style>
  <w:style w:type="character" w:customStyle="1" w:styleId="59">
    <w:name w:val="MTDisplayEquation 字符"/>
    <w:basedOn w:val="11"/>
    <w:link w:val="58"/>
    <w:autoRedefine/>
    <w:qFormat/>
    <w:uiPriority w:val="0"/>
    <w:rPr>
      <w:sz w:val="24"/>
      <w:szCs w:val="24"/>
      <w:lang w:val="en-US" w:eastAsia="ja-JP"/>
    </w:rPr>
  </w:style>
  <w:style w:type="character" w:customStyle="1" w:styleId="60">
    <w:name w:val="MTEquationSection"/>
    <w:basedOn w:val="11"/>
    <w:autoRedefine/>
    <w:qFormat/>
    <w:uiPriority w:val="0"/>
    <w:rPr>
      <w:vanish/>
      <w:color w:val="FF0000"/>
    </w:rPr>
  </w:style>
  <w:style w:type="paragraph" w:styleId="61">
    <w:name w:val="List Paragraph"/>
    <w:basedOn w:val="1"/>
    <w:unhideWhenUsed/>
    <w:qFormat/>
    <w:uiPriority w:val="99"/>
    <w:pPr>
      <w:ind w:firstLine="420" w:firstLineChars="200"/>
    </w:pPr>
  </w:style>
  <w:style w:type="paragraph" w:customStyle="1" w:styleId="62">
    <w:name w:val="OSA Title"/>
    <w:basedOn w:val="1"/>
    <w:next w:val="63"/>
    <w:qFormat/>
    <w:uiPriority w:val="0"/>
    <w:pPr>
      <w:spacing w:before="1200" w:after="200"/>
    </w:pPr>
    <w:rPr>
      <w:rFonts w:ascii="Calibri" w:hAnsi="Calibri" w:eastAsia="宋体"/>
      <w:b/>
      <w:spacing w:val="6"/>
      <w:kern w:val="16"/>
      <w:position w:val="2"/>
      <w:sz w:val="44"/>
      <w:szCs w:val="16"/>
      <w:lang w:val="en-US" w:eastAsia="en-US"/>
    </w:rPr>
  </w:style>
  <w:style w:type="paragraph" w:customStyle="1" w:styleId="63">
    <w:name w:val="OSA Author"/>
    <w:basedOn w:val="1"/>
    <w:next w:val="64"/>
    <w:link w:val="68"/>
    <w:qFormat/>
    <w:uiPriority w:val="0"/>
    <w:pPr>
      <w:spacing w:after="120"/>
      <w:ind w:right="432"/>
    </w:pPr>
    <w:rPr>
      <w:rFonts w:ascii="Calibri" w:hAnsi="Calibri" w:eastAsia="宋体"/>
      <w:b/>
      <w:smallCaps/>
      <w:color w:val="1F497D"/>
      <w:spacing w:val="6"/>
      <w:sz w:val="32"/>
      <w:szCs w:val="16"/>
      <w:lang w:val="en-US" w:eastAsia="en-US"/>
    </w:rPr>
  </w:style>
  <w:style w:type="paragraph" w:customStyle="1" w:styleId="64">
    <w:name w:val="OSA Author Affliation"/>
    <w:basedOn w:val="63"/>
    <w:link w:val="69"/>
    <w:qFormat/>
    <w:uiPriority w:val="0"/>
    <w:pPr>
      <w:spacing w:after="0"/>
    </w:pPr>
    <w:rPr>
      <w:b w:val="0"/>
      <w:i/>
      <w:smallCaps w:val="0"/>
      <w:color w:val="auto"/>
      <w:spacing w:val="0"/>
      <w:sz w:val="17"/>
    </w:rPr>
  </w:style>
  <w:style w:type="paragraph" w:customStyle="1" w:styleId="65">
    <w:name w:val="OSA History"/>
    <w:basedOn w:val="1"/>
    <w:next w:val="1"/>
    <w:link w:val="70"/>
    <w:qFormat/>
    <w:uiPriority w:val="0"/>
    <w:pPr>
      <w:pBdr>
        <w:bottom w:val="single" w:color="auto" w:sz="4" w:space="4"/>
      </w:pBdr>
      <w:spacing w:before="120"/>
    </w:pPr>
    <w:rPr>
      <w:rFonts w:ascii="Calibri" w:hAnsi="Calibri" w:eastAsia="宋体"/>
      <w:sz w:val="17"/>
      <w:szCs w:val="16"/>
      <w:lang w:val="en-US" w:eastAsia="en-US"/>
    </w:rPr>
  </w:style>
  <w:style w:type="paragraph" w:customStyle="1" w:styleId="66">
    <w:name w:val="OSA Body Indent"/>
    <w:basedOn w:val="1"/>
    <w:link w:val="67"/>
    <w:qFormat/>
    <w:uiPriority w:val="0"/>
    <w:pPr>
      <w:tabs>
        <w:tab w:val="left" w:pos="1350"/>
      </w:tabs>
      <w:autoSpaceDE w:val="0"/>
      <w:autoSpaceDN w:val="0"/>
      <w:adjustRightInd w:val="0"/>
      <w:ind w:firstLine="187"/>
      <w:jc w:val="both"/>
    </w:pPr>
    <w:rPr>
      <w:rFonts w:ascii="Cambria" w:hAnsi="Cambria" w:eastAsia="Malgun Gothic"/>
      <w:spacing w:val="-8"/>
      <w:sz w:val="19"/>
      <w:szCs w:val="16"/>
      <w:lang w:val="en-US" w:eastAsia="en-US"/>
    </w:rPr>
  </w:style>
  <w:style w:type="character" w:customStyle="1" w:styleId="67">
    <w:name w:val="OSA Body Indent Char"/>
    <w:link w:val="66"/>
    <w:qFormat/>
    <w:uiPriority w:val="0"/>
    <w:rPr>
      <w:rFonts w:ascii="Cambria" w:hAnsi="Cambria" w:eastAsia="Malgun Gothic"/>
      <w:spacing w:val="-8"/>
      <w:sz w:val="19"/>
      <w:szCs w:val="16"/>
      <w:lang w:val="en-US" w:eastAsia="en-US"/>
    </w:rPr>
  </w:style>
  <w:style w:type="character" w:customStyle="1" w:styleId="68">
    <w:name w:val="OSA Author Char"/>
    <w:link w:val="63"/>
    <w:qFormat/>
    <w:uiPriority w:val="0"/>
    <w:rPr>
      <w:rFonts w:ascii="Calibri" w:hAnsi="Calibri"/>
      <w:b/>
      <w:smallCaps/>
      <w:color w:val="1F497D"/>
      <w:spacing w:val="6"/>
      <w:sz w:val="32"/>
      <w:szCs w:val="16"/>
      <w:lang w:val="en-US" w:eastAsia="en-US"/>
    </w:rPr>
  </w:style>
  <w:style w:type="character" w:customStyle="1" w:styleId="69">
    <w:name w:val="OSA Author Affliation Char"/>
    <w:link w:val="64"/>
    <w:qFormat/>
    <w:uiPriority w:val="0"/>
    <w:rPr>
      <w:rFonts w:ascii="Calibri" w:hAnsi="Calibri"/>
      <w:i/>
      <w:sz w:val="17"/>
      <w:szCs w:val="16"/>
      <w:lang w:val="en-US" w:eastAsia="en-US"/>
    </w:rPr>
  </w:style>
  <w:style w:type="character" w:customStyle="1" w:styleId="70">
    <w:name w:val="OSA History Char"/>
    <w:link w:val="65"/>
    <w:qFormat/>
    <w:uiPriority w:val="0"/>
    <w:rPr>
      <w:rFonts w:ascii="Calibri" w:hAnsi="Calibri"/>
      <w:sz w:val="17"/>
      <w:szCs w:val="16"/>
      <w:lang w:val="en-US" w:eastAsia="en-US"/>
    </w:rPr>
  </w:style>
  <w:style w:type="paragraph" w:customStyle="1" w:styleId="71">
    <w:name w:val="14. Table Caption"/>
    <w:basedOn w:val="1"/>
    <w:next w:val="1"/>
    <w:qFormat/>
    <w:uiPriority w:val="0"/>
    <w:pPr>
      <w:spacing w:before="240" w:after="160"/>
      <w:jc w:val="center"/>
    </w:pPr>
    <w:rPr>
      <w:rFonts w:eastAsiaTheme="minorEastAsia" w:cstheme="minorBidi"/>
      <w:b/>
      <w:color w:val="000000" w:themeColor="text1"/>
      <w:sz w:val="16"/>
      <w:szCs w:val="22"/>
      <w:lang w:val="en-US" w:eastAsia="en-US"/>
      <w14:textFill>
        <w14:solidFill>
          <w14:schemeClr w14:val="tx1"/>
        </w14:solidFill>
      </w14:textFill>
    </w:rPr>
  </w:style>
  <w:style w:type="paragraph" w:customStyle="1" w:styleId="72">
    <w:name w:val="02. Author - OL"/>
    <w:basedOn w:val="1"/>
    <w:next w:val="1"/>
    <w:qFormat/>
    <w:uiPriority w:val="0"/>
    <w:pPr>
      <w:spacing w:before="240" w:after="80"/>
    </w:pPr>
    <w:rPr>
      <w:rFonts w:ascii="Arial" w:hAnsi="Arial" w:eastAsiaTheme="minorEastAsia" w:cstheme="minorBidi"/>
      <w:b/>
      <w:smallCaps/>
      <w:color w:val="254982"/>
      <w:szCs w:val="22"/>
      <w:lang w:val="en-US" w:eastAsia="en-US"/>
    </w:rPr>
  </w:style>
  <w:style w:type="paragraph" w:customStyle="1" w:styleId="73">
    <w:name w:val="Subhead"/>
    <w:basedOn w:val="1"/>
    <w:link w:val="74"/>
    <w:autoRedefine/>
    <w:qFormat/>
    <w:uiPriority w:val="0"/>
    <w:pPr>
      <w:keepNext/>
      <w:spacing w:before="240" w:after="160" w:line="259" w:lineRule="auto"/>
      <w:outlineLvl w:val="0"/>
    </w:pPr>
    <w:rPr>
      <w:rFonts w:eastAsia="Times New Roman"/>
      <w:b/>
      <w:bCs/>
      <w:kern w:val="28"/>
      <w:lang w:val="en-US" w:eastAsia="en-US"/>
    </w:rPr>
  </w:style>
  <w:style w:type="character" w:customStyle="1" w:styleId="74">
    <w:name w:val="Subhead Char"/>
    <w:link w:val="73"/>
    <w:autoRedefine/>
    <w:qFormat/>
    <w:uiPriority w:val="0"/>
    <w:rPr>
      <w:rFonts w:eastAsia="Times New Roman"/>
      <w:b/>
      <w:bCs/>
      <w:kern w:val="28"/>
      <w:sz w:val="24"/>
      <w:szCs w:val="24"/>
      <w:lang w:eastAsia="en-US"/>
    </w:rPr>
  </w:style>
  <w:style w:type="character" w:customStyle="1" w:styleId="75">
    <w:name w:val="null"/>
    <w:basedOn w:val="11"/>
    <w:qFormat/>
    <w:uiPriority w:val="0"/>
  </w:style>
  <w:style w:type="paragraph" w:customStyle="1" w:styleId="76">
    <w:name w:val="正文1"/>
    <w:uiPriority w:val="0"/>
    <w:pPr>
      <w:jc w:val="both"/>
    </w:pPr>
    <w:rPr>
      <w:rFonts w:ascii="Calibri" w:hAnsi="Calibri" w:eastAsia="宋体" w:cs="Calibri"/>
      <w:kern w:val="2"/>
      <w:sz w:val="21"/>
      <w:szCs w:val="21"/>
      <w:lang w:val="en-US" w:eastAsia="zh-CN" w:bidi="ar-SA"/>
    </w:rPr>
  </w:style>
  <w:style w:type="table" w:customStyle="1" w:styleId="77">
    <w:name w:val="网格型2"/>
    <w:basedOn w:val="9"/>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8">
    <w:name w:val="01.title"/>
    <w:basedOn w:val="1"/>
    <w:next w:val="79"/>
    <w:qFormat/>
    <w:uiPriority w:val="0"/>
    <w:pPr>
      <w:spacing w:before="360" w:after="360" w:line="480" w:lineRule="auto"/>
      <w:jc w:val="center"/>
    </w:pPr>
    <w:rPr>
      <w:b/>
      <w:sz w:val="36"/>
    </w:rPr>
  </w:style>
  <w:style w:type="paragraph" w:customStyle="1" w:styleId="79">
    <w:name w:val="02.authors"/>
    <w:basedOn w:val="1"/>
    <w:next w:val="80"/>
    <w:qFormat/>
    <w:uiPriority w:val="0"/>
    <w:pPr>
      <w:spacing w:line="480" w:lineRule="auto"/>
      <w:jc w:val="center"/>
    </w:pPr>
    <w:rPr>
      <w:b/>
    </w:rPr>
  </w:style>
  <w:style w:type="paragraph" w:customStyle="1" w:styleId="80">
    <w:name w:val="03.address"/>
    <w:basedOn w:val="1"/>
    <w:next w:val="81"/>
    <w:qFormat/>
    <w:uiPriority w:val="0"/>
    <w:pPr>
      <w:spacing w:line="480" w:lineRule="auto"/>
      <w:jc w:val="center"/>
    </w:pPr>
    <w:rPr>
      <w:i/>
    </w:rPr>
  </w:style>
  <w:style w:type="paragraph" w:customStyle="1" w:styleId="81">
    <w:name w:val="04.abstract"/>
    <w:basedOn w:val="1"/>
    <w:next w:val="82"/>
    <w:qFormat/>
    <w:uiPriority w:val="0"/>
    <w:pPr>
      <w:spacing w:before="240" w:after="240" w:line="480" w:lineRule="auto"/>
      <w:ind w:left="288" w:right="288"/>
      <w:jc w:val="both"/>
    </w:pPr>
  </w:style>
  <w:style w:type="paragraph" w:customStyle="1" w:styleId="82">
    <w:name w:val="05.copyright"/>
    <w:basedOn w:val="1"/>
    <w:next w:val="83"/>
    <w:qFormat/>
    <w:uiPriority w:val="0"/>
    <w:pPr>
      <w:spacing w:line="480" w:lineRule="auto"/>
    </w:pPr>
  </w:style>
  <w:style w:type="paragraph" w:customStyle="1" w:styleId="83">
    <w:name w:val="06.OCIScodes"/>
    <w:basedOn w:val="1"/>
    <w:next w:val="84"/>
    <w:qFormat/>
    <w:uiPriority w:val="0"/>
    <w:pPr>
      <w:spacing w:before="120" w:line="480" w:lineRule="auto"/>
    </w:pPr>
    <w:rPr>
      <w:i/>
    </w:rPr>
  </w:style>
  <w:style w:type="paragraph" w:customStyle="1" w:styleId="84">
    <w:name w:val="07a.heading1"/>
    <w:basedOn w:val="1"/>
    <w:next w:val="85"/>
    <w:qFormat/>
    <w:uiPriority w:val="0"/>
    <w:pPr>
      <w:spacing w:before="280" w:line="480" w:lineRule="auto"/>
    </w:pPr>
    <w:rPr>
      <w:rFonts w:ascii="Arial" w:hAnsi="Arial"/>
      <w:b/>
      <w:sz w:val="28"/>
    </w:rPr>
  </w:style>
  <w:style w:type="paragraph" w:customStyle="1" w:styleId="85">
    <w:name w:val="08.text"/>
    <w:basedOn w:val="1"/>
    <w:qFormat/>
    <w:uiPriority w:val="0"/>
    <w:pPr>
      <w:spacing w:line="480" w:lineRule="auto"/>
      <w:jc w:val="both"/>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5.xml"/><Relationship Id="rId16" Type="http://schemas.openxmlformats.org/officeDocument/2006/relationships/customXml" Target="../customXml/item4.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925C-E763-4769-9959-2FEDA6D7CE8A}">
  <ds:schemaRefs/>
</ds:datastoreItem>
</file>

<file path=customXml/itemProps2.xml><?xml version="1.0" encoding="utf-8"?>
<ds:datastoreItem xmlns:ds="http://schemas.openxmlformats.org/officeDocument/2006/customXml" ds:itemID="{75886F76-A765-4714-B899-7AC2DC4334A1}">
  <ds:schemaRefs/>
</ds:datastoreItem>
</file>

<file path=customXml/itemProps3.xml><?xml version="1.0" encoding="utf-8"?>
<ds:datastoreItem xmlns:ds="http://schemas.openxmlformats.org/officeDocument/2006/customXml" ds:itemID="{E3F19EBF-8207-4BE7-AD18-240ED1895C11}">
  <ds:schemaRefs/>
</ds:datastoreItem>
</file>

<file path=customXml/itemProps4.xml><?xml version="1.0" encoding="utf-8"?>
<ds:datastoreItem xmlns:ds="http://schemas.openxmlformats.org/officeDocument/2006/customXml" ds:itemID="{96D19C85-73BE-4F5D-979F-58BFDE5BBE12}">
  <ds:schemaRefs/>
</ds:datastoreItem>
</file>

<file path=customXml/itemProps5.xml><?xml version="1.0" encoding="utf-8"?>
<ds:datastoreItem xmlns:ds="http://schemas.openxmlformats.org/officeDocument/2006/customXml" ds:itemID="{E7E395E1-6B9B-46CC-A132-F4E218F9FF16}">
  <ds:schemaRefs/>
</ds:datastoreItem>
</file>

<file path=docProps/app.xml><?xml version="1.0" encoding="utf-8"?>
<Properties xmlns="http://schemas.openxmlformats.org/officeDocument/2006/extended-properties" xmlns:vt="http://schemas.openxmlformats.org/officeDocument/2006/docPropsVTypes">
  <Template>Normal</Template>
  <Pages>9</Pages>
  <Words>1658</Words>
  <Characters>9183</Characters>
  <Lines>76</Lines>
  <Paragraphs>21</Paragraphs>
  <TotalTime>0</TotalTime>
  <ScaleCrop>false</ScaleCrop>
  <LinksUpToDate>false</LinksUpToDate>
  <CharactersWithSpaces>10776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2025-06-22T15:53:00Z</dcterms:created>
  <dc:creator>新硕 常</dc:creator>
  <cp:lastModifiedBy>York Huang</cp:lastModifiedBy>
  <dcterms:modified xsi:type="dcterms:W3CDTF">2025-07-25T05:49:24Z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y fmtid="{D5CDD505-2E9C-101B-9397-08002B2CF9AE}" pid="3" name="MTEquationNumber2">
    <vt:lpwstr>(#S1.#E1)</vt:lpwstr>
  </property>
  <property fmtid="{D5CDD505-2E9C-101B-9397-08002B2CF9AE}" pid="4" name="MTWinEqns">
    <vt:bool>true</vt:bool>
  </property>
  <property fmtid="{D5CDD505-2E9C-101B-9397-08002B2CF9AE}" pid="5" name="MTEquationSection">
    <vt:lpwstr>1</vt:lpwstr>
  </property>
  <property fmtid="{D5CDD505-2E9C-101B-9397-08002B2CF9AE}" pid="6" name="KSOProductBuildVer">
    <vt:lpwstr>2052-12.1.0.21915</vt:lpwstr>
  </property>
  <property fmtid="{D5CDD505-2E9C-101B-9397-08002B2CF9AE}" pid="7" name="ICV">
    <vt:lpwstr>B96A743B34EF4087A206E4BF5164F1DB</vt:lpwstr>
  </property>
  <property fmtid="{D5CDD505-2E9C-101B-9397-08002B2CF9AE}" pid="8" name="KSOTemplateDocerSaveRecord">
    <vt:lpwstr>eyJoZGlkIjoiOWU1MDQ1YzRlZjM1NWQ2YzQxNzk5YWM0ZTkzNGY5MGMiLCJ1c2VySWQiOiI3MjU5OTYxNDcifQ==</vt:lpwstr>
  </property>
</Properties>
</file>