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A864" w14:textId="756CDCFC" w:rsidR="00B4571C" w:rsidRDefault="00A660E6">
      <w:pPr>
        <w:pStyle w:val="01Title"/>
      </w:pPr>
      <w:bookmarkStart w:id="0" w:name="_GoBack"/>
      <w:bookmarkEnd w:id="0"/>
      <w:r w:rsidRPr="00A660E6">
        <w:t>Extremely powerful and frequency-tunable terahertz pulses from a table-top laser-plasma wiggler</w:t>
      </w:r>
    </w:p>
    <w:p w14:paraId="6630CAC2" w14:textId="77777777" w:rsidR="00B4571C" w:rsidRDefault="00B4571C">
      <w:pPr>
        <w:pStyle w:val="09BodyFirstParagraph"/>
        <w:rPr>
          <w:b/>
          <w:bCs/>
        </w:rPr>
      </w:pPr>
    </w:p>
    <w:p w14:paraId="78DF6AC9" w14:textId="2E2167C8" w:rsidR="00B4571C" w:rsidRPr="00AF3302" w:rsidRDefault="00947087">
      <w:pPr>
        <w:pStyle w:val="09BodyFirstParagraph"/>
        <w:rPr>
          <w:b/>
          <w:bCs/>
          <w:sz w:val="24"/>
          <w:szCs w:val="24"/>
        </w:rPr>
      </w:pPr>
      <w:r w:rsidRPr="00AF3302">
        <w:rPr>
          <w:rFonts w:hint="eastAsia"/>
          <w:b/>
          <w:bCs/>
          <w:sz w:val="24"/>
          <w:szCs w:val="24"/>
        </w:rPr>
        <w:t xml:space="preserve">1 </w:t>
      </w:r>
      <w:r w:rsidR="00101AF6" w:rsidRPr="00AF3302">
        <w:rPr>
          <w:b/>
          <w:bCs/>
          <w:sz w:val="24"/>
          <w:szCs w:val="24"/>
        </w:rPr>
        <w:t>Influence of laser intensity and density</w:t>
      </w:r>
    </w:p>
    <w:p w14:paraId="1A2E1590" w14:textId="05A99A1F" w:rsidR="00C6448C" w:rsidRPr="00AF3302" w:rsidRDefault="00C6448C">
      <w:pPr>
        <w:pStyle w:val="10BodySubsequentParagraph"/>
        <w:rPr>
          <w:sz w:val="24"/>
          <w:szCs w:val="24"/>
        </w:rPr>
      </w:pPr>
      <w:r w:rsidRPr="00C6448C">
        <w:rPr>
          <w:sz w:val="24"/>
          <w:szCs w:val="24"/>
        </w:rPr>
        <w:t>To further explore the impact of laser intensity and plasma density on terahertz radiation, we conducted additional parameter scans. Fig</w:t>
      </w:r>
      <w:r w:rsidR="000938AB">
        <w:rPr>
          <w:sz w:val="24"/>
          <w:szCs w:val="24"/>
        </w:rPr>
        <w:t>. S1</w:t>
      </w:r>
      <w:r w:rsidRPr="00C6448C">
        <w:rPr>
          <w:sz w:val="24"/>
          <w:szCs w:val="24"/>
        </w:rPr>
        <w:t xml:space="preserve"> (a) illustrates the influence of laser intensity on both efficiency and frequency. As depicted, with increasing light intensity, the frequency experiences fluctuations until it eventually stabilizes. On the other hand, </w:t>
      </w:r>
      <w:r w:rsidR="0069751C" w:rsidRPr="00C6448C">
        <w:rPr>
          <w:sz w:val="24"/>
          <w:szCs w:val="24"/>
        </w:rPr>
        <w:t>Fig</w:t>
      </w:r>
      <w:r w:rsidR="0069751C">
        <w:rPr>
          <w:sz w:val="24"/>
          <w:szCs w:val="24"/>
        </w:rPr>
        <w:t>. S1</w:t>
      </w:r>
      <w:r w:rsidR="0069751C" w:rsidRPr="00C6448C">
        <w:rPr>
          <w:sz w:val="24"/>
          <w:szCs w:val="24"/>
        </w:rPr>
        <w:t xml:space="preserve"> </w:t>
      </w:r>
      <w:r w:rsidRPr="00C6448C">
        <w:rPr>
          <w:sz w:val="24"/>
          <w:szCs w:val="24"/>
        </w:rPr>
        <w:t>(b) demonstrates the effect of plasma density on efficiency and frequency. Here, we observe that as the plasma density rises, the energy conversion efficiency diminishes, while the frequency remains constant.</w:t>
      </w:r>
    </w:p>
    <w:p w14:paraId="4DEF0613" w14:textId="7DCED56B" w:rsidR="00B4571C" w:rsidRDefault="00E33E9A">
      <w:pPr>
        <w:pStyle w:val="11Figure"/>
        <w:rPr>
          <w:lang w:eastAsia="zh-CN"/>
        </w:rPr>
      </w:pPr>
      <w:r>
        <w:rPr>
          <w:noProof/>
          <w:lang w:val="en-IN" w:eastAsia="en-IN"/>
        </w:rPr>
        <w:drawing>
          <wp:inline distT="0" distB="0" distL="0" distR="0" wp14:anchorId="02DE5579" wp14:editId="3FAB39D5">
            <wp:extent cx="4791710" cy="18745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D7F9" w14:textId="374FA51A" w:rsidR="00B4571C" w:rsidRPr="00AF3302" w:rsidRDefault="003B3039">
      <w:pPr>
        <w:pStyle w:val="12FigureCaptionLong"/>
        <w:rPr>
          <w:sz w:val="20"/>
          <w:szCs w:val="20"/>
        </w:rPr>
      </w:pPr>
      <w:r w:rsidRPr="003B3039">
        <w:rPr>
          <w:sz w:val="20"/>
          <w:szCs w:val="20"/>
        </w:rPr>
        <w:t>Fig. S1</w:t>
      </w:r>
      <w:r>
        <w:rPr>
          <w:sz w:val="20"/>
          <w:szCs w:val="20"/>
        </w:rPr>
        <w:t>.</w:t>
      </w:r>
      <w:r w:rsidRPr="003B3039">
        <w:rPr>
          <w:sz w:val="20"/>
          <w:szCs w:val="20"/>
        </w:rPr>
        <w:t xml:space="preserve"> Energy conversion efficiency and center frequency as a function of</w:t>
      </w:r>
      <w:r w:rsidR="00DD0649">
        <w:rPr>
          <w:sz w:val="20"/>
          <w:szCs w:val="20"/>
        </w:rPr>
        <w:t xml:space="preserve"> (a)</w:t>
      </w:r>
      <w:r w:rsidRPr="003B3039">
        <w:rPr>
          <w:sz w:val="20"/>
          <w:szCs w:val="20"/>
        </w:rPr>
        <w:t xml:space="preserve"> laser intensity and </w:t>
      </w:r>
      <w:r w:rsidR="00D5373B">
        <w:rPr>
          <w:sz w:val="20"/>
          <w:szCs w:val="20"/>
        </w:rPr>
        <w:t xml:space="preserve">(b) </w:t>
      </w:r>
      <w:r w:rsidRPr="003B3039">
        <w:rPr>
          <w:sz w:val="20"/>
          <w:szCs w:val="20"/>
        </w:rPr>
        <w:t>plasma density at a length of 750 microns and thickness of 30 microns.</w:t>
      </w:r>
    </w:p>
    <w:p w14:paraId="651259D3" w14:textId="2BF43803" w:rsidR="00B4571C" w:rsidRPr="00AF3302" w:rsidRDefault="00947087">
      <w:pPr>
        <w:pStyle w:val="10BodySubsequentParagraph"/>
        <w:ind w:firstLine="0"/>
        <w:rPr>
          <w:b/>
          <w:bCs/>
          <w:sz w:val="24"/>
          <w:szCs w:val="24"/>
        </w:rPr>
      </w:pPr>
      <w:r w:rsidRPr="00AF3302">
        <w:rPr>
          <w:rFonts w:hint="eastAsia"/>
          <w:b/>
          <w:bCs/>
          <w:sz w:val="24"/>
          <w:szCs w:val="24"/>
        </w:rPr>
        <w:t>2</w:t>
      </w:r>
      <w:r w:rsidRPr="00AF3302">
        <w:rPr>
          <w:b/>
          <w:bCs/>
          <w:sz w:val="24"/>
          <w:szCs w:val="24"/>
        </w:rPr>
        <w:t xml:space="preserve"> </w:t>
      </w:r>
      <w:r w:rsidR="00E54BD1">
        <w:rPr>
          <w:b/>
          <w:bCs/>
          <w:sz w:val="24"/>
          <w:szCs w:val="24"/>
        </w:rPr>
        <w:t>Velocity</w:t>
      </w:r>
      <w:r w:rsidR="00837522" w:rsidRPr="00AF3302">
        <w:rPr>
          <w:b/>
          <w:bCs/>
          <w:sz w:val="24"/>
          <w:szCs w:val="24"/>
        </w:rPr>
        <w:t xml:space="preserve"> density distribution of B-type electrons</w:t>
      </w:r>
    </w:p>
    <w:p w14:paraId="0A26B6EC" w14:textId="068C973A" w:rsidR="00E63EDD" w:rsidRDefault="0053141D" w:rsidP="00E63EDD">
      <w:pPr>
        <w:pStyle w:val="11Figure"/>
      </w:pPr>
      <w:r>
        <w:rPr>
          <w:noProof/>
          <w:lang w:val="en-IN" w:eastAsia="en-IN"/>
        </w:rPr>
        <w:drawing>
          <wp:inline distT="0" distB="0" distL="0" distR="0" wp14:anchorId="5A9250DA" wp14:editId="3DF1CADA">
            <wp:extent cx="3478138" cy="1773361"/>
            <wp:effectExtent l="0" t="0" r="1905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537" cy="17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C914" w14:textId="3A1F2923" w:rsidR="00E63EDD" w:rsidRPr="002E53E3" w:rsidRDefault="00E63EDD" w:rsidP="00E63EDD">
      <w:pPr>
        <w:pStyle w:val="12FigureCaptionLong"/>
        <w:rPr>
          <w:sz w:val="20"/>
          <w:szCs w:val="20"/>
          <w:lang w:eastAsia="zh-CN"/>
        </w:rPr>
      </w:pPr>
      <w:r w:rsidRPr="00AF3302">
        <w:rPr>
          <w:rFonts w:hint="eastAsia"/>
          <w:sz w:val="20"/>
          <w:szCs w:val="20"/>
        </w:rPr>
        <w:t xml:space="preserve"> </w:t>
      </w:r>
      <w:r w:rsidR="002E53E3" w:rsidRPr="002E53E3">
        <w:rPr>
          <w:sz w:val="20"/>
          <w:szCs w:val="20"/>
          <w:lang w:eastAsia="zh-CN"/>
        </w:rPr>
        <w:t>Fig. S2</w:t>
      </w:r>
      <w:r w:rsidR="002E53E3">
        <w:rPr>
          <w:sz w:val="20"/>
          <w:szCs w:val="20"/>
          <w:lang w:eastAsia="zh-CN"/>
        </w:rPr>
        <w:t>.</w:t>
      </w:r>
      <w:r w:rsidR="002E53E3" w:rsidRPr="002E53E3">
        <w:rPr>
          <w:sz w:val="20"/>
          <w:szCs w:val="20"/>
          <w:lang w:eastAsia="zh-CN"/>
        </w:rPr>
        <w:t xml:space="preserve"> Type-B electron </w:t>
      </w:r>
      <w:r w:rsidR="00054F93">
        <w:rPr>
          <w:rFonts w:hint="eastAsia"/>
          <w:sz w:val="20"/>
          <w:szCs w:val="20"/>
          <w:lang w:eastAsia="zh-CN"/>
        </w:rPr>
        <w:t>velocity</w:t>
      </w:r>
      <w:r w:rsidR="00054F93">
        <w:rPr>
          <w:sz w:val="20"/>
          <w:szCs w:val="20"/>
          <w:lang w:eastAsia="zh-CN"/>
        </w:rPr>
        <w:t xml:space="preserve"> </w:t>
      </w:r>
      <w:r w:rsidR="002E53E3" w:rsidRPr="002E53E3">
        <w:rPr>
          <w:sz w:val="20"/>
          <w:szCs w:val="20"/>
          <w:lang w:eastAsia="zh-CN"/>
        </w:rPr>
        <w:t>density distribution at 900 fs.</w:t>
      </w:r>
    </w:p>
    <w:p w14:paraId="4A33A8D4" w14:textId="23A529CF" w:rsidR="00114F55" w:rsidRPr="00114F55" w:rsidRDefault="00114F55" w:rsidP="00114F55">
      <w:pPr>
        <w:pStyle w:val="10BodySubsequentParagraph"/>
        <w:rPr>
          <w:sz w:val="24"/>
          <w:szCs w:val="24"/>
        </w:rPr>
      </w:pPr>
      <w:r w:rsidRPr="00114F55">
        <w:rPr>
          <w:sz w:val="24"/>
          <w:szCs w:val="24"/>
        </w:rPr>
        <w:lastRenderedPageBreak/>
        <w:t xml:space="preserve">In PIC simulations, it is not possible to directly obtain the current of type-b electrons. Therefore, particle tracing is utilized to derive their current. The current is proportional to the product of </w:t>
      </w:r>
      <w:r w:rsidR="0053064B">
        <w:rPr>
          <w:sz w:val="24"/>
          <w:szCs w:val="24"/>
        </w:rPr>
        <w:t>velocity</w:t>
      </w:r>
      <w:r w:rsidRPr="00114F55">
        <w:rPr>
          <w:sz w:val="24"/>
          <w:szCs w:val="24"/>
        </w:rPr>
        <w:t xml:space="preserve"> and density. In Fig. (Please provide the correct figure number), the </w:t>
      </w:r>
      <w:r w:rsidR="0053064B">
        <w:rPr>
          <w:sz w:val="24"/>
          <w:szCs w:val="24"/>
        </w:rPr>
        <w:t>velocity</w:t>
      </w:r>
      <w:r w:rsidR="0053064B" w:rsidRPr="00114F55">
        <w:rPr>
          <w:sz w:val="24"/>
          <w:szCs w:val="24"/>
        </w:rPr>
        <w:t xml:space="preserve"> </w:t>
      </w:r>
      <w:r w:rsidRPr="00114F55">
        <w:rPr>
          <w:sz w:val="24"/>
          <w:szCs w:val="24"/>
        </w:rPr>
        <w:t xml:space="preserve">density distribution of type-b electrons, as described by </w:t>
      </w:r>
      <w:r w:rsidR="0053074F">
        <w:rPr>
          <w:sz w:val="24"/>
          <w:szCs w:val="24"/>
        </w:rPr>
        <w:t xml:space="preserve">Fig. </w:t>
      </w:r>
      <w:r w:rsidRPr="00114F55">
        <w:rPr>
          <w:sz w:val="24"/>
          <w:szCs w:val="24"/>
        </w:rPr>
        <w:t>S2, can be interpreted as the current resulting from the lateral motion of type-b electrons.</w:t>
      </w:r>
    </w:p>
    <w:p w14:paraId="3AE09745" w14:textId="77777777" w:rsidR="00114F55" w:rsidRPr="00114F55" w:rsidRDefault="00114F55" w:rsidP="00114F55">
      <w:pPr>
        <w:pStyle w:val="10BodySubsequentParagraph"/>
        <w:rPr>
          <w:sz w:val="24"/>
          <w:szCs w:val="24"/>
        </w:rPr>
      </w:pPr>
      <w:r w:rsidRPr="00114F55">
        <w:rPr>
          <w:sz w:val="24"/>
          <w:szCs w:val="24"/>
        </w:rPr>
        <w:t>The figure demonstrates that the periodic motion of electrons generates periodic currents, leading to radiation emission. As the simulation progresses, the period of the current density at the back-end gradually lengthens, which corresponds to a slight decrease in frequency observed during the parameter sweep. This behavior is consistent with the results obtained when increasing the length of the target in the parameter analysis.</w:t>
      </w:r>
    </w:p>
    <w:p w14:paraId="05C6F8DA" w14:textId="14496B1D" w:rsidR="00B4571C" w:rsidRPr="00AF3302" w:rsidRDefault="00947087">
      <w:pPr>
        <w:pStyle w:val="09BodyFirstParagraph"/>
        <w:rPr>
          <w:b/>
          <w:bCs/>
          <w:sz w:val="24"/>
          <w:szCs w:val="24"/>
        </w:rPr>
      </w:pPr>
      <w:r w:rsidRPr="00AF3302">
        <w:rPr>
          <w:rFonts w:hint="eastAsia"/>
          <w:b/>
          <w:bCs/>
          <w:sz w:val="24"/>
          <w:szCs w:val="24"/>
        </w:rPr>
        <w:t xml:space="preserve">3 The </w:t>
      </w:r>
      <w:r w:rsidR="00FD1C0A" w:rsidRPr="00AF3302">
        <w:rPr>
          <w:b/>
          <w:bCs/>
          <w:sz w:val="24"/>
          <w:szCs w:val="24"/>
        </w:rPr>
        <w:t>3D simulation results</w:t>
      </w:r>
    </w:p>
    <w:p w14:paraId="2F9B36FD" w14:textId="3020565E" w:rsidR="00B4571C" w:rsidRDefault="00490473">
      <w:pPr>
        <w:pStyle w:val="11Figure"/>
      </w:pPr>
      <w:r>
        <w:rPr>
          <w:noProof/>
          <w:lang w:val="en-IN" w:eastAsia="en-IN"/>
        </w:rPr>
        <w:drawing>
          <wp:inline distT="0" distB="0" distL="0" distR="0" wp14:anchorId="6DFCFAC2" wp14:editId="52A4E135">
            <wp:extent cx="4791710" cy="3926840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6591" w14:textId="6BE843A5" w:rsidR="00B4571C" w:rsidRDefault="00550FC3">
      <w:pPr>
        <w:pStyle w:val="12FigureCaptionLong"/>
        <w:rPr>
          <w:sz w:val="20"/>
          <w:szCs w:val="20"/>
          <w:lang w:eastAsia="zh-CN"/>
        </w:rPr>
      </w:pPr>
      <w:r w:rsidRPr="00550FC3">
        <w:rPr>
          <w:sz w:val="20"/>
          <w:szCs w:val="20"/>
          <w:lang w:eastAsia="zh-CN"/>
        </w:rPr>
        <w:t>Fig. S3</w:t>
      </w:r>
      <w:r>
        <w:rPr>
          <w:sz w:val="20"/>
          <w:szCs w:val="20"/>
          <w:lang w:eastAsia="zh-CN"/>
        </w:rPr>
        <w:t>.</w:t>
      </w:r>
      <w:r w:rsidRPr="00550FC3">
        <w:rPr>
          <w:sz w:val="20"/>
          <w:szCs w:val="20"/>
          <w:lang w:eastAsia="zh-CN"/>
        </w:rPr>
        <w:t xml:space="preserve"> The 3D reconstruction of terahertz field. (a) Angular radiation distribution of terahertz on the sampling screen. (b) Terahertz spectrogram at 0 degrees. (c) Time-angle electric field distribution at 0 degrees.</w:t>
      </w:r>
    </w:p>
    <w:p w14:paraId="77020B70" w14:textId="7E68E6DA" w:rsidR="00626999" w:rsidRPr="00626999" w:rsidRDefault="00626999" w:rsidP="00545899">
      <w:pPr>
        <w:pStyle w:val="09BodyFirstParagraph"/>
        <w:spacing w:before="0"/>
        <w:ind w:firstLineChars="100" w:firstLine="240"/>
        <w:rPr>
          <w:sz w:val="24"/>
          <w:szCs w:val="24"/>
        </w:rPr>
      </w:pPr>
      <w:r w:rsidRPr="00626999">
        <w:rPr>
          <w:sz w:val="24"/>
          <w:szCs w:val="24"/>
        </w:rPr>
        <w:t xml:space="preserve">To explore the results in three-dimensional scenarios, we conducted 3D PIC simulations. Due to limitations in computing resources, lower resolutions were employed, and a sampling radius of 79 microns was used. This sampling radius </w:t>
      </w:r>
      <w:r w:rsidRPr="00626999">
        <w:rPr>
          <w:sz w:val="24"/>
          <w:szCs w:val="24"/>
        </w:rPr>
        <w:lastRenderedPageBreak/>
        <w:t>is relatively small compared to the target's size, leading to challenges in accurately capturing the far-field radiation detection signal.</w:t>
      </w:r>
    </w:p>
    <w:p w14:paraId="29405D59" w14:textId="5D2C559C" w:rsidR="00626999" w:rsidRDefault="00615969" w:rsidP="004A7C57">
      <w:pPr>
        <w:pStyle w:val="09BodyFirstParagraph"/>
        <w:spacing w:before="0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A</w:t>
      </w:r>
      <w:r w:rsidR="00626999" w:rsidRPr="00626999">
        <w:rPr>
          <w:sz w:val="24"/>
          <w:szCs w:val="24"/>
        </w:rPr>
        <w:t xml:space="preserve"> 3D reconstruction technique </w:t>
      </w:r>
      <w:r>
        <w:rPr>
          <w:sz w:val="24"/>
          <w:szCs w:val="24"/>
        </w:rPr>
        <w:t xml:space="preserve">was </w:t>
      </w:r>
      <w:r w:rsidRPr="00626999">
        <w:rPr>
          <w:sz w:val="24"/>
          <w:szCs w:val="24"/>
        </w:rPr>
        <w:t xml:space="preserve">utilized </w:t>
      </w:r>
      <w:r w:rsidR="00626999" w:rsidRPr="00626999">
        <w:rPr>
          <w:sz w:val="24"/>
          <w:szCs w:val="24"/>
        </w:rPr>
        <w:t>in a Cartesian coordinate system</w:t>
      </w:r>
      <w:r w:rsidR="00354458">
        <w:rPr>
          <w:sz w:val="24"/>
          <w:szCs w:val="24"/>
        </w:rPr>
        <w:t xml:space="preserve"> to get the 3D terahertz information</w:t>
      </w:r>
      <w:r w:rsidR="00626999" w:rsidRPr="00626999">
        <w:rPr>
          <w:sz w:val="24"/>
          <w:szCs w:val="24"/>
        </w:rPr>
        <w:t>. Through this approach, we successfully obtained the angular distribution of radiation energy, as well as the spectrum and field strength of the radiation.</w:t>
      </w:r>
      <w:r w:rsidR="004A7C57">
        <w:rPr>
          <w:sz w:val="24"/>
          <w:szCs w:val="24"/>
        </w:rPr>
        <w:t xml:space="preserve"> </w:t>
      </w:r>
      <w:r w:rsidR="00626999" w:rsidRPr="00626999">
        <w:rPr>
          <w:sz w:val="24"/>
          <w:szCs w:val="24"/>
        </w:rPr>
        <w:t xml:space="preserve">Remarkably, the characteristics of the radiation observed in Fig. </w:t>
      </w:r>
      <w:r w:rsidR="008E4877">
        <w:rPr>
          <w:rFonts w:hint="eastAsia"/>
          <w:sz w:val="24"/>
          <w:szCs w:val="24"/>
          <w:lang w:eastAsia="zh-CN"/>
        </w:rPr>
        <w:t>S</w:t>
      </w:r>
      <w:r w:rsidR="008E4877">
        <w:rPr>
          <w:sz w:val="24"/>
          <w:szCs w:val="24"/>
        </w:rPr>
        <w:t>3</w:t>
      </w:r>
      <w:r w:rsidR="00626999" w:rsidRPr="00626999">
        <w:rPr>
          <w:sz w:val="24"/>
          <w:szCs w:val="24"/>
        </w:rPr>
        <w:t xml:space="preserve"> closely resembled those obtained in the 2D simulations. This significant similarity between the two sets of results verifies the physical feasibility of the findings from the 2D simulations.</w:t>
      </w:r>
    </w:p>
    <w:p w14:paraId="47DA6DD3" w14:textId="09309E95" w:rsidR="00B4571C" w:rsidRPr="00AF3302" w:rsidRDefault="00947087" w:rsidP="00626999">
      <w:pPr>
        <w:pStyle w:val="09BodyFirstParagraph"/>
        <w:rPr>
          <w:b/>
          <w:bCs/>
          <w:sz w:val="24"/>
          <w:szCs w:val="24"/>
        </w:rPr>
      </w:pPr>
      <w:r w:rsidRPr="00AF3302">
        <w:rPr>
          <w:rFonts w:hint="eastAsia"/>
          <w:b/>
          <w:bCs/>
          <w:sz w:val="24"/>
          <w:szCs w:val="24"/>
        </w:rPr>
        <w:t xml:space="preserve">4 </w:t>
      </w:r>
      <w:r w:rsidR="00560602" w:rsidRPr="00AF3302">
        <w:rPr>
          <w:b/>
          <w:bCs/>
          <w:sz w:val="24"/>
          <w:szCs w:val="24"/>
        </w:rPr>
        <w:t>Description of the charge separation field</w:t>
      </w:r>
    </w:p>
    <w:p w14:paraId="3EB46913" w14:textId="34B3E2BB" w:rsidR="00A457D6" w:rsidRPr="00A457D6" w:rsidRDefault="00A457D6" w:rsidP="00A457D6">
      <w:pPr>
        <w:pStyle w:val="10BodySubsequentParagraph"/>
        <w:rPr>
          <w:sz w:val="24"/>
          <w:szCs w:val="24"/>
        </w:rPr>
      </w:pPr>
      <w:r w:rsidRPr="00A457D6">
        <w:rPr>
          <w:sz w:val="24"/>
          <w:szCs w:val="24"/>
        </w:rPr>
        <w:t>The surface charge separation field in the vicinity of the type-b electrons is denoted as Es. Fig</w:t>
      </w:r>
      <w:r w:rsidR="000F2D5A">
        <w:rPr>
          <w:sz w:val="24"/>
          <w:szCs w:val="24"/>
        </w:rPr>
        <w:t xml:space="preserve">. </w:t>
      </w:r>
      <w:r w:rsidR="000F2D5A">
        <w:rPr>
          <w:rFonts w:hint="eastAsia"/>
          <w:sz w:val="24"/>
          <w:szCs w:val="24"/>
          <w:lang w:eastAsia="zh-CN"/>
        </w:rPr>
        <w:t>S</w:t>
      </w:r>
      <w:r w:rsidR="000F2D5A">
        <w:rPr>
          <w:sz w:val="24"/>
          <w:szCs w:val="24"/>
        </w:rPr>
        <w:t>4</w:t>
      </w:r>
      <w:r w:rsidRPr="00A457D6">
        <w:rPr>
          <w:sz w:val="24"/>
          <w:szCs w:val="24"/>
        </w:rPr>
        <w:t xml:space="preserve"> (a) illustrates the spatial distribution of the electric field at the moment of 586 femtoseconds. It is evident that both the front</w:t>
      </w:r>
      <w:r w:rsidR="00320661">
        <w:rPr>
          <w:sz w:val="24"/>
          <w:szCs w:val="24"/>
        </w:rPr>
        <w:t>-</w:t>
      </w:r>
      <w:r w:rsidR="00320661">
        <w:rPr>
          <w:rFonts w:hint="eastAsia"/>
          <w:sz w:val="24"/>
          <w:szCs w:val="24"/>
          <w:lang w:eastAsia="zh-CN"/>
        </w:rPr>
        <w:t>end</w:t>
      </w:r>
      <w:r w:rsidRPr="00A457D6">
        <w:rPr>
          <w:sz w:val="24"/>
          <w:szCs w:val="24"/>
        </w:rPr>
        <w:t xml:space="preserve"> and the backend exhibit strong charge separation fields. To further analyze this, we conducted field averaging around 100-140 microns and 155 microns, resulting in two cross-sectional charge separation fields.</w:t>
      </w:r>
    </w:p>
    <w:p w14:paraId="478F723B" w14:textId="0B04D850" w:rsidR="00A457D6" w:rsidRPr="00AF3302" w:rsidRDefault="00A457D6" w:rsidP="00A457D6">
      <w:pPr>
        <w:pStyle w:val="10BodySubsequentParagraph"/>
        <w:rPr>
          <w:sz w:val="24"/>
          <w:szCs w:val="24"/>
        </w:rPr>
      </w:pPr>
      <w:r w:rsidRPr="00A457D6">
        <w:rPr>
          <w:sz w:val="24"/>
          <w:szCs w:val="24"/>
        </w:rPr>
        <w:t>In Fig</w:t>
      </w:r>
      <w:r w:rsidR="00F46B5F">
        <w:rPr>
          <w:sz w:val="24"/>
          <w:szCs w:val="24"/>
        </w:rPr>
        <w:t>. S4</w:t>
      </w:r>
      <w:r w:rsidRPr="00A457D6">
        <w:rPr>
          <w:sz w:val="24"/>
          <w:szCs w:val="24"/>
        </w:rPr>
        <w:t xml:space="preserve"> (b), the red curve represents the electric field Es in the vicinity of type-b electrons. By integrating this electric field, we obtain the barrier. For the integral over the black area, we determine the front-end barrier, as shown in Fig</w:t>
      </w:r>
      <w:r w:rsidR="001E153C">
        <w:rPr>
          <w:sz w:val="24"/>
          <w:szCs w:val="24"/>
        </w:rPr>
        <w:t>. S4</w:t>
      </w:r>
      <w:r w:rsidRPr="00A457D6">
        <w:rPr>
          <w:sz w:val="24"/>
          <w:szCs w:val="24"/>
        </w:rPr>
        <w:t xml:space="preserve"> (c).</w:t>
      </w:r>
    </w:p>
    <w:p w14:paraId="1C32AE29" w14:textId="22701854" w:rsidR="00B4571C" w:rsidRDefault="00490473" w:rsidP="008D1BEE">
      <w:pPr>
        <w:pStyle w:val="10BodySubsequentParagraph"/>
        <w:jc w:val="center"/>
      </w:pPr>
      <w:r>
        <w:rPr>
          <w:noProof/>
          <w:lang w:val="en-IN" w:eastAsia="en-IN"/>
        </w:rPr>
        <w:drawing>
          <wp:inline distT="0" distB="0" distL="0" distR="0" wp14:anchorId="0E0647E6" wp14:editId="0E6087EB">
            <wp:extent cx="3721503" cy="3219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73" cy="32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182F" w14:textId="473CDE11" w:rsidR="00B4571C" w:rsidRPr="00AF3302" w:rsidRDefault="001D4961">
      <w:pPr>
        <w:pStyle w:val="12FigureCaptionLong"/>
        <w:rPr>
          <w:sz w:val="20"/>
          <w:szCs w:val="20"/>
        </w:rPr>
      </w:pPr>
      <w:r w:rsidRPr="001D4961">
        <w:rPr>
          <w:sz w:val="20"/>
          <w:szCs w:val="20"/>
          <w:lang w:eastAsia="zh-CN"/>
        </w:rPr>
        <w:t>Fig. S4</w:t>
      </w:r>
      <w:r>
        <w:rPr>
          <w:sz w:val="20"/>
          <w:szCs w:val="20"/>
          <w:lang w:eastAsia="zh-CN"/>
        </w:rPr>
        <w:t>.</w:t>
      </w:r>
      <w:r w:rsidRPr="001D4961">
        <w:rPr>
          <w:sz w:val="20"/>
          <w:szCs w:val="20"/>
          <w:lang w:eastAsia="zh-CN"/>
        </w:rPr>
        <w:t xml:space="preserve"> Charge separation field information. (a) Spatial distribution of the charge separation field at 586 fs. (b) The red line denotes the barrier of the type-B electron. (c) The barrier is situated between the two black curves.</w:t>
      </w:r>
    </w:p>
    <w:p w14:paraId="6CF0A38D" w14:textId="1B243DAF" w:rsidR="00B4571C" w:rsidRDefault="00B4571C">
      <w:pPr>
        <w:pStyle w:val="10BodySubsequentParagraph"/>
        <w:ind w:firstLine="0"/>
      </w:pPr>
    </w:p>
    <w:sectPr w:rsidR="00B4571C">
      <w:pgSz w:w="12240" w:h="15840"/>
      <w:pgMar w:top="1872" w:right="2347" w:bottom="1872" w:left="23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A5E1" w14:textId="77777777" w:rsidR="00566B67" w:rsidRDefault="00566B67">
      <w:pPr>
        <w:spacing w:line="240" w:lineRule="auto"/>
      </w:pPr>
      <w:r>
        <w:separator/>
      </w:r>
    </w:p>
  </w:endnote>
  <w:endnote w:type="continuationSeparator" w:id="0">
    <w:p w14:paraId="14860270" w14:textId="77777777" w:rsidR="00566B67" w:rsidRDefault="00566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41FD" w14:textId="77777777" w:rsidR="00566B67" w:rsidRDefault="00566B67">
      <w:pPr>
        <w:spacing w:after="0"/>
      </w:pPr>
      <w:r>
        <w:separator/>
      </w:r>
    </w:p>
  </w:footnote>
  <w:footnote w:type="continuationSeparator" w:id="0">
    <w:p w14:paraId="7AD447B7" w14:textId="77777777" w:rsidR="00566B67" w:rsidRDefault="00566B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3AD"/>
    <w:multiLevelType w:val="multilevel"/>
    <w:tmpl w:val="093A33AD"/>
    <w:lvl w:ilvl="0">
      <w:start w:val="1"/>
      <w:numFmt w:val="bullet"/>
      <w:pStyle w:val="17ListBulleted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10ED4"/>
    <w:multiLevelType w:val="multilevel"/>
    <w:tmpl w:val="14010ED4"/>
    <w:lvl w:ilvl="0">
      <w:start w:val="1"/>
      <w:numFmt w:val="decimal"/>
      <w:pStyle w:val="08Section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772220"/>
    <w:multiLevelType w:val="multilevel"/>
    <w:tmpl w:val="1D772220"/>
    <w:lvl w:ilvl="0">
      <w:start w:val="1"/>
      <w:numFmt w:val="decimal"/>
      <w:pStyle w:val="24Refer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929DE"/>
    <w:multiLevelType w:val="multilevel"/>
    <w:tmpl w:val="549929DE"/>
    <w:lvl w:ilvl="0">
      <w:start w:val="1"/>
      <w:numFmt w:val="decimal"/>
      <w:pStyle w:val="19ListNumber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84BF4"/>
    <w:multiLevelType w:val="multilevel"/>
    <w:tmpl w:val="6EC84BF4"/>
    <w:lvl w:ilvl="0">
      <w:start w:val="1"/>
      <w:numFmt w:val="lowerLetter"/>
      <w:pStyle w:val="19ListNumber2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ZTNjMjExYjkwNDgzYTA0ZWVhYWIzMDc0YzkyZmQifQ=="/>
  </w:docVars>
  <w:rsids>
    <w:rsidRoot w:val="006E3663"/>
    <w:rsid w:val="00002E70"/>
    <w:rsid w:val="00022A47"/>
    <w:rsid w:val="00025EED"/>
    <w:rsid w:val="00036639"/>
    <w:rsid w:val="000366A8"/>
    <w:rsid w:val="00042B9F"/>
    <w:rsid w:val="00046145"/>
    <w:rsid w:val="00054F93"/>
    <w:rsid w:val="000615EE"/>
    <w:rsid w:val="00062D82"/>
    <w:rsid w:val="00086BC8"/>
    <w:rsid w:val="00092896"/>
    <w:rsid w:val="000938AB"/>
    <w:rsid w:val="000A1A24"/>
    <w:rsid w:val="000B0402"/>
    <w:rsid w:val="000C402C"/>
    <w:rsid w:val="000F2D5A"/>
    <w:rsid w:val="00101AF6"/>
    <w:rsid w:val="00114F55"/>
    <w:rsid w:val="0012111D"/>
    <w:rsid w:val="001264CB"/>
    <w:rsid w:val="00141E8E"/>
    <w:rsid w:val="001700AA"/>
    <w:rsid w:val="00176184"/>
    <w:rsid w:val="0018075C"/>
    <w:rsid w:val="00191DFE"/>
    <w:rsid w:val="001920EE"/>
    <w:rsid w:val="00193740"/>
    <w:rsid w:val="001947D8"/>
    <w:rsid w:val="001A28CD"/>
    <w:rsid w:val="001B4B4D"/>
    <w:rsid w:val="001C1A8F"/>
    <w:rsid w:val="001D4961"/>
    <w:rsid w:val="001E01C7"/>
    <w:rsid w:val="001E153C"/>
    <w:rsid w:val="001F173E"/>
    <w:rsid w:val="001F2AE0"/>
    <w:rsid w:val="0020118A"/>
    <w:rsid w:val="002156AF"/>
    <w:rsid w:val="00225EE0"/>
    <w:rsid w:val="00241F85"/>
    <w:rsid w:val="00271DF7"/>
    <w:rsid w:val="00285F00"/>
    <w:rsid w:val="002A0AAD"/>
    <w:rsid w:val="002A2E82"/>
    <w:rsid w:val="002A7F5E"/>
    <w:rsid w:val="002D43D6"/>
    <w:rsid w:val="002E0DDB"/>
    <w:rsid w:val="002E2F1C"/>
    <w:rsid w:val="002E53E3"/>
    <w:rsid w:val="002F13BA"/>
    <w:rsid w:val="002F14ED"/>
    <w:rsid w:val="002F389C"/>
    <w:rsid w:val="0030439B"/>
    <w:rsid w:val="00320661"/>
    <w:rsid w:val="00331162"/>
    <w:rsid w:val="00331AB2"/>
    <w:rsid w:val="00333C67"/>
    <w:rsid w:val="00350965"/>
    <w:rsid w:val="00354458"/>
    <w:rsid w:val="0036209C"/>
    <w:rsid w:val="00383428"/>
    <w:rsid w:val="00392B2D"/>
    <w:rsid w:val="00394FAA"/>
    <w:rsid w:val="003B1339"/>
    <w:rsid w:val="003B3039"/>
    <w:rsid w:val="003D0821"/>
    <w:rsid w:val="003D4657"/>
    <w:rsid w:val="003E36D4"/>
    <w:rsid w:val="003E7108"/>
    <w:rsid w:val="003F2F9F"/>
    <w:rsid w:val="003F4461"/>
    <w:rsid w:val="0040064B"/>
    <w:rsid w:val="004048F5"/>
    <w:rsid w:val="00416CDD"/>
    <w:rsid w:val="00432E94"/>
    <w:rsid w:val="00435547"/>
    <w:rsid w:val="0046510A"/>
    <w:rsid w:val="0048331C"/>
    <w:rsid w:val="00485340"/>
    <w:rsid w:val="00490473"/>
    <w:rsid w:val="00493CB9"/>
    <w:rsid w:val="00497360"/>
    <w:rsid w:val="004A0569"/>
    <w:rsid w:val="004A0612"/>
    <w:rsid w:val="004A7C57"/>
    <w:rsid w:val="004B6D8E"/>
    <w:rsid w:val="004D54AD"/>
    <w:rsid w:val="004E5380"/>
    <w:rsid w:val="004F6039"/>
    <w:rsid w:val="00505007"/>
    <w:rsid w:val="00510CAC"/>
    <w:rsid w:val="00523718"/>
    <w:rsid w:val="0053064B"/>
    <w:rsid w:val="0053074F"/>
    <w:rsid w:val="0053141D"/>
    <w:rsid w:val="00535347"/>
    <w:rsid w:val="00545899"/>
    <w:rsid w:val="00550FC3"/>
    <w:rsid w:val="00560602"/>
    <w:rsid w:val="00560F5B"/>
    <w:rsid w:val="00566B67"/>
    <w:rsid w:val="00587352"/>
    <w:rsid w:val="00591164"/>
    <w:rsid w:val="00594E7F"/>
    <w:rsid w:val="00595A48"/>
    <w:rsid w:val="005A33E2"/>
    <w:rsid w:val="005B641F"/>
    <w:rsid w:val="005C5922"/>
    <w:rsid w:val="005C6028"/>
    <w:rsid w:val="005C612E"/>
    <w:rsid w:val="005D3806"/>
    <w:rsid w:val="005D4603"/>
    <w:rsid w:val="005D6B95"/>
    <w:rsid w:val="005F4008"/>
    <w:rsid w:val="005F7690"/>
    <w:rsid w:val="006005DA"/>
    <w:rsid w:val="00615969"/>
    <w:rsid w:val="00621BFE"/>
    <w:rsid w:val="00625DB6"/>
    <w:rsid w:val="00626999"/>
    <w:rsid w:val="006270B3"/>
    <w:rsid w:val="00643829"/>
    <w:rsid w:val="006508E1"/>
    <w:rsid w:val="00674706"/>
    <w:rsid w:val="006952DD"/>
    <w:rsid w:val="0069751C"/>
    <w:rsid w:val="006B1167"/>
    <w:rsid w:val="006C6FCE"/>
    <w:rsid w:val="006E097B"/>
    <w:rsid w:val="006E3663"/>
    <w:rsid w:val="007157C5"/>
    <w:rsid w:val="00762B85"/>
    <w:rsid w:val="007772CB"/>
    <w:rsid w:val="007863C9"/>
    <w:rsid w:val="007A1FAD"/>
    <w:rsid w:val="007A717D"/>
    <w:rsid w:val="007B2071"/>
    <w:rsid w:val="007B6528"/>
    <w:rsid w:val="007D5AF8"/>
    <w:rsid w:val="007D7494"/>
    <w:rsid w:val="007E10F3"/>
    <w:rsid w:val="007E1A52"/>
    <w:rsid w:val="007F35CC"/>
    <w:rsid w:val="0080185D"/>
    <w:rsid w:val="00804C9B"/>
    <w:rsid w:val="0081577A"/>
    <w:rsid w:val="00824C53"/>
    <w:rsid w:val="00837522"/>
    <w:rsid w:val="008725E5"/>
    <w:rsid w:val="00893AB8"/>
    <w:rsid w:val="008C57CE"/>
    <w:rsid w:val="008D1BEE"/>
    <w:rsid w:val="008E4877"/>
    <w:rsid w:val="008E4E83"/>
    <w:rsid w:val="00907C09"/>
    <w:rsid w:val="00916845"/>
    <w:rsid w:val="00947087"/>
    <w:rsid w:val="009508BC"/>
    <w:rsid w:val="009564CC"/>
    <w:rsid w:val="0096651B"/>
    <w:rsid w:val="00974BEF"/>
    <w:rsid w:val="00975147"/>
    <w:rsid w:val="009909E8"/>
    <w:rsid w:val="00994199"/>
    <w:rsid w:val="009C03A9"/>
    <w:rsid w:val="009E5056"/>
    <w:rsid w:val="00A035D7"/>
    <w:rsid w:val="00A05A2A"/>
    <w:rsid w:val="00A06C24"/>
    <w:rsid w:val="00A40EFB"/>
    <w:rsid w:val="00A457D6"/>
    <w:rsid w:val="00A52528"/>
    <w:rsid w:val="00A55B30"/>
    <w:rsid w:val="00A568B6"/>
    <w:rsid w:val="00A5709F"/>
    <w:rsid w:val="00A62764"/>
    <w:rsid w:val="00A660E6"/>
    <w:rsid w:val="00A82581"/>
    <w:rsid w:val="00AC26DF"/>
    <w:rsid w:val="00AC5222"/>
    <w:rsid w:val="00AE6551"/>
    <w:rsid w:val="00AF3302"/>
    <w:rsid w:val="00AF719D"/>
    <w:rsid w:val="00B345AD"/>
    <w:rsid w:val="00B42950"/>
    <w:rsid w:val="00B4571C"/>
    <w:rsid w:val="00B971C8"/>
    <w:rsid w:val="00BB0BEC"/>
    <w:rsid w:val="00BB73D5"/>
    <w:rsid w:val="00BC55D1"/>
    <w:rsid w:val="00BD2F0B"/>
    <w:rsid w:val="00BF64A9"/>
    <w:rsid w:val="00C0254D"/>
    <w:rsid w:val="00C14422"/>
    <w:rsid w:val="00C1651A"/>
    <w:rsid w:val="00C202EA"/>
    <w:rsid w:val="00C413BF"/>
    <w:rsid w:val="00C6448C"/>
    <w:rsid w:val="00C671C1"/>
    <w:rsid w:val="00C7075F"/>
    <w:rsid w:val="00C815F6"/>
    <w:rsid w:val="00C90584"/>
    <w:rsid w:val="00CB0396"/>
    <w:rsid w:val="00CB089D"/>
    <w:rsid w:val="00CB6D5C"/>
    <w:rsid w:val="00CD0466"/>
    <w:rsid w:val="00CE5400"/>
    <w:rsid w:val="00CE587E"/>
    <w:rsid w:val="00CF295F"/>
    <w:rsid w:val="00CF64AA"/>
    <w:rsid w:val="00D07434"/>
    <w:rsid w:val="00D2683C"/>
    <w:rsid w:val="00D4248B"/>
    <w:rsid w:val="00D44604"/>
    <w:rsid w:val="00D4746C"/>
    <w:rsid w:val="00D5373B"/>
    <w:rsid w:val="00D65606"/>
    <w:rsid w:val="00D91A4A"/>
    <w:rsid w:val="00DB0B7D"/>
    <w:rsid w:val="00DD0649"/>
    <w:rsid w:val="00DD2514"/>
    <w:rsid w:val="00DF10EB"/>
    <w:rsid w:val="00DF6C7C"/>
    <w:rsid w:val="00E00665"/>
    <w:rsid w:val="00E132C1"/>
    <w:rsid w:val="00E21E8D"/>
    <w:rsid w:val="00E30B62"/>
    <w:rsid w:val="00E33E9A"/>
    <w:rsid w:val="00E54BD1"/>
    <w:rsid w:val="00E63EDD"/>
    <w:rsid w:val="00E71198"/>
    <w:rsid w:val="00E77CA1"/>
    <w:rsid w:val="00E826D7"/>
    <w:rsid w:val="00E86B64"/>
    <w:rsid w:val="00E9108E"/>
    <w:rsid w:val="00EA0214"/>
    <w:rsid w:val="00EB152E"/>
    <w:rsid w:val="00EB38EC"/>
    <w:rsid w:val="00EC0262"/>
    <w:rsid w:val="00EC755F"/>
    <w:rsid w:val="00ED2C69"/>
    <w:rsid w:val="00EE3968"/>
    <w:rsid w:val="00EE4654"/>
    <w:rsid w:val="00EF09E8"/>
    <w:rsid w:val="00EF7A03"/>
    <w:rsid w:val="00F33E52"/>
    <w:rsid w:val="00F3556C"/>
    <w:rsid w:val="00F46B5F"/>
    <w:rsid w:val="00F73310"/>
    <w:rsid w:val="00F75B1B"/>
    <w:rsid w:val="00F92333"/>
    <w:rsid w:val="00F969F1"/>
    <w:rsid w:val="00FA1BFD"/>
    <w:rsid w:val="00FB0A26"/>
    <w:rsid w:val="00FB1919"/>
    <w:rsid w:val="00FC10AC"/>
    <w:rsid w:val="00FC4475"/>
    <w:rsid w:val="00FC5DCC"/>
    <w:rsid w:val="00FD1C0A"/>
    <w:rsid w:val="00FD5E0D"/>
    <w:rsid w:val="00FE12A5"/>
    <w:rsid w:val="00FE56FC"/>
    <w:rsid w:val="00FF0A75"/>
    <w:rsid w:val="00FF617B"/>
    <w:rsid w:val="10141182"/>
    <w:rsid w:val="50E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D593"/>
  <w15:docId w15:val="{3D03EFCA-EBE2-2441-8015-6C80A0B0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uiPriority w:val="99"/>
    <w:unhideWhenUsed/>
    <w:qFormat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01Title">
    <w:name w:val="01. Title"/>
    <w:basedOn w:val="Normal"/>
    <w:next w:val="02Author"/>
    <w:qFormat/>
    <w:pPr>
      <w:spacing w:after="0" w:line="240" w:lineRule="auto"/>
    </w:pPr>
    <w:rPr>
      <w:rFonts w:ascii="Arial" w:hAnsi="Arial"/>
      <w:b/>
      <w:spacing w:val="10"/>
      <w:kern w:val="32"/>
      <w:sz w:val="32"/>
    </w:rPr>
  </w:style>
  <w:style w:type="paragraph" w:customStyle="1" w:styleId="02Author">
    <w:name w:val="02. Author"/>
    <w:basedOn w:val="02Author-AO"/>
    <w:next w:val="03AuthorAffiliation"/>
    <w:rPr>
      <w:color w:val="595959" w:themeColor="text1" w:themeTint="A6"/>
    </w:rPr>
  </w:style>
  <w:style w:type="paragraph" w:customStyle="1" w:styleId="02Author-AO">
    <w:name w:val="02. Author - AO"/>
    <w:basedOn w:val="02Author-BOE"/>
    <w:next w:val="03AuthorAffiliation"/>
    <w:qFormat/>
    <w:rPr>
      <w:color w:val="26428F"/>
    </w:rPr>
  </w:style>
  <w:style w:type="paragraph" w:customStyle="1" w:styleId="02Author-BOE">
    <w:name w:val="02. Author - BOE"/>
    <w:basedOn w:val="01Title"/>
    <w:next w:val="03AuthorAffiliation"/>
    <w:qFormat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03AuthorAffiliation">
    <w:name w:val="03. Author Affiliation"/>
    <w:basedOn w:val="NoSpacing"/>
    <w:next w:val="04Email"/>
    <w:qFormat/>
    <w:rPr>
      <w:rFonts w:ascii="Times New Roman" w:hAnsi="Times New Roman"/>
      <w:i/>
      <w:sz w:val="18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customStyle="1" w:styleId="04Email">
    <w:name w:val="04. Email"/>
    <w:basedOn w:val="03AuthorAffiliation"/>
    <w:next w:val="06AbstractBody"/>
    <w:qFormat/>
    <w:rPr>
      <w:color w:val="2E2EB1"/>
    </w:rPr>
  </w:style>
  <w:style w:type="paragraph" w:customStyle="1" w:styleId="06AbstractBody">
    <w:name w:val="06. Abstract Body"/>
    <w:next w:val="07Copyright"/>
    <w:link w:val="06AbstractBodyChar"/>
    <w:qFormat/>
    <w:pPr>
      <w:spacing w:before="240"/>
      <w:jc w:val="both"/>
    </w:pPr>
    <w:rPr>
      <w:rFonts w:ascii="Times New Roman" w:hAnsi="Times New Roman"/>
      <w:color w:val="000000" w:themeColor="text1"/>
      <w:szCs w:val="22"/>
      <w:lang w:eastAsia="en-US"/>
    </w:rPr>
  </w:style>
  <w:style w:type="paragraph" w:customStyle="1" w:styleId="07Copyright">
    <w:name w:val="07. Copyright"/>
    <w:basedOn w:val="06AbstractBody"/>
    <w:next w:val="08SectionHeader1"/>
    <w:qFormat/>
    <w:pPr>
      <w:spacing w:after="240"/>
    </w:pPr>
    <w:rPr>
      <w:rFonts w:ascii="Arial" w:hAnsi="Arial"/>
      <w:sz w:val="16"/>
    </w:rPr>
  </w:style>
  <w:style w:type="paragraph" w:customStyle="1" w:styleId="08SectionHeader1">
    <w:name w:val="08 Section Header 1"/>
    <w:next w:val="09BodyFirstParagraph"/>
    <w:qFormat/>
    <w:pPr>
      <w:numPr>
        <w:numId w:val="1"/>
      </w:numPr>
      <w:spacing w:before="120"/>
    </w:pPr>
    <w:rPr>
      <w:rFonts w:ascii="Arial" w:hAnsi="Arial"/>
      <w:b/>
      <w:szCs w:val="22"/>
      <w:lang w:eastAsia="en-US"/>
    </w:rPr>
  </w:style>
  <w:style w:type="paragraph" w:customStyle="1" w:styleId="09BodyFirstParagraph">
    <w:name w:val="09. Body First Paragraph"/>
    <w:basedOn w:val="06AbstractBody"/>
    <w:next w:val="10BodySubsequentParagraph"/>
    <w:link w:val="09BodyFirstParagraphChar"/>
    <w:qFormat/>
    <w:pPr>
      <w:spacing w:before="120"/>
    </w:pPr>
  </w:style>
  <w:style w:type="paragraph" w:customStyle="1" w:styleId="10BodySubsequentParagraph">
    <w:name w:val="10. Body Subsequent Paragraph"/>
    <w:basedOn w:val="09BodyFirstParagraph"/>
    <w:link w:val="10BodySubsequentParagraphChar"/>
    <w:qFormat/>
    <w:pPr>
      <w:spacing w:before="0"/>
      <w:ind w:firstLine="288"/>
    </w:pPr>
  </w:style>
  <w:style w:type="paragraph" w:customStyle="1" w:styleId="02Author-OE">
    <w:name w:val="02. Author - OE"/>
    <w:basedOn w:val="02Author-BOE"/>
    <w:next w:val="03AuthorAffiliation"/>
    <w:qFormat/>
    <w:rPr>
      <w:color w:val="943634"/>
    </w:rPr>
  </w:style>
  <w:style w:type="paragraph" w:customStyle="1" w:styleId="02Author-OME">
    <w:name w:val="02. Author - OME"/>
    <w:basedOn w:val="02Author-BOE"/>
    <w:next w:val="03AuthorAffiliation"/>
    <w:qFormat/>
    <w:rPr>
      <w:color w:val="1478B6"/>
    </w:rPr>
  </w:style>
  <w:style w:type="paragraph" w:customStyle="1" w:styleId="23ReferenceSectionHeader">
    <w:name w:val="23. Reference Section Header"/>
    <w:next w:val="24References"/>
    <w:qFormat/>
    <w:pPr>
      <w:spacing w:before="120" w:after="120"/>
    </w:pPr>
    <w:rPr>
      <w:rFonts w:ascii="Arial" w:hAnsi="Arial"/>
      <w:b/>
      <w:szCs w:val="22"/>
      <w:lang w:eastAsia="en-US"/>
    </w:rPr>
  </w:style>
  <w:style w:type="paragraph" w:customStyle="1" w:styleId="24References">
    <w:name w:val="24. References"/>
    <w:qFormat/>
    <w:pPr>
      <w:numPr>
        <w:numId w:val="2"/>
      </w:numPr>
    </w:pPr>
    <w:rPr>
      <w:rFonts w:ascii="Times New Roman" w:hAnsi="Times New Roman"/>
      <w:sz w:val="16"/>
      <w:szCs w:val="22"/>
      <w:lang w:eastAsia="en-US"/>
    </w:rPr>
  </w:style>
  <w:style w:type="paragraph" w:customStyle="1" w:styleId="08SectionHeader2">
    <w:name w:val="08. Section Header 2"/>
    <w:basedOn w:val="08SectionHeader1"/>
    <w:next w:val="09BodyFirstParagraph"/>
    <w:qFormat/>
    <w:pPr>
      <w:numPr>
        <w:numId w:val="0"/>
      </w:numPr>
    </w:pPr>
    <w:rPr>
      <w:b w:val="0"/>
      <w:i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08SectionHeader3">
    <w:name w:val="08. Section Header 3"/>
    <w:basedOn w:val="08SectionHeader2"/>
    <w:next w:val="09BodyFirstParagraph"/>
    <w:qFormat/>
    <w:rPr>
      <w:i w:val="0"/>
    </w:rPr>
  </w:style>
  <w:style w:type="paragraph" w:customStyle="1" w:styleId="20FundingSectionHeader">
    <w:name w:val="20. Funding Section Header"/>
    <w:basedOn w:val="08SectionHeader1"/>
    <w:next w:val="09BodyFirstParagraph"/>
    <w:qFormat/>
    <w:pPr>
      <w:numPr>
        <w:numId w:val="0"/>
      </w:numPr>
      <w:spacing w:after="120"/>
      <w:ind w:left="360" w:hanging="360"/>
    </w:pPr>
  </w:style>
  <w:style w:type="paragraph" w:customStyle="1" w:styleId="21AcknowledgmentsSectionHeader">
    <w:name w:val="21. Acknowledgments Section Header"/>
    <w:basedOn w:val="20FundingSectionHeader"/>
    <w:next w:val="09BodyFirstParagraph"/>
    <w:qFormat/>
  </w:style>
  <w:style w:type="paragraph" w:customStyle="1" w:styleId="12FigureCaptionShort">
    <w:name w:val="12. Figure Caption Short"/>
    <w:basedOn w:val="09BodyFirstParagraph"/>
    <w:next w:val="10BodySubsequentParagraph"/>
    <w:qFormat/>
    <w:pPr>
      <w:spacing w:after="120"/>
      <w:ind w:left="720" w:right="720"/>
      <w:jc w:val="center"/>
    </w:pPr>
    <w:rPr>
      <w:sz w:val="16"/>
    </w:rPr>
  </w:style>
  <w:style w:type="paragraph" w:customStyle="1" w:styleId="12FigureCaptionLong">
    <w:name w:val="12. Figure Caption Long"/>
    <w:basedOn w:val="12FigureCaptionShort"/>
    <w:next w:val="10BodySubsequentParagraph"/>
    <w:link w:val="12FigureCaptionLongChar"/>
    <w:qFormat/>
    <w:pPr>
      <w:jc w:val="both"/>
    </w:pPr>
  </w:style>
  <w:style w:type="paragraph" w:customStyle="1" w:styleId="14TableCaption">
    <w:name w:val="14. Table Caption"/>
    <w:basedOn w:val="09BodyFirstParagraph"/>
    <w:next w:val="15TableBody"/>
    <w:qFormat/>
    <w:pPr>
      <w:spacing w:before="240" w:after="160"/>
      <w:jc w:val="center"/>
    </w:pPr>
    <w:rPr>
      <w:b/>
      <w:sz w:val="16"/>
    </w:rPr>
  </w:style>
  <w:style w:type="paragraph" w:customStyle="1" w:styleId="15TableBody">
    <w:name w:val="15. Table Body"/>
    <w:basedOn w:val="09BodyFirstParagraph"/>
    <w:next w:val="10BodySubsequentParagraph"/>
    <w:qFormat/>
    <w:pPr>
      <w:spacing w:before="0" w:after="80"/>
    </w:pPr>
    <w:rPr>
      <w:sz w:val="16"/>
    </w:rPr>
  </w:style>
  <w:style w:type="paragraph" w:customStyle="1" w:styleId="13Equation">
    <w:name w:val="13. Equation"/>
    <w:basedOn w:val="10BodySubsequentParagraph"/>
    <w:next w:val="10BodySubsequentParagraph"/>
    <w:link w:val="13EquationChar"/>
    <w:qFormat/>
    <w:pPr>
      <w:tabs>
        <w:tab w:val="center" w:pos="4320"/>
        <w:tab w:val="right" w:pos="7560"/>
      </w:tabs>
      <w:spacing w:before="120"/>
      <w:ind w:firstLine="0"/>
      <w:jc w:val="left"/>
    </w:pPr>
  </w:style>
  <w:style w:type="paragraph" w:customStyle="1" w:styleId="16TableFootnote">
    <w:name w:val="16. Table Footnote"/>
    <w:basedOn w:val="09BodyFirstParagraph"/>
    <w:next w:val="10BodySubsequentParagraph"/>
    <w:pPr>
      <w:spacing w:after="120"/>
    </w:pPr>
    <w:rPr>
      <w:sz w:val="16"/>
    </w:rPr>
  </w:style>
  <w:style w:type="paragraph" w:customStyle="1" w:styleId="19ListNumber1">
    <w:name w:val="19. List Number 1"/>
    <w:basedOn w:val="10BodySubsequentParagraph"/>
    <w:pPr>
      <w:numPr>
        <w:numId w:val="3"/>
      </w:numPr>
      <w:spacing w:before="120"/>
    </w:pPr>
  </w:style>
  <w:style w:type="paragraph" w:customStyle="1" w:styleId="05WebAddress">
    <w:name w:val="05. Web Address"/>
    <w:basedOn w:val="04Email"/>
    <w:next w:val="06AbstractBody"/>
  </w:style>
  <w:style w:type="paragraph" w:customStyle="1" w:styleId="11Figure">
    <w:name w:val="11. Figure"/>
    <w:basedOn w:val="09BodyFirstParagraph"/>
    <w:next w:val="12FigureCaptionLong"/>
    <w:qFormat/>
    <w:pPr>
      <w:jc w:val="center"/>
    </w:pPr>
    <w:rPr>
      <w:sz w:val="16"/>
    </w:rPr>
  </w:style>
  <w:style w:type="paragraph" w:customStyle="1" w:styleId="19ListNumber2">
    <w:name w:val="19. List Number 2"/>
    <w:basedOn w:val="19ListNumber1"/>
    <w:pPr>
      <w:numPr>
        <w:numId w:val="4"/>
      </w:numPr>
    </w:pPr>
  </w:style>
  <w:style w:type="paragraph" w:customStyle="1" w:styleId="18ListUnnumbered">
    <w:name w:val="18. List Unnumbered"/>
    <w:basedOn w:val="19ListNumber1"/>
    <w:pPr>
      <w:numPr>
        <w:numId w:val="0"/>
      </w:numPr>
      <w:ind w:left="360"/>
    </w:pPr>
  </w:style>
  <w:style w:type="paragraph" w:customStyle="1" w:styleId="17ListBulleted">
    <w:name w:val="17. List Bulleted"/>
    <w:basedOn w:val="18ListUnnumbered"/>
    <w:pPr>
      <w:numPr>
        <w:numId w:val="5"/>
      </w:numPr>
    </w:pPr>
  </w:style>
  <w:style w:type="paragraph" w:customStyle="1" w:styleId="02Author-JOSAA">
    <w:name w:val="02. Author - JOSAA"/>
    <w:basedOn w:val="02Author-AO"/>
    <w:next w:val="03AuthorAffiliation"/>
    <w:qFormat/>
    <w:rPr>
      <w:color w:val="4C265B"/>
    </w:rPr>
  </w:style>
  <w:style w:type="paragraph" w:customStyle="1" w:styleId="02Author-JOSAB">
    <w:name w:val="02. Author - JOSAB"/>
    <w:basedOn w:val="02Author-JOSAA"/>
    <w:next w:val="03AuthorAffiliation"/>
    <w:qFormat/>
    <w:rPr>
      <w:color w:val="16A14C"/>
    </w:rPr>
  </w:style>
  <w:style w:type="paragraph" w:customStyle="1" w:styleId="02Author-Optica">
    <w:name w:val="02. Author - Optica"/>
    <w:basedOn w:val="02Author-JOSAA"/>
    <w:next w:val="03AuthorAffiliation"/>
    <w:qFormat/>
    <w:rPr>
      <w:color w:val="007B4A"/>
    </w:rPr>
  </w:style>
  <w:style w:type="paragraph" w:customStyle="1" w:styleId="02Author-OL">
    <w:name w:val="02. Author - OL"/>
    <w:basedOn w:val="02Author-Optica"/>
    <w:next w:val="03AuthorAffiliation"/>
    <w:qFormat/>
    <w:rPr>
      <w:color w:val="254982"/>
    </w:rPr>
  </w:style>
  <w:style w:type="paragraph" w:customStyle="1" w:styleId="22DisclosuresSectionHeader">
    <w:name w:val="22. Disclosures Section Header"/>
    <w:basedOn w:val="21AcknowledgmentsSectionHeader"/>
    <w:next w:val="09BodyFirstParagraph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08SectionHeader10">
    <w:name w:val="08. Section Header 1"/>
    <w:next w:val="09BodyFirstParagraph"/>
    <w:qFormat/>
    <w:pPr>
      <w:spacing w:before="120"/>
      <w:ind w:left="360" w:hanging="360"/>
    </w:pPr>
    <w:rPr>
      <w:rFonts w:ascii="Arial" w:hAnsi="Arial"/>
      <w:b/>
      <w:szCs w:val="22"/>
      <w:lang w:eastAsia="en-US"/>
    </w:rPr>
  </w:style>
  <w:style w:type="paragraph" w:customStyle="1" w:styleId="02Author-AOP">
    <w:name w:val="02. Author - AOP"/>
    <w:basedOn w:val="02Author-AO"/>
    <w:rPr>
      <w:color w:val="8F043A"/>
    </w:rPr>
  </w:style>
  <w:style w:type="paragraph" w:customStyle="1" w:styleId="02Author-PRJ">
    <w:name w:val="02. Author - PRJ"/>
    <w:basedOn w:val="02Author-Optica"/>
    <w:rPr>
      <w:color w:val="7E2C2E"/>
    </w:rPr>
  </w:style>
  <w:style w:type="paragraph" w:customStyle="1" w:styleId="02Author-OSAC">
    <w:name w:val="02. Author - OSAC"/>
    <w:basedOn w:val="02Author-OME"/>
    <w:next w:val="03AuthorAffiliation"/>
    <w:rPr>
      <w:color w:val="006E90"/>
    </w:rPr>
  </w:style>
  <w:style w:type="paragraph" w:customStyle="1" w:styleId="MTDisplayEquation">
    <w:name w:val="MTDisplayEquation"/>
    <w:basedOn w:val="13Equation"/>
    <w:next w:val="Normal"/>
    <w:link w:val="MTDisplayEquationChar"/>
    <w:pPr>
      <w:tabs>
        <w:tab w:val="clear" w:pos="4320"/>
        <w:tab w:val="clear" w:pos="7560"/>
        <w:tab w:val="center" w:pos="3760"/>
        <w:tab w:val="right" w:pos="7540"/>
      </w:tabs>
    </w:pPr>
  </w:style>
  <w:style w:type="character" w:customStyle="1" w:styleId="06AbstractBodyChar">
    <w:name w:val="06. Abstract Body Char"/>
    <w:basedOn w:val="DefaultParagraphFont"/>
    <w:link w:val="06AbstractBody"/>
    <w:rPr>
      <w:rFonts w:ascii="Times New Roman" w:hAnsi="Times New Roman"/>
      <w:color w:val="000000" w:themeColor="text1"/>
      <w:sz w:val="20"/>
    </w:rPr>
  </w:style>
  <w:style w:type="character" w:customStyle="1" w:styleId="09BodyFirstParagraphChar">
    <w:name w:val="09. Body First Paragraph Char"/>
    <w:basedOn w:val="06AbstractBodyChar"/>
    <w:link w:val="09BodyFirstParagraph"/>
    <w:rPr>
      <w:rFonts w:ascii="Times New Roman" w:hAnsi="Times New Roman"/>
      <w:color w:val="000000" w:themeColor="text1"/>
      <w:sz w:val="20"/>
    </w:rPr>
  </w:style>
  <w:style w:type="character" w:customStyle="1" w:styleId="10BodySubsequentParagraphChar">
    <w:name w:val="10. Body Subsequent Paragraph Char"/>
    <w:basedOn w:val="09BodyFirstParagraphChar"/>
    <w:link w:val="10BodySubsequentParagraph"/>
    <w:rPr>
      <w:rFonts w:ascii="Times New Roman" w:hAnsi="Times New Roman"/>
      <w:color w:val="000000" w:themeColor="text1"/>
      <w:sz w:val="20"/>
    </w:rPr>
  </w:style>
  <w:style w:type="character" w:customStyle="1" w:styleId="13EquationChar">
    <w:name w:val="13. Equation Char"/>
    <w:basedOn w:val="10BodySubsequentParagraphChar"/>
    <w:link w:val="13Equation"/>
    <w:rPr>
      <w:rFonts w:ascii="Times New Roman" w:hAnsi="Times New Roman"/>
      <w:color w:val="000000" w:themeColor="text1"/>
      <w:sz w:val="20"/>
    </w:rPr>
  </w:style>
  <w:style w:type="character" w:customStyle="1" w:styleId="MTDisplayEquationChar">
    <w:name w:val="MTDisplayEquation Char"/>
    <w:basedOn w:val="13EquationChar"/>
    <w:link w:val="MTDisplayEquation"/>
    <w:rPr>
      <w:rFonts w:ascii="Times New Roman" w:hAnsi="Times New Roman"/>
      <w:color w:val="000000" w:themeColor="text1"/>
      <w:sz w:val="20"/>
    </w:rPr>
  </w:style>
  <w:style w:type="character" w:customStyle="1" w:styleId="12FigureCaptionLongChar">
    <w:name w:val="12. Figure Caption Long Char"/>
    <w:link w:val="12FigureCaptionLo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6C55-D34B-4702-A73E-F1702A4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601</Words>
  <Characters>3427</Characters>
  <Application>Microsoft Office Word</Application>
  <DocSecurity>0</DocSecurity>
  <Lines>28</Lines>
  <Paragraphs>8</Paragraphs>
  <ScaleCrop>false</ScaleCrop>
  <Company>OSA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Mayfield</dc:creator>
  <cp:lastModifiedBy>Elumalai Subbiya</cp:lastModifiedBy>
  <cp:revision>150</cp:revision>
  <dcterms:created xsi:type="dcterms:W3CDTF">2023-07-16T02:53:00Z</dcterms:created>
  <dcterms:modified xsi:type="dcterms:W3CDTF">2023-12-13T08:45:00Z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2052-11.1.0.13012</vt:lpwstr>
  </property>
  <property fmtid="{D5CDD505-2E9C-101B-9397-08002B2CF9AE}" pid="4" name="ICV">
    <vt:lpwstr>4EF88576515F468E90D1CE95F75D59E3</vt:lpwstr>
  </property>
</Properties>
</file>