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7C3AE62" w14:textId="77777777" w:rsidR="00513CEA" w:rsidRPr="008A7041" w:rsidRDefault="00513CEA" w:rsidP="00513CEA">
      <w:pPr>
        <w:spacing w:after="0" w:line="480" w:lineRule="auto"/>
        <w:rPr>
          <w:rFonts w:ascii="Arial" w:hAnsi="Arial" w:cs="Arial"/>
          <w:b/>
          <w:sz w:val="24"/>
          <w:szCs w:val="24"/>
        </w:rPr>
      </w:pPr>
      <w:r w:rsidRPr="001C3E99">
        <w:rPr>
          <w:rFonts w:ascii="Arial" w:hAnsi="Arial" w:cs="Arial"/>
          <w:b/>
          <w:bCs/>
          <w:sz w:val="24"/>
          <w:szCs w:val="24"/>
        </w:rPr>
        <w:t>Title:</w:t>
      </w:r>
      <w:r>
        <w:rPr>
          <w:rFonts w:ascii="Arial" w:hAnsi="Arial" w:cs="Arial"/>
          <w:sz w:val="24"/>
          <w:szCs w:val="24"/>
        </w:rPr>
        <w:t xml:space="preserve"> </w:t>
      </w:r>
      <w:r w:rsidRPr="001C3E99">
        <w:rPr>
          <w:rFonts w:ascii="Arial" w:hAnsi="Arial" w:cs="Arial"/>
          <w:bCs/>
          <w:sz w:val="24"/>
          <w:szCs w:val="24"/>
        </w:rPr>
        <w:t xml:space="preserve">Greater Gulf Coast Regional </w:t>
      </w:r>
      <w:r>
        <w:rPr>
          <w:rFonts w:ascii="Arial" w:hAnsi="Arial" w:cs="Arial"/>
          <w:bCs/>
          <w:sz w:val="24"/>
          <w:szCs w:val="24"/>
        </w:rPr>
        <w:t>Translational</w:t>
      </w:r>
      <w:r w:rsidRPr="001C3E99">
        <w:rPr>
          <w:rFonts w:ascii="Arial" w:hAnsi="Arial" w:cs="Arial"/>
          <w:bCs/>
          <w:sz w:val="24"/>
          <w:szCs w:val="24"/>
        </w:rPr>
        <w:t xml:space="preserve"> Workforce Development: Assessment and Action Plan</w:t>
      </w:r>
    </w:p>
    <w:p w14:paraId="4905B21A" w14:textId="476DAD02" w:rsidR="00513CEA" w:rsidRPr="001C3E99" w:rsidRDefault="00513CEA" w:rsidP="00513CEA">
      <w:pPr>
        <w:spacing w:after="0" w:line="480" w:lineRule="auto"/>
        <w:rPr>
          <w:rFonts w:ascii="Arial" w:hAnsi="Arial" w:cs="Arial"/>
          <w:b/>
          <w:bCs/>
          <w:sz w:val="24"/>
          <w:szCs w:val="24"/>
        </w:rPr>
      </w:pPr>
      <w:r w:rsidRPr="001C3E99">
        <w:rPr>
          <w:rFonts w:ascii="Arial" w:hAnsi="Arial" w:cs="Arial"/>
          <w:b/>
          <w:bCs/>
          <w:sz w:val="24"/>
          <w:szCs w:val="24"/>
        </w:rPr>
        <w:t>Author Names</w:t>
      </w:r>
    </w:p>
    <w:p w14:paraId="7A8E7ABD" w14:textId="5592F54D" w:rsidR="00513CEA" w:rsidRDefault="00513CEA" w:rsidP="00513CEA">
      <w:pPr>
        <w:spacing w:after="0" w:line="480" w:lineRule="auto"/>
        <w:rPr>
          <w:rFonts w:ascii="Arial" w:hAnsi="Arial" w:cs="Arial"/>
          <w:sz w:val="24"/>
          <w:szCs w:val="24"/>
          <w:vertAlign w:val="superscript"/>
        </w:rPr>
      </w:pPr>
      <w:r w:rsidRPr="6ABB555F">
        <w:rPr>
          <w:rFonts w:ascii="Arial" w:hAnsi="Arial" w:cs="Arial"/>
          <w:sz w:val="24"/>
          <w:szCs w:val="24"/>
        </w:rPr>
        <w:t>Courtney D Hunt</w:t>
      </w:r>
    </w:p>
    <w:p w14:paraId="4707A90F" w14:textId="01D96112" w:rsidR="00513CEA" w:rsidRDefault="00513CEA" w:rsidP="00513CEA">
      <w:pPr>
        <w:spacing w:after="0" w:line="480" w:lineRule="auto"/>
        <w:rPr>
          <w:rFonts w:ascii="Arial" w:hAnsi="Arial" w:cs="Arial"/>
          <w:sz w:val="24"/>
          <w:szCs w:val="24"/>
        </w:rPr>
      </w:pPr>
      <w:r w:rsidRPr="6ABB555F">
        <w:rPr>
          <w:rFonts w:ascii="Arial" w:hAnsi="Arial" w:cs="Arial"/>
          <w:sz w:val="24"/>
          <w:szCs w:val="24"/>
        </w:rPr>
        <w:t xml:space="preserve">Richard Sucgang </w:t>
      </w:r>
    </w:p>
    <w:p w14:paraId="0BED7CCB" w14:textId="066195A9" w:rsidR="00513CEA" w:rsidRDefault="00513CEA" w:rsidP="00513CEA">
      <w:pPr>
        <w:spacing w:after="0" w:line="480" w:lineRule="auto"/>
        <w:rPr>
          <w:rFonts w:ascii="Arial" w:hAnsi="Arial" w:cs="Arial"/>
          <w:sz w:val="24"/>
          <w:szCs w:val="24"/>
        </w:rPr>
      </w:pPr>
      <w:r w:rsidRPr="6ABB555F">
        <w:rPr>
          <w:rFonts w:ascii="Arial" w:hAnsi="Arial" w:cs="Arial"/>
          <w:sz w:val="24"/>
          <w:szCs w:val="24"/>
        </w:rPr>
        <w:t>Ming Guo</w:t>
      </w:r>
    </w:p>
    <w:p w14:paraId="30D93124" w14:textId="68B72084" w:rsidR="00513CEA" w:rsidRDefault="00513CEA" w:rsidP="00513CEA">
      <w:pPr>
        <w:spacing w:after="0" w:line="480" w:lineRule="auto"/>
        <w:rPr>
          <w:rFonts w:ascii="Arial" w:hAnsi="Arial" w:cs="Arial"/>
          <w:sz w:val="24"/>
          <w:szCs w:val="24"/>
        </w:rPr>
      </w:pPr>
      <w:r w:rsidRPr="6ABB555F">
        <w:rPr>
          <w:rFonts w:ascii="Arial" w:hAnsi="Arial" w:cs="Arial"/>
          <w:sz w:val="24"/>
          <w:szCs w:val="24"/>
        </w:rPr>
        <w:t xml:space="preserve">Glenn Sanford </w:t>
      </w:r>
    </w:p>
    <w:p w14:paraId="173F112A" w14:textId="1BB62774" w:rsidR="00513CEA" w:rsidRDefault="00513CEA" w:rsidP="00513CEA">
      <w:pPr>
        <w:spacing w:after="0" w:line="480" w:lineRule="auto"/>
        <w:rPr>
          <w:rFonts w:ascii="Arial" w:hAnsi="Arial" w:cs="Arial"/>
          <w:sz w:val="24"/>
          <w:szCs w:val="24"/>
        </w:rPr>
      </w:pPr>
      <w:r w:rsidRPr="6ABB555F">
        <w:rPr>
          <w:rFonts w:ascii="Arial" w:hAnsi="Arial" w:cs="Arial"/>
          <w:sz w:val="24"/>
          <w:szCs w:val="24"/>
        </w:rPr>
        <w:t>Dorothy E Lewis</w:t>
      </w:r>
    </w:p>
    <w:p w14:paraId="69823EFD" w14:textId="45A8D4E9" w:rsidR="00513CEA" w:rsidRDefault="00513CEA" w:rsidP="00513CEA">
      <w:pPr>
        <w:spacing w:after="0" w:line="480" w:lineRule="auto"/>
        <w:rPr>
          <w:rFonts w:ascii="Arial" w:hAnsi="Arial" w:cs="Arial"/>
          <w:sz w:val="24"/>
          <w:szCs w:val="24"/>
        </w:rPr>
      </w:pPr>
      <w:r w:rsidRPr="6ABB555F">
        <w:rPr>
          <w:rFonts w:ascii="Arial" w:hAnsi="Arial" w:cs="Arial"/>
          <w:sz w:val="24"/>
          <w:szCs w:val="24"/>
        </w:rPr>
        <w:t>Melinda Sheffield-Moore</w:t>
      </w:r>
    </w:p>
    <w:p w14:paraId="44B75BBB" w14:textId="106EE423" w:rsidR="00513CEA" w:rsidRDefault="00513CEA" w:rsidP="00513CEA">
      <w:pPr>
        <w:spacing w:after="0" w:line="480" w:lineRule="auto"/>
        <w:rPr>
          <w:rFonts w:ascii="Arial" w:hAnsi="Arial" w:cs="Arial"/>
          <w:sz w:val="24"/>
          <w:szCs w:val="24"/>
          <w:vertAlign w:val="superscript"/>
        </w:rPr>
      </w:pPr>
      <w:r w:rsidRPr="6ABB555F">
        <w:rPr>
          <w:rFonts w:ascii="Arial" w:hAnsi="Arial" w:cs="Arial"/>
          <w:sz w:val="24"/>
          <w:szCs w:val="24"/>
        </w:rPr>
        <w:t>Rebecca M Hall</w:t>
      </w:r>
      <w:r>
        <w:rPr>
          <w:rFonts w:ascii="Arial" w:hAnsi="Arial" w:cs="Arial"/>
          <w:sz w:val="24"/>
          <w:szCs w:val="24"/>
          <w:vertAlign w:val="superscript"/>
        </w:rPr>
        <w:t>*</w:t>
      </w:r>
    </w:p>
    <w:p w14:paraId="3D0DE6EB" w14:textId="77777777" w:rsidR="00513CEA" w:rsidRDefault="00513CEA" w:rsidP="00513CEA">
      <w:pPr>
        <w:spacing w:after="0" w:line="480" w:lineRule="auto"/>
        <w:rPr>
          <w:rFonts w:ascii="Arial" w:hAnsi="Arial" w:cs="Arial"/>
          <w:sz w:val="24"/>
          <w:szCs w:val="24"/>
          <w:vertAlign w:val="superscript"/>
        </w:rPr>
      </w:pPr>
    </w:p>
    <w:p w14:paraId="6B4446BA" w14:textId="00F31363" w:rsidR="00513CEA" w:rsidRDefault="00513CEA" w:rsidP="00513CEA">
      <w:pPr>
        <w:spacing w:after="0" w:line="480" w:lineRule="auto"/>
        <w:rPr>
          <w:rFonts w:ascii="Arial" w:hAnsi="Arial" w:cs="Arial"/>
          <w:b/>
          <w:bCs/>
          <w:sz w:val="24"/>
          <w:szCs w:val="24"/>
        </w:rPr>
      </w:pPr>
      <w:r w:rsidRPr="00513CEA">
        <w:rPr>
          <w:rFonts w:ascii="Arial" w:hAnsi="Arial" w:cs="Arial"/>
          <w:b/>
          <w:bCs/>
          <w:sz w:val="24"/>
          <w:szCs w:val="24"/>
        </w:rPr>
        <w:t>Supplementary Materials</w:t>
      </w:r>
      <w:r>
        <w:rPr>
          <w:rFonts w:ascii="Arial" w:hAnsi="Arial" w:cs="Arial"/>
          <w:b/>
          <w:bCs/>
          <w:sz w:val="24"/>
          <w:szCs w:val="24"/>
        </w:rPr>
        <w:t>:</w:t>
      </w:r>
    </w:p>
    <w:p w14:paraId="11126091" w14:textId="77777777" w:rsidR="00513CEA" w:rsidRDefault="00513CEA" w:rsidP="00513CEA">
      <w:pPr>
        <w:spacing w:line="480" w:lineRule="auto"/>
        <w:rPr>
          <w:rFonts w:ascii="Arial" w:hAnsi="Arial" w:cs="Arial"/>
          <w:b/>
          <w:bCs/>
          <w:noProof/>
          <w:sz w:val="24"/>
          <w:szCs w:val="24"/>
        </w:rPr>
      </w:pPr>
      <w:r>
        <w:rPr>
          <w:noProof/>
        </w:rPr>
        <w:lastRenderedPageBreak/>
        <w:drawing>
          <wp:inline distT="0" distB="0" distL="0" distR="0" wp14:anchorId="4C5868DC" wp14:editId="36D6DD62">
            <wp:extent cx="5553074" cy="5943600"/>
            <wp:effectExtent l="0" t="0" r="0" b="0"/>
            <wp:docPr id="1184533115" name="Picture 1184533115" descr="A group of graphs showing different colored ba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4533115" name="Picture 1184533115" descr="A group of graphs showing different colored bars&#10;&#10;Description automatically generated with medium confidence"/>
                    <pic:cNvPicPr/>
                  </pic:nvPicPr>
                  <pic:blipFill>
                    <a:blip r:embed="rId4" cstate="print">
                      <a:extLst>
                        <a:ext uri="{28A0092B-C50C-407E-A947-70E740481C1C}">
                          <a14:useLocalDpi xmlns:a14="http://schemas.microsoft.com/office/drawing/2010/main" val="0"/>
                        </a:ext>
                      </a:extLst>
                    </a:blip>
                    <a:stretch>
                      <a:fillRect/>
                    </a:stretch>
                  </pic:blipFill>
                  <pic:spPr>
                    <a:xfrm>
                      <a:off x="0" y="0"/>
                      <a:ext cx="5553074" cy="5943600"/>
                    </a:xfrm>
                    <a:prstGeom prst="rect">
                      <a:avLst/>
                    </a:prstGeom>
                  </pic:spPr>
                </pic:pic>
              </a:graphicData>
            </a:graphic>
          </wp:inline>
        </w:drawing>
      </w:r>
    </w:p>
    <w:p w14:paraId="090F562C" w14:textId="77777777" w:rsidR="00513CEA" w:rsidRDefault="00513CEA" w:rsidP="00513CEA">
      <w:pPr>
        <w:spacing w:line="480" w:lineRule="auto"/>
        <w:rPr>
          <w:rFonts w:ascii="Arial" w:hAnsi="Arial" w:cs="Arial"/>
          <w:sz w:val="24"/>
          <w:szCs w:val="24"/>
        </w:rPr>
      </w:pPr>
      <w:r w:rsidRPr="1385869F">
        <w:rPr>
          <w:rFonts w:ascii="Arial" w:hAnsi="Arial" w:cs="Arial"/>
          <w:b/>
          <w:bCs/>
          <w:noProof/>
          <w:sz w:val="24"/>
          <w:szCs w:val="24"/>
        </w:rPr>
        <w:t xml:space="preserve">Figure S1. </w:t>
      </w:r>
      <w:r w:rsidRPr="00953F72">
        <w:rPr>
          <w:rFonts w:ascii="Arial" w:hAnsi="Arial"/>
          <w:sz w:val="24"/>
        </w:rPr>
        <w:t>Age does not explain differences in translation-specific headcount and turnover during the COVID-19 pandemic.</w:t>
      </w:r>
      <w:r w:rsidRPr="1385869F">
        <w:rPr>
          <w:rFonts w:ascii="Arial" w:hAnsi="Arial" w:cs="Arial"/>
          <w:b/>
          <w:bCs/>
          <w:noProof/>
          <w:sz w:val="24"/>
          <w:szCs w:val="24"/>
        </w:rPr>
        <w:t xml:space="preserve"> </w:t>
      </w:r>
      <w:r>
        <w:rPr>
          <w:rFonts w:ascii="Arial" w:hAnsi="Arial" w:cs="Arial"/>
          <w:color w:val="000000" w:themeColor="text1"/>
          <w:sz w:val="24"/>
          <w:szCs w:val="24"/>
        </w:rPr>
        <w:t>B+CRP</w:t>
      </w:r>
      <w:r w:rsidRPr="1385869F">
        <w:rPr>
          <w:rFonts w:ascii="Arial" w:hAnsi="Arial" w:cs="Arial"/>
          <w:sz w:val="24"/>
          <w:szCs w:val="24"/>
        </w:rPr>
        <w:t xml:space="preserve"> and overall </w:t>
      </w:r>
      <w:r>
        <w:rPr>
          <w:rFonts w:ascii="Arial" w:hAnsi="Arial" w:cs="Arial"/>
          <w:sz w:val="24"/>
          <w:szCs w:val="24"/>
        </w:rPr>
        <w:t xml:space="preserve">academic </w:t>
      </w:r>
      <w:r w:rsidRPr="1385869F">
        <w:rPr>
          <w:rFonts w:ascii="Arial" w:hAnsi="Arial" w:cs="Arial"/>
          <w:sz w:val="24"/>
          <w:szCs w:val="24"/>
        </w:rPr>
        <w:t xml:space="preserve">workforce headcounts (left panel) and turnover (right panel) were assessed by age group. Gen Z (pink) represents those born 1997+; Gen Y (green) represents those born 1980-1996); Gen X (dark blue) represents those born 1965-1979; Baby Boomer (red) represents those born 1945-1964; Traditional (light blue) represents those born before 1945. </w:t>
      </w:r>
      <w:r w:rsidRPr="1385869F">
        <w:rPr>
          <w:rFonts w:ascii="Arial" w:hAnsi="Arial" w:cs="Arial"/>
          <w:sz w:val="24"/>
          <w:szCs w:val="24"/>
        </w:rPr>
        <w:lastRenderedPageBreak/>
        <w:t xml:space="preserve">Changes in the aging composition of the workforce did not significantly correlate with differences in </w:t>
      </w:r>
      <w:r>
        <w:rPr>
          <w:rFonts w:ascii="Arial" w:hAnsi="Arial" w:cs="Arial"/>
          <w:color w:val="000000" w:themeColor="text1"/>
          <w:sz w:val="24"/>
          <w:szCs w:val="24"/>
        </w:rPr>
        <w:t>B+CRP</w:t>
      </w:r>
      <w:r w:rsidRPr="1385869F">
        <w:rPr>
          <w:rFonts w:ascii="Arial" w:hAnsi="Arial" w:cs="Arial"/>
          <w:sz w:val="24"/>
          <w:szCs w:val="24"/>
        </w:rPr>
        <w:t xml:space="preserve"> vs overall turnover during the transition into the COVID-19 pandemic. </w:t>
      </w:r>
    </w:p>
    <w:p w14:paraId="2C699201" w14:textId="77777777" w:rsidR="00513CEA" w:rsidRDefault="00513CEA" w:rsidP="00513CEA">
      <w:pPr>
        <w:rPr>
          <w:rFonts w:ascii="Arial" w:hAnsi="Arial" w:cs="Arial"/>
          <w:sz w:val="24"/>
          <w:szCs w:val="24"/>
        </w:rPr>
      </w:pPr>
      <w:r>
        <w:rPr>
          <w:rFonts w:ascii="Arial" w:hAnsi="Arial" w:cs="Arial"/>
          <w:sz w:val="24"/>
          <w:szCs w:val="24"/>
        </w:rPr>
        <w:br w:type="page"/>
      </w:r>
    </w:p>
    <w:p w14:paraId="6912F6CB" w14:textId="77777777" w:rsidR="00513CEA" w:rsidRPr="008A7041" w:rsidRDefault="00513CEA" w:rsidP="00513CEA">
      <w:pPr>
        <w:spacing w:line="480" w:lineRule="auto"/>
        <w:rPr>
          <w:rFonts w:ascii="Arial" w:hAnsi="Arial" w:cs="Arial"/>
          <w:sz w:val="24"/>
          <w:szCs w:val="24"/>
        </w:rPr>
      </w:pPr>
    </w:p>
    <w:p w14:paraId="1792C010" w14:textId="77777777" w:rsidR="00513CEA" w:rsidRDefault="00513CEA" w:rsidP="00513CEA">
      <w:pPr>
        <w:spacing w:line="480" w:lineRule="auto"/>
        <w:rPr>
          <w:rFonts w:ascii="Arial" w:hAnsi="Arial" w:cs="Arial"/>
          <w:sz w:val="24"/>
          <w:szCs w:val="24"/>
        </w:rPr>
      </w:pPr>
      <w:r>
        <w:rPr>
          <w:noProof/>
        </w:rPr>
        <w:drawing>
          <wp:inline distT="0" distB="0" distL="0" distR="0" wp14:anchorId="152389BB" wp14:editId="6BF7D630">
            <wp:extent cx="3800475" cy="5943600"/>
            <wp:effectExtent l="0" t="0" r="0" b="0"/>
            <wp:docPr id="812760363" name="Picture 812760363" descr="A graph of different colored line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2760363" name="Picture 812760363" descr="A graph of different colored lines&#10;&#10;Description automatically generated with medium confidence"/>
                    <pic:cNvPicPr/>
                  </pic:nvPicPr>
                  <pic:blipFill>
                    <a:blip r:embed="rId5" cstate="print">
                      <a:extLst>
                        <a:ext uri="{28A0092B-C50C-407E-A947-70E740481C1C}">
                          <a14:useLocalDpi xmlns:a14="http://schemas.microsoft.com/office/drawing/2010/main" val="0"/>
                        </a:ext>
                      </a:extLst>
                    </a:blip>
                    <a:stretch>
                      <a:fillRect/>
                    </a:stretch>
                  </pic:blipFill>
                  <pic:spPr>
                    <a:xfrm>
                      <a:off x="0" y="0"/>
                      <a:ext cx="3800475" cy="5943600"/>
                    </a:xfrm>
                    <a:prstGeom prst="rect">
                      <a:avLst/>
                    </a:prstGeom>
                  </pic:spPr>
                </pic:pic>
              </a:graphicData>
            </a:graphic>
          </wp:inline>
        </w:drawing>
      </w:r>
    </w:p>
    <w:p w14:paraId="73DED204" w14:textId="77777777" w:rsidR="00513CEA" w:rsidRDefault="00513CEA" w:rsidP="00513CEA">
      <w:pPr>
        <w:spacing w:line="480" w:lineRule="auto"/>
        <w:rPr>
          <w:rFonts w:ascii="Arial" w:hAnsi="Arial" w:cs="Arial"/>
          <w:sz w:val="24"/>
          <w:szCs w:val="24"/>
        </w:rPr>
      </w:pPr>
      <w:r w:rsidRPr="1385869F">
        <w:rPr>
          <w:rFonts w:ascii="Arial" w:hAnsi="Arial" w:cs="Arial"/>
          <w:b/>
          <w:bCs/>
          <w:sz w:val="24"/>
          <w:szCs w:val="24"/>
        </w:rPr>
        <w:t>Figure S2.</w:t>
      </w:r>
      <w:r w:rsidRPr="1385869F">
        <w:rPr>
          <w:rFonts w:ascii="Arial" w:hAnsi="Arial" w:cs="Arial"/>
          <w:sz w:val="24"/>
          <w:szCs w:val="24"/>
        </w:rPr>
        <w:t xml:space="preserve"> </w:t>
      </w:r>
      <w:r w:rsidRPr="00953F72">
        <w:rPr>
          <w:rFonts w:ascii="Arial" w:hAnsi="Arial"/>
          <w:sz w:val="24"/>
        </w:rPr>
        <w:t>Differences in translation-specific headcount and turnover during the COVID-19 pandemic did not segregate by gender</w:t>
      </w:r>
      <w:r w:rsidRPr="00AF5555">
        <w:rPr>
          <w:rFonts w:ascii="Arial" w:hAnsi="Arial" w:cs="Arial"/>
          <w:sz w:val="24"/>
          <w:szCs w:val="24"/>
        </w:rPr>
        <w:t xml:space="preserve"> identity.</w:t>
      </w:r>
      <w:r w:rsidRPr="1385869F">
        <w:rPr>
          <w:rFonts w:ascii="Arial" w:hAnsi="Arial" w:cs="Arial"/>
          <w:sz w:val="24"/>
          <w:szCs w:val="24"/>
        </w:rPr>
        <w:t xml:space="preserve"> </w:t>
      </w:r>
      <w:r>
        <w:rPr>
          <w:rFonts w:ascii="Arial" w:hAnsi="Arial" w:cs="Arial"/>
          <w:color w:val="000000" w:themeColor="text1"/>
          <w:sz w:val="24"/>
          <w:szCs w:val="24"/>
        </w:rPr>
        <w:t>B+CRP</w:t>
      </w:r>
      <w:r w:rsidRPr="1385869F">
        <w:rPr>
          <w:rFonts w:ascii="Arial" w:hAnsi="Arial" w:cs="Arial"/>
          <w:sz w:val="24"/>
          <w:szCs w:val="24"/>
        </w:rPr>
        <w:t xml:space="preserve"> and overall turnover were assessed by </w:t>
      </w:r>
      <w:r>
        <w:rPr>
          <w:rFonts w:ascii="Arial" w:hAnsi="Arial" w:cs="Arial"/>
          <w:sz w:val="24"/>
          <w:szCs w:val="24"/>
        </w:rPr>
        <w:t xml:space="preserve">self-reported </w:t>
      </w:r>
      <w:r w:rsidRPr="1385869F">
        <w:rPr>
          <w:rFonts w:ascii="Arial" w:hAnsi="Arial" w:cs="Arial"/>
          <w:sz w:val="24"/>
          <w:szCs w:val="24"/>
        </w:rPr>
        <w:t xml:space="preserve">gender </w:t>
      </w:r>
      <w:r>
        <w:rPr>
          <w:rFonts w:ascii="Arial" w:hAnsi="Arial" w:cs="Arial"/>
          <w:sz w:val="24"/>
          <w:szCs w:val="24"/>
        </w:rPr>
        <w:t xml:space="preserve">identity </w:t>
      </w:r>
      <w:r w:rsidRPr="1385869F">
        <w:rPr>
          <w:rFonts w:ascii="Arial" w:hAnsi="Arial" w:cs="Arial"/>
          <w:sz w:val="24"/>
          <w:szCs w:val="24"/>
        </w:rPr>
        <w:t xml:space="preserve">at </w:t>
      </w:r>
      <w:r>
        <w:rPr>
          <w:rFonts w:ascii="Arial" w:hAnsi="Arial" w:cs="Arial"/>
          <w:sz w:val="24"/>
          <w:szCs w:val="24"/>
        </w:rPr>
        <w:t>Houston Methodist</w:t>
      </w:r>
      <w:r w:rsidRPr="1385869F">
        <w:rPr>
          <w:rFonts w:ascii="Arial" w:hAnsi="Arial" w:cs="Arial"/>
          <w:sz w:val="24"/>
          <w:szCs w:val="24"/>
        </w:rPr>
        <w:t xml:space="preserve"> (Top panel) and UTMB (Bottom panel). Differences in </w:t>
      </w:r>
      <w:r>
        <w:rPr>
          <w:rFonts w:ascii="Arial" w:hAnsi="Arial" w:cs="Arial"/>
          <w:color w:val="000000" w:themeColor="text1"/>
          <w:sz w:val="24"/>
          <w:szCs w:val="24"/>
        </w:rPr>
        <w:t>B+CRP</w:t>
      </w:r>
      <w:r w:rsidRPr="1385869F">
        <w:rPr>
          <w:rFonts w:ascii="Arial" w:hAnsi="Arial" w:cs="Arial"/>
          <w:sz w:val="24"/>
          <w:szCs w:val="24"/>
        </w:rPr>
        <w:t xml:space="preserve"> (blue lines) vs. overall (red lines) turnover </w:t>
      </w:r>
      <w:r w:rsidRPr="1385869F">
        <w:rPr>
          <w:rFonts w:ascii="Arial" w:hAnsi="Arial" w:cs="Arial"/>
          <w:sz w:val="24"/>
          <w:szCs w:val="24"/>
        </w:rPr>
        <w:lastRenderedPageBreak/>
        <w:t xml:space="preserve">during the COVID-19 pandemic was not significantly explained by gender differences. However, there are institutional differences in gender-specific turnover, with </w:t>
      </w:r>
      <w:r>
        <w:rPr>
          <w:rFonts w:ascii="Arial" w:hAnsi="Arial" w:cs="Arial"/>
          <w:color w:val="000000" w:themeColor="text1"/>
          <w:sz w:val="24"/>
          <w:szCs w:val="24"/>
        </w:rPr>
        <w:t>B+CRP</w:t>
      </w:r>
      <w:r w:rsidRPr="1385869F">
        <w:rPr>
          <w:rFonts w:ascii="Arial" w:hAnsi="Arial" w:cs="Arial"/>
          <w:sz w:val="24"/>
          <w:szCs w:val="24"/>
        </w:rPr>
        <w:t xml:space="preserve"> females seeing a higher turnover at UTMB during the pandemic (bottom panel, blue circles), whereas </w:t>
      </w:r>
      <w:r>
        <w:rPr>
          <w:rFonts w:ascii="Arial" w:hAnsi="Arial" w:cs="Arial"/>
          <w:color w:val="000000" w:themeColor="text1"/>
          <w:sz w:val="24"/>
          <w:szCs w:val="24"/>
        </w:rPr>
        <w:t>B+CRP</w:t>
      </w:r>
      <w:r w:rsidRPr="1385869F">
        <w:rPr>
          <w:rFonts w:ascii="Arial" w:hAnsi="Arial" w:cs="Arial"/>
          <w:sz w:val="24"/>
          <w:szCs w:val="24"/>
        </w:rPr>
        <w:t xml:space="preserve"> males saw higher turnover at </w:t>
      </w:r>
      <w:r>
        <w:rPr>
          <w:rFonts w:ascii="Arial" w:hAnsi="Arial" w:cs="Arial"/>
          <w:sz w:val="24"/>
          <w:szCs w:val="24"/>
        </w:rPr>
        <w:t>Houston Methodist</w:t>
      </w:r>
      <w:r w:rsidRPr="1385869F">
        <w:rPr>
          <w:rFonts w:ascii="Arial" w:hAnsi="Arial" w:cs="Arial"/>
          <w:sz w:val="24"/>
          <w:szCs w:val="24"/>
        </w:rPr>
        <w:t xml:space="preserve"> during the pandemic (top panel, blue triangles</w:t>
      </w:r>
      <w:r w:rsidRPr="59A86AE5">
        <w:rPr>
          <w:rFonts w:ascii="Arial" w:hAnsi="Arial" w:cs="Arial"/>
          <w:sz w:val="24"/>
          <w:szCs w:val="24"/>
        </w:rPr>
        <w:t xml:space="preserve">). </w:t>
      </w:r>
    </w:p>
    <w:p w14:paraId="462BEA19" w14:textId="77777777" w:rsidR="00513CEA" w:rsidRDefault="00513CEA" w:rsidP="00513CEA">
      <w:r>
        <w:br w:type="page"/>
      </w:r>
    </w:p>
    <w:p w14:paraId="1DC0AAA9" w14:textId="77777777" w:rsidR="00513CEA" w:rsidRPr="008A7041" w:rsidRDefault="00513CEA" w:rsidP="00513CEA">
      <w:pPr>
        <w:spacing w:line="480" w:lineRule="auto"/>
        <w:rPr>
          <w:rFonts w:ascii="Arial" w:hAnsi="Arial" w:cs="Arial"/>
          <w:sz w:val="24"/>
          <w:szCs w:val="24"/>
        </w:rPr>
      </w:pPr>
      <w:r>
        <w:rPr>
          <w:noProof/>
        </w:rPr>
        <w:lastRenderedPageBreak/>
        <w:drawing>
          <wp:inline distT="0" distB="0" distL="0" distR="0" wp14:anchorId="1326B444" wp14:editId="1DE0DB43">
            <wp:extent cx="5943600" cy="4762502"/>
            <wp:effectExtent l="0" t="0" r="0" b="0"/>
            <wp:docPr id="1950562528" name="Picture 1950562528" descr="A group of graphs showing different types of growth&#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0562528" name="Picture 1950562528" descr="A group of graphs showing different types of growth&#10;&#10;Description automatically generated with medium confidence"/>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4762502"/>
                    </a:xfrm>
                    <a:prstGeom prst="rect">
                      <a:avLst/>
                    </a:prstGeom>
                  </pic:spPr>
                </pic:pic>
              </a:graphicData>
            </a:graphic>
          </wp:inline>
        </w:drawing>
      </w:r>
    </w:p>
    <w:p w14:paraId="035FC640" w14:textId="77777777" w:rsidR="00513CEA" w:rsidRPr="00DC0BB7" w:rsidRDefault="00513CEA" w:rsidP="00513CEA">
      <w:pPr>
        <w:spacing w:before="120" w:line="480" w:lineRule="auto"/>
        <w:rPr>
          <w:rFonts w:ascii="Arial" w:hAnsi="Arial" w:cs="Arial"/>
          <w:b/>
          <w:bCs/>
          <w:sz w:val="24"/>
          <w:szCs w:val="24"/>
        </w:rPr>
      </w:pPr>
      <w:r w:rsidRPr="00D01197">
        <w:rPr>
          <w:rFonts w:ascii="Arial" w:hAnsi="Arial" w:cs="Arial"/>
          <w:b/>
          <w:bCs/>
          <w:sz w:val="24"/>
          <w:szCs w:val="24"/>
        </w:rPr>
        <w:t>Figure S3.</w:t>
      </w:r>
      <w:r w:rsidRPr="47EAEE02">
        <w:rPr>
          <w:rFonts w:ascii="Arial" w:hAnsi="Arial" w:cs="Arial"/>
          <w:b/>
          <w:bCs/>
          <w:sz w:val="24"/>
          <w:szCs w:val="24"/>
        </w:rPr>
        <w:t xml:space="preserve"> </w:t>
      </w:r>
      <w:r>
        <w:rPr>
          <w:rFonts w:ascii="Arial" w:hAnsi="Arial" w:cs="Arial"/>
          <w:color w:val="000000" w:themeColor="text1"/>
          <w:sz w:val="24"/>
          <w:szCs w:val="24"/>
        </w:rPr>
        <w:t>B+CRP</w:t>
      </w:r>
      <w:r>
        <w:rPr>
          <w:rFonts w:ascii="Arial" w:hAnsi="Arial" w:cs="Arial"/>
          <w:b/>
          <w:bCs/>
          <w:sz w:val="24"/>
          <w:szCs w:val="24"/>
        </w:rPr>
        <w:t xml:space="preserve"> </w:t>
      </w:r>
      <w:r w:rsidRPr="00953F72">
        <w:rPr>
          <w:rFonts w:ascii="Arial" w:hAnsi="Arial"/>
          <w:sz w:val="24"/>
        </w:rPr>
        <w:t xml:space="preserve">and overall turnover and headcount by </w:t>
      </w:r>
      <w:r w:rsidRPr="00AF5555">
        <w:rPr>
          <w:rFonts w:ascii="Arial" w:hAnsi="Arial" w:cs="Arial"/>
          <w:sz w:val="24"/>
          <w:szCs w:val="24"/>
        </w:rPr>
        <w:t>race/</w:t>
      </w:r>
      <w:r w:rsidRPr="00953F72">
        <w:rPr>
          <w:rFonts w:ascii="Arial" w:hAnsi="Arial"/>
          <w:sz w:val="24"/>
        </w:rPr>
        <w:t>ethnicity.</w:t>
      </w:r>
      <w:r>
        <w:rPr>
          <w:rFonts w:ascii="Arial" w:hAnsi="Arial" w:cs="Arial"/>
          <w:b/>
          <w:bCs/>
          <w:sz w:val="24"/>
          <w:szCs w:val="24"/>
        </w:rPr>
        <w:t xml:space="preserve"> </w:t>
      </w:r>
      <w:r w:rsidRPr="00AB14C5">
        <w:rPr>
          <w:rFonts w:ascii="Arial" w:hAnsi="Arial" w:cs="Arial"/>
          <w:sz w:val="24"/>
          <w:szCs w:val="24"/>
        </w:rPr>
        <w:t xml:space="preserve">In general, within each institution, each of the defined </w:t>
      </w:r>
      <w:r w:rsidRPr="6A3A73D0">
        <w:rPr>
          <w:rFonts w:ascii="Arial" w:hAnsi="Arial" w:cs="Arial"/>
          <w:sz w:val="24"/>
          <w:szCs w:val="24"/>
        </w:rPr>
        <w:t>racial/</w:t>
      </w:r>
      <w:r w:rsidRPr="00AB14C5">
        <w:rPr>
          <w:rFonts w:ascii="Arial" w:hAnsi="Arial" w:cs="Arial"/>
          <w:sz w:val="24"/>
          <w:szCs w:val="24"/>
        </w:rPr>
        <w:t xml:space="preserve">ethnic groups experienced similar trajectories of </w:t>
      </w:r>
      <w:r w:rsidRPr="6A3A73D0">
        <w:rPr>
          <w:rFonts w:ascii="Arial" w:hAnsi="Arial" w:cs="Arial"/>
          <w:color w:val="000000" w:themeColor="text1"/>
          <w:sz w:val="24"/>
          <w:szCs w:val="24"/>
        </w:rPr>
        <w:t>B</w:t>
      </w:r>
      <w:r>
        <w:rPr>
          <w:rFonts w:ascii="Arial" w:hAnsi="Arial" w:cs="Arial"/>
          <w:color w:val="000000" w:themeColor="text1"/>
          <w:sz w:val="24"/>
          <w:szCs w:val="24"/>
        </w:rPr>
        <w:t>+CRP</w:t>
      </w:r>
      <w:r w:rsidRPr="00AB14C5">
        <w:rPr>
          <w:rFonts w:ascii="Arial" w:hAnsi="Arial" w:cs="Arial"/>
          <w:sz w:val="24"/>
          <w:szCs w:val="24"/>
        </w:rPr>
        <w:t>-specific and overall workforce turnover over the period surveyed (the only exception is Asian</w:t>
      </w:r>
      <w:r>
        <w:rPr>
          <w:rFonts w:ascii="Arial" w:hAnsi="Arial" w:cs="Arial"/>
          <w:sz w:val="24"/>
          <w:szCs w:val="24"/>
        </w:rPr>
        <w:t xml:space="preserve"> population</w:t>
      </w:r>
      <w:r w:rsidRPr="00AB14C5">
        <w:rPr>
          <w:rFonts w:ascii="Arial" w:hAnsi="Arial" w:cs="Arial"/>
          <w:sz w:val="24"/>
          <w:szCs w:val="24"/>
        </w:rPr>
        <w:t xml:space="preserve"> at </w:t>
      </w:r>
      <w:r>
        <w:rPr>
          <w:rFonts w:ascii="Arial" w:hAnsi="Arial" w:cs="Arial"/>
          <w:sz w:val="24"/>
          <w:szCs w:val="24"/>
        </w:rPr>
        <w:t>Houston Methodist</w:t>
      </w:r>
      <w:r w:rsidRPr="00AB14C5">
        <w:rPr>
          <w:rFonts w:ascii="Arial" w:hAnsi="Arial" w:cs="Arial"/>
          <w:sz w:val="24"/>
          <w:szCs w:val="24"/>
        </w:rPr>
        <w:t xml:space="preserve"> undergoing dramatic variation in translation-specific workforce turnover). Each institution demonstrates different general trajectories of </w:t>
      </w:r>
      <w:r w:rsidRPr="6A3A73D0">
        <w:rPr>
          <w:rFonts w:ascii="Arial" w:hAnsi="Arial" w:cs="Arial"/>
          <w:sz w:val="24"/>
          <w:szCs w:val="24"/>
        </w:rPr>
        <w:t>racial/</w:t>
      </w:r>
      <w:r w:rsidRPr="00AB14C5">
        <w:rPr>
          <w:rFonts w:ascii="Arial" w:hAnsi="Arial" w:cs="Arial"/>
          <w:sz w:val="24"/>
          <w:szCs w:val="24"/>
        </w:rPr>
        <w:t xml:space="preserve">ethnic representation over time, with UTMB being relatively stable while the smaller </w:t>
      </w:r>
      <w:r>
        <w:rPr>
          <w:rFonts w:ascii="Arial" w:hAnsi="Arial" w:cs="Arial"/>
          <w:sz w:val="24"/>
          <w:szCs w:val="24"/>
        </w:rPr>
        <w:t>Houston Methodist</w:t>
      </w:r>
      <w:r w:rsidRPr="00AB14C5">
        <w:rPr>
          <w:rFonts w:ascii="Arial" w:hAnsi="Arial" w:cs="Arial"/>
          <w:sz w:val="24"/>
          <w:szCs w:val="24"/>
        </w:rPr>
        <w:t xml:space="preserve"> chang</w:t>
      </w:r>
      <w:r>
        <w:rPr>
          <w:rFonts w:ascii="Arial" w:hAnsi="Arial" w:cs="Arial"/>
          <w:sz w:val="24"/>
          <w:szCs w:val="24"/>
        </w:rPr>
        <w:t>ed</w:t>
      </w:r>
      <w:r w:rsidRPr="00AB14C5">
        <w:rPr>
          <w:rFonts w:ascii="Arial" w:hAnsi="Arial" w:cs="Arial"/>
          <w:sz w:val="24"/>
          <w:szCs w:val="24"/>
        </w:rPr>
        <w:t xml:space="preserve"> in proportion over time.</w:t>
      </w:r>
    </w:p>
    <w:p w14:paraId="0C454937" w14:textId="77777777" w:rsidR="00513CEA" w:rsidRDefault="00513CEA" w:rsidP="00513CEA">
      <w:pPr>
        <w:spacing w:line="480" w:lineRule="auto"/>
        <w:rPr>
          <w:rFonts w:ascii="Arial" w:hAnsi="Arial" w:cs="Arial"/>
          <w:sz w:val="24"/>
          <w:szCs w:val="24"/>
        </w:rPr>
      </w:pPr>
      <w:r>
        <w:rPr>
          <w:noProof/>
        </w:rPr>
        <w:lastRenderedPageBreak/>
        <w:drawing>
          <wp:inline distT="0" distB="0" distL="0" distR="0" wp14:anchorId="3F3C2D20" wp14:editId="56485B80">
            <wp:extent cx="4847573" cy="6420927"/>
            <wp:effectExtent l="0" t="0" r="0" b="0"/>
            <wp:docPr id="2128711788" name="Picture 2"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8711788" name="Picture 2" descr="A diagram of a company&#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4847573" cy="6420927"/>
                    </a:xfrm>
                    <a:prstGeom prst="rect">
                      <a:avLst/>
                    </a:prstGeom>
                  </pic:spPr>
                </pic:pic>
              </a:graphicData>
            </a:graphic>
          </wp:inline>
        </w:drawing>
      </w:r>
    </w:p>
    <w:p w14:paraId="5C9EE58B" w14:textId="244A6B6D" w:rsidR="00F325CE" w:rsidRPr="00513CEA" w:rsidRDefault="00513CEA" w:rsidP="00513CEA">
      <w:pPr>
        <w:spacing w:before="120" w:line="480" w:lineRule="auto"/>
        <w:rPr>
          <w:rFonts w:ascii="Arial" w:hAnsi="Arial"/>
          <w:sz w:val="24"/>
        </w:rPr>
      </w:pPr>
      <w:r w:rsidRPr="6A3A73D0">
        <w:rPr>
          <w:rFonts w:ascii="Arial" w:hAnsi="Arial" w:cs="Arial"/>
          <w:b/>
          <w:bCs/>
          <w:sz w:val="24"/>
          <w:szCs w:val="24"/>
        </w:rPr>
        <w:t xml:space="preserve">Figure S4. </w:t>
      </w:r>
      <w:r w:rsidRPr="6A3A73D0">
        <w:rPr>
          <w:rFonts w:ascii="Arial" w:hAnsi="Arial" w:cs="Arial"/>
          <w:sz w:val="24"/>
          <w:szCs w:val="24"/>
        </w:rPr>
        <w:t>Strategic alliance to bolster the clinical and translational workforce. “Connectors” model between undergraduate universities, academic medical centers, and regional economic partnership organizations to increase awareness of critical career opportunities to best sustain the clinical translational science effort in our region.</w:t>
      </w:r>
    </w:p>
    <w:sectPr w:rsidR="00F325CE" w:rsidRPr="00513C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3CEA"/>
    <w:rsid w:val="0008472E"/>
    <w:rsid w:val="00427D40"/>
    <w:rsid w:val="00513CEA"/>
    <w:rsid w:val="006D4F6D"/>
    <w:rsid w:val="007940F9"/>
    <w:rsid w:val="00C712FD"/>
    <w:rsid w:val="00F325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E43AA"/>
  <w15:chartTrackingRefBased/>
  <w15:docId w15:val="{8A9867C8-0F5C-472B-92E6-6B35752AB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13CEA"/>
    <w:rPr>
      <w:rFonts w:ascii="Calibri" w:eastAsia="Calibri" w:hAnsi="Calibri" w:cs="Calibri"/>
      <w:kern w:val="0"/>
      <w14:ligatures w14:val="none"/>
    </w:rPr>
  </w:style>
  <w:style w:type="paragraph" w:styleId="Heading1">
    <w:name w:val="heading 1"/>
    <w:basedOn w:val="Normal"/>
    <w:next w:val="Normal"/>
    <w:link w:val="Heading1Char"/>
    <w:uiPriority w:val="9"/>
    <w:qFormat/>
    <w:rsid w:val="00513CEA"/>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513CEA"/>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513CEA"/>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513CEA"/>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513CEA"/>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513CEA"/>
    <w:pPr>
      <w:keepNext/>
      <w:keepLines/>
      <w:spacing w:before="40" w:after="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513CEA"/>
    <w:pPr>
      <w:keepNext/>
      <w:keepLines/>
      <w:spacing w:before="40" w:after="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513CEA"/>
    <w:pPr>
      <w:keepNext/>
      <w:keepLines/>
      <w:spacing w:after="0"/>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513CEA"/>
    <w:pPr>
      <w:keepNext/>
      <w:keepLines/>
      <w:spacing w:after="0"/>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13CE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13CE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13CE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13CE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13CE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13CE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13CE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13CE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13CEA"/>
    <w:rPr>
      <w:rFonts w:eastAsiaTheme="majorEastAsia" w:cstheme="majorBidi"/>
      <w:color w:val="272727" w:themeColor="text1" w:themeTint="D8"/>
    </w:rPr>
  </w:style>
  <w:style w:type="paragraph" w:styleId="Title">
    <w:name w:val="Title"/>
    <w:basedOn w:val="Normal"/>
    <w:next w:val="Normal"/>
    <w:link w:val="TitleChar"/>
    <w:uiPriority w:val="10"/>
    <w:qFormat/>
    <w:rsid w:val="00513CEA"/>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513CE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13CEA"/>
    <w:pPr>
      <w:numPr>
        <w:ilvl w:val="1"/>
      </w:numPr>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513CE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13CEA"/>
    <w:pPr>
      <w:spacing w:before="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513CEA"/>
    <w:rPr>
      <w:i/>
      <w:iCs/>
      <w:color w:val="404040" w:themeColor="text1" w:themeTint="BF"/>
    </w:rPr>
  </w:style>
  <w:style w:type="paragraph" w:styleId="ListParagraph">
    <w:name w:val="List Paragraph"/>
    <w:basedOn w:val="Normal"/>
    <w:uiPriority w:val="34"/>
    <w:qFormat/>
    <w:rsid w:val="00513CEA"/>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513CEA"/>
    <w:rPr>
      <w:i/>
      <w:iCs/>
      <w:color w:val="0F4761" w:themeColor="accent1" w:themeShade="BF"/>
    </w:rPr>
  </w:style>
  <w:style w:type="paragraph" w:styleId="IntenseQuote">
    <w:name w:val="Intense Quote"/>
    <w:basedOn w:val="Normal"/>
    <w:next w:val="Normal"/>
    <w:link w:val="IntenseQuoteChar"/>
    <w:uiPriority w:val="30"/>
    <w:qFormat/>
    <w:rsid w:val="00513CEA"/>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513CEA"/>
    <w:rPr>
      <w:i/>
      <w:iCs/>
      <w:color w:val="0F4761" w:themeColor="accent1" w:themeShade="BF"/>
    </w:rPr>
  </w:style>
  <w:style w:type="character" w:styleId="IntenseReference">
    <w:name w:val="Intense Reference"/>
    <w:basedOn w:val="DefaultParagraphFont"/>
    <w:uiPriority w:val="32"/>
    <w:qFormat/>
    <w:rsid w:val="00513CEA"/>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image" Target="media/image4.png"/><Relationship Id="rId12" Type="http://schemas.openxmlformats.org/officeDocument/2006/relationships/customXml" Target="../customXml/item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11" Type="http://schemas.openxmlformats.org/officeDocument/2006/relationships/customXml" Target="../customXml/item2.xml"/><Relationship Id="rId5" Type="http://schemas.openxmlformats.org/officeDocument/2006/relationships/image" Target="media/image2.png"/><Relationship Id="rId10" Type="http://schemas.openxmlformats.org/officeDocument/2006/relationships/customXml" Target="../customXml/item1.xm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7BB18E826854348BF892E9FD4E0D12B" ma:contentTypeVersion="18" ma:contentTypeDescription="Create a new document." ma:contentTypeScope="" ma:versionID="f51f914916b221d98786907d2dda6ca0">
  <xsd:schema xmlns:xsd="http://www.w3.org/2001/XMLSchema" xmlns:xs="http://www.w3.org/2001/XMLSchema" xmlns:p="http://schemas.microsoft.com/office/2006/metadata/properties" xmlns:ns2="51190a44-d85e-4ece-9d8a-a2cc1e63e787" xmlns:ns3="e5e3f610-e1a2-4fc7-8de5-1c3ef76a4e4c" targetNamespace="http://schemas.microsoft.com/office/2006/metadata/properties" ma:root="true" ma:fieldsID="fae608083e89392d52de51b3da4b52b9" ns2:_="" ns3:_="">
    <xsd:import namespace="51190a44-d85e-4ece-9d8a-a2cc1e63e787"/>
    <xsd:import namespace="e5e3f610-e1a2-4fc7-8de5-1c3ef76a4e4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1190a44-d85e-4ece-9d8a-a2cc1e63e7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b52a9a3-3932-4962-b98e-19867ffb2547"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dexed="true" ma:internalName="MediaServiceLocation" ma:readOnly="true">
      <xsd:simpleType>
        <xsd:restriction base="dms:Text"/>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5e3f610-e1a2-4fc7-8de5-1c3ef76a4e4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2b52828-3d76-4078-b437-502a230a2f5d}" ma:internalName="TaxCatchAll" ma:showField="CatchAllData" ma:web="e5e3f610-e1a2-4fc7-8de5-1c3ef76a4e4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51190a44-d85e-4ece-9d8a-a2cc1e63e787">
      <Terms xmlns="http://schemas.microsoft.com/office/infopath/2007/PartnerControls"/>
    </lcf76f155ced4ddcb4097134ff3c332f>
    <TaxCatchAll xmlns="e5e3f610-e1a2-4fc7-8de5-1c3ef76a4e4c" xsi:nil="true"/>
  </documentManagement>
</p:properties>
</file>

<file path=customXml/itemProps1.xml><?xml version="1.0" encoding="utf-8"?>
<ds:datastoreItem xmlns:ds="http://schemas.openxmlformats.org/officeDocument/2006/customXml" ds:itemID="{6D8558FB-FAFA-4303-BCFA-645872B0F676}"/>
</file>

<file path=customXml/itemProps2.xml><?xml version="1.0" encoding="utf-8"?>
<ds:datastoreItem xmlns:ds="http://schemas.openxmlformats.org/officeDocument/2006/customXml" ds:itemID="{9E060853-387D-4BBC-B4B8-C3144CEC1878}"/>
</file>

<file path=customXml/itemProps3.xml><?xml version="1.0" encoding="utf-8"?>
<ds:datastoreItem xmlns:ds="http://schemas.openxmlformats.org/officeDocument/2006/customXml" ds:itemID="{6912B2FE-F94F-4FB0-9060-E85BF66AD07C}"/>
</file>

<file path=docProps/app.xml><?xml version="1.0" encoding="utf-8"?>
<Properties xmlns="http://schemas.openxmlformats.org/officeDocument/2006/extended-properties" xmlns:vt="http://schemas.openxmlformats.org/officeDocument/2006/docPropsVTypes">
  <Template>Normal</Template>
  <TotalTime>5</TotalTime>
  <Pages>7</Pages>
  <Words>384</Words>
  <Characters>2194</Characters>
  <Application>Microsoft Office Word</Application>
  <DocSecurity>0</DocSecurity>
  <Lines>18</Lines>
  <Paragraphs>5</Paragraphs>
  <ScaleCrop>false</ScaleCrop>
  <Company>Houston Methodist</Company>
  <LinksUpToDate>false</LinksUpToDate>
  <CharactersWithSpaces>2573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Hunt, Courtney D.</dc:creator>
  <cp:keywords/>
  <dc:description/>
  <cp:lastModifiedBy>Hunt, Courtney D.</cp:lastModifiedBy>
  <cp:revision>1</cp:revision>
  <dcterms:created xsi:type="dcterms:W3CDTF">2025-01-17T17:18:00Z</dcterms:created>
  <dcterms:modified xsi:type="dcterms:W3CDTF">2025-01-17T17:23:00Z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0x01010077BB18E826854348BF892E9FD4E0D12B</vt:lpwstr>
  </property>
  <property fmtid="{D5CDD505-2E9C-101B-9397-08002B2CF9AE}" pid="3" name="MediaServiceImageTags">
    <vt:lpwstr/>
  </property>
</Properties>
</file>