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BD35" w14:textId="77777777" w:rsidR="001D2810" w:rsidRPr="001D2810" w:rsidRDefault="001D2810" w:rsidP="001D2810">
      <w:pPr>
        <w:spacing w:after="0" w:line="360" w:lineRule="auto"/>
        <w:rPr>
          <w:rFonts w:ascii="Arial" w:eastAsia="Aptos" w:hAnsi="Arial" w:cs="Arial"/>
          <w:b/>
          <w:bCs/>
          <w:sz w:val="24"/>
          <w:szCs w:val="24"/>
        </w:rPr>
      </w:pPr>
      <w:r w:rsidRPr="001D2810">
        <w:rPr>
          <w:rFonts w:ascii="Arial" w:eastAsia="Aptos" w:hAnsi="Arial" w:cs="Arial"/>
          <w:b/>
          <w:bCs/>
          <w:sz w:val="24"/>
          <w:szCs w:val="24"/>
        </w:rPr>
        <w:t>Supplemental Material.</w:t>
      </w:r>
    </w:p>
    <w:p w14:paraId="3A4F66C2" w14:textId="77777777" w:rsidR="001D2810" w:rsidRPr="001D2810" w:rsidRDefault="001D2810" w:rsidP="001D2810">
      <w:pPr>
        <w:spacing w:after="0" w:line="360" w:lineRule="auto"/>
        <w:rPr>
          <w:rFonts w:ascii="Arial" w:eastAsia="Aptos" w:hAnsi="Arial" w:cs="Arial"/>
          <w:b/>
          <w:bCs/>
          <w:sz w:val="24"/>
          <w:szCs w:val="24"/>
        </w:rPr>
      </w:pPr>
    </w:p>
    <w:p w14:paraId="1325E56A"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b/>
          <w:bCs/>
          <w:sz w:val="24"/>
          <w:szCs w:val="24"/>
        </w:rPr>
        <w:t>Supplement Appendix 1.</w:t>
      </w:r>
      <w:r w:rsidRPr="001D2810">
        <w:rPr>
          <w:rFonts w:ascii="Arial" w:eastAsia="Aptos" w:hAnsi="Arial" w:cs="Arial"/>
          <w:sz w:val="24"/>
          <w:szCs w:val="24"/>
        </w:rPr>
        <w:t xml:space="preserve"> Dissemination Advisory Board Membership &amp; Expertise</w:t>
      </w:r>
    </w:p>
    <w:p w14:paraId="2FDECB2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Purpose: to share insights, experiences, and suggestions to assist in the development of a</w:t>
      </w:r>
    </w:p>
    <w:p w14:paraId="11257BFB" w14:textId="1F3F2264"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dissemination strategy to bring the ENACT Network to clinical investigators in the CTSA.</w:t>
      </w:r>
    </w:p>
    <w:p w14:paraId="6611FE9C"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consortium, along with other members of the Dissemination Advisory Board.</w:t>
      </w:r>
    </w:p>
    <w:p w14:paraId="5B6189E0" w14:textId="77777777" w:rsidR="001D2810" w:rsidRPr="001D2810" w:rsidRDefault="001D2810" w:rsidP="001D2810">
      <w:pPr>
        <w:spacing w:after="0" w:line="360" w:lineRule="auto"/>
        <w:rPr>
          <w:rFonts w:ascii="Arial" w:eastAsia="Aptos" w:hAnsi="Arial" w:cs="Arial"/>
          <w:sz w:val="24"/>
          <w:szCs w:val="24"/>
        </w:rPr>
      </w:pPr>
    </w:p>
    <w:tbl>
      <w:tblPr>
        <w:tblStyle w:val="PlainTable22"/>
        <w:tblW w:w="0" w:type="auto"/>
        <w:tblLook w:val="04A0" w:firstRow="1" w:lastRow="0" w:firstColumn="1" w:lastColumn="0" w:noHBand="0" w:noVBand="1"/>
      </w:tblPr>
      <w:tblGrid>
        <w:gridCol w:w="2785"/>
        <w:gridCol w:w="6565"/>
      </w:tblGrid>
      <w:tr w:rsidR="001D2810" w:rsidRPr="001D2810" w14:paraId="4C0C17C5" w14:textId="77777777" w:rsidTr="00AF5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7F34319" w14:textId="77777777" w:rsidR="001D2810" w:rsidRPr="001D2810" w:rsidRDefault="001D2810" w:rsidP="001D2810">
            <w:pPr>
              <w:rPr>
                <w:rFonts w:ascii="Arial" w:hAnsi="Arial" w:cs="Arial"/>
                <w:sz w:val="24"/>
                <w:szCs w:val="24"/>
              </w:rPr>
            </w:pPr>
            <w:r w:rsidRPr="001D2810">
              <w:rPr>
                <w:rFonts w:ascii="Arial" w:hAnsi="Arial" w:cs="Arial"/>
                <w:sz w:val="24"/>
                <w:szCs w:val="24"/>
              </w:rPr>
              <w:t>Anne Coughlan, PhD</w:t>
            </w:r>
          </w:p>
        </w:tc>
        <w:tc>
          <w:tcPr>
            <w:tcW w:w="6565" w:type="dxa"/>
          </w:tcPr>
          <w:p w14:paraId="5A61DF10" w14:textId="77777777" w:rsidR="001D2810" w:rsidRPr="001D2810" w:rsidRDefault="001D2810" w:rsidP="001D2810">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1D2810">
              <w:rPr>
                <w:rFonts w:ascii="Arial" w:hAnsi="Arial" w:cs="Arial"/>
                <w:b w:val="0"/>
                <w:bCs w:val="0"/>
                <w:sz w:val="24"/>
                <w:szCs w:val="24"/>
              </w:rPr>
              <w:t>Polk Bros. Chair in Retailing, Professor of Marketing, Kellogg School of Business, Northwestern University.</w:t>
            </w:r>
          </w:p>
          <w:p w14:paraId="77B73F80" w14:textId="77777777" w:rsidR="001D2810" w:rsidRPr="001D2810" w:rsidRDefault="001D2810" w:rsidP="001D281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D2810">
              <w:rPr>
                <w:rFonts w:ascii="Arial" w:hAnsi="Arial" w:cs="Arial"/>
                <w:b w:val="0"/>
                <w:bCs w:val="0"/>
                <w:sz w:val="24"/>
                <w:szCs w:val="24"/>
              </w:rPr>
              <w:t>A nationally recognized expert on the strategic development and use of complex distribution channels to bring products to end users (and author of A Field Guide to Channel Strategy).</w:t>
            </w:r>
          </w:p>
        </w:tc>
      </w:tr>
      <w:tr w:rsidR="001D2810" w:rsidRPr="001D2810" w14:paraId="463BB411" w14:textId="77777777" w:rsidTr="00AF5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6F8CD97" w14:textId="77777777" w:rsidR="001D2810" w:rsidRPr="001D2810" w:rsidRDefault="001D2810" w:rsidP="001D2810">
            <w:pPr>
              <w:rPr>
                <w:rFonts w:ascii="Arial" w:hAnsi="Arial" w:cs="Arial"/>
                <w:sz w:val="24"/>
                <w:szCs w:val="24"/>
              </w:rPr>
            </w:pPr>
            <w:r w:rsidRPr="001D2810">
              <w:rPr>
                <w:rFonts w:ascii="Arial" w:hAnsi="Arial" w:cs="Arial"/>
                <w:sz w:val="24"/>
                <w:szCs w:val="24"/>
              </w:rPr>
              <w:t>Jim Dearing, PhD</w:t>
            </w:r>
          </w:p>
        </w:tc>
        <w:tc>
          <w:tcPr>
            <w:tcW w:w="6565" w:type="dxa"/>
          </w:tcPr>
          <w:p w14:paraId="11F3D859"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Professor and Chair, Department of Communications, Michigan State University.</w:t>
            </w:r>
          </w:p>
          <w:p w14:paraId="52BF948A"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Nationally- recognized NIH-funded expert on diffusion of innovations, including adoption and implementation of new evidence-based practices, programs, and</w:t>
            </w:r>
          </w:p>
          <w:p w14:paraId="1AB2538B"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technologies in a healthcare setting.</w:t>
            </w:r>
          </w:p>
        </w:tc>
      </w:tr>
      <w:tr w:rsidR="001D2810" w:rsidRPr="001D2810" w14:paraId="06C9FD0E" w14:textId="77777777" w:rsidTr="00AF51FD">
        <w:tc>
          <w:tcPr>
            <w:cnfStyle w:val="001000000000" w:firstRow="0" w:lastRow="0" w:firstColumn="1" w:lastColumn="0" w:oddVBand="0" w:evenVBand="0" w:oddHBand="0" w:evenHBand="0" w:firstRowFirstColumn="0" w:firstRowLastColumn="0" w:lastRowFirstColumn="0" w:lastRowLastColumn="0"/>
            <w:tcW w:w="2785" w:type="dxa"/>
            <w:vAlign w:val="center"/>
          </w:tcPr>
          <w:p w14:paraId="7B77CF55" w14:textId="77777777" w:rsidR="001D2810" w:rsidRPr="001D2810" w:rsidRDefault="001D2810" w:rsidP="001D2810">
            <w:pPr>
              <w:rPr>
                <w:rFonts w:ascii="Arial" w:hAnsi="Arial" w:cs="Arial"/>
                <w:sz w:val="24"/>
                <w:szCs w:val="24"/>
              </w:rPr>
            </w:pPr>
            <w:r w:rsidRPr="001D2810">
              <w:rPr>
                <w:rFonts w:ascii="Arial" w:hAnsi="Arial" w:cs="Arial"/>
                <w:sz w:val="24"/>
                <w:szCs w:val="24"/>
              </w:rPr>
              <w:t>Deborah Goeken, MPH</w:t>
            </w:r>
          </w:p>
          <w:p w14:paraId="3E59E3F1" w14:textId="77777777" w:rsidR="001D2810" w:rsidRPr="001D2810" w:rsidRDefault="001D2810" w:rsidP="001D2810">
            <w:pPr>
              <w:rPr>
                <w:rFonts w:ascii="Arial" w:hAnsi="Arial" w:cs="Arial"/>
                <w:sz w:val="24"/>
                <w:szCs w:val="24"/>
              </w:rPr>
            </w:pPr>
          </w:p>
        </w:tc>
        <w:tc>
          <w:tcPr>
            <w:tcW w:w="6565" w:type="dxa"/>
          </w:tcPr>
          <w:p w14:paraId="198A7C54" w14:textId="77777777" w:rsidR="001D2810" w:rsidRPr="001D2810" w:rsidRDefault="001D2810" w:rsidP="001D281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2810">
              <w:rPr>
                <w:rFonts w:ascii="Arial" w:hAnsi="Arial" w:cs="Arial"/>
                <w:sz w:val="24"/>
                <w:szCs w:val="24"/>
              </w:rPr>
              <w:t>Vice-President, Colorado Health Institute (retired).</w:t>
            </w:r>
          </w:p>
          <w:p w14:paraId="70D06BF1" w14:textId="77777777" w:rsidR="001D2810" w:rsidRPr="001D2810" w:rsidRDefault="001D2810" w:rsidP="001D281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2810">
              <w:rPr>
                <w:rFonts w:ascii="Arial" w:hAnsi="Arial" w:cs="Arial"/>
                <w:sz w:val="24"/>
                <w:szCs w:val="24"/>
              </w:rPr>
              <w:t>Expert in strategic communications and messaging in health and health care; former managing director of the Rocky Mountain News, a Pulitzer Prize-winning publication.</w:t>
            </w:r>
          </w:p>
        </w:tc>
      </w:tr>
      <w:tr w:rsidR="001D2810" w:rsidRPr="001D2810" w14:paraId="1E5CFCF2" w14:textId="77777777" w:rsidTr="00AF5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DFDC959" w14:textId="77777777" w:rsidR="001D2810" w:rsidRPr="001D2810" w:rsidRDefault="001D2810" w:rsidP="001D2810">
            <w:pPr>
              <w:rPr>
                <w:rFonts w:ascii="Arial" w:hAnsi="Arial" w:cs="Arial"/>
                <w:sz w:val="24"/>
                <w:szCs w:val="24"/>
              </w:rPr>
            </w:pPr>
            <w:r w:rsidRPr="001D2810">
              <w:rPr>
                <w:rFonts w:ascii="Arial" w:hAnsi="Arial" w:cs="Arial"/>
                <w:sz w:val="24"/>
                <w:szCs w:val="24"/>
              </w:rPr>
              <w:t xml:space="preserve">Jerry Shelton, </w:t>
            </w:r>
            <w:proofErr w:type="spellStart"/>
            <w:proofErr w:type="gramStart"/>
            <w:r w:rsidRPr="001D2810">
              <w:rPr>
                <w:rFonts w:ascii="Arial" w:hAnsi="Arial" w:cs="Arial"/>
                <w:sz w:val="24"/>
                <w:szCs w:val="24"/>
              </w:rPr>
              <w:t>R.Ph</w:t>
            </w:r>
            <w:proofErr w:type="spellEnd"/>
            <w:proofErr w:type="gramEnd"/>
          </w:p>
        </w:tc>
        <w:tc>
          <w:tcPr>
            <w:tcW w:w="6565" w:type="dxa"/>
          </w:tcPr>
          <w:p w14:paraId="5C2204D7"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Retired executive, Merck &amp; Co, Inc.</w:t>
            </w:r>
          </w:p>
          <w:p w14:paraId="20209E13"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Expert in domestic and international product launch and marketing management in the pharmaceutical industry.</w:t>
            </w:r>
          </w:p>
        </w:tc>
      </w:tr>
      <w:tr w:rsidR="001D2810" w:rsidRPr="001D2810" w14:paraId="0AF795AA" w14:textId="77777777" w:rsidTr="00AF51FD">
        <w:tc>
          <w:tcPr>
            <w:cnfStyle w:val="001000000000" w:firstRow="0" w:lastRow="0" w:firstColumn="1" w:lastColumn="0" w:oddVBand="0" w:evenVBand="0" w:oddHBand="0" w:evenHBand="0" w:firstRowFirstColumn="0" w:firstRowLastColumn="0" w:lastRowFirstColumn="0" w:lastRowLastColumn="0"/>
            <w:tcW w:w="2785" w:type="dxa"/>
            <w:vAlign w:val="center"/>
          </w:tcPr>
          <w:p w14:paraId="706092AC" w14:textId="77777777" w:rsidR="001D2810" w:rsidRPr="001D2810" w:rsidRDefault="001D2810" w:rsidP="001D2810">
            <w:pPr>
              <w:rPr>
                <w:rFonts w:ascii="Arial" w:hAnsi="Arial" w:cs="Arial"/>
                <w:sz w:val="24"/>
                <w:szCs w:val="24"/>
              </w:rPr>
            </w:pPr>
            <w:r w:rsidRPr="001D2810">
              <w:rPr>
                <w:rFonts w:ascii="Arial" w:hAnsi="Arial" w:cs="Arial"/>
                <w:sz w:val="24"/>
                <w:szCs w:val="24"/>
              </w:rPr>
              <w:t>Wayne Guerra, MD, MBA</w:t>
            </w:r>
          </w:p>
        </w:tc>
        <w:tc>
          <w:tcPr>
            <w:tcW w:w="6565" w:type="dxa"/>
          </w:tcPr>
          <w:p w14:paraId="43E7CA9E" w14:textId="77777777" w:rsidR="001D2810" w:rsidRPr="001D2810" w:rsidRDefault="001D2810" w:rsidP="001D281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2810">
              <w:rPr>
                <w:rFonts w:ascii="Arial" w:hAnsi="Arial" w:cs="Arial"/>
                <w:sz w:val="24"/>
                <w:szCs w:val="24"/>
              </w:rPr>
              <w:t xml:space="preserve">Co-founder/CMO, </w:t>
            </w:r>
            <w:proofErr w:type="spellStart"/>
            <w:r w:rsidRPr="001D2810">
              <w:rPr>
                <w:rFonts w:ascii="Arial" w:hAnsi="Arial" w:cs="Arial"/>
                <w:sz w:val="24"/>
                <w:szCs w:val="24"/>
              </w:rPr>
              <w:t>iTriage</w:t>
            </w:r>
            <w:proofErr w:type="spellEnd"/>
            <w:r w:rsidRPr="001D2810">
              <w:rPr>
                <w:rFonts w:ascii="Arial" w:hAnsi="Arial" w:cs="Arial"/>
                <w:sz w:val="24"/>
                <w:szCs w:val="24"/>
              </w:rPr>
              <w:t>, CU Entrepreneur-in-Resident</w:t>
            </w:r>
          </w:p>
          <w:p w14:paraId="2E54EC3C" w14:textId="77777777" w:rsidR="001D2810" w:rsidRPr="001D2810" w:rsidRDefault="001D2810" w:rsidP="001D281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2810">
              <w:rPr>
                <w:rFonts w:ascii="Arial" w:hAnsi="Arial" w:cs="Arial"/>
                <w:sz w:val="24"/>
                <w:szCs w:val="24"/>
              </w:rPr>
              <w:t>Serial healthcare entrepreneur experienced in consumer-facing mobile and digital health technology, including business model creation, product development, and customer acquisition/retention.</w:t>
            </w:r>
          </w:p>
        </w:tc>
      </w:tr>
      <w:tr w:rsidR="001D2810" w:rsidRPr="001D2810" w14:paraId="71B122BB" w14:textId="77777777" w:rsidTr="00AF5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7354265" w14:textId="77777777" w:rsidR="001D2810" w:rsidRPr="001D2810" w:rsidRDefault="001D2810" w:rsidP="001D2810">
            <w:pPr>
              <w:rPr>
                <w:rFonts w:ascii="Arial" w:hAnsi="Arial" w:cs="Arial"/>
                <w:sz w:val="24"/>
                <w:szCs w:val="24"/>
              </w:rPr>
            </w:pPr>
            <w:r w:rsidRPr="001D2810">
              <w:rPr>
                <w:rFonts w:ascii="Arial" w:hAnsi="Arial" w:cs="Arial"/>
                <w:sz w:val="24"/>
                <w:szCs w:val="24"/>
              </w:rPr>
              <w:t>Charles P. Friedman, PhD</w:t>
            </w:r>
          </w:p>
        </w:tc>
        <w:tc>
          <w:tcPr>
            <w:tcW w:w="6565" w:type="dxa"/>
          </w:tcPr>
          <w:p w14:paraId="3140F9E7"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Department Chair of Learning Health Sciences Josiah Macy Jr. Professor of Medical Education, Professor of Information, Professor of Public Health at the University of Michigan.</w:t>
            </w:r>
          </w:p>
          <w:p w14:paraId="24BFEB43" w14:textId="77777777" w:rsidR="001D2810" w:rsidRPr="001D2810" w:rsidRDefault="001D2810" w:rsidP="001D281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2810">
              <w:rPr>
                <w:rFonts w:ascii="Arial" w:hAnsi="Arial" w:cs="Arial"/>
                <w:sz w:val="24"/>
                <w:szCs w:val="24"/>
              </w:rPr>
              <w:t>Expertise in Informatics and Learning Health Systems.</w:t>
            </w:r>
          </w:p>
        </w:tc>
      </w:tr>
    </w:tbl>
    <w:p w14:paraId="338E6562" w14:textId="77777777" w:rsidR="001D2810" w:rsidRPr="001D2810" w:rsidRDefault="001D2810" w:rsidP="001D2810">
      <w:pPr>
        <w:spacing w:after="0" w:line="360" w:lineRule="auto"/>
        <w:rPr>
          <w:rFonts w:ascii="Arial" w:eastAsia="Aptos" w:hAnsi="Arial" w:cs="Arial"/>
          <w:sz w:val="24"/>
          <w:szCs w:val="24"/>
        </w:rPr>
      </w:pPr>
    </w:p>
    <w:p w14:paraId="78D42768" w14:textId="77777777" w:rsidR="001D2810" w:rsidRPr="001D2810" w:rsidRDefault="001D2810" w:rsidP="001D2810">
      <w:pPr>
        <w:spacing w:after="0" w:line="360" w:lineRule="auto"/>
        <w:rPr>
          <w:rFonts w:ascii="Arial" w:eastAsia="Aptos" w:hAnsi="Arial" w:cs="Arial"/>
          <w:sz w:val="24"/>
          <w:szCs w:val="24"/>
        </w:rPr>
      </w:pPr>
    </w:p>
    <w:p w14:paraId="7DF8B391" w14:textId="77777777" w:rsidR="001D2810" w:rsidRPr="001D2810" w:rsidRDefault="001D2810" w:rsidP="001D2810">
      <w:pPr>
        <w:spacing w:after="0" w:line="360" w:lineRule="auto"/>
        <w:rPr>
          <w:rFonts w:ascii="Arial" w:eastAsia="Aptos" w:hAnsi="Arial" w:cs="Arial"/>
          <w:sz w:val="24"/>
          <w:szCs w:val="24"/>
        </w:rPr>
      </w:pPr>
    </w:p>
    <w:p w14:paraId="490DCC5E" w14:textId="77777777" w:rsidR="001D2810" w:rsidRPr="001D2810" w:rsidRDefault="001D2810" w:rsidP="001D2810">
      <w:pPr>
        <w:spacing w:after="0" w:line="360" w:lineRule="auto"/>
        <w:rPr>
          <w:rFonts w:ascii="Arial" w:eastAsia="Aptos" w:hAnsi="Arial" w:cs="Arial"/>
          <w:sz w:val="24"/>
          <w:szCs w:val="24"/>
        </w:rPr>
      </w:pPr>
    </w:p>
    <w:p w14:paraId="31661461" w14:textId="77777777" w:rsidR="001D2810" w:rsidRPr="001D2810" w:rsidRDefault="001D2810" w:rsidP="001D2810">
      <w:pPr>
        <w:spacing w:after="0" w:line="360" w:lineRule="auto"/>
        <w:rPr>
          <w:rFonts w:ascii="Arial" w:eastAsia="Aptos" w:hAnsi="Arial" w:cs="Arial"/>
          <w:sz w:val="24"/>
          <w:szCs w:val="24"/>
        </w:rPr>
      </w:pPr>
    </w:p>
    <w:p w14:paraId="3428AC19" w14:textId="77777777" w:rsidR="001D2810" w:rsidRPr="001D2810" w:rsidRDefault="001D2810" w:rsidP="001D2810">
      <w:pPr>
        <w:spacing w:after="0" w:line="360" w:lineRule="auto"/>
        <w:rPr>
          <w:rFonts w:ascii="Arial" w:eastAsia="Aptos" w:hAnsi="Arial" w:cs="Arial"/>
          <w:sz w:val="24"/>
          <w:szCs w:val="24"/>
        </w:rPr>
      </w:pPr>
    </w:p>
    <w:p w14:paraId="175F1347"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b/>
          <w:bCs/>
          <w:sz w:val="24"/>
          <w:szCs w:val="24"/>
        </w:rPr>
        <w:t xml:space="preserve">Supplement Appendix 2.  </w:t>
      </w:r>
      <w:r w:rsidRPr="001D2810">
        <w:rPr>
          <w:rFonts w:ascii="Arial" w:eastAsia="Aptos" w:hAnsi="Arial" w:cs="Arial"/>
          <w:sz w:val="24"/>
          <w:szCs w:val="24"/>
        </w:rPr>
        <w:t>Customer Discovery Interview and Focus Group Guide</w:t>
      </w:r>
    </w:p>
    <w:p w14:paraId="35733641" w14:textId="77777777" w:rsidR="001D2810" w:rsidRPr="001D2810" w:rsidRDefault="001D2810" w:rsidP="001D2810">
      <w:pPr>
        <w:spacing w:after="0" w:line="360" w:lineRule="auto"/>
        <w:rPr>
          <w:rFonts w:ascii="Arial" w:eastAsia="Aptos" w:hAnsi="Arial" w:cs="Arial"/>
          <w:sz w:val="24"/>
          <w:szCs w:val="24"/>
          <w:u w:val="single"/>
        </w:rPr>
      </w:pPr>
      <w:r w:rsidRPr="001D2810">
        <w:rPr>
          <w:rFonts w:ascii="Arial" w:eastAsia="Aptos" w:hAnsi="Arial" w:cs="Arial"/>
          <w:sz w:val="24"/>
          <w:szCs w:val="24"/>
          <w:u w:val="single"/>
        </w:rPr>
        <w:t>Customer Discovery Interview Guide</w:t>
      </w:r>
    </w:p>
    <w:p w14:paraId="1FF51C94"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I. I am…</w:t>
      </w:r>
    </w:p>
    <w:p w14:paraId="19561FC0"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I am not here to sell you anything, I’m here to learn from you.</w:t>
      </w:r>
    </w:p>
    <w:p w14:paraId="180CD541"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My name is and a short background on YOU, not your tech.</w:t>
      </w:r>
    </w:p>
    <w:p w14:paraId="3F5DE38C"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If you are interested, we can give you an idea at the end.</w:t>
      </w:r>
    </w:p>
    <w:p w14:paraId="0FEF4FE6"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We are part of a program sponsored by the NCATS CTSA focused on understanding your needs to improve ACT. It has been great!</w:t>
      </w:r>
    </w:p>
    <w:p w14:paraId="6AD8DC74"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II. May I…</w:t>
      </w:r>
    </w:p>
    <w:p w14:paraId="1C8E4D4C"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May I have about 25 minutes of your time, does that still work for you?</w:t>
      </w:r>
    </w:p>
    <w:p w14:paraId="1A381987"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I’m going to ask only a few questions. May I take notes? Record? Take a picture of you? Use your name for the class?</w:t>
      </w:r>
    </w:p>
    <w:p w14:paraId="75381D5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 am here with my teammate, are you OK if they listen in?</w:t>
      </w:r>
    </w:p>
    <w:p w14:paraId="04CB8A60"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I’d like to use the information you provide for this purpose, OK?</w:t>
      </w:r>
    </w:p>
    <w:p w14:paraId="0F8835A8"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I’ll blind all _____ information if needed. We cannot sign an NDA however and we stick to non-confidential information.</w:t>
      </w:r>
    </w:p>
    <w:p w14:paraId="777F2B05"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III. You are…</w:t>
      </w:r>
    </w:p>
    <w:p w14:paraId="64A25979"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You are a friend of? A graduate of university? Work with?</w:t>
      </w:r>
    </w:p>
    <w:p w14:paraId="434F5E22"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 have you as title, affiliation, etc.</w:t>
      </w:r>
    </w:p>
    <w:p w14:paraId="56DB1CC3"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 read the paper/blog/article you published and thought …</w:t>
      </w:r>
    </w:p>
    <w:p w14:paraId="2EEB3996"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The person who referred me to you said you were an expert in this field _______.</w:t>
      </w:r>
    </w:p>
    <w:p w14:paraId="110CF3A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IV. Tell me…</w:t>
      </w:r>
    </w:p>
    <w:p w14:paraId="38ED18ED"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A little about your day and how often you might do this task.</w:t>
      </w:r>
    </w:p>
    <w:p w14:paraId="7AE21735"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 think that task is provided to you by _______. Can you tell me how it occurs in your setting?</w:t>
      </w:r>
    </w:p>
    <w:p w14:paraId="4EA147A9"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Who else is involved in the decision-making processes?</w:t>
      </w:r>
    </w:p>
    <w:p w14:paraId="1C46FE88"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When did you start doing it that way? Why?</w:t>
      </w:r>
    </w:p>
    <w:p w14:paraId="6A9F5C9A"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V. Barriers and Facilitators.</w:t>
      </w:r>
    </w:p>
    <w:p w14:paraId="7EB07ECC"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What’s working well for you?</w:t>
      </w:r>
    </w:p>
    <w:p w14:paraId="53FD45C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What makes you happy here?</w:t>
      </w:r>
    </w:p>
    <w:p w14:paraId="366BC6A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What’s not working well?</w:t>
      </w:r>
    </w:p>
    <w:p w14:paraId="5FB1C8B1"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Why?</w:t>
      </w:r>
    </w:p>
    <w:p w14:paraId="426D1314"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Tell me more…</w:t>
      </w:r>
    </w:p>
    <w:p w14:paraId="6D81CBD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 xml:space="preserve">If you were king or queen for a </w:t>
      </w:r>
      <w:proofErr w:type="gramStart"/>
      <w:r w:rsidRPr="001D2810">
        <w:rPr>
          <w:rFonts w:ascii="Arial" w:eastAsia="Aptos" w:hAnsi="Arial" w:cs="Arial"/>
          <w:sz w:val="24"/>
          <w:szCs w:val="24"/>
        </w:rPr>
        <w:t>day</w:t>
      </w:r>
      <w:proofErr w:type="gramEnd"/>
      <w:r w:rsidRPr="001D2810">
        <w:rPr>
          <w:rFonts w:ascii="Arial" w:eastAsia="Aptos" w:hAnsi="Arial" w:cs="Arial"/>
          <w:sz w:val="24"/>
          <w:szCs w:val="24"/>
        </w:rPr>
        <w:t xml:space="preserve"> what would you like to see happen?</w:t>
      </w:r>
    </w:p>
    <w:p w14:paraId="2776E92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VI. Final thoughts.</w:t>
      </w:r>
    </w:p>
    <w:p w14:paraId="17DC41FC"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Is there anything I should have asked about and didn’t?</w:t>
      </w:r>
    </w:p>
    <w:p w14:paraId="77DC23D4"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 xml:space="preserve">If I have more </w:t>
      </w:r>
      <w:proofErr w:type="gramStart"/>
      <w:r w:rsidRPr="001D2810">
        <w:rPr>
          <w:rFonts w:ascii="Arial" w:eastAsia="Aptos" w:hAnsi="Arial" w:cs="Arial"/>
          <w:sz w:val="24"/>
          <w:szCs w:val="24"/>
        </w:rPr>
        <w:t>questions</w:t>
      </w:r>
      <w:proofErr w:type="gramEnd"/>
      <w:r w:rsidRPr="001D2810">
        <w:rPr>
          <w:rFonts w:ascii="Arial" w:eastAsia="Aptos" w:hAnsi="Arial" w:cs="Arial"/>
          <w:sz w:val="24"/>
          <w:szCs w:val="24"/>
        </w:rPr>
        <w:t xml:space="preserve"> can I follow up later?</w:t>
      </w:r>
    </w:p>
    <w:p w14:paraId="53578090"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Who else should I speak with?</w:t>
      </w:r>
    </w:p>
    <w:p w14:paraId="5EEBFA97"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w:t>
      </w:r>
      <w:r w:rsidRPr="001D2810">
        <w:rPr>
          <w:rFonts w:ascii="Arial" w:eastAsia="Aptos" w:hAnsi="Arial" w:cs="Arial"/>
          <w:sz w:val="24"/>
          <w:szCs w:val="24"/>
        </w:rPr>
        <w:tab/>
        <w:t>Can you help me connect?</w:t>
      </w:r>
    </w:p>
    <w:p w14:paraId="1DF94A60" w14:textId="77777777" w:rsidR="001D2810" w:rsidRPr="001D2810" w:rsidRDefault="001D2810" w:rsidP="001D2810">
      <w:pPr>
        <w:spacing w:after="0" w:line="360" w:lineRule="auto"/>
        <w:rPr>
          <w:rFonts w:ascii="Arial" w:eastAsia="Aptos" w:hAnsi="Arial" w:cs="Arial"/>
          <w:sz w:val="24"/>
          <w:szCs w:val="24"/>
        </w:rPr>
      </w:pPr>
    </w:p>
    <w:p w14:paraId="7FA6FE57" w14:textId="77777777" w:rsidR="001D2810" w:rsidRPr="001D2810" w:rsidRDefault="001D2810" w:rsidP="001D2810">
      <w:pPr>
        <w:spacing w:after="0" w:line="360" w:lineRule="auto"/>
        <w:rPr>
          <w:rFonts w:ascii="Arial" w:eastAsia="Aptos" w:hAnsi="Arial" w:cs="Arial"/>
          <w:sz w:val="24"/>
          <w:szCs w:val="24"/>
          <w:u w:val="single"/>
        </w:rPr>
      </w:pPr>
      <w:r w:rsidRPr="001D2810">
        <w:rPr>
          <w:rFonts w:ascii="Arial" w:eastAsia="Aptos" w:hAnsi="Arial" w:cs="Arial"/>
          <w:sz w:val="24"/>
          <w:szCs w:val="24"/>
          <w:u w:val="single"/>
        </w:rPr>
        <w:t>Focus Group Guide.</w:t>
      </w:r>
    </w:p>
    <w:p w14:paraId="44785C05" w14:textId="77777777" w:rsidR="001D2810" w:rsidRPr="001D2810" w:rsidRDefault="001D2810" w:rsidP="001D2810">
      <w:pPr>
        <w:spacing w:after="0" w:line="360" w:lineRule="auto"/>
        <w:rPr>
          <w:rFonts w:ascii="Arial" w:eastAsia="Aptos" w:hAnsi="Arial" w:cs="Arial"/>
          <w:sz w:val="24"/>
          <w:szCs w:val="24"/>
          <w:u w:val="single"/>
        </w:rPr>
      </w:pPr>
    </w:p>
    <w:p w14:paraId="586F14F1"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 xml:space="preserve">This was a structured set of four questions listed below. To the extent possible, individuals were queried, and then open discussion ensued around selected topics. </w:t>
      </w:r>
    </w:p>
    <w:p w14:paraId="38833552" w14:textId="77777777" w:rsidR="001D2810" w:rsidRPr="001D2810" w:rsidRDefault="001D2810" w:rsidP="001D2810">
      <w:pPr>
        <w:spacing w:after="0" w:line="360" w:lineRule="auto"/>
        <w:rPr>
          <w:rFonts w:ascii="Arial" w:eastAsia="Aptos" w:hAnsi="Arial" w:cs="Arial"/>
          <w:sz w:val="24"/>
          <w:szCs w:val="24"/>
        </w:rPr>
      </w:pPr>
    </w:p>
    <w:p w14:paraId="1CA1677A"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1.</w:t>
      </w:r>
      <w:r w:rsidRPr="001D2810">
        <w:rPr>
          <w:rFonts w:ascii="Arial" w:eastAsia="Aptos" w:hAnsi="Arial" w:cs="Arial"/>
          <w:sz w:val="24"/>
          <w:szCs w:val="24"/>
        </w:rPr>
        <w:tab/>
        <w:t>What excites them individually for what is coming in health informatics over the next five years?</w:t>
      </w:r>
    </w:p>
    <w:p w14:paraId="770B813E"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2.</w:t>
      </w:r>
      <w:r w:rsidRPr="001D2810">
        <w:rPr>
          <w:rFonts w:ascii="Arial" w:eastAsia="Aptos" w:hAnsi="Arial" w:cs="Arial"/>
          <w:sz w:val="24"/>
          <w:szCs w:val="24"/>
        </w:rPr>
        <w:tab/>
        <w:t>What are the barriers to achieving those goals?</w:t>
      </w:r>
    </w:p>
    <w:p w14:paraId="0F6A2422"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3.</w:t>
      </w:r>
      <w:r w:rsidRPr="001D2810">
        <w:rPr>
          <w:rFonts w:ascii="Arial" w:eastAsia="Aptos" w:hAnsi="Arial" w:cs="Arial"/>
          <w:sz w:val="24"/>
          <w:szCs w:val="24"/>
        </w:rPr>
        <w:tab/>
        <w:t>How does ACT/ENACT fit into that future?</w:t>
      </w:r>
    </w:p>
    <w:p w14:paraId="75F8E286" w14:textId="77777777" w:rsidR="001D2810" w:rsidRPr="001D2810" w:rsidRDefault="001D2810" w:rsidP="001D2810">
      <w:pPr>
        <w:spacing w:after="0" w:line="360" w:lineRule="auto"/>
        <w:rPr>
          <w:rFonts w:ascii="Arial" w:eastAsia="Aptos" w:hAnsi="Arial" w:cs="Arial"/>
          <w:sz w:val="24"/>
          <w:szCs w:val="24"/>
        </w:rPr>
      </w:pPr>
      <w:r w:rsidRPr="001D2810">
        <w:rPr>
          <w:rFonts w:ascii="Arial" w:eastAsia="Aptos" w:hAnsi="Arial" w:cs="Arial"/>
          <w:sz w:val="24"/>
          <w:szCs w:val="24"/>
        </w:rPr>
        <w:t>4.</w:t>
      </w:r>
      <w:r w:rsidRPr="001D2810">
        <w:rPr>
          <w:rFonts w:ascii="Arial" w:eastAsia="Aptos" w:hAnsi="Arial" w:cs="Arial"/>
          <w:sz w:val="24"/>
          <w:szCs w:val="24"/>
        </w:rPr>
        <w:tab/>
        <w:t>How does the translation between EHR research and the clinic get made?</w:t>
      </w:r>
    </w:p>
    <w:p w14:paraId="68171508" w14:textId="77777777" w:rsidR="001D2810" w:rsidRPr="001D2810" w:rsidRDefault="001D2810" w:rsidP="001D2810">
      <w:pPr>
        <w:spacing w:line="480" w:lineRule="auto"/>
        <w:rPr>
          <w:rFonts w:ascii="Calibri" w:eastAsia="Calibri" w:hAnsi="Calibri" w:cs="Calibri"/>
          <w:b/>
          <w:bCs/>
          <w:kern w:val="0"/>
          <w14:ligatures w14:val="none"/>
        </w:rPr>
      </w:pPr>
    </w:p>
    <w:p w14:paraId="588EB28A" w14:textId="77777777" w:rsidR="001D2810" w:rsidRPr="001D2810" w:rsidRDefault="001D2810" w:rsidP="001D2810">
      <w:pPr>
        <w:spacing w:line="480" w:lineRule="auto"/>
        <w:rPr>
          <w:rFonts w:ascii="Calibri" w:eastAsia="Calibri" w:hAnsi="Calibri" w:cs="Calibri"/>
          <w:b/>
          <w:bCs/>
          <w:kern w:val="0"/>
          <w14:ligatures w14:val="none"/>
        </w:rPr>
      </w:pPr>
    </w:p>
    <w:p w14:paraId="756441C7" w14:textId="77777777" w:rsidR="001D2810" w:rsidRPr="001D2810" w:rsidRDefault="001D2810" w:rsidP="001D2810">
      <w:pPr>
        <w:spacing w:line="240" w:lineRule="auto"/>
        <w:rPr>
          <w:rFonts w:ascii="Arial" w:eastAsia="Calibri" w:hAnsi="Arial" w:cs="Arial"/>
          <w:b/>
          <w:bCs/>
          <w:kern w:val="0"/>
          <w:sz w:val="24"/>
          <w:szCs w:val="24"/>
          <w14:ligatures w14:val="none"/>
        </w:rPr>
        <w:sectPr w:rsidR="001D2810" w:rsidRPr="001D2810" w:rsidSect="001D2810">
          <w:pgSz w:w="12240" w:h="15840"/>
          <w:pgMar w:top="1440" w:right="1152" w:bottom="1440" w:left="1152" w:header="720" w:footer="720" w:gutter="0"/>
          <w:pgNumType w:start="0"/>
          <w:cols w:space="720"/>
          <w:titlePg/>
          <w:docGrid w:linePitch="299"/>
        </w:sectPr>
      </w:pPr>
    </w:p>
    <w:p w14:paraId="223C73D8" w14:textId="77777777" w:rsidR="001D2810" w:rsidRPr="001D2810" w:rsidRDefault="001D2810" w:rsidP="001D2810">
      <w:pPr>
        <w:spacing w:line="240" w:lineRule="auto"/>
        <w:rPr>
          <w:rFonts w:ascii="Arial" w:eastAsia="Calibri" w:hAnsi="Arial" w:cs="Arial"/>
          <w:b/>
          <w:bCs/>
          <w:kern w:val="0"/>
          <w:sz w:val="24"/>
          <w:szCs w:val="24"/>
          <w14:ligatures w14:val="none"/>
        </w:rPr>
      </w:pPr>
      <w:r w:rsidRPr="001D2810">
        <w:rPr>
          <w:rFonts w:ascii="Arial" w:eastAsia="Calibri" w:hAnsi="Arial" w:cs="Arial"/>
          <w:b/>
          <w:bCs/>
          <w:kern w:val="0"/>
          <w:sz w:val="24"/>
          <w:szCs w:val="24"/>
          <w14:ligatures w14:val="none"/>
        </w:rPr>
        <w:t xml:space="preserve">Supplement Appendix 3. </w:t>
      </w:r>
      <w:r w:rsidRPr="001D2810">
        <w:rPr>
          <w:rFonts w:ascii="Arial" w:eastAsia="Calibri" w:hAnsi="Arial" w:cs="Arial"/>
          <w:kern w:val="0"/>
          <w:sz w:val="24"/>
          <w:szCs w:val="24"/>
          <w14:ligatures w14:val="none"/>
        </w:rPr>
        <w:t>Competitive Landscape Analysis EHR Data Networks</w:t>
      </w:r>
    </w:p>
    <w:p w14:paraId="0434E563" w14:textId="77777777" w:rsidR="001D2810" w:rsidRPr="001D2810" w:rsidRDefault="001D2810" w:rsidP="001D2810">
      <w:pPr>
        <w:spacing w:line="240" w:lineRule="auto"/>
        <w:rPr>
          <w:rFonts w:ascii="Arial" w:eastAsia="Calibri" w:hAnsi="Arial" w:cs="Arial"/>
          <w:kern w:val="0"/>
          <w:sz w:val="24"/>
          <w:szCs w:val="24"/>
          <w14:ligatures w14:val="none"/>
        </w:rPr>
      </w:pPr>
    </w:p>
    <w:p w14:paraId="3FB436BB" w14:textId="61C5F4CB" w:rsidR="001D2810" w:rsidRPr="008A376B" w:rsidRDefault="001D2810" w:rsidP="001D2810">
      <w:pPr>
        <w:spacing w:line="240" w:lineRule="auto"/>
        <w:rPr>
          <w:rFonts w:ascii="Arial" w:eastAsia="Calibri" w:hAnsi="Arial" w:cs="Arial"/>
          <w:kern w:val="0"/>
          <w:sz w:val="24"/>
          <w:szCs w:val="24"/>
          <w14:ligatures w14:val="none"/>
        </w:rPr>
      </w:pPr>
      <w:r w:rsidRPr="001D2810">
        <w:rPr>
          <w:rFonts w:ascii="Arial" w:eastAsia="Calibri" w:hAnsi="Arial" w:cs="Arial"/>
          <w:kern w:val="0"/>
          <w:sz w:val="24"/>
          <w:szCs w:val="24"/>
          <w14:ligatures w14:val="none"/>
        </w:rPr>
        <w:t>This table presents an analysis of electronic health data networks available for research use in the United States as of 2023.  They have been stratified by the type of data and cost per data acquisition.  Cost data were derived from the website information available.  Networks have been color-coded based on their data governance structure. Open indicates access to the public without restrictions; Membership, accessible for those who belong to the specific data network; DUA/LA, Data use agreement/License agreement; and Hybrid, depending on the dataset requested requirements for accessibility vary.</w:t>
      </w:r>
    </w:p>
    <w:p w14:paraId="7FA48A0F" w14:textId="14D3890D" w:rsidR="001D2810" w:rsidRPr="001D2810" w:rsidRDefault="004C32CC" w:rsidP="001D2810">
      <w:pPr>
        <w:spacing w:line="240" w:lineRule="auto"/>
        <w:jc w:val="center"/>
        <w:rPr>
          <w:rFonts w:ascii="Calibri" w:eastAsia="Calibri" w:hAnsi="Calibri" w:cs="Calibri"/>
          <w:b/>
          <w:bCs/>
          <w:kern w:val="0"/>
          <w14:ligatures w14:val="none"/>
        </w:rPr>
      </w:pPr>
      <w:r w:rsidRPr="004C32CC">
        <w:rPr>
          <w:noProof/>
        </w:rPr>
        <w:drawing>
          <wp:anchor distT="0" distB="0" distL="114300" distR="114300" simplePos="0" relativeHeight="251661312" behindDoc="1" locked="0" layoutInCell="1" allowOverlap="1" wp14:anchorId="45BB5699" wp14:editId="2D34DB12">
            <wp:simplePos x="0" y="0"/>
            <wp:positionH relativeFrom="margin">
              <wp:align>center</wp:align>
            </wp:positionH>
            <wp:positionV relativeFrom="paragraph">
              <wp:posOffset>203200</wp:posOffset>
            </wp:positionV>
            <wp:extent cx="6717030" cy="4010025"/>
            <wp:effectExtent l="0" t="0" r="7620" b="9525"/>
            <wp:wrapNone/>
            <wp:docPr id="2049762675" name="Picture 1" descr="A table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62675" name="Picture 1" descr="A table with text and image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17589" cy="4010359"/>
                    </a:xfrm>
                    <a:prstGeom prst="rect">
                      <a:avLst/>
                    </a:prstGeom>
                  </pic:spPr>
                </pic:pic>
              </a:graphicData>
            </a:graphic>
            <wp14:sizeRelH relativeFrom="margin">
              <wp14:pctWidth>0</wp14:pctWidth>
            </wp14:sizeRelH>
            <wp14:sizeRelV relativeFrom="margin">
              <wp14:pctHeight>0</wp14:pctHeight>
            </wp14:sizeRelV>
          </wp:anchor>
        </w:drawing>
      </w:r>
    </w:p>
    <w:p w14:paraId="66515164" w14:textId="77777777" w:rsidR="001D2810" w:rsidRDefault="001D2810" w:rsidP="001D2810">
      <w:pPr>
        <w:spacing w:line="240" w:lineRule="auto"/>
        <w:jc w:val="center"/>
        <w:rPr>
          <w:rFonts w:ascii="Calibri" w:eastAsia="Calibri" w:hAnsi="Calibri" w:cs="Calibri"/>
          <w:b/>
          <w:bCs/>
          <w:kern w:val="0"/>
          <w14:ligatures w14:val="none"/>
        </w:rPr>
      </w:pPr>
    </w:p>
    <w:p w14:paraId="72235302" w14:textId="06058FEC" w:rsidR="0015552E" w:rsidRDefault="0015552E" w:rsidP="001D2810">
      <w:pPr>
        <w:spacing w:line="240" w:lineRule="auto"/>
        <w:jc w:val="center"/>
        <w:rPr>
          <w:rFonts w:ascii="Calibri" w:eastAsia="Calibri" w:hAnsi="Calibri" w:cs="Calibri"/>
          <w:b/>
          <w:bCs/>
          <w:kern w:val="0"/>
          <w14:ligatures w14:val="none"/>
        </w:rPr>
      </w:pPr>
    </w:p>
    <w:p w14:paraId="47976A5E" w14:textId="7267D7ED" w:rsidR="008A376B" w:rsidRDefault="008A376B" w:rsidP="001D2810">
      <w:pPr>
        <w:spacing w:line="240" w:lineRule="auto"/>
        <w:jc w:val="center"/>
        <w:rPr>
          <w:rFonts w:ascii="Calibri" w:eastAsia="Calibri" w:hAnsi="Calibri" w:cs="Calibri"/>
          <w:b/>
          <w:bCs/>
          <w:kern w:val="0"/>
          <w14:ligatures w14:val="none"/>
        </w:rPr>
      </w:pPr>
    </w:p>
    <w:p w14:paraId="098E1D98" w14:textId="77777777" w:rsidR="008A376B" w:rsidRDefault="008A376B" w:rsidP="001D2810">
      <w:pPr>
        <w:spacing w:line="240" w:lineRule="auto"/>
        <w:jc w:val="center"/>
        <w:rPr>
          <w:rFonts w:ascii="Calibri" w:eastAsia="Calibri" w:hAnsi="Calibri" w:cs="Calibri"/>
          <w:b/>
          <w:bCs/>
          <w:kern w:val="0"/>
          <w14:ligatures w14:val="none"/>
        </w:rPr>
      </w:pPr>
    </w:p>
    <w:p w14:paraId="4952BEC7" w14:textId="77777777" w:rsidR="008A376B" w:rsidRDefault="008A376B" w:rsidP="001D2810">
      <w:pPr>
        <w:spacing w:line="240" w:lineRule="auto"/>
        <w:jc w:val="center"/>
        <w:rPr>
          <w:rFonts w:ascii="Calibri" w:eastAsia="Calibri" w:hAnsi="Calibri" w:cs="Calibri"/>
          <w:b/>
          <w:bCs/>
          <w:kern w:val="0"/>
          <w14:ligatures w14:val="none"/>
        </w:rPr>
      </w:pPr>
    </w:p>
    <w:p w14:paraId="385D7F47" w14:textId="77777777" w:rsidR="008A376B" w:rsidRDefault="008A376B" w:rsidP="001D2810">
      <w:pPr>
        <w:spacing w:line="240" w:lineRule="auto"/>
        <w:jc w:val="center"/>
        <w:rPr>
          <w:rFonts w:ascii="Calibri" w:eastAsia="Calibri" w:hAnsi="Calibri" w:cs="Calibri"/>
          <w:b/>
          <w:bCs/>
          <w:kern w:val="0"/>
          <w14:ligatures w14:val="none"/>
        </w:rPr>
      </w:pPr>
    </w:p>
    <w:p w14:paraId="7493049F" w14:textId="77777777" w:rsidR="008A376B" w:rsidRDefault="008A376B" w:rsidP="001D2810">
      <w:pPr>
        <w:spacing w:line="240" w:lineRule="auto"/>
        <w:jc w:val="center"/>
        <w:rPr>
          <w:rFonts w:ascii="Calibri" w:eastAsia="Calibri" w:hAnsi="Calibri" w:cs="Calibri"/>
          <w:b/>
          <w:bCs/>
          <w:kern w:val="0"/>
          <w14:ligatures w14:val="none"/>
        </w:rPr>
      </w:pPr>
    </w:p>
    <w:p w14:paraId="7A18F990" w14:textId="77777777" w:rsidR="008A376B" w:rsidRDefault="008A376B" w:rsidP="001D2810">
      <w:pPr>
        <w:spacing w:line="240" w:lineRule="auto"/>
        <w:jc w:val="center"/>
        <w:rPr>
          <w:rFonts w:ascii="Calibri" w:eastAsia="Calibri" w:hAnsi="Calibri" w:cs="Calibri"/>
          <w:b/>
          <w:bCs/>
          <w:kern w:val="0"/>
          <w14:ligatures w14:val="none"/>
        </w:rPr>
      </w:pPr>
    </w:p>
    <w:p w14:paraId="2D273DFB" w14:textId="77777777" w:rsidR="008A376B" w:rsidRDefault="008A376B" w:rsidP="001D2810">
      <w:pPr>
        <w:spacing w:line="240" w:lineRule="auto"/>
        <w:jc w:val="center"/>
        <w:rPr>
          <w:rFonts w:ascii="Calibri" w:eastAsia="Calibri" w:hAnsi="Calibri" w:cs="Calibri"/>
          <w:b/>
          <w:bCs/>
          <w:kern w:val="0"/>
          <w14:ligatures w14:val="none"/>
        </w:rPr>
      </w:pPr>
    </w:p>
    <w:p w14:paraId="65BD1C31" w14:textId="77777777" w:rsidR="008A376B" w:rsidRDefault="008A376B" w:rsidP="001D2810">
      <w:pPr>
        <w:spacing w:line="240" w:lineRule="auto"/>
        <w:jc w:val="center"/>
        <w:rPr>
          <w:rFonts w:ascii="Calibri" w:eastAsia="Calibri" w:hAnsi="Calibri" w:cs="Calibri"/>
          <w:b/>
          <w:bCs/>
          <w:kern w:val="0"/>
          <w14:ligatures w14:val="none"/>
        </w:rPr>
      </w:pPr>
    </w:p>
    <w:p w14:paraId="54E802BD" w14:textId="77777777" w:rsidR="008A376B" w:rsidRDefault="008A376B" w:rsidP="001D2810">
      <w:pPr>
        <w:spacing w:line="240" w:lineRule="auto"/>
        <w:jc w:val="center"/>
        <w:rPr>
          <w:rFonts w:ascii="Calibri" w:eastAsia="Calibri" w:hAnsi="Calibri" w:cs="Calibri"/>
          <w:b/>
          <w:bCs/>
          <w:kern w:val="0"/>
          <w14:ligatures w14:val="none"/>
        </w:rPr>
      </w:pPr>
    </w:p>
    <w:p w14:paraId="09B611DA" w14:textId="77777777" w:rsidR="008A376B" w:rsidRDefault="008A376B" w:rsidP="001D2810">
      <w:pPr>
        <w:spacing w:line="240" w:lineRule="auto"/>
        <w:jc w:val="center"/>
        <w:rPr>
          <w:rFonts w:ascii="Calibri" w:eastAsia="Calibri" w:hAnsi="Calibri" w:cs="Calibri"/>
          <w:b/>
          <w:bCs/>
          <w:kern w:val="0"/>
          <w14:ligatures w14:val="none"/>
        </w:rPr>
      </w:pPr>
    </w:p>
    <w:p w14:paraId="72BF5881" w14:textId="77777777" w:rsidR="008A376B" w:rsidRDefault="008A376B" w:rsidP="001D2810">
      <w:pPr>
        <w:spacing w:line="240" w:lineRule="auto"/>
        <w:jc w:val="center"/>
        <w:rPr>
          <w:rFonts w:ascii="Calibri" w:eastAsia="Calibri" w:hAnsi="Calibri" w:cs="Calibri"/>
          <w:b/>
          <w:bCs/>
          <w:kern w:val="0"/>
          <w14:ligatures w14:val="none"/>
        </w:rPr>
      </w:pPr>
    </w:p>
    <w:p w14:paraId="60ED69D1" w14:textId="77777777" w:rsidR="008A376B" w:rsidRDefault="008A376B" w:rsidP="001D2810">
      <w:pPr>
        <w:spacing w:line="240" w:lineRule="auto"/>
        <w:jc w:val="center"/>
        <w:rPr>
          <w:rFonts w:ascii="Calibri" w:eastAsia="Calibri" w:hAnsi="Calibri" w:cs="Calibri"/>
          <w:b/>
          <w:bCs/>
          <w:kern w:val="0"/>
          <w14:ligatures w14:val="none"/>
        </w:rPr>
      </w:pPr>
    </w:p>
    <w:p w14:paraId="097EB6C5" w14:textId="77777777" w:rsidR="005F1A8C" w:rsidRDefault="005F1A8C" w:rsidP="001D2810">
      <w:pPr>
        <w:spacing w:line="240" w:lineRule="auto"/>
        <w:rPr>
          <w:rFonts w:ascii="Calibri" w:eastAsia="Calibri" w:hAnsi="Calibri" w:cs="Calibri"/>
          <w:b/>
          <w:bCs/>
          <w:kern w:val="0"/>
          <w14:ligatures w14:val="none"/>
        </w:rPr>
      </w:pPr>
    </w:p>
    <w:p w14:paraId="58AC518D" w14:textId="38C570A2" w:rsidR="001D2810" w:rsidRPr="001D2810" w:rsidRDefault="001D2810" w:rsidP="001D2810">
      <w:pPr>
        <w:spacing w:line="240" w:lineRule="auto"/>
        <w:rPr>
          <w:rFonts w:ascii="Calibri" w:eastAsia="Calibri" w:hAnsi="Calibri" w:cs="Calibri"/>
          <w:b/>
          <w:bCs/>
          <w:kern w:val="0"/>
          <w14:ligatures w14:val="none"/>
        </w:rPr>
      </w:pPr>
      <w:r w:rsidRPr="001D2810">
        <w:rPr>
          <w:rFonts w:ascii="Calibri" w:eastAsia="Calibri" w:hAnsi="Calibri" w:cs="Calibri"/>
          <w:b/>
          <w:bCs/>
          <w:kern w:val="0"/>
          <w14:ligatures w14:val="none"/>
        </w:rPr>
        <w:t>Footnote:</w:t>
      </w:r>
    </w:p>
    <w:p w14:paraId="65C18176" w14:textId="74EE8852" w:rsidR="001D2810" w:rsidRPr="001D2810" w:rsidRDefault="001D2810" w:rsidP="001D2810">
      <w:pPr>
        <w:spacing w:before="200" w:after="0" w:line="216" w:lineRule="auto"/>
        <w:rPr>
          <w:rFonts w:ascii="Arial" w:eastAsia="Times New Roman" w:hAnsi="Arial" w:cs="Arial"/>
          <w:color w:val="000000"/>
          <w:kern w:val="24"/>
          <w14:ligatures w14:val="none"/>
        </w:rPr>
      </w:pPr>
      <w:r w:rsidRPr="001D2810">
        <w:rPr>
          <w:rFonts w:ascii="Arial" w:eastAsia="Times New Roman" w:hAnsi="Arial" w:cs="Arial"/>
          <w:color w:val="000000"/>
          <w:kern w:val="24"/>
          <w14:ligatures w14:val="none"/>
        </w:rPr>
        <w:t>IPSOS-</w:t>
      </w:r>
      <w:hyperlink r:id="rId5" w:history="1">
        <w:r w:rsidRPr="001D2810">
          <w:rPr>
            <w:rFonts w:ascii="Arial" w:eastAsia="Times New Roman" w:hAnsi="Arial" w:cs="Arial"/>
            <w:color w:val="4472C4"/>
            <w:kern w:val="24"/>
            <w:u w:val="single"/>
            <w14:ligatures w14:val="none"/>
          </w:rPr>
          <w:t>Ipsos Group S.A</w:t>
        </w:r>
        <w:r w:rsidRPr="001D2810">
          <w:rPr>
            <w:rFonts w:ascii="Arial" w:eastAsia="Times New Roman" w:hAnsi="Arial" w:cs="Arial"/>
            <w:color w:val="000000"/>
            <w:kern w:val="24"/>
            <w:u w:val="single"/>
            <w14:ligatures w14:val="none"/>
          </w:rPr>
          <w:t>.</w:t>
        </w:r>
      </w:hyperlink>
      <w:r w:rsidRPr="001D2810">
        <w:rPr>
          <w:rFonts w:ascii="Arial" w:eastAsia="Times New Roman" w:hAnsi="Arial" w:cs="Arial"/>
          <w:color w:val="000000"/>
          <w:kern w:val="24"/>
          <w14:ligatures w14:val="none"/>
        </w:rPr>
        <w:t xml:space="preserve">, IRI’s MULO- Multioutlet (now </w:t>
      </w:r>
      <w:hyperlink r:id="rId6" w:history="1">
        <w:r w:rsidRPr="001D2810">
          <w:rPr>
            <w:rFonts w:ascii="Arial" w:eastAsia="Times New Roman" w:hAnsi="Arial" w:cs="Arial"/>
            <w:color w:val="4472C4"/>
            <w:kern w:val="24"/>
            <w:u w:val="single"/>
            <w14:ligatures w14:val="none"/>
          </w:rPr>
          <w:t>CIRCANA</w:t>
        </w:r>
      </w:hyperlink>
      <w:r w:rsidRPr="001D2810">
        <w:rPr>
          <w:rFonts w:ascii="Arial" w:eastAsia="Times New Roman" w:hAnsi="Arial" w:cs="Arial"/>
          <w:color w:val="000000"/>
          <w:kern w:val="24"/>
          <w14:ligatures w14:val="none"/>
        </w:rPr>
        <w:t>)  ,</w:t>
      </w:r>
      <w:hyperlink r:id="rId7" w:history="1">
        <w:r w:rsidRPr="001D2810">
          <w:rPr>
            <w:rFonts w:ascii="Arial" w:eastAsia="Times New Roman" w:hAnsi="Arial" w:cs="Arial"/>
            <w:color w:val="000000"/>
            <w:kern w:val="24"/>
            <w:u w:val="single"/>
            <w14:ligatures w14:val="none"/>
          </w:rPr>
          <w:t xml:space="preserve"> </w:t>
        </w:r>
        <w:proofErr w:type="spellStart"/>
        <w:r w:rsidRPr="001D2810">
          <w:rPr>
            <w:rFonts w:ascii="Arial" w:eastAsia="Times New Roman" w:hAnsi="Arial" w:cs="Arial"/>
            <w:color w:val="4472C4"/>
            <w:kern w:val="24"/>
            <w:u w:val="single"/>
            <w14:ligatures w14:val="none"/>
          </w:rPr>
          <w:t>NielsenIQ</w:t>
        </w:r>
        <w:proofErr w:type="spellEnd"/>
        <w:r w:rsidRPr="001D2810">
          <w:rPr>
            <w:rFonts w:ascii="Arial" w:eastAsia="Times New Roman" w:hAnsi="Arial" w:cs="Arial"/>
            <w:color w:val="000000"/>
            <w:kern w:val="24"/>
            <w:u w:val="single"/>
            <w14:ligatures w14:val="none"/>
          </w:rPr>
          <w:t xml:space="preserve">- </w:t>
        </w:r>
      </w:hyperlink>
      <w:r w:rsidRPr="001D2810">
        <w:rPr>
          <w:rFonts w:ascii="Arial" w:eastAsia="Times New Roman" w:hAnsi="Arial" w:cs="Arial"/>
          <w:color w:val="000000"/>
          <w:kern w:val="24"/>
          <w14:ligatures w14:val="none"/>
        </w:rPr>
        <w:t xml:space="preserve">, EPIC- </w:t>
      </w:r>
      <w:hyperlink r:id="rId8" w:history="1">
        <w:r w:rsidRPr="001D2810">
          <w:rPr>
            <w:rFonts w:ascii="Arial" w:eastAsia="Times New Roman" w:hAnsi="Arial" w:cs="Arial"/>
            <w:color w:val="4472C4"/>
            <w:kern w:val="24"/>
            <w:u w:val="single"/>
            <w14:ligatures w14:val="none"/>
          </w:rPr>
          <w:t>Epic Systems Corporation</w:t>
        </w:r>
      </w:hyperlink>
      <w:r w:rsidRPr="001D2810">
        <w:rPr>
          <w:rFonts w:ascii="Arial" w:eastAsia="Times New Roman" w:hAnsi="Arial" w:cs="Arial"/>
          <w:color w:val="000000"/>
          <w:kern w:val="24"/>
          <w14:ligatures w14:val="none"/>
        </w:rPr>
        <w:t xml:space="preserve">, </w:t>
      </w:r>
      <w:proofErr w:type="spellStart"/>
      <w:r w:rsidRPr="001D2810">
        <w:rPr>
          <w:rFonts w:ascii="Arial" w:eastAsia="Times New Roman" w:hAnsi="Arial" w:cs="Arial"/>
          <w:color w:val="000000"/>
          <w:kern w:val="24"/>
          <w14:ligatures w14:val="none"/>
        </w:rPr>
        <w:t>pSCANNER</w:t>
      </w:r>
      <w:proofErr w:type="spellEnd"/>
      <w:r w:rsidRPr="001D2810">
        <w:rPr>
          <w:rFonts w:ascii="Arial" w:eastAsia="Times New Roman" w:hAnsi="Arial" w:cs="Arial"/>
          <w:color w:val="000000"/>
          <w:kern w:val="24"/>
          <w14:ligatures w14:val="none"/>
        </w:rPr>
        <w:t xml:space="preserve">- Patient center scalable national network for effectiveness research, </w:t>
      </w:r>
      <w:hyperlink r:id="rId9" w:history="1">
        <w:r w:rsidRPr="001D2810">
          <w:rPr>
            <w:rFonts w:ascii="Arial" w:eastAsia="Times New Roman" w:hAnsi="Arial" w:cs="Arial"/>
            <w:color w:val="4472C4"/>
            <w:kern w:val="24"/>
            <w:u w:val="single"/>
            <w14:ligatures w14:val="none"/>
          </w:rPr>
          <w:t>IBM Explorys</w:t>
        </w:r>
      </w:hyperlink>
      <w:r w:rsidRPr="001D2810">
        <w:rPr>
          <w:rFonts w:ascii="Arial" w:eastAsia="Times New Roman" w:hAnsi="Arial" w:cs="Arial"/>
          <w:color w:val="000000"/>
          <w:kern w:val="24"/>
          <w14:ligatures w14:val="none"/>
        </w:rPr>
        <w:t xml:space="preserve">, Cerner Data Centre- now </w:t>
      </w:r>
      <w:hyperlink r:id="rId10" w:history="1">
        <w:r w:rsidRPr="001D2810">
          <w:rPr>
            <w:rFonts w:ascii="Arial" w:eastAsia="Times New Roman" w:hAnsi="Arial" w:cs="Arial"/>
            <w:color w:val="4472C4"/>
            <w:kern w:val="24"/>
            <w:u w:val="single"/>
            <w14:ligatures w14:val="none"/>
          </w:rPr>
          <w:t>Oracl</w:t>
        </w:r>
        <w:r w:rsidRPr="001D2810">
          <w:rPr>
            <w:rFonts w:ascii="Arial" w:eastAsia="Times New Roman" w:hAnsi="Arial" w:cs="Arial"/>
            <w:color w:val="000000"/>
            <w:kern w:val="24"/>
            <w:u w:val="single"/>
            <w14:ligatures w14:val="none"/>
          </w:rPr>
          <w:t>e</w:t>
        </w:r>
      </w:hyperlink>
      <w:r w:rsidRPr="001D2810">
        <w:rPr>
          <w:rFonts w:ascii="Arial" w:eastAsia="Times New Roman" w:hAnsi="Arial" w:cs="Arial"/>
          <w:color w:val="000000"/>
          <w:kern w:val="24"/>
          <w14:ligatures w14:val="none"/>
        </w:rPr>
        <w:t xml:space="preserve">, Athena- </w:t>
      </w:r>
      <w:hyperlink r:id="rId11" w:history="1">
        <w:r w:rsidRPr="001D2810">
          <w:rPr>
            <w:rFonts w:ascii="Arial" w:eastAsia="Times New Roman" w:hAnsi="Arial" w:cs="Arial"/>
            <w:color w:val="4472C4"/>
            <w:kern w:val="24"/>
            <w:u w:val="single"/>
            <w14:ligatures w14:val="none"/>
          </w:rPr>
          <w:t>Athenahealth</w:t>
        </w:r>
      </w:hyperlink>
      <w:r w:rsidRPr="001D2810">
        <w:rPr>
          <w:rFonts w:ascii="Arial" w:eastAsia="Times New Roman" w:hAnsi="Arial" w:cs="Arial"/>
          <w:color w:val="000000"/>
          <w:kern w:val="24"/>
          <w14:ligatures w14:val="none"/>
        </w:rPr>
        <w:t xml:space="preserve"> EHR and medical billing solution, HSRN- </w:t>
      </w:r>
      <w:hyperlink r:id="rId12" w:history="1">
        <w:r w:rsidRPr="001D2810">
          <w:rPr>
            <w:rFonts w:ascii="Arial" w:eastAsia="Times New Roman" w:hAnsi="Arial" w:cs="Arial"/>
            <w:color w:val="4472C4"/>
            <w:kern w:val="24"/>
            <w:u w:val="single"/>
            <w14:ligatures w14:val="none"/>
          </w:rPr>
          <w:t>High Speed Research Networ</w:t>
        </w:r>
        <w:r w:rsidRPr="001D2810">
          <w:rPr>
            <w:rFonts w:ascii="Arial" w:eastAsia="Times New Roman" w:hAnsi="Arial" w:cs="Arial"/>
            <w:color w:val="000000"/>
            <w:kern w:val="24"/>
            <w:u w:val="single"/>
            <w14:ligatures w14:val="none"/>
          </w:rPr>
          <w:t xml:space="preserve">k </w:t>
        </w:r>
      </w:hyperlink>
      <w:r w:rsidRPr="001D2810">
        <w:rPr>
          <w:rFonts w:ascii="Arial" w:eastAsia="Times New Roman" w:hAnsi="Arial" w:cs="Arial"/>
          <w:color w:val="000000"/>
          <w:kern w:val="24"/>
          <w14:ligatures w14:val="none"/>
        </w:rPr>
        <w:t xml:space="preserve">, </w:t>
      </w:r>
      <w:proofErr w:type="spellStart"/>
      <w:r w:rsidRPr="001D2810">
        <w:rPr>
          <w:rFonts w:ascii="Arial" w:eastAsia="Times New Roman" w:hAnsi="Arial" w:cs="Arial"/>
          <w:color w:val="000000"/>
          <w:kern w:val="24"/>
          <w14:ligatures w14:val="none"/>
        </w:rPr>
        <w:t>ResDAC</w:t>
      </w:r>
      <w:proofErr w:type="spellEnd"/>
      <w:r w:rsidRPr="001D2810">
        <w:rPr>
          <w:rFonts w:ascii="Arial" w:eastAsia="Times New Roman" w:hAnsi="Arial" w:cs="Arial"/>
          <w:color w:val="000000"/>
          <w:kern w:val="24"/>
          <w14:ligatures w14:val="none"/>
        </w:rPr>
        <w:t xml:space="preserve">- </w:t>
      </w:r>
      <w:hyperlink r:id="rId13" w:history="1">
        <w:r w:rsidRPr="001D2810">
          <w:rPr>
            <w:rFonts w:ascii="Arial" w:eastAsia="Times New Roman" w:hAnsi="Arial" w:cs="Arial"/>
            <w:color w:val="4472C4"/>
            <w:kern w:val="24"/>
            <w:u w:val="single"/>
            <w14:ligatures w14:val="none"/>
          </w:rPr>
          <w:t>Research Data Assistance Center</w:t>
        </w:r>
      </w:hyperlink>
      <w:r w:rsidRPr="001D2810">
        <w:rPr>
          <w:rFonts w:ascii="Arial" w:eastAsia="Times New Roman" w:hAnsi="Arial" w:cs="Arial"/>
          <w:color w:val="000000"/>
          <w:kern w:val="24"/>
          <w14:ligatures w14:val="none"/>
        </w:rPr>
        <w:t xml:space="preserve">, NCQA- </w:t>
      </w:r>
      <w:hyperlink r:id="rId14" w:history="1">
        <w:r w:rsidRPr="001D2810">
          <w:rPr>
            <w:rFonts w:ascii="Arial" w:eastAsia="Times New Roman" w:hAnsi="Arial" w:cs="Arial"/>
            <w:color w:val="4472C4"/>
            <w:kern w:val="24"/>
            <w:u w:val="single"/>
            <w14:ligatures w14:val="none"/>
          </w:rPr>
          <w:t>National Committee for Quality Assurance</w:t>
        </w:r>
        <w:r w:rsidRPr="001D2810">
          <w:rPr>
            <w:rFonts w:ascii="Arial" w:eastAsia="Times New Roman" w:hAnsi="Arial" w:cs="Arial"/>
            <w:color w:val="000000"/>
            <w:kern w:val="24"/>
            <w:u w:val="single"/>
            <w14:ligatures w14:val="none"/>
          </w:rPr>
          <w:t xml:space="preserve">, </w:t>
        </w:r>
      </w:hyperlink>
      <w:r w:rsidRPr="001D2810">
        <w:rPr>
          <w:rFonts w:ascii="Arial" w:eastAsia="Times New Roman" w:hAnsi="Arial" w:cs="Arial"/>
          <w:color w:val="000000"/>
          <w:kern w:val="24"/>
          <w14:ligatures w14:val="none"/>
        </w:rPr>
        <w:t xml:space="preserve">Truven Market Scan- now </w:t>
      </w:r>
      <w:hyperlink r:id="rId15" w:history="1">
        <w:r w:rsidRPr="001D2810">
          <w:rPr>
            <w:rFonts w:ascii="Arial" w:eastAsia="Times New Roman" w:hAnsi="Arial" w:cs="Arial"/>
            <w:color w:val="4472C4"/>
            <w:kern w:val="24"/>
            <w:u w:val="single"/>
            <w14:ligatures w14:val="none"/>
          </w:rPr>
          <w:t xml:space="preserve">IBM </w:t>
        </w:r>
        <w:proofErr w:type="spellStart"/>
        <w:r w:rsidRPr="001D2810">
          <w:rPr>
            <w:rFonts w:ascii="Arial" w:eastAsia="Times New Roman" w:hAnsi="Arial" w:cs="Arial"/>
            <w:color w:val="4472C4"/>
            <w:kern w:val="24"/>
            <w:u w:val="single"/>
            <w14:ligatures w14:val="none"/>
          </w:rPr>
          <w:t>MarketScan</w:t>
        </w:r>
        <w:proofErr w:type="spellEnd"/>
        <w:r w:rsidRPr="001D2810">
          <w:rPr>
            <w:rFonts w:ascii="Arial" w:eastAsia="Times New Roman" w:hAnsi="Arial" w:cs="Arial"/>
            <w:color w:val="4472C4"/>
            <w:kern w:val="24"/>
            <w:u w:val="single"/>
            <w14:ligatures w14:val="none"/>
          </w:rPr>
          <w:t xml:space="preserve"> Database</w:t>
        </w:r>
        <w:r w:rsidRPr="001D2810">
          <w:rPr>
            <w:rFonts w:ascii="Arial" w:eastAsia="Times New Roman" w:hAnsi="Arial" w:cs="Arial"/>
            <w:color w:val="000000"/>
            <w:kern w:val="24"/>
            <w:u w:val="single"/>
            <w14:ligatures w14:val="none"/>
          </w:rPr>
          <w:t>s</w:t>
        </w:r>
      </w:hyperlink>
      <w:r w:rsidRPr="001D2810">
        <w:rPr>
          <w:rFonts w:ascii="Arial" w:eastAsia="Times New Roman" w:hAnsi="Arial" w:cs="Arial"/>
          <w:color w:val="000000"/>
          <w:kern w:val="24"/>
          <w14:ligatures w14:val="none"/>
        </w:rPr>
        <w:t xml:space="preserve">, HMORN- Health Medical Research Network virtual Data Warehouse, PHIS- </w:t>
      </w:r>
      <w:hyperlink r:id="rId16" w:history="1">
        <w:r w:rsidRPr="001D2810">
          <w:rPr>
            <w:rFonts w:ascii="Arial" w:eastAsia="Times New Roman" w:hAnsi="Arial" w:cs="Arial"/>
            <w:color w:val="4472C4"/>
            <w:kern w:val="24"/>
            <w:u w:val="single"/>
            <w14:ligatures w14:val="none"/>
          </w:rPr>
          <w:t>Pediatric Health Information System</w:t>
        </w:r>
      </w:hyperlink>
      <w:r w:rsidRPr="001D2810">
        <w:rPr>
          <w:rFonts w:ascii="Arial" w:eastAsia="Times New Roman" w:hAnsi="Arial" w:cs="Arial"/>
          <w:color w:val="000000"/>
          <w:kern w:val="24"/>
          <w14:ligatures w14:val="none"/>
        </w:rPr>
        <w:t xml:space="preserve">, </w:t>
      </w:r>
      <w:hyperlink r:id="rId17" w:history="1">
        <w:r w:rsidRPr="001D2810">
          <w:rPr>
            <w:rFonts w:ascii="Arial" w:eastAsia="Times New Roman" w:hAnsi="Arial" w:cs="Arial"/>
            <w:color w:val="4472C4"/>
            <w:kern w:val="24"/>
            <w:u w:val="single"/>
            <w14:ligatures w14:val="none"/>
          </w:rPr>
          <w:t>DARTNet</w:t>
        </w:r>
      </w:hyperlink>
      <w:r w:rsidRPr="001D2810">
        <w:rPr>
          <w:rFonts w:ascii="Arial" w:eastAsia="Times New Roman" w:hAnsi="Arial" w:cs="Arial"/>
          <w:color w:val="000000"/>
          <w:kern w:val="24"/>
          <w14:ligatures w14:val="none"/>
        </w:rPr>
        <w:t xml:space="preserve">, OCHIN- </w:t>
      </w:r>
      <w:hyperlink r:id="rId18" w:history="1">
        <w:r w:rsidRPr="001D2810">
          <w:rPr>
            <w:rFonts w:ascii="Arial" w:eastAsia="Times New Roman" w:hAnsi="Arial" w:cs="Arial"/>
            <w:color w:val="4472C4"/>
            <w:kern w:val="24"/>
            <w:u w:val="single"/>
            <w14:ligatures w14:val="none"/>
          </w:rPr>
          <w:t xml:space="preserve">OCHIN-led ADVANCE research network,  </w:t>
        </w:r>
      </w:hyperlink>
      <w:hyperlink r:id="rId19" w:history="1">
        <w:r w:rsidRPr="001D2810">
          <w:rPr>
            <w:rFonts w:ascii="Arial" w:eastAsia="Times New Roman" w:hAnsi="Arial" w:cs="Arial"/>
            <w:color w:val="4472C4"/>
            <w:kern w:val="24"/>
            <w:u w:val="single"/>
            <w14:ligatures w14:val="none"/>
          </w:rPr>
          <w:t>Datavant</w:t>
        </w:r>
      </w:hyperlink>
      <w:r w:rsidRPr="001D2810">
        <w:rPr>
          <w:rFonts w:ascii="Arial" w:eastAsia="Times New Roman" w:hAnsi="Arial" w:cs="Arial"/>
          <w:color w:val="000000"/>
          <w:kern w:val="24"/>
          <w14:ligatures w14:val="none"/>
        </w:rPr>
        <w:t>, ODSHI-</w:t>
      </w:r>
      <w:hyperlink r:id="rId20" w:history="1">
        <w:r w:rsidRPr="001D2810">
          <w:rPr>
            <w:rFonts w:ascii="Arial" w:eastAsia="Times New Roman" w:hAnsi="Arial" w:cs="Arial"/>
            <w:color w:val="0563C1"/>
            <w:kern w:val="24"/>
            <w:u w:val="single"/>
            <w14:ligatures w14:val="none"/>
          </w:rPr>
          <w:t>The Observational Health Data Sciences and Informatics</w:t>
        </w:r>
      </w:hyperlink>
      <w:r w:rsidRPr="001D2810">
        <w:rPr>
          <w:rFonts w:ascii="Arial" w:eastAsia="Times New Roman" w:hAnsi="Arial" w:cs="Arial"/>
          <w:color w:val="000000"/>
          <w:kern w:val="24"/>
          <w14:ligatures w14:val="none"/>
        </w:rPr>
        <w:t xml:space="preserve">, </w:t>
      </w:r>
      <w:hyperlink r:id="rId21" w:history="1">
        <w:r w:rsidR="005E747E" w:rsidRPr="00B30101">
          <w:rPr>
            <w:rStyle w:val="Hyperlink"/>
            <w:rFonts w:ascii="Arial" w:eastAsia="Times New Roman" w:hAnsi="Arial" w:cs="Arial"/>
            <w:kern w:val="24"/>
            <w14:ligatures w14:val="none"/>
          </w:rPr>
          <w:t>Bridge</w:t>
        </w:r>
        <w:r w:rsidR="00361119" w:rsidRPr="00B30101">
          <w:rPr>
            <w:rStyle w:val="Hyperlink"/>
            <w:rFonts w:ascii="Arial" w:eastAsia="Times New Roman" w:hAnsi="Arial" w:cs="Arial"/>
            <w:kern w:val="24"/>
            <w14:ligatures w14:val="none"/>
          </w:rPr>
          <w:t>2</w:t>
        </w:r>
        <w:r w:rsidR="005E747E" w:rsidRPr="00B30101">
          <w:rPr>
            <w:rStyle w:val="Hyperlink"/>
            <w:rFonts w:ascii="Arial" w:eastAsia="Times New Roman" w:hAnsi="Arial" w:cs="Arial"/>
            <w:kern w:val="24"/>
            <w14:ligatures w14:val="none"/>
          </w:rPr>
          <w:t>AI</w:t>
        </w:r>
      </w:hyperlink>
      <w:r w:rsidR="005E747E">
        <w:rPr>
          <w:rFonts w:ascii="Arial" w:eastAsia="Times New Roman" w:hAnsi="Arial" w:cs="Arial"/>
          <w:color w:val="000000"/>
          <w:kern w:val="24"/>
          <w14:ligatures w14:val="none"/>
        </w:rPr>
        <w:t>,</w:t>
      </w:r>
      <w:r w:rsidRPr="001D2810">
        <w:rPr>
          <w:rFonts w:ascii="Arial" w:eastAsia="Times New Roman" w:hAnsi="Arial" w:cs="Arial"/>
          <w:color w:val="000000"/>
          <w:kern w:val="24"/>
          <w14:ligatures w14:val="none"/>
        </w:rPr>
        <w:t xml:space="preserve"> </w:t>
      </w:r>
      <w:hyperlink r:id="rId22" w:history="1">
        <w:proofErr w:type="spellStart"/>
        <w:r w:rsidRPr="001D2810">
          <w:rPr>
            <w:rFonts w:ascii="Arial" w:eastAsia="Times New Roman" w:hAnsi="Arial" w:cs="Arial"/>
            <w:color w:val="000000"/>
            <w:kern w:val="24"/>
            <w:u w:val="single"/>
            <w14:ligatures w14:val="none"/>
          </w:rPr>
          <w:t>TriNetX</w:t>
        </w:r>
        <w:proofErr w:type="spellEnd"/>
      </w:hyperlink>
      <w:r w:rsidRPr="001D2810">
        <w:rPr>
          <w:rFonts w:ascii="Arial" w:eastAsia="Times New Roman" w:hAnsi="Arial" w:cs="Arial"/>
          <w:color w:val="000000"/>
          <w:kern w:val="24"/>
          <w14:ligatures w14:val="none"/>
        </w:rPr>
        <w:t xml:space="preserve">, </w:t>
      </w:r>
      <w:hyperlink r:id="rId23" w:history="1">
        <w:proofErr w:type="spellStart"/>
        <w:r w:rsidRPr="001D2810">
          <w:rPr>
            <w:rFonts w:ascii="Arial" w:eastAsia="Times New Roman" w:hAnsi="Arial" w:cs="Arial"/>
            <w:color w:val="000000"/>
            <w:kern w:val="24"/>
            <w:u w:val="single"/>
            <w14:ligatures w14:val="none"/>
          </w:rPr>
          <w:t>Evidation</w:t>
        </w:r>
        <w:proofErr w:type="spellEnd"/>
      </w:hyperlink>
      <w:r w:rsidRPr="001D2810">
        <w:rPr>
          <w:rFonts w:ascii="Arial" w:eastAsia="Times New Roman" w:hAnsi="Arial" w:cs="Arial"/>
          <w:color w:val="000000"/>
          <w:kern w:val="24"/>
          <w14:ligatures w14:val="none"/>
        </w:rPr>
        <w:t xml:space="preserve">, </w:t>
      </w:r>
      <w:hyperlink r:id="rId24" w:history="1">
        <w:r w:rsidRPr="001D2810">
          <w:rPr>
            <w:rFonts w:ascii="Arial" w:eastAsia="Times New Roman" w:hAnsi="Arial" w:cs="Arial"/>
            <w:color w:val="000000"/>
            <w:kern w:val="24"/>
            <w:u w:val="single"/>
            <w14:ligatures w14:val="none"/>
          </w:rPr>
          <w:t>IQVIA</w:t>
        </w:r>
      </w:hyperlink>
      <w:r w:rsidRPr="001D2810">
        <w:rPr>
          <w:rFonts w:ascii="Arial" w:eastAsia="Times New Roman" w:hAnsi="Arial" w:cs="Arial"/>
          <w:color w:val="000000"/>
          <w:kern w:val="24"/>
          <w14:ligatures w14:val="none"/>
        </w:rPr>
        <w:t>, NHANES-National Health and Nutrition Examination Survey, AHRQ(MEPS)-  Agency for Healthcare Research and Quality-</w:t>
      </w:r>
      <w:hyperlink r:id="rId25" w:history="1">
        <w:r w:rsidRPr="001D2810">
          <w:rPr>
            <w:rFonts w:ascii="Arial" w:eastAsia="Times New Roman" w:hAnsi="Arial" w:cs="Arial"/>
            <w:color w:val="0563C1"/>
            <w:kern w:val="24"/>
            <w:u w:val="single"/>
            <w14:ligatures w14:val="none"/>
          </w:rPr>
          <w:t>Medical Expenditure Panel Survey</w:t>
        </w:r>
      </w:hyperlink>
      <w:r w:rsidRPr="001D2810">
        <w:rPr>
          <w:rFonts w:ascii="Arial" w:eastAsia="Times New Roman" w:hAnsi="Arial" w:cs="Arial"/>
          <w:color w:val="000000"/>
          <w:kern w:val="24"/>
          <w14:ligatures w14:val="none"/>
        </w:rPr>
        <w:t xml:space="preserve">, CDC Wonder- Center for Disease Control Wide-ranging </w:t>
      </w:r>
      <w:proofErr w:type="spellStart"/>
      <w:r w:rsidRPr="001D2810">
        <w:rPr>
          <w:rFonts w:ascii="Arial" w:eastAsia="Times New Roman" w:hAnsi="Arial" w:cs="Arial"/>
          <w:color w:val="000000"/>
          <w:kern w:val="24"/>
          <w14:ligatures w14:val="none"/>
        </w:rPr>
        <w:t>ONline</w:t>
      </w:r>
      <w:proofErr w:type="spellEnd"/>
      <w:r w:rsidRPr="001D2810">
        <w:rPr>
          <w:rFonts w:ascii="Arial" w:eastAsia="Times New Roman" w:hAnsi="Arial" w:cs="Arial"/>
          <w:color w:val="000000"/>
          <w:kern w:val="24"/>
          <w14:ligatures w14:val="none"/>
        </w:rPr>
        <w:t xml:space="preserve"> Data for Epidemiologic Research, FDA Sentinel- Federal Drug Administration Sentinel Initiative, </w:t>
      </w:r>
      <w:hyperlink r:id="rId26" w:history="1">
        <w:r w:rsidRPr="001D2810">
          <w:rPr>
            <w:rFonts w:ascii="Arial" w:eastAsia="Times New Roman" w:hAnsi="Arial" w:cs="Arial"/>
            <w:color w:val="4472C4"/>
            <w:kern w:val="24"/>
            <w:u w:val="single"/>
            <w14:ligatures w14:val="none"/>
          </w:rPr>
          <w:t>CMS-Centers for Medicare &amp; Medicaid Services</w:t>
        </w:r>
      </w:hyperlink>
      <w:r w:rsidRPr="001D2810">
        <w:rPr>
          <w:rFonts w:ascii="Arial" w:eastAsia="Times New Roman" w:hAnsi="Arial" w:cs="Arial"/>
          <w:color w:val="000000"/>
          <w:kern w:val="24"/>
          <w14:ligatures w14:val="none"/>
        </w:rPr>
        <w:t>,  AHRQ(HCUP)- Agency for Healthcare Research and Quality-</w:t>
      </w:r>
      <w:hyperlink r:id="rId27" w:history="1">
        <w:r w:rsidRPr="001D2810">
          <w:rPr>
            <w:rFonts w:ascii="Arial" w:eastAsia="Times New Roman" w:hAnsi="Arial" w:cs="Arial"/>
            <w:color w:val="0563C1"/>
            <w:kern w:val="24"/>
            <w:u w:val="single"/>
            <w14:ligatures w14:val="none"/>
          </w:rPr>
          <w:t>Healthcare Cost and Utilization Project</w:t>
        </w:r>
      </w:hyperlink>
      <w:r w:rsidRPr="001D2810">
        <w:rPr>
          <w:rFonts w:ascii="Arial" w:eastAsia="Times New Roman" w:hAnsi="Arial" w:cs="Arial"/>
          <w:color w:val="000000"/>
          <w:kern w:val="24"/>
          <w14:ligatures w14:val="none"/>
        </w:rPr>
        <w:t>,  AHRQ (APCDs)-Agency for Healthcare Research and Quality-</w:t>
      </w:r>
      <w:hyperlink r:id="rId28" w:history="1">
        <w:r w:rsidRPr="001D2810">
          <w:rPr>
            <w:rFonts w:ascii="Arial" w:eastAsia="Times New Roman" w:hAnsi="Arial" w:cs="Arial"/>
            <w:color w:val="0563C1"/>
            <w:kern w:val="24"/>
            <w:u w:val="single"/>
            <w14:ligatures w14:val="none"/>
          </w:rPr>
          <w:t>All-payer claims databases</w:t>
        </w:r>
      </w:hyperlink>
      <w:r w:rsidRPr="001D2810">
        <w:rPr>
          <w:rFonts w:ascii="Arial" w:eastAsia="Times New Roman" w:hAnsi="Arial" w:cs="Arial"/>
          <w:color w:val="000000"/>
          <w:kern w:val="24"/>
          <w14:ligatures w14:val="none"/>
        </w:rPr>
        <w:t xml:space="preserve"> , ACT-Accrual to Clinical Trials, N3C-National COVID Cohort Collaborative, ENACT- Evolve to Next-Gen ACT Network, PCORnet-National Patient-Centered Clinical Research Network, </w:t>
      </w:r>
      <w:proofErr w:type="spellStart"/>
      <w:r w:rsidRPr="001D2810">
        <w:rPr>
          <w:rFonts w:ascii="Arial" w:eastAsia="Times New Roman" w:hAnsi="Arial" w:cs="Arial"/>
          <w:color w:val="000000"/>
          <w:kern w:val="24"/>
          <w14:ligatures w14:val="none"/>
        </w:rPr>
        <w:t>VIReC</w:t>
      </w:r>
      <w:proofErr w:type="spellEnd"/>
      <w:r w:rsidRPr="001D2810">
        <w:rPr>
          <w:rFonts w:ascii="Arial" w:eastAsia="Times New Roman" w:hAnsi="Arial" w:cs="Arial"/>
          <w:color w:val="000000"/>
          <w:kern w:val="24"/>
          <w14:ligatures w14:val="none"/>
        </w:rPr>
        <w:t xml:space="preserve">- Veterans Affairs Information Resource Center, </w:t>
      </w:r>
      <w:proofErr w:type="spellStart"/>
      <w:r w:rsidRPr="001D2810">
        <w:rPr>
          <w:rFonts w:ascii="Arial" w:eastAsia="Times New Roman" w:hAnsi="Arial" w:cs="Arial"/>
          <w:color w:val="000000"/>
          <w:kern w:val="24"/>
          <w14:ligatures w14:val="none"/>
        </w:rPr>
        <w:t>SAFTINet</w:t>
      </w:r>
      <w:proofErr w:type="spellEnd"/>
      <w:r w:rsidRPr="001D2810">
        <w:rPr>
          <w:rFonts w:ascii="Arial" w:eastAsia="Times New Roman" w:hAnsi="Arial" w:cs="Arial"/>
          <w:color w:val="000000"/>
          <w:kern w:val="24"/>
          <w14:ligatures w14:val="none"/>
        </w:rPr>
        <w:t>-Scalable Architecture for Federated Translational Inquiries Network, NIH All of Us- National Institute of Health  All of Us Research Program.</w:t>
      </w:r>
    </w:p>
    <w:p w14:paraId="4B9073A4" w14:textId="77777777" w:rsidR="001D2810" w:rsidRPr="001D2810" w:rsidRDefault="001D2810" w:rsidP="001D2810">
      <w:pPr>
        <w:spacing w:line="240" w:lineRule="auto"/>
        <w:rPr>
          <w:rFonts w:ascii="Arial" w:eastAsia="Calibri" w:hAnsi="Arial" w:cs="Arial"/>
          <w:b/>
          <w:bCs/>
          <w:kern w:val="0"/>
          <w:sz w:val="24"/>
          <w:szCs w:val="24"/>
          <w14:ligatures w14:val="none"/>
        </w:rPr>
        <w:sectPr w:rsidR="001D2810" w:rsidRPr="001D2810" w:rsidSect="001D2810">
          <w:pgSz w:w="12240" w:h="15840"/>
          <w:pgMar w:top="1440" w:right="1152" w:bottom="1440" w:left="1152" w:header="720" w:footer="720" w:gutter="0"/>
          <w:pgNumType w:start="0"/>
          <w:cols w:space="720"/>
          <w:titlePg/>
          <w:docGrid w:linePitch="299"/>
        </w:sectPr>
      </w:pPr>
    </w:p>
    <w:p w14:paraId="7FB14A5E" w14:textId="77777777" w:rsidR="001D2810" w:rsidRPr="001D2810" w:rsidRDefault="001D2810" w:rsidP="001D2810">
      <w:pPr>
        <w:spacing w:line="240" w:lineRule="auto"/>
        <w:rPr>
          <w:rFonts w:ascii="Arial" w:eastAsia="Calibri" w:hAnsi="Arial" w:cs="Arial"/>
          <w:kern w:val="0"/>
          <w:sz w:val="24"/>
          <w:szCs w:val="24"/>
          <w14:ligatures w14:val="none"/>
        </w:rPr>
      </w:pPr>
      <w:r w:rsidRPr="001D2810">
        <w:rPr>
          <w:rFonts w:ascii="Arial" w:eastAsia="Calibri" w:hAnsi="Arial" w:cs="Arial"/>
          <w:b/>
          <w:bCs/>
          <w:kern w:val="0"/>
          <w:sz w:val="24"/>
          <w:szCs w:val="24"/>
          <w14:ligatures w14:val="none"/>
        </w:rPr>
        <w:t xml:space="preserve">Supplement Appendix 4. </w:t>
      </w:r>
      <w:r w:rsidRPr="001D2810">
        <w:rPr>
          <w:rFonts w:ascii="Arial" w:eastAsia="Calibri" w:hAnsi="Arial" w:cs="Arial"/>
          <w:kern w:val="0"/>
          <w:sz w:val="24"/>
          <w:szCs w:val="24"/>
          <w14:ligatures w14:val="none"/>
        </w:rPr>
        <w:t>Table of U.S. National EHR Data Network Products and their Attributes</w:t>
      </w:r>
    </w:p>
    <w:p w14:paraId="4F7EF8A6" w14:textId="77777777" w:rsidR="001D2810" w:rsidRPr="001D2810" w:rsidRDefault="001D2810" w:rsidP="001D2810">
      <w:pPr>
        <w:spacing w:line="240" w:lineRule="auto"/>
        <w:jc w:val="center"/>
        <w:rPr>
          <w:rFonts w:ascii="Calibri" w:eastAsia="Calibri" w:hAnsi="Calibri" w:cs="Calibri"/>
          <w:b/>
          <w:bCs/>
          <w:kern w:val="0"/>
          <w14:ligatures w14:val="none"/>
        </w:rPr>
      </w:pPr>
    </w:p>
    <w:tbl>
      <w:tblPr>
        <w:tblW w:w="12474" w:type="dxa"/>
        <w:jc w:val="center"/>
        <w:tblCellMar>
          <w:left w:w="0" w:type="dxa"/>
          <w:right w:w="0" w:type="dxa"/>
        </w:tblCellMar>
        <w:tblLook w:val="0600" w:firstRow="0" w:lastRow="0" w:firstColumn="0" w:lastColumn="0" w:noHBand="1" w:noVBand="1"/>
      </w:tblPr>
      <w:tblGrid>
        <w:gridCol w:w="2026"/>
        <w:gridCol w:w="1306"/>
        <w:gridCol w:w="1306"/>
        <w:gridCol w:w="1306"/>
        <w:gridCol w:w="1306"/>
        <w:gridCol w:w="1306"/>
        <w:gridCol w:w="1306"/>
        <w:gridCol w:w="1306"/>
        <w:gridCol w:w="1306"/>
      </w:tblGrid>
      <w:tr w:rsidR="001D2810" w:rsidRPr="001D2810" w14:paraId="098DC654" w14:textId="77777777" w:rsidTr="002024D2">
        <w:trPr>
          <w:trHeight w:val="714"/>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5515E5E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Name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42284F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Data source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7B54100E"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Data Type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2F8F3DA"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Scale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3AFDB53"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Governance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C7DAC90"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 xml:space="preserve">Regulation </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C51C6A3"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Cost</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783E2923" w14:textId="1AC1F568" w:rsidR="001D2810" w:rsidRPr="001D2810" w:rsidRDefault="002024D2" w:rsidP="001D2810">
            <w:pPr>
              <w:spacing w:line="240" w:lineRule="auto"/>
              <w:textAlignment w:val="center"/>
              <w:rPr>
                <w:rFonts w:ascii="Arial Narrow" w:eastAsia="Times New Roman" w:hAnsi="Arial Narrow" w:cs="Calibri"/>
                <w:kern w:val="0"/>
                <w14:ligatures w14:val="none"/>
              </w:rPr>
            </w:pPr>
            <w:r w:rsidRPr="002024D2">
              <w:rPr>
                <w:rFonts w:ascii="Arial Narrow" w:eastAsia="Times New Roman" w:hAnsi="Arial Narrow" w:cs="Calibri"/>
                <w:b/>
                <w:bCs/>
                <w:color w:val="000000"/>
                <w:kern w:val="24"/>
                <w14:ligatures w14:val="none"/>
              </w:rPr>
              <w:t>Open Access</w:t>
            </w:r>
            <w:r w:rsidR="001D2810" w:rsidRPr="001D2810">
              <w:rPr>
                <w:rFonts w:ascii="Arial Narrow" w:eastAsia="Times New Roman" w:hAnsi="Arial Narrow" w:cs="Calibri"/>
                <w:b/>
                <w:bCs/>
                <w:color w:val="000000"/>
                <w:kern w:val="24"/>
                <w14:ligatures w14:val="none"/>
              </w:rPr>
              <w:t xml:space="preserve"> (Y/</w:t>
            </w:r>
            <w:r w:rsidRPr="001D2810">
              <w:rPr>
                <w:rFonts w:ascii="Arial Narrow" w:eastAsia="Times New Roman" w:hAnsi="Arial Narrow" w:cs="Calibri"/>
                <w:b/>
                <w:bCs/>
                <w:color w:val="000000"/>
                <w:kern w:val="24"/>
                <w14:ligatures w14:val="none"/>
              </w:rPr>
              <w:t>N) *</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3BD2053"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b/>
                <w:bCs/>
                <w:color w:val="000000"/>
                <w:kern w:val="24"/>
                <w14:ligatures w14:val="none"/>
              </w:rPr>
              <w:t>Data model (OMOP, Leaf)</w:t>
            </w:r>
          </w:p>
        </w:tc>
      </w:tr>
      <w:tr w:rsidR="001D2810" w:rsidRPr="001D2810" w14:paraId="1A4ADF3F" w14:textId="77777777" w:rsidTr="002024D2">
        <w:trPr>
          <w:trHeight w:val="885"/>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EFE4482"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Accrual to Clinical Trials (ACT)</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B96E75A"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7361D0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Care setting</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205156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National</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5813B5B0"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Available to participating CTSAs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72DF888"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Local DUA</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9A439D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Free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7C4BF566"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No</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9123368"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i2b2</w:t>
            </w:r>
          </w:p>
        </w:tc>
      </w:tr>
      <w:tr w:rsidR="001D2810" w:rsidRPr="001D2810" w14:paraId="1E51C502" w14:textId="77777777" w:rsidTr="002024D2">
        <w:trPr>
          <w:trHeight w:val="930"/>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5632BC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proofErr w:type="spellStart"/>
            <w:r w:rsidRPr="001D2810">
              <w:rPr>
                <w:rFonts w:ascii="Arial Narrow" w:eastAsia="Times New Roman" w:hAnsi="Arial Narrow" w:cs="Calibri"/>
                <w:color w:val="000000"/>
                <w:kern w:val="24"/>
                <w14:ligatures w14:val="none"/>
              </w:rPr>
              <w:t>pSCANNER</w:t>
            </w:r>
            <w:proofErr w:type="spellEnd"/>
            <w:r w:rsidRPr="001D2810">
              <w:rPr>
                <w:rFonts w:ascii="Arial Narrow" w:eastAsia="Times New Roman" w:hAnsi="Arial Narrow" w:cs="Calibri"/>
                <w:color w:val="000000"/>
                <w:kern w:val="24"/>
                <w14:ligatures w14:val="none"/>
              </w:rPr>
              <w:t xml:space="preserve"> (patient-centered </w:t>
            </w:r>
            <w:proofErr w:type="spellStart"/>
            <w:r w:rsidRPr="001D2810">
              <w:rPr>
                <w:rFonts w:ascii="Arial Narrow" w:eastAsia="Times New Roman" w:hAnsi="Arial Narrow" w:cs="Calibri"/>
                <w:color w:val="000000"/>
                <w:kern w:val="24"/>
                <w14:ligatures w14:val="none"/>
              </w:rPr>
              <w:t>SCAlable</w:t>
            </w:r>
            <w:proofErr w:type="spellEnd"/>
            <w:r w:rsidRPr="001D2810">
              <w:rPr>
                <w:rFonts w:ascii="Arial Narrow" w:eastAsia="Times New Roman" w:hAnsi="Arial Narrow" w:cs="Calibri"/>
                <w:color w:val="000000"/>
                <w:kern w:val="24"/>
                <w14:ligatures w14:val="none"/>
              </w:rPr>
              <w:t xml:space="preserve"> National Network for Effectiveness Research)</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89384D5"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E5B8572"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Clinical data</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381B2461"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 </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44F7F66"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Accessible to affiliated sites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78D71D94"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DUA, IRB</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F96B970"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Free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454F580"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No</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A5AF40F"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OMOP common data model</w:t>
            </w:r>
          </w:p>
        </w:tc>
      </w:tr>
      <w:tr w:rsidR="001D2810" w:rsidRPr="001D2810" w14:paraId="726FFBD1" w14:textId="77777777" w:rsidTr="002024D2">
        <w:trPr>
          <w:trHeight w:val="930"/>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1FFA43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PCORnet</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74C68B8"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95A02EF"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 linked to payor data</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2D2F451F"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National</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97B75E1"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Access to partners and per request by authorization</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065F461"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DUA</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25D1D8E"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Free, but needs proof of sustainability</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943B525"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No</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588F6C8"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PCORnet data model</w:t>
            </w:r>
          </w:p>
        </w:tc>
      </w:tr>
      <w:tr w:rsidR="001D2810" w:rsidRPr="001D2810" w14:paraId="2E000A30" w14:textId="77777777" w:rsidTr="002024D2">
        <w:trPr>
          <w:trHeight w:val="930"/>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D1C84B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HMORN (HMO research network)</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5A1C9A87"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661076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 linked with medical claims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2365FCDF"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National (19 sites)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AA2B38E"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Access to partners and per request by authorization</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ECF1F6E"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DUA</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1AF5BECB"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 xml:space="preserve">Free &amp; cost  </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0A520B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No</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39E55524"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Distributed data model</w:t>
            </w:r>
          </w:p>
        </w:tc>
      </w:tr>
      <w:tr w:rsidR="001D2810" w:rsidRPr="001D2810" w14:paraId="29BFE26D" w14:textId="77777777" w:rsidTr="002024D2">
        <w:trPr>
          <w:trHeight w:val="930"/>
          <w:jc w:val="center"/>
        </w:trPr>
        <w:tc>
          <w:tcPr>
            <w:tcW w:w="202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5293B18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proofErr w:type="spellStart"/>
            <w:r w:rsidRPr="001D2810">
              <w:rPr>
                <w:rFonts w:ascii="Arial Narrow" w:eastAsia="Times New Roman" w:hAnsi="Arial Narrow" w:cs="Calibri"/>
                <w:color w:val="000000"/>
                <w:kern w:val="24"/>
                <w14:ligatures w14:val="none"/>
              </w:rPr>
              <w:t>SAFTINet</w:t>
            </w:r>
            <w:proofErr w:type="spellEnd"/>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070F271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B5B9863"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 linked w/ medical claims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33F1F18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National</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3CC4AC5"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Access to partners and upon request &amp; fee to others</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2F5D4946"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 </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28D0D6E0"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Free &amp; cost (custom base $10,000, standard $13K)</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6ED01E0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Public &amp; private</w:t>
            </w:r>
          </w:p>
        </w:tc>
        <w:tc>
          <w:tcPr>
            <w:tcW w:w="1306" w:type="dxa"/>
            <w:tcBorders>
              <w:top w:val="single" w:sz="4" w:space="0" w:color="000000"/>
              <w:left w:val="nil"/>
              <w:bottom w:val="single" w:sz="4" w:space="0" w:color="000000"/>
              <w:right w:val="nil"/>
            </w:tcBorders>
            <w:shd w:val="clear" w:color="auto" w:fill="auto"/>
            <w:tcMar>
              <w:top w:w="5" w:type="dxa"/>
              <w:left w:w="5" w:type="dxa"/>
              <w:bottom w:w="0" w:type="dxa"/>
              <w:right w:w="5" w:type="dxa"/>
            </w:tcMar>
            <w:vAlign w:val="center"/>
            <w:hideMark/>
          </w:tcPr>
          <w:p w14:paraId="411DA7E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OMOP</w:t>
            </w:r>
          </w:p>
        </w:tc>
      </w:tr>
      <w:tr w:rsidR="001D2810" w:rsidRPr="001D2810" w14:paraId="6E4A101D" w14:textId="77777777" w:rsidTr="002024D2">
        <w:trPr>
          <w:trHeight w:val="930"/>
          <w:jc w:val="center"/>
        </w:trPr>
        <w:tc>
          <w:tcPr>
            <w:tcW w:w="202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415E3355"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ENACT</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55E42582"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EHR</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2C7FE011"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Care setting</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40C3BEF9"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 xml:space="preserve">National </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30822548"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Access to CTSIs affiliated partners</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0BDD184C"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DUA</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3BF9C69E"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Free</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78457F46"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No</w:t>
            </w:r>
          </w:p>
        </w:tc>
        <w:tc>
          <w:tcPr>
            <w:tcW w:w="1306" w:type="dxa"/>
            <w:tcBorders>
              <w:top w:val="single" w:sz="4" w:space="0" w:color="000000"/>
              <w:left w:val="nil"/>
              <w:bottom w:val="single" w:sz="8" w:space="0" w:color="000000"/>
              <w:right w:val="nil"/>
            </w:tcBorders>
            <w:shd w:val="clear" w:color="auto" w:fill="auto"/>
            <w:tcMar>
              <w:top w:w="5" w:type="dxa"/>
              <w:left w:w="5" w:type="dxa"/>
              <w:bottom w:w="0" w:type="dxa"/>
              <w:right w:w="5" w:type="dxa"/>
            </w:tcMar>
            <w:vAlign w:val="center"/>
            <w:hideMark/>
          </w:tcPr>
          <w:p w14:paraId="1D30A581" w14:textId="77777777" w:rsidR="001D2810" w:rsidRPr="001D2810" w:rsidRDefault="001D2810" w:rsidP="001D2810">
            <w:pPr>
              <w:spacing w:line="240" w:lineRule="auto"/>
              <w:textAlignment w:val="center"/>
              <w:rPr>
                <w:rFonts w:ascii="Arial Narrow" w:eastAsia="Times New Roman" w:hAnsi="Arial Narrow" w:cs="Calibri"/>
                <w:kern w:val="0"/>
                <w14:ligatures w14:val="none"/>
              </w:rPr>
            </w:pPr>
            <w:r w:rsidRPr="001D2810">
              <w:rPr>
                <w:rFonts w:ascii="Arial Narrow" w:eastAsia="Times New Roman" w:hAnsi="Arial Narrow" w:cs="Calibri"/>
                <w:color w:val="000000"/>
                <w:kern w:val="24"/>
                <w14:ligatures w14:val="none"/>
              </w:rPr>
              <w:t>i2b2</w:t>
            </w:r>
          </w:p>
        </w:tc>
      </w:tr>
    </w:tbl>
    <w:p w14:paraId="2A5928F7" w14:textId="77777777" w:rsidR="001D2810" w:rsidRPr="001D2810" w:rsidRDefault="001D2810" w:rsidP="001D2810">
      <w:pPr>
        <w:spacing w:line="240" w:lineRule="auto"/>
        <w:rPr>
          <w:rFonts w:ascii="Calibri" w:eastAsia="Calibri" w:hAnsi="Calibri" w:cs="Calibri"/>
          <w:b/>
          <w:bCs/>
          <w:kern w:val="0"/>
          <w14:ligatures w14:val="none"/>
        </w:rPr>
        <w:sectPr w:rsidR="001D2810" w:rsidRPr="001D2810" w:rsidSect="001D2810">
          <w:pgSz w:w="15840" w:h="12240" w:orient="landscape"/>
          <w:pgMar w:top="1152" w:right="864" w:bottom="1152" w:left="864" w:header="720" w:footer="720" w:gutter="0"/>
          <w:pgNumType w:start="0"/>
          <w:cols w:space="720"/>
          <w:titlePg/>
          <w:docGrid w:linePitch="299"/>
        </w:sectPr>
      </w:pPr>
      <w:r w:rsidRPr="001D2810">
        <w:rPr>
          <w:rFonts w:ascii="Calibri" w:eastAsia="Calibri" w:hAnsi="Calibri" w:cs="Calibri"/>
          <w:b/>
          <w:bCs/>
          <w:noProof/>
          <w:kern w:val="0"/>
          <w14:ligatures w14:val="none"/>
        </w:rPr>
        <mc:AlternateContent>
          <mc:Choice Requires="wps">
            <w:drawing>
              <wp:anchor distT="45720" distB="45720" distL="114300" distR="114300" simplePos="0" relativeHeight="251659264" behindDoc="1" locked="0" layoutInCell="1" allowOverlap="1" wp14:anchorId="1B36926E" wp14:editId="179C35EB">
                <wp:simplePos x="0" y="0"/>
                <wp:positionH relativeFrom="margin">
                  <wp:posOffset>707666</wp:posOffset>
                </wp:positionH>
                <wp:positionV relativeFrom="paragraph">
                  <wp:posOffset>182549</wp:posOffset>
                </wp:positionV>
                <wp:extent cx="7585544" cy="1256306"/>
                <wp:effectExtent l="0" t="0" r="1587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5544" cy="1256306"/>
                        </a:xfrm>
                        <a:prstGeom prst="rect">
                          <a:avLst/>
                        </a:prstGeom>
                        <a:solidFill>
                          <a:srgbClr val="FFFFFF"/>
                        </a:solidFill>
                        <a:ln w="9525">
                          <a:solidFill>
                            <a:srgbClr val="000000"/>
                          </a:solidFill>
                          <a:miter lim="800000"/>
                          <a:headEnd/>
                          <a:tailEnd/>
                        </a:ln>
                      </wps:spPr>
                      <wps:txbx>
                        <w:txbxContent>
                          <w:p w14:paraId="4B05EE0A" w14:textId="77777777" w:rsidR="001D2810" w:rsidRPr="006B057F" w:rsidRDefault="001D2810" w:rsidP="001D2810">
                            <w:pPr>
                              <w:pStyle w:val="NoSpacing"/>
                              <w:rPr>
                                <w:rFonts w:ascii="Arial" w:hAnsi="Arial" w:cs="Arial"/>
                              </w:rPr>
                            </w:pPr>
                            <w:r w:rsidRPr="006B057F">
                              <w:rPr>
                                <w:rFonts w:ascii="Arial" w:hAnsi="Arial" w:cs="Arial"/>
                              </w:rPr>
                              <w:t>*Open Access refers to governance structure, the alternatives is by membership or data use agreements (DUA) or licence agreements (LA).</w:t>
                            </w:r>
                          </w:p>
                          <w:p w14:paraId="3D89D47E" w14:textId="77777777" w:rsidR="001D2810" w:rsidRPr="006B057F" w:rsidRDefault="001D2810" w:rsidP="001D2810">
                            <w:pPr>
                              <w:pStyle w:val="NoSpacing"/>
                              <w:rPr>
                                <w:rFonts w:ascii="Arial" w:hAnsi="Arial" w:cs="Arial"/>
                              </w:rPr>
                            </w:pPr>
                            <w:r w:rsidRPr="006B057F">
                              <w:rPr>
                                <w:rFonts w:ascii="Arial" w:hAnsi="Arial" w:cs="Arial"/>
                              </w:rPr>
                              <w:t>SAFTINet- SAFTINet-Scalable Architecture for Federated Translational Inquiries Network, ENACT- Evolve to Next-Gen ACT Network, EHR- Electronic Health Records, DUA- Dta User Agreement, IRB- Institutional Review Board, i2b2- Informatics for Integrating Biology &amp; the Bedside, OMOP-  Observational Medical Outcomes Partnership (OMOP) Common Data Model (CDM), PCORnet®- the National Patient-Centered Clinical Research Network.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6926E" id="_x0000_t202" coordsize="21600,21600" o:spt="202" path="m,l,21600r21600,l21600,xe">
                <v:stroke joinstyle="miter"/>
                <v:path gradientshapeok="t" o:connecttype="rect"/>
              </v:shapetype>
              <v:shape id="Text Box 2" o:spid="_x0000_s1026" type="#_x0000_t202" style="position:absolute;margin-left:55.7pt;margin-top:14.35pt;width:597.3pt;height:98.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kCEQIAACA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">
                <v:textbox>
                  <w:txbxContent>
                    <w:p w14:paraId="4B05EE0A" w14:textId="77777777" w:rsidR="001D2810" w:rsidRPr="006B057F" w:rsidRDefault="001D2810" w:rsidP="001D2810">
                      <w:pPr>
                        <w:pStyle w:val="NoSpacing"/>
                        <w:rPr>
                          <w:rFonts w:ascii="Arial" w:hAnsi="Arial" w:cs="Arial"/>
                        </w:rPr>
                      </w:pPr>
                      <w:r w:rsidRPr="006B057F">
                        <w:rPr>
                          <w:rFonts w:ascii="Arial" w:hAnsi="Arial" w:cs="Arial"/>
                        </w:rPr>
                        <w:t>*Open Access refers to governance structure, the alternatives is by membership or data use agreements (DUA) or licence agreements (LA).</w:t>
                      </w:r>
                    </w:p>
                    <w:p w14:paraId="3D89D47E" w14:textId="77777777" w:rsidR="001D2810" w:rsidRPr="006B057F" w:rsidRDefault="001D2810" w:rsidP="001D2810">
                      <w:pPr>
                        <w:pStyle w:val="NoSpacing"/>
                        <w:rPr>
                          <w:rFonts w:ascii="Arial" w:hAnsi="Arial" w:cs="Arial"/>
                        </w:rPr>
                      </w:pPr>
                      <w:r w:rsidRPr="006B057F">
                        <w:rPr>
                          <w:rFonts w:ascii="Arial" w:hAnsi="Arial" w:cs="Arial"/>
                        </w:rPr>
                        <w:t>SAFTINet- SAFTINet-Scalable Architecture for Federated Translational Inquiries Network, ENACT- Evolve to Next-Gen ACT Network, EHR- Electronic Health Records, DUA- Dta User Agreement, IRB- Institutional Review Board, i2b2- Informatics for Integrating Biology &amp; the Bedside, OMOP-  Observational Medical Outcomes Partnership (OMOP) Common Data Model (CDM), PCORnet®- the National Patient-Centered Clinical Research Network.</w:t>
                      </w:r>
                    </w:p>
                  </w:txbxContent>
                </v:textbox>
                <w10:wrap anchorx="margin"/>
              </v:shape>
            </w:pict>
          </mc:Fallback>
        </mc:AlternateContent>
      </w:r>
    </w:p>
    <w:p w14:paraId="39854C18" w14:textId="77777777" w:rsidR="001D2810" w:rsidRPr="001D2810" w:rsidRDefault="001D2810" w:rsidP="001D2810">
      <w:pPr>
        <w:pBdr>
          <w:top w:val="nil"/>
          <w:left w:val="nil"/>
          <w:bottom w:val="nil"/>
          <w:right w:val="nil"/>
          <w:between w:val="nil"/>
        </w:pBdr>
        <w:spacing w:line="480" w:lineRule="auto"/>
        <w:rPr>
          <w:rFonts w:ascii="Arial" w:eastAsia="Calibri" w:hAnsi="Arial" w:cs="Arial"/>
          <w:b/>
          <w:iCs/>
          <w:kern w:val="0"/>
          <w:sz w:val="24"/>
          <w:szCs w:val="24"/>
          <w14:ligatures w14:val="none"/>
        </w:rPr>
      </w:pPr>
    </w:p>
    <w:p w14:paraId="49C50FAE" w14:textId="77777777" w:rsidR="001D2810" w:rsidRPr="001D2810" w:rsidRDefault="001D2810" w:rsidP="001D2810">
      <w:pPr>
        <w:pBdr>
          <w:top w:val="nil"/>
          <w:left w:val="nil"/>
          <w:bottom w:val="nil"/>
          <w:right w:val="nil"/>
          <w:between w:val="nil"/>
        </w:pBdr>
        <w:spacing w:line="480" w:lineRule="auto"/>
        <w:rPr>
          <w:rFonts w:ascii="Arial" w:eastAsia="Calibri" w:hAnsi="Arial" w:cs="Arial"/>
          <w:b/>
          <w:iCs/>
          <w:kern w:val="0"/>
          <w:sz w:val="24"/>
          <w:szCs w:val="24"/>
          <w14:ligatures w14:val="none"/>
        </w:rPr>
      </w:pPr>
      <w:r w:rsidRPr="001D2810">
        <w:rPr>
          <w:rFonts w:ascii="Arial" w:eastAsia="Calibri" w:hAnsi="Arial" w:cs="Arial"/>
          <w:b/>
          <w:iCs/>
          <w:kern w:val="0"/>
          <w:sz w:val="24"/>
          <w:szCs w:val="24"/>
          <w14:ligatures w14:val="none"/>
        </w:rPr>
        <w:t xml:space="preserve">Supplement Appendix 5. </w:t>
      </w:r>
      <w:r w:rsidRPr="001D2810">
        <w:rPr>
          <w:rFonts w:ascii="Arial" w:eastAsia="Calibri" w:hAnsi="Arial" w:cs="Arial"/>
          <w:bCs/>
          <w:iCs/>
          <w:kern w:val="0"/>
          <w:sz w:val="24"/>
          <w:szCs w:val="24"/>
          <w14:ligatures w14:val="none"/>
        </w:rPr>
        <w:t>Ecosystem map- Research use of electronic health data at academic CTSA institutions by workflow stage</w:t>
      </w:r>
      <w:r w:rsidRPr="001D2810">
        <w:rPr>
          <w:rFonts w:ascii="Arial" w:eastAsia="Calibri" w:hAnsi="Arial" w:cs="Arial"/>
          <w:b/>
          <w:iCs/>
          <w:kern w:val="0"/>
          <w:sz w:val="24"/>
          <w:szCs w:val="24"/>
          <w14:ligatures w14:val="none"/>
        </w:rPr>
        <w:t>.</w:t>
      </w:r>
    </w:p>
    <w:p w14:paraId="27F773AF" w14:textId="77777777" w:rsidR="001D2810" w:rsidRPr="001D2810" w:rsidRDefault="001D2810" w:rsidP="001D2810">
      <w:pPr>
        <w:pBdr>
          <w:top w:val="nil"/>
          <w:left w:val="nil"/>
          <w:bottom w:val="nil"/>
          <w:right w:val="nil"/>
          <w:between w:val="nil"/>
        </w:pBdr>
        <w:spacing w:line="480" w:lineRule="auto"/>
        <w:rPr>
          <w:rFonts w:ascii="Arial" w:eastAsia="Calibri" w:hAnsi="Arial" w:cs="Arial"/>
          <w:b/>
          <w:iCs/>
          <w:kern w:val="0"/>
          <w:sz w:val="24"/>
          <w:szCs w:val="24"/>
          <w14:ligatures w14:val="none"/>
        </w:rPr>
      </w:pPr>
      <w:r w:rsidRPr="001D2810">
        <w:rPr>
          <w:rFonts w:ascii="Arial" w:eastAsia="Calibri" w:hAnsi="Arial" w:cs="Arial"/>
          <w:b/>
          <w:iCs/>
          <w:noProof/>
          <w:kern w:val="0"/>
          <w:sz w:val="24"/>
          <w:szCs w:val="24"/>
          <w14:ligatures w14:val="none"/>
        </w:rPr>
        <mc:AlternateContent>
          <mc:Choice Requires="wps">
            <w:drawing>
              <wp:anchor distT="45720" distB="45720" distL="114300" distR="114300" simplePos="0" relativeHeight="251660288" behindDoc="0" locked="0" layoutInCell="1" allowOverlap="1" wp14:anchorId="5ECD3570" wp14:editId="0187E4F4">
                <wp:simplePos x="0" y="0"/>
                <wp:positionH relativeFrom="column">
                  <wp:posOffset>668866</wp:posOffset>
                </wp:positionH>
                <wp:positionV relativeFrom="paragraph">
                  <wp:posOffset>302260</wp:posOffset>
                </wp:positionV>
                <wp:extent cx="5435600" cy="338455"/>
                <wp:effectExtent l="0" t="0" r="12700" b="23495"/>
                <wp:wrapSquare wrapText="bothSides"/>
                <wp:docPr id="960934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338455"/>
                        </a:xfrm>
                        <a:prstGeom prst="rect">
                          <a:avLst/>
                        </a:prstGeom>
                        <a:solidFill>
                          <a:srgbClr val="FFFFFF"/>
                        </a:solidFill>
                        <a:ln w="9525">
                          <a:solidFill>
                            <a:srgbClr val="000000"/>
                          </a:solidFill>
                          <a:miter lim="800000"/>
                          <a:headEnd/>
                          <a:tailEnd/>
                        </a:ln>
                      </wps:spPr>
                      <wps:txbx>
                        <w:txbxContent>
                          <w:p w14:paraId="69E97E8D" w14:textId="77777777" w:rsidR="001D2810" w:rsidRPr="00080DE6" w:rsidRDefault="001D2810" w:rsidP="001D2810">
                            <w:pPr>
                              <w:jc w:val="center"/>
                              <w:rPr>
                                <w:rFonts w:ascii="Arial" w:hAnsi="Arial" w:cs="Arial"/>
                                <w:b/>
                                <w:bCs/>
                                <w:sz w:val="24"/>
                                <w:szCs w:val="24"/>
                              </w:rPr>
                            </w:pPr>
                            <w:r w:rsidRPr="00080DE6">
                              <w:rPr>
                                <w:rFonts w:ascii="Arial" w:hAnsi="Arial" w:cs="Arial"/>
                                <w:b/>
                                <w:bCs/>
                                <w:sz w:val="24"/>
                                <w:szCs w:val="24"/>
                              </w:rPr>
                              <w:t xml:space="preserve">Workflow and Decision Making within medium to large </w:t>
                            </w:r>
                            <w:r>
                              <w:rPr>
                                <w:rFonts w:ascii="Arial" w:hAnsi="Arial" w:cs="Arial"/>
                                <w:b/>
                                <w:bCs/>
                                <w:sz w:val="24"/>
                                <w:szCs w:val="24"/>
                              </w:rPr>
                              <w:t>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D3570" id="_x0000_s1027" type="#_x0000_t202" style="position:absolute;margin-left:52.65pt;margin-top:23.8pt;width:428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">
                <v:textbox>
                  <w:txbxContent>
                    <w:p w14:paraId="69E97E8D" w14:textId="77777777" w:rsidR="001D2810" w:rsidRPr="00080DE6" w:rsidRDefault="001D2810" w:rsidP="001D2810">
                      <w:pPr>
                        <w:jc w:val="center"/>
                        <w:rPr>
                          <w:rFonts w:ascii="Arial" w:hAnsi="Arial" w:cs="Arial"/>
                          <w:b/>
                          <w:bCs/>
                          <w:sz w:val="24"/>
                          <w:szCs w:val="24"/>
                        </w:rPr>
                      </w:pPr>
                      <w:r w:rsidRPr="00080DE6">
                        <w:rPr>
                          <w:rFonts w:ascii="Arial" w:hAnsi="Arial" w:cs="Arial"/>
                          <w:b/>
                          <w:bCs/>
                          <w:sz w:val="24"/>
                          <w:szCs w:val="24"/>
                        </w:rPr>
                        <w:t xml:space="preserve">Workflow and Decision Making within medium to large </w:t>
                      </w:r>
                      <w:r>
                        <w:rPr>
                          <w:rFonts w:ascii="Arial" w:hAnsi="Arial" w:cs="Arial"/>
                          <w:b/>
                          <w:bCs/>
                          <w:sz w:val="24"/>
                          <w:szCs w:val="24"/>
                        </w:rPr>
                        <w:t>institutions</w:t>
                      </w:r>
                    </w:p>
                  </w:txbxContent>
                </v:textbox>
                <w10:wrap type="square"/>
              </v:shape>
            </w:pict>
          </mc:Fallback>
        </mc:AlternateContent>
      </w:r>
    </w:p>
    <w:p w14:paraId="5B1DC283" w14:textId="77777777" w:rsidR="001D2810" w:rsidRPr="001D2810" w:rsidRDefault="001D2810" w:rsidP="001D2810">
      <w:pPr>
        <w:spacing w:before="240" w:after="240" w:line="240" w:lineRule="auto"/>
        <w:rPr>
          <w:rFonts w:ascii="Calibri" w:eastAsia="Calibri" w:hAnsi="Calibri" w:cs="Calibri"/>
          <w:kern w:val="0"/>
          <w:u w:val="single"/>
          <w14:ligatures w14:val="none"/>
        </w:rPr>
      </w:pPr>
    </w:p>
    <w:tbl>
      <w:tblPr>
        <w:tblW w:w="9540" w:type="dxa"/>
        <w:tblInd w:w="625" w:type="dxa"/>
        <w:tblLook w:val="04A0" w:firstRow="1" w:lastRow="0" w:firstColumn="1" w:lastColumn="0" w:noHBand="0" w:noVBand="1"/>
      </w:tblPr>
      <w:tblGrid>
        <w:gridCol w:w="1260"/>
        <w:gridCol w:w="1710"/>
        <w:gridCol w:w="1440"/>
        <w:gridCol w:w="1620"/>
        <w:gridCol w:w="1620"/>
        <w:gridCol w:w="1890"/>
      </w:tblGrid>
      <w:tr w:rsidR="00745E68" w:rsidRPr="001D2810" w14:paraId="55323794" w14:textId="77777777" w:rsidTr="00745E68">
        <w:trPr>
          <w:trHeight w:val="552"/>
        </w:trPr>
        <w:tc>
          <w:tcPr>
            <w:tcW w:w="1260" w:type="dxa"/>
            <w:tcBorders>
              <w:top w:val="single" w:sz="4" w:space="0" w:color="000000"/>
              <w:left w:val="single" w:sz="4" w:space="0" w:color="000000"/>
              <w:bottom w:val="single" w:sz="4" w:space="0" w:color="000000"/>
              <w:right w:val="nil"/>
            </w:tcBorders>
            <w:shd w:val="clear" w:color="000000" w:fill="000000"/>
            <w:vAlign w:val="center"/>
            <w:hideMark/>
          </w:tcPr>
          <w:p w14:paraId="1FBBEF70"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Role</w:t>
            </w:r>
          </w:p>
        </w:tc>
        <w:tc>
          <w:tcPr>
            <w:tcW w:w="1710" w:type="dxa"/>
            <w:tcBorders>
              <w:top w:val="single" w:sz="4" w:space="0" w:color="000000"/>
              <w:left w:val="nil"/>
              <w:bottom w:val="single" w:sz="4" w:space="0" w:color="000000"/>
              <w:right w:val="nil"/>
            </w:tcBorders>
            <w:shd w:val="clear" w:color="000000" w:fill="000000"/>
            <w:vAlign w:val="center"/>
            <w:hideMark/>
          </w:tcPr>
          <w:p w14:paraId="07DD58FC"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Idea &amp; Feasibility</w:t>
            </w:r>
          </w:p>
        </w:tc>
        <w:tc>
          <w:tcPr>
            <w:tcW w:w="1440" w:type="dxa"/>
            <w:tcBorders>
              <w:top w:val="single" w:sz="4" w:space="0" w:color="000000"/>
              <w:left w:val="nil"/>
              <w:bottom w:val="single" w:sz="4" w:space="0" w:color="000000"/>
              <w:right w:val="nil"/>
            </w:tcBorders>
            <w:shd w:val="clear" w:color="000000" w:fill="000000"/>
            <w:vAlign w:val="center"/>
            <w:hideMark/>
          </w:tcPr>
          <w:p w14:paraId="51AB5EFD"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Data Sourcing</w:t>
            </w:r>
          </w:p>
        </w:tc>
        <w:tc>
          <w:tcPr>
            <w:tcW w:w="1620" w:type="dxa"/>
            <w:tcBorders>
              <w:top w:val="single" w:sz="4" w:space="0" w:color="000000"/>
              <w:left w:val="nil"/>
              <w:bottom w:val="single" w:sz="4" w:space="0" w:color="000000"/>
              <w:right w:val="nil"/>
            </w:tcBorders>
            <w:shd w:val="clear" w:color="000000" w:fill="000000"/>
            <w:vAlign w:val="center"/>
            <w:hideMark/>
          </w:tcPr>
          <w:p w14:paraId="4B03A1FC"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Interaction with the Core facility group</w:t>
            </w:r>
          </w:p>
        </w:tc>
        <w:tc>
          <w:tcPr>
            <w:tcW w:w="1620" w:type="dxa"/>
            <w:tcBorders>
              <w:top w:val="single" w:sz="4" w:space="0" w:color="000000"/>
              <w:left w:val="nil"/>
              <w:bottom w:val="single" w:sz="4" w:space="0" w:color="000000"/>
              <w:right w:val="nil"/>
            </w:tcBorders>
            <w:shd w:val="clear" w:color="000000" w:fill="000000"/>
            <w:vAlign w:val="center"/>
            <w:hideMark/>
          </w:tcPr>
          <w:p w14:paraId="656A0B53"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Rescoping of Data Sources</w:t>
            </w:r>
          </w:p>
        </w:tc>
        <w:tc>
          <w:tcPr>
            <w:tcW w:w="1890" w:type="dxa"/>
            <w:tcBorders>
              <w:top w:val="single" w:sz="4" w:space="0" w:color="000000"/>
              <w:left w:val="nil"/>
              <w:bottom w:val="single" w:sz="4" w:space="0" w:color="000000"/>
              <w:right w:val="nil"/>
            </w:tcBorders>
            <w:shd w:val="clear" w:color="000000" w:fill="000000"/>
            <w:vAlign w:val="center"/>
            <w:hideMark/>
          </w:tcPr>
          <w:p w14:paraId="304153A2" w14:textId="77777777" w:rsidR="00745E68" w:rsidRPr="001D2810" w:rsidRDefault="00745E68" w:rsidP="001D2810">
            <w:pPr>
              <w:spacing w:after="0" w:line="240" w:lineRule="auto"/>
              <w:jc w:val="center"/>
              <w:rPr>
                <w:rFonts w:ascii="Arial Narrow" w:eastAsia="Times New Roman" w:hAnsi="Arial Narrow" w:cs="Calibri"/>
                <w:b/>
                <w:bCs/>
                <w:color w:val="FFFFFF"/>
                <w:kern w:val="0"/>
                <w14:ligatures w14:val="none"/>
              </w:rPr>
            </w:pPr>
            <w:r w:rsidRPr="001D2810">
              <w:rPr>
                <w:rFonts w:ascii="Arial Narrow" w:eastAsia="Times New Roman" w:hAnsi="Arial Narrow" w:cs="Calibri"/>
                <w:b/>
                <w:bCs/>
                <w:color w:val="FFFFFF"/>
                <w:kern w:val="0"/>
                <w14:ligatures w14:val="none"/>
              </w:rPr>
              <w:t>Acquisition, Analysis, and Publication</w:t>
            </w:r>
          </w:p>
        </w:tc>
      </w:tr>
      <w:tr w:rsidR="00745E68" w:rsidRPr="001D2810" w14:paraId="478D7A7E" w14:textId="77777777" w:rsidTr="00745E68">
        <w:trPr>
          <w:trHeight w:val="1610"/>
        </w:trPr>
        <w:tc>
          <w:tcPr>
            <w:tcW w:w="1260" w:type="dxa"/>
            <w:tcBorders>
              <w:top w:val="single" w:sz="4" w:space="0" w:color="000000"/>
              <w:left w:val="single" w:sz="4" w:space="0" w:color="000000"/>
              <w:bottom w:val="single" w:sz="4" w:space="0" w:color="000000"/>
              <w:right w:val="nil"/>
            </w:tcBorders>
            <w:shd w:val="clear" w:color="D9D9D9" w:fill="D9D9D9"/>
            <w:vAlign w:val="center"/>
            <w:hideMark/>
          </w:tcPr>
          <w:p w14:paraId="028B1EC8"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Activity by researcher</w:t>
            </w:r>
          </w:p>
        </w:tc>
        <w:tc>
          <w:tcPr>
            <w:tcW w:w="1710" w:type="dxa"/>
            <w:tcBorders>
              <w:top w:val="single" w:sz="4" w:space="0" w:color="000000"/>
              <w:left w:val="nil"/>
              <w:bottom w:val="single" w:sz="4" w:space="0" w:color="000000"/>
              <w:right w:val="nil"/>
            </w:tcBorders>
            <w:shd w:val="clear" w:color="D9D9D9" w:fill="D9D9D9"/>
            <w:vAlign w:val="center"/>
            <w:hideMark/>
          </w:tcPr>
          <w:p w14:paraId="2E28955B"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Rough out of project and cohort size consideration</w:t>
            </w:r>
          </w:p>
        </w:tc>
        <w:tc>
          <w:tcPr>
            <w:tcW w:w="1440" w:type="dxa"/>
            <w:tcBorders>
              <w:top w:val="single" w:sz="4" w:space="0" w:color="000000"/>
              <w:left w:val="nil"/>
              <w:bottom w:val="single" w:sz="4" w:space="0" w:color="000000"/>
              <w:right w:val="nil"/>
            </w:tcBorders>
            <w:shd w:val="clear" w:color="D9D9D9" w:fill="D9D9D9"/>
            <w:vAlign w:val="center"/>
            <w:hideMark/>
          </w:tcPr>
          <w:p w14:paraId="65F68E76"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Considers local, regional, or other familiar databases</w:t>
            </w:r>
          </w:p>
        </w:tc>
        <w:tc>
          <w:tcPr>
            <w:tcW w:w="1620" w:type="dxa"/>
            <w:tcBorders>
              <w:top w:val="single" w:sz="4" w:space="0" w:color="000000"/>
              <w:left w:val="nil"/>
              <w:bottom w:val="single" w:sz="4" w:space="0" w:color="000000"/>
              <w:right w:val="nil"/>
            </w:tcBorders>
            <w:shd w:val="clear" w:color="D9D9D9" w:fill="D9D9D9"/>
            <w:vAlign w:val="center"/>
            <w:hideMark/>
          </w:tcPr>
          <w:p w14:paraId="0A6C9749"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Interaction begins and detailed project discussion starts</w:t>
            </w:r>
          </w:p>
        </w:tc>
        <w:tc>
          <w:tcPr>
            <w:tcW w:w="1620" w:type="dxa"/>
            <w:tcBorders>
              <w:top w:val="single" w:sz="4" w:space="0" w:color="000000"/>
              <w:left w:val="nil"/>
              <w:bottom w:val="single" w:sz="4" w:space="0" w:color="000000"/>
              <w:right w:val="nil"/>
            </w:tcBorders>
            <w:shd w:val="clear" w:color="D9D9D9" w:fill="D9D9D9"/>
            <w:vAlign w:val="center"/>
            <w:hideMark/>
          </w:tcPr>
          <w:p w14:paraId="02F473C3"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 xml:space="preserve">Now understands the benefits of rescoping </w:t>
            </w:r>
          </w:p>
        </w:tc>
        <w:tc>
          <w:tcPr>
            <w:tcW w:w="1890" w:type="dxa"/>
            <w:tcBorders>
              <w:top w:val="single" w:sz="4" w:space="0" w:color="000000"/>
              <w:left w:val="nil"/>
              <w:bottom w:val="single" w:sz="4" w:space="0" w:color="000000"/>
              <w:right w:val="nil"/>
            </w:tcBorders>
            <w:shd w:val="clear" w:color="D9D9D9" w:fill="D9D9D9"/>
            <w:vAlign w:val="center"/>
            <w:hideMark/>
          </w:tcPr>
          <w:p w14:paraId="7709A1B4"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 xml:space="preserve">Data is acquired by Core and analysis begins. Duration depends. </w:t>
            </w:r>
          </w:p>
        </w:tc>
      </w:tr>
      <w:tr w:rsidR="00745E68" w:rsidRPr="001D2810" w14:paraId="6395A6E5" w14:textId="77777777" w:rsidTr="00745E68">
        <w:trPr>
          <w:trHeight w:val="1061"/>
        </w:trPr>
        <w:tc>
          <w:tcPr>
            <w:tcW w:w="1260" w:type="dxa"/>
            <w:tcBorders>
              <w:top w:val="single" w:sz="4" w:space="0" w:color="000000"/>
              <w:left w:val="single" w:sz="4" w:space="0" w:color="000000"/>
              <w:bottom w:val="single" w:sz="4" w:space="0" w:color="000000"/>
              <w:right w:val="nil"/>
            </w:tcBorders>
            <w:shd w:val="clear" w:color="auto" w:fill="auto"/>
            <w:vAlign w:val="center"/>
            <w:hideMark/>
          </w:tcPr>
          <w:p w14:paraId="19A1072C"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Influencers</w:t>
            </w:r>
          </w:p>
        </w:tc>
        <w:tc>
          <w:tcPr>
            <w:tcW w:w="1710" w:type="dxa"/>
            <w:tcBorders>
              <w:top w:val="single" w:sz="4" w:space="0" w:color="000000"/>
              <w:left w:val="nil"/>
              <w:bottom w:val="single" w:sz="4" w:space="0" w:color="000000"/>
              <w:right w:val="nil"/>
            </w:tcBorders>
            <w:shd w:val="clear" w:color="auto" w:fill="auto"/>
            <w:vAlign w:val="center"/>
            <w:hideMark/>
          </w:tcPr>
          <w:p w14:paraId="519CDCD4"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Collaborators and research lines</w:t>
            </w:r>
          </w:p>
        </w:tc>
        <w:tc>
          <w:tcPr>
            <w:tcW w:w="1440" w:type="dxa"/>
            <w:tcBorders>
              <w:top w:val="single" w:sz="4" w:space="0" w:color="000000"/>
              <w:left w:val="nil"/>
              <w:bottom w:val="single" w:sz="4" w:space="0" w:color="000000"/>
              <w:right w:val="nil"/>
            </w:tcBorders>
            <w:shd w:val="clear" w:color="auto" w:fill="auto"/>
            <w:vAlign w:val="center"/>
            <w:hideMark/>
          </w:tcPr>
          <w:p w14:paraId="09D0938D"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Collaborators, possibly Core facilities</w:t>
            </w:r>
          </w:p>
        </w:tc>
        <w:tc>
          <w:tcPr>
            <w:tcW w:w="1620" w:type="dxa"/>
            <w:tcBorders>
              <w:top w:val="single" w:sz="4" w:space="0" w:color="000000"/>
              <w:left w:val="nil"/>
              <w:bottom w:val="single" w:sz="4" w:space="0" w:color="000000"/>
              <w:right w:val="nil"/>
            </w:tcBorders>
            <w:shd w:val="clear" w:color="auto" w:fill="auto"/>
            <w:vAlign w:val="center"/>
            <w:hideMark/>
          </w:tcPr>
          <w:p w14:paraId="59623D24"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Core and informatics leads, stats</w:t>
            </w:r>
          </w:p>
        </w:tc>
        <w:tc>
          <w:tcPr>
            <w:tcW w:w="1620" w:type="dxa"/>
            <w:tcBorders>
              <w:top w:val="single" w:sz="4" w:space="0" w:color="000000"/>
              <w:left w:val="nil"/>
              <w:bottom w:val="single" w:sz="4" w:space="0" w:color="000000"/>
              <w:right w:val="nil"/>
            </w:tcBorders>
            <w:shd w:val="clear" w:color="auto" w:fill="auto"/>
            <w:vAlign w:val="center"/>
            <w:hideMark/>
          </w:tcPr>
          <w:p w14:paraId="28D06166"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Project leads from Core Facility</w:t>
            </w:r>
          </w:p>
        </w:tc>
        <w:tc>
          <w:tcPr>
            <w:tcW w:w="1890" w:type="dxa"/>
            <w:tcBorders>
              <w:top w:val="single" w:sz="4" w:space="0" w:color="000000"/>
              <w:left w:val="nil"/>
              <w:bottom w:val="single" w:sz="4" w:space="0" w:color="000000"/>
              <w:right w:val="nil"/>
            </w:tcBorders>
            <w:shd w:val="clear" w:color="auto" w:fill="auto"/>
            <w:vAlign w:val="center"/>
            <w:hideMark/>
          </w:tcPr>
          <w:p w14:paraId="5D355F4B"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Statistics</w:t>
            </w:r>
          </w:p>
        </w:tc>
      </w:tr>
      <w:tr w:rsidR="00745E68" w:rsidRPr="001D2810" w14:paraId="4AD6BBB0" w14:textId="77777777" w:rsidTr="00745E68">
        <w:trPr>
          <w:trHeight w:val="944"/>
        </w:trPr>
        <w:tc>
          <w:tcPr>
            <w:tcW w:w="1260" w:type="dxa"/>
            <w:tcBorders>
              <w:top w:val="single" w:sz="4" w:space="0" w:color="000000"/>
              <w:left w:val="single" w:sz="4" w:space="0" w:color="000000"/>
              <w:bottom w:val="single" w:sz="4" w:space="0" w:color="000000"/>
              <w:right w:val="nil"/>
            </w:tcBorders>
            <w:shd w:val="clear" w:color="D9D9D9" w:fill="D9D9D9"/>
            <w:vAlign w:val="center"/>
            <w:hideMark/>
          </w:tcPr>
          <w:p w14:paraId="7F30998C"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Problems encountered</w:t>
            </w:r>
          </w:p>
        </w:tc>
        <w:tc>
          <w:tcPr>
            <w:tcW w:w="1710" w:type="dxa"/>
            <w:tcBorders>
              <w:top w:val="single" w:sz="4" w:space="0" w:color="000000"/>
              <w:left w:val="nil"/>
              <w:bottom w:val="single" w:sz="4" w:space="0" w:color="000000"/>
              <w:right w:val="nil"/>
            </w:tcBorders>
            <w:shd w:val="clear" w:color="D9D9D9" w:fill="D9D9D9"/>
            <w:vAlign w:val="center"/>
            <w:hideMark/>
          </w:tcPr>
          <w:p w14:paraId="067F8174"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p>
        </w:tc>
        <w:tc>
          <w:tcPr>
            <w:tcW w:w="1440" w:type="dxa"/>
            <w:tcBorders>
              <w:top w:val="single" w:sz="4" w:space="0" w:color="000000"/>
              <w:left w:val="nil"/>
              <w:bottom w:val="single" w:sz="4" w:space="0" w:color="000000"/>
              <w:right w:val="nil"/>
            </w:tcBorders>
            <w:shd w:val="clear" w:color="D9D9D9" w:fill="D9D9D9"/>
            <w:vAlign w:val="center"/>
            <w:hideMark/>
          </w:tcPr>
          <w:p w14:paraId="649600B3" w14:textId="77777777" w:rsidR="00745E68" w:rsidRPr="001D2810" w:rsidRDefault="00745E68" w:rsidP="001D2810">
            <w:pPr>
              <w:spacing w:after="0" w:line="240" w:lineRule="auto"/>
              <w:rPr>
                <w:rFonts w:ascii="Times New Roman" w:eastAsia="Times New Roman" w:hAnsi="Times New Roman" w:cs="Times New Roman"/>
                <w:kern w:val="0"/>
                <w:sz w:val="20"/>
                <w:szCs w:val="20"/>
                <w14:ligatures w14:val="none"/>
              </w:rPr>
            </w:pPr>
          </w:p>
        </w:tc>
        <w:tc>
          <w:tcPr>
            <w:tcW w:w="1620" w:type="dxa"/>
            <w:tcBorders>
              <w:top w:val="single" w:sz="4" w:space="0" w:color="000000"/>
              <w:left w:val="nil"/>
              <w:bottom w:val="single" w:sz="4" w:space="0" w:color="000000"/>
              <w:right w:val="nil"/>
            </w:tcBorders>
            <w:shd w:val="clear" w:color="D9D9D9" w:fill="D9D9D9"/>
            <w:vAlign w:val="center"/>
            <w:hideMark/>
          </w:tcPr>
          <w:p w14:paraId="19467460"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To use or not to use…</w:t>
            </w:r>
          </w:p>
        </w:tc>
        <w:tc>
          <w:tcPr>
            <w:tcW w:w="1620" w:type="dxa"/>
            <w:tcBorders>
              <w:top w:val="single" w:sz="4" w:space="0" w:color="000000"/>
              <w:left w:val="nil"/>
              <w:bottom w:val="single" w:sz="4" w:space="0" w:color="000000"/>
              <w:right w:val="nil"/>
            </w:tcBorders>
            <w:shd w:val="clear" w:color="D9D9D9" w:fill="D9D9D9"/>
            <w:vAlign w:val="center"/>
            <w:hideMark/>
          </w:tcPr>
          <w:p w14:paraId="3EEB4ECE"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r w:rsidRPr="001D2810">
              <w:rPr>
                <w:rFonts w:ascii="Arial Narrow" w:eastAsia="Times New Roman" w:hAnsi="Arial Narrow" w:cs="Calibri"/>
                <w:color w:val="000000"/>
                <w:kern w:val="0"/>
                <w14:ligatures w14:val="none"/>
              </w:rPr>
              <w:t>Discomfort from being not in control</w:t>
            </w:r>
          </w:p>
        </w:tc>
        <w:tc>
          <w:tcPr>
            <w:tcW w:w="1890" w:type="dxa"/>
            <w:tcBorders>
              <w:top w:val="single" w:sz="4" w:space="0" w:color="000000"/>
              <w:left w:val="nil"/>
              <w:bottom w:val="single" w:sz="4" w:space="0" w:color="000000"/>
              <w:right w:val="nil"/>
            </w:tcBorders>
            <w:shd w:val="clear" w:color="D9D9D9" w:fill="D9D9D9"/>
            <w:vAlign w:val="center"/>
            <w:hideMark/>
          </w:tcPr>
          <w:p w14:paraId="643B1D0F" w14:textId="77777777" w:rsidR="00745E68" w:rsidRPr="001D2810" w:rsidRDefault="00745E68" w:rsidP="001D2810">
            <w:pPr>
              <w:spacing w:after="0" w:line="240" w:lineRule="auto"/>
              <w:rPr>
                <w:rFonts w:ascii="Arial Narrow" w:eastAsia="Times New Roman" w:hAnsi="Arial Narrow" w:cs="Calibri"/>
                <w:color w:val="000000"/>
                <w:kern w:val="0"/>
                <w14:ligatures w14:val="none"/>
              </w:rPr>
            </w:pPr>
          </w:p>
        </w:tc>
      </w:tr>
    </w:tbl>
    <w:p w14:paraId="2AEB36B7" w14:textId="77777777" w:rsidR="001D2810" w:rsidRPr="001D2810" w:rsidRDefault="001D2810" w:rsidP="001D2810">
      <w:pPr>
        <w:spacing w:before="240" w:after="240" w:line="240" w:lineRule="auto"/>
        <w:rPr>
          <w:rFonts w:ascii="Calibri" w:eastAsia="Calibri" w:hAnsi="Calibri" w:cs="Calibri"/>
          <w:kern w:val="0"/>
          <w:u w:val="single"/>
          <w14:ligatures w14:val="none"/>
        </w:rPr>
      </w:pPr>
    </w:p>
    <w:p w14:paraId="1C9ED3EA" w14:textId="77777777" w:rsidR="001D2810" w:rsidRPr="001D2810" w:rsidRDefault="001D2810" w:rsidP="001D2810">
      <w:pPr>
        <w:spacing w:before="240" w:after="240" w:line="240" w:lineRule="auto"/>
        <w:rPr>
          <w:rFonts w:ascii="Arial" w:eastAsia="Calibri" w:hAnsi="Arial" w:cs="Arial"/>
          <w:kern w:val="0"/>
          <w14:ligatures w14:val="none"/>
        </w:rPr>
      </w:pPr>
      <w:r w:rsidRPr="001D2810">
        <w:rPr>
          <w:rFonts w:ascii="Arial" w:eastAsia="Calibri" w:hAnsi="Arial" w:cs="Arial"/>
          <w:kern w:val="0"/>
          <w14:ligatures w14:val="none"/>
        </w:rPr>
        <w:t>*Influencers- The people who influence the local business model and data governance necessary to advance local health informatics research</w:t>
      </w:r>
    </w:p>
    <w:p w14:paraId="14346BC9" w14:textId="77777777" w:rsidR="001D2810" w:rsidRPr="001D2810" w:rsidRDefault="001D2810" w:rsidP="001D2810">
      <w:pPr>
        <w:spacing w:line="240" w:lineRule="auto"/>
        <w:jc w:val="center"/>
        <w:rPr>
          <w:rFonts w:ascii="Calibri" w:eastAsia="Calibri" w:hAnsi="Calibri" w:cs="Calibri"/>
          <w:b/>
          <w:bCs/>
          <w:kern w:val="0"/>
          <w14:ligatures w14:val="none"/>
        </w:rPr>
      </w:pPr>
    </w:p>
    <w:p w14:paraId="3A17C534" w14:textId="77777777" w:rsidR="001D2810" w:rsidRPr="001D2810" w:rsidRDefault="001D2810" w:rsidP="001D2810">
      <w:pPr>
        <w:spacing w:line="240" w:lineRule="auto"/>
        <w:jc w:val="center"/>
        <w:rPr>
          <w:rFonts w:ascii="Calibri" w:eastAsia="Calibri" w:hAnsi="Calibri" w:cs="Calibri"/>
          <w:b/>
          <w:bCs/>
          <w:kern w:val="0"/>
          <w14:ligatures w14:val="none"/>
        </w:rPr>
      </w:pPr>
    </w:p>
    <w:p w14:paraId="3CF524CC" w14:textId="77777777" w:rsidR="001D2810" w:rsidRPr="001D2810" w:rsidRDefault="001D2810" w:rsidP="001D2810">
      <w:pPr>
        <w:spacing w:line="240" w:lineRule="auto"/>
        <w:jc w:val="center"/>
        <w:rPr>
          <w:rFonts w:ascii="Calibri" w:eastAsia="Calibri" w:hAnsi="Calibri" w:cs="Calibri"/>
          <w:b/>
          <w:bCs/>
          <w:kern w:val="0"/>
          <w14:ligatures w14:val="none"/>
        </w:rPr>
      </w:pPr>
    </w:p>
    <w:p w14:paraId="239175D6" w14:textId="77777777" w:rsidR="001D2810" w:rsidRPr="001D2810" w:rsidRDefault="001D2810" w:rsidP="001D2810">
      <w:pPr>
        <w:spacing w:line="240" w:lineRule="auto"/>
        <w:rPr>
          <w:rFonts w:ascii="Calibri" w:eastAsia="Calibri" w:hAnsi="Calibri" w:cs="Calibri"/>
          <w:b/>
          <w:bCs/>
          <w:kern w:val="0"/>
          <w14:ligatures w14:val="none"/>
        </w:rPr>
      </w:pPr>
    </w:p>
    <w:p w14:paraId="1E625069" w14:textId="77777777" w:rsidR="001D2810" w:rsidRPr="001D2810" w:rsidRDefault="001D2810" w:rsidP="001D2810">
      <w:pPr>
        <w:spacing w:line="240" w:lineRule="auto"/>
        <w:rPr>
          <w:rFonts w:ascii="Calibri" w:eastAsia="Calibri" w:hAnsi="Calibri" w:cs="Calibri"/>
          <w:b/>
          <w:bCs/>
          <w:kern w:val="0"/>
          <w14:ligatures w14:val="none"/>
        </w:rPr>
      </w:pPr>
    </w:p>
    <w:p w14:paraId="3CB3926E" w14:textId="77777777" w:rsidR="001D2810" w:rsidRPr="001D2810" w:rsidRDefault="001D2810" w:rsidP="001D2810">
      <w:pPr>
        <w:spacing w:line="240" w:lineRule="auto"/>
        <w:rPr>
          <w:rFonts w:ascii="Calibri" w:eastAsia="Calibri" w:hAnsi="Calibri" w:cs="Calibri"/>
          <w:b/>
          <w:bCs/>
          <w:kern w:val="0"/>
          <w14:ligatures w14:val="none"/>
        </w:rPr>
      </w:pPr>
    </w:p>
    <w:p w14:paraId="500547F9" w14:textId="77777777" w:rsidR="001D2810" w:rsidRPr="001D2810" w:rsidRDefault="001D2810" w:rsidP="001D2810">
      <w:pPr>
        <w:spacing w:line="240" w:lineRule="auto"/>
        <w:rPr>
          <w:rFonts w:ascii="Calibri" w:eastAsia="Calibri" w:hAnsi="Calibri" w:cs="Calibri"/>
          <w:b/>
          <w:bCs/>
          <w:kern w:val="0"/>
          <w14:ligatures w14:val="none"/>
        </w:rPr>
      </w:pPr>
    </w:p>
    <w:p w14:paraId="75A6F644" w14:textId="77777777" w:rsidR="001D2810" w:rsidRPr="001D2810" w:rsidRDefault="001D2810" w:rsidP="001D2810">
      <w:pPr>
        <w:spacing w:line="240" w:lineRule="auto"/>
        <w:rPr>
          <w:rFonts w:ascii="Calibri" w:eastAsia="Calibri" w:hAnsi="Calibri" w:cs="Calibri"/>
          <w:b/>
          <w:bCs/>
          <w:kern w:val="0"/>
          <w14:ligatures w14:val="none"/>
        </w:rPr>
      </w:pPr>
    </w:p>
    <w:p w14:paraId="2142949A" w14:textId="77777777" w:rsidR="001D2810" w:rsidRPr="001D2810" w:rsidRDefault="001D2810" w:rsidP="001D2810">
      <w:pPr>
        <w:spacing w:line="240" w:lineRule="auto"/>
        <w:rPr>
          <w:rFonts w:ascii="Calibri" w:eastAsia="Calibri" w:hAnsi="Calibri" w:cs="Calibri"/>
          <w:b/>
          <w:bCs/>
          <w:kern w:val="0"/>
          <w14:ligatures w14:val="none"/>
        </w:rPr>
      </w:pPr>
    </w:p>
    <w:p w14:paraId="124BA234" w14:textId="77777777" w:rsidR="001D2810" w:rsidRPr="001D2810" w:rsidRDefault="001D2810" w:rsidP="001D2810">
      <w:pPr>
        <w:spacing w:line="240" w:lineRule="auto"/>
        <w:rPr>
          <w:rFonts w:ascii="Calibri" w:eastAsia="Calibri" w:hAnsi="Calibri" w:cs="Calibri"/>
          <w:b/>
          <w:bCs/>
          <w:kern w:val="0"/>
          <w14:ligatures w14:val="none"/>
        </w:rPr>
      </w:pPr>
    </w:p>
    <w:p w14:paraId="2C285324" w14:textId="77777777" w:rsidR="007E38BB" w:rsidRDefault="007E38BB"/>
    <w:sectPr w:rsidR="007E38BB" w:rsidSect="001D2810">
      <w:pgSz w:w="12240" w:h="15840"/>
      <w:pgMar w:top="720" w:right="720" w:bottom="720" w:left="72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10"/>
    <w:rsid w:val="00001642"/>
    <w:rsid w:val="00006BA0"/>
    <w:rsid w:val="0015552E"/>
    <w:rsid w:val="001D2810"/>
    <w:rsid w:val="002024D2"/>
    <w:rsid w:val="00361119"/>
    <w:rsid w:val="004C32CC"/>
    <w:rsid w:val="005E747E"/>
    <w:rsid w:val="005F1A8C"/>
    <w:rsid w:val="007231CA"/>
    <w:rsid w:val="00724032"/>
    <w:rsid w:val="00745E68"/>
    <w:rsid w:val="007850AF"/>
    <w:rsid w:val="007E38BB"/>
    <w:rsid w:val="00843B1B"/>
    <w:rsid w:val="008A376B"/>
    <w:rsid w:val="009704AE"/>
    <w:rsid w:val="009B575C"/>
    <w:rsid w:val="00B30101"/>
    <w:rsid w:val="00C26E05"/>
    <w:rsid w:val="00D57B27"/>
    <w:rsid w:val="00D91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12668"/>
  <w15:chartTrackingRefBased/>
  <w15:docId w15:val="{FD32BA61-55BB-4C8D-8D64-4F29C245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810"/>
    <w:rPr>
      <w:rFonts w:eastAsiaTheme="majorEastAsia" w:cstheme="majorBidi"/>
      <w:color w:val="272727" w:themeColor="text1" w:themeTint="D8"/>
    </w:rPr>
  </w:style>
  <w:style w:type="paragraph" w:styleId="Title">
    <w:name w:val="Title"/>
    <w:basedOn w:val="Normal"/>
    <w:next w:val="Normal"/>
    <w:link w:val="TitleChar"/>
    <w:uiPriority w:val="10"/>
    <w:qFormat/>
    <w:rsid w:val="001D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810"/>
    <w:pPr>
      <w:spacing w:before="160"/>
      <w:jc w:val="center"/>
    </w:pPr>
    <w:rPr>
      <w:i/>
      <w:iCs/>
      <w:color w:val="404040" w:themeColor="text1" w:themeTint="BF"/>
    </w:rPr>
  </w:style>
  <w:style w:type="character" w:customStyle="1" w:styleId="QuoteChar">
    <w:name w:val="Quote Char"/>
    <w:basedOn w:val="DefaultParagraphFont"/>
    <w:link w:val="Quote"/>
    <w:uiPriority w:val="29"/>
    <w:rsid w:val="001D2810"/>
    <w:rPr>
      <w:i/>
      <w:iCs/>
      <w:color w:val="404040" w:themeColor="text1" w:themeTint="BF"/>
    </w:rPr>
  </w:style>
  <w:style w:type="paragraph" w:styleId="ListParagraph">
    <w:name w:val="List Paragraph"/>
    <w:basedOn w:val="Normal"/>
    <w:uiPriority w:val="34"/>
    <w:qFormat/>
    <w:rsid w:val="001D2810"/>
    <w:pPr>
      <w:ind w:left="720"/>
      <w:contextualSpacing/>
    </w:pPr>
  </w:style>
  <w:style w:type="character" w:styleId="IntenseEmphasis">
    <w:name w:val="Intense Emphasis"/>
    <w:basedOn w:val="DefaultParagraphFont"/>
    <w:uiPriority w:val="21"/>
    <w:qFormat/>
    <w:rsid w:val="001D2810"/>
    <w:rPr>
      <w:i/>
      <w:iCs/>
      <w:color w:val="0F4761" w:themeColor="accent1" w:themeShade="BF"/>
    </w:rPr>
  </w:style>
  <w:style w:type="paragraph" w:styleId="IntenseQuote">
    <w:name w:val="Intense Quote"/>
    <w:basedOn w:val="Normal"/>
    <w:next w:val="Normal"/>
    <w:link w:val="IntenseQuoteChar"/>
    <w:uiPriority w:val="30"/>
    <w:qFormat/>
    <w:rsid w:val="001D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810"/>
    <w:rPr>
      <w:i/>
      <w:iCs/>
      <w:color w:val="0F4761" w:themeColor="accent1" w:themeShade="BF"/>
    </w:rPr>
  </w:style>
  <w:style w:type="character" w:styleId="IntenseReference">
    <w:name w:val="Intense Reference"/>
    <w:basedOn w:val="DefaultParagraphFont"/>
    <w:uiPriority w:val="32"/>
    <w:qFormat/>
    <w:rsid w:val="001D2810"/>
    <w:rPr>
      <w:b/>
      <w:bCs/>
      <w:smallCaps/>
      <w:color w:val="0F4761" w:themeColor="accent1" w:themeShade="BF"/>
      <w:spacing w:val="5"/>
    </w:rPr>
  </w:style>
  <w:style w:type="paragraph" w:styleId="NoSpacing">
    <w:name w:val="No Spacing"/>
    <w:uiPriority w:val="1"/>
    <w:qFormat/>
    <w:rsid w:val="001D2810"/>
    <w:pPr>
      <w:spacing w:after="0" w:line="240" w:lineRule="auto"/>
    </w:pPr>
  </w:style>
  <w:style w:type="table" w:customStyle="1" w:styleId="PlainTable22">
    <w:name w:val="Plain Table 22"/>
    <w:basedOn w:val="TableNormal"/>
    <w:next w:val="PlainTable2"/>
    <w:uiPriority w:val="42"/>
    <w:rsid w:val="001D2810"/>
    <w:pPr>
      <w:spacing w:after="0" w:line="240" w:lineRule="auto"/>
    </w:pPr>
    <w:rPr>
      <w:rFonts w:ascii="Aptos" w:eastAsia="Aptos" w:hAnsi="Aptos"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D28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B30101"/>
    <w:rPr>
      <w:color w:val="467886" w:themeColor="hyperlink"/>
      <w:u w:val="single"/>
    </w:rPr>
  </w:style>
  <w:style w:type="character" w:styleId="UnresolvedMention">
    <w:name w:val="Unresolved Mention"/>
    <w:basedOn w:val="DefaultParagraphFont"/>
    <w:uiPriority w:val="99"/>
    <w:semiHidden/>
    <w:unhideWhenUsed/>
    <w:rsid w:val="00B3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com/" TargetMode="External"/><Relationship Id="rId13" Type="http://schemas.openxmlformats.org/officeDocument/2006/relationships/hyperlink" Target="https://resdac.org/" TargetMode="External"/><Relationship Id="rId18" Type="http://schemas.openxmlformats.org/officeDocument/2006/relationships/hyperlink" Target="https://ochin.org/" TargetMode="External"/><Relationship Id="rId26" Type="http://schemas.openxmlformats.org/officeDocument/2006/relationships/hyperlink" Target="https://www.cms.gov/data-research" TargetMode="External"/><Relationship Id="rId3" Type="http://schemas.openxmlformats.org/officeDocument/2006/relationships/webSettings" Target="webSettings.xml"/><Relationship Id="rId21" Type="http://schemas.openxmlformats.org/officeDocument/2006/relationships/hyperlink" Target="https://www.commonfund.nih.gov/bridge2ai" TargetMode="External"/><Relationship Id="rId7" Type="http://schemas.openxmlformats.org/officeDocument/2006/relationships/hyperlink" Target="https://nielseniq.com/" TargetMode="External"/><Relationship Id="rId12" Type="http://schemas.openxmlformats.org/officeDocument/2006/relationships/hyperlink" Target="https://www.nyu.edu/life/information-technology/research-computing-services/research-data-and-tools/high-speed-research-network-hsrn.html" TargetMode="External"/><Relationship Id="rId17" Type="http://schemas.openxmlformats.org/officeDocument/2006/relationships/hyperlink" Target="https://dartnet.info/ResearchAndData.htm" TargetMode="External"/><Relationship Id="rId25" Type="http://schemas.openxmlformats.org/officeDocument/2006/relationships/hyperlink" Target="https://www.ahrq.gov/data/meps.html" TargetMode="External"/><Relationship Id="rId2" Type="http://schemas.openxmlformats.org/officeDocument/2006/relationships/settings" Target="settings.xml"/><Relationship Id="rId16" Type="http://schemas.openxmlformats.org/officeDocument/2006/relationships/hyperlink" Target="https://www.childrenshospitals.org/content/analytics/product-program/pediatric-health-information-system" TargetMode="External"/><Relationship Id="rId20" Type="http://schemas.openxmlformats.org/officeDocument/2006/relationships/hyperlink" Target="https://www.ohdsi.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ircana.com/" TargetMode="External"/><Relationship Id="rId11" Type="http://schemas.openxmlformats.org/officeDocument/2006/relationships/hyperlink" Target="https://loyolauniversitychicago-my.sharepoint.com/personal/namora_luc_edu/Documents/ENACT/Customer%20Discovery/Publication%20Draft/Last/athenahealth.com" TargetMode="External"/><Relationship Id="rId24" Type="http://schemas.openxmlformats.org/officeDocument/2006/relationships/hyperlink" Target="https://www.iqvia.com/" TargetMode="External"/><Relationship Id="rId5" Type="http://schemas.openxmlformats.org/officeDocument/2006/relationships/hyperlink" Target="https://www.ipsos.com/en/healthcare-evidence-value-and-access" TargetMode="External"/><Relationship Id="rId15" Type="http://schemas.openxmlformats.org/officeDocument/2006/relationships/hyperlink" Target="https://pophealth.ucsf.edu/ibm-marketscan-research-databases-access" TargetMode="External"/><Relationship Id="rId23" Type="http://schemas.openxmlformats.org/officeDocument/2006/relationships/hyperlink" Target="https://evidation.com/" TargetMode="External"/><Relationship Id="rId28" Type="http://schemas.openxmlformats.org/officeDocument/2006/relationships/hyperlink" Target="https://www.ahrq.gov/data/apcd/index.html" TargetMode="External"/><Relationship Id="rId10" Type="http://schemas.openxmlformats.org/officeDocument/2006/relationships/hyperlink" Target="https://www.oracle.com/health/cloud/" TargetMode="External"/><Relationship Id="rId19" Type="http://schemas.openxmlformats.org/officeDocument/2006/relationships/hyperlink" Target="https://www.datavant.com/" TargetMode="External"/><Relationship Id="rId4" Type="http://schemas.openxmlformats.org/officeDocument/2006/relationships/image" Target="media/image1.png"/><Relationship Id="rId9" Type="http://schemas.openxmlformats.org/officeDocument/2006/relationships/hyperlink" Target="https://www.ibm.com/case-studies/smartanalyst-oncology/?mhsrc=ibmsearch_a&amp;mhq=Explorys" TargetMode="External"/><Relationship Id="rId14" Type="http://schemas.openxmlformats.org/officeDocument/2006/relationships/hyperlink" Target="https://loyolauniversitychicago-my.sharepoint.com/personal/namora_luc_edu/Documents/ENACT/Customer%20Discovery/Publication%20Draft/Last/ncqa.org" TargetMode="External"/><Relationship Id="rId22" Type="http://schemas.openxmlformats.org/officeDocument/2006/relationships/hyperlink" Target="https://trinetx.com/" TargetMode="External"/><Relationship Id="rId27" Type="http://schemas.openxmlformats.org/officeDocument/2006/relationships/hyperlink" Target="https://www.ahrq.gov/data/hcup/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Nallely</dc:creator>
  <cp:keywords/>
  <dc:description/>
  <cp:lastModifiedBy>Tracy Candelaria</cp:lastModifiedBy>
  <cp:revision>2</cp:revision>
  <dcterms:created xsi:type="dcterms:W3CDTF">2024-08-29T03:03:00Z</dcterms:created>
  <dcterms:modified xsi:type="dcterms:W3CDTF">2024-08-29T03:03:00Z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6bd2ca77-0310-4054-9eee-b6ee54c0b5c1</vt:lpwstr>
  </property>
</Properties>
</file>