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9E7A" w14:textId="37FC2F00" w:rsidR="007A6E07" w:rsidRPr="007A6E07" w:rsidRDefault="007A6E07">
      <w:pPr>
        <w:rPr>
          <w:b/>
          <w:bCs/>
          <w:i/>
          <w:iCs/>
        </w:rPr>
      </w:pPr>
      <w:r w:rsidRPr="007A6E07">
        <w:rPr>
          <w:b/>
          <w:bCs/>
          <w:i/>
          <w:iCs/>
        </w:rPr>
        <w:t>Supplemental Methods</w:t>
      </w:r>
    </w:p>
    <w:p w14:paraId="26ED3218" w14:textId="37D7D84C" w:rsidR="003B3E29" w:rsidRPr="003B3E29" w:rsidRDefault="003B3E29">
      <w:pPr>
        <w:rPr>
          <w:u w:val="single"/>
        </w:rPr>
      </w:pPr>
      <w:r w:rsidRPr="003B3E29">
        <w:rPr>
          <w:u w:val="single"/>
        </w:rPr>
        <w:t>New Jersey Kids Study (NJKS) Working Groups (WGs)</w:t>
      </w:r>
      <w:r>
        <w:rPr>
          <w:u w:val="single"/>
        </w:rPr>
        <w:t>:</w:t>
      </w:r>
      <w:r w:rsidRPr="003B3E29">
        <w:rPr>
          <w:u w:val="single"/>
        </w:rPr>
        <w:t xml:space="preserve"> </w:t>
      </w:r>
    </w:p>
    <w:p w14:paraId="0CC75A03" w14:textId="1DBD890F" w:rsidR="007A6E07" w:rsidRDefault="003B3E29">
      <w:r>
        <w:t xml:space="preserve">NJKS </w:t>
      </w:r>
      <w:r w:rsidR="007A6E07" w:rsidRPr="007A6E07">
        <w:t xml:space="preserve">WGs were organized around multiple themes: Obstetrics; Pediatrics; Asthma and Immunological Health; Neurodevelopment; Nutrition, Growth, and Metabolism; Oral Health; Environmental Exposures; Physical Activity, Sleep, and Positive Health; Social Determinants of Health; and Genetics. Prior to convening the WGs, WG co-leaders met with NJKS executive leaders and staff to review NJKS goals and expectations for WGs and co-leaders. Across the 8-month period, the NJKS executive leaders held multiple virtual town halls to engage with WG members. </w:t>
      </w:r>
    </w:p>
    <w:p w14:paraId="030FE687" w14:textId="77777777" w:rsidR="003B3E29" w:rsidRDefault="003B3E29"/>
    <w:p w14:paraId="6E5D3536" w14:textId="53E09DD1" w:rsidR="003B3E29" w:rsidRPr="003B3E29" w:rsidRDefault="003B3E29" w:rsidP="003B3E29">
      <w:pPr>
        <w:rPr>
          <w:u w:val="single"/>
        </w:rPr>
      </w:pPr>
      <w:r w:rsidRPr="003B3E29">
        <w:rPr>
          <w:u w:val="single"/>
        </w:rPr>
        <w:t>Participant Questionnaire</w:t>
      </w:r>
      <w:r>
        <w:rPr>
          <w:u w:val="single"/>
        </w:rPr>
        <w:t>:</w:t>
      </w:r>
      <w:r w:rsidRPr="003B3E29">
        <w:rPr>
          <w:u w:val="single"/>
        </w:rPr>
        <w:t xml:space="preserve"> </w:t>
      </w:r>
    </w:p>
    <w:p w14:paraId="1889826C" w14:textId="0B3FBD06" w:rsidR="003B3E29" w:rsidRDefault="003B3E29" w:rsidP="003B3E29">
      <w:proofErr w:type="spellStart"/>
      <w:r w:rsidRPr="003B3E29">
        <w:t>TeamSTEPPS</w:t>
      </w:r>
      <w:proofErr w:type="spellEnd"/>
      <w:r w:rsidRPr="003B3E29">
        <w:t xml:space="preserve"> is an evidence-based set of teamwork tools, aimed at optimizing patient outcomes by improving communication and teamwork skills among healthcare teams, including patients and family caregivers.</w:t>
      </w:r>
      <w:r w:rsidRPr="003B3E29">
        <w:fldChar w:fldCharType="begin"/>
      </w:r>
      <w:r w:rsidRPr="003B3E29">
        <w:instrText xml:space="preserve"> ADDIN EN.CITE &lt;EndNote&gt;&lt;Cite&gt;&lt;Author&gt;Quality&lt;/Author&gt;&lt;RecNum&gt;23&lt;/RecNum&gt;&lt;DisplayText&gt;&lt;style face="superscript"&gt;7&lt;/style&gt;&lt;/DisplayText&gt;&lt;record&gt;&lt;rec-number&gt;23&lt;/rec-number&gt;&lt;foreign-keys&gt;&lt;key app="EN" db-id="0szrr9d0owzre7eesetva2v1pet9fxrerzwr" timestamp="1705574851"&gt;23&lt;/key&gt;&lt;/foreign-keys&gt;&lt;ref-type name="Web Page"&gt;12&lt;/ref-type&gt;&lt;contributors&gt;&lt;authors&gt;&lt;author&gt;Agency for Healthcare Research and Quality&lt;/author&gt;&lt;/authors&gt;&lt;/contributors&gt;&lt;titles&gt;&lt;title&gt;TeamSTEPPS Team Strategies &amp;amp; Tools to Enhance Performance &amp;amp; Patient Safety&lt;/title&gt;&lt;/titles&gt;&lt;volume&gt;2011&lt;/volume&gt;&lt;number&gt;February 3rd&lt;/number&gt;&lt;dates&gt;&lt;/dates&gt;&lt;pub-location&gt;Rockville, MD&lt;/pub-location&gt;&lt;publisher&gt;Agency for Healthcare Research and Quality&lt;/publisher&gt;&lt;urls&gt;&lt;related-urls&gt;&lt;url&gt;http://teamstepps.ahrq.gov/&lt;/url&gt;&lt;/related-urls&gt;&lt;/urls&gt;&lt;/record&gt;&lt;/Cite&gt;&lt;/EndNote&gt;</w:instrText>
      </w:r>
      <w:r w:rsidRPr="003B3E29">
        <w:fldChar w:fldCharType="separate"/>
      </w:r>
      <w:r w:rsidRPr="003B3E29">
        <w:rPr>
          <w:vertAlign w:val="superscript"/>
        </w:rPr>
        <w:t>7</w:t>
      </w:r>
      <w:r w:rsidRPr="003B3E29">
        <w:fldChar w:fldCharType="end"/>
      </w:r>
      <w:r w:rsidRPr="003B3E29">
        <w:t xml:space="preserve"> Developed by the Department of Defense and the Agency for Healthcare Research and Quality to improve the quality, safety, and efficiency of health care, the </w:t>
      </w:r>
      <w:proofErr w:type="spellStart"/>
      <w:r w:rsidRPr="003B3E29">
        <w:t>TeamSTEPPS</w:t>
      </w:r>
      <w:proofErr w:type="spellEnd"/>
      <w:r w:rsidRPr="003B3E29">
        <w:t xml:space="preserve"> program includes both a formal training curriculum and several assessment tools, including the </w:t>
      </w:r>
      <w:r w:rsidR="00D016F7">
        <w:t>Team Assessment Questionnaire (</w:t>
      </w:r>
      <w:r w:rsidRPr="003B3E29">
        <w:t>TAQ</w:t>
      </w:r>
      <w:r w:rsidR="00D016F7">
        <w:t>)</w:t>
      </w:r>
      <w:r w:rsidRPr="003B3E29">
        <w:t xml:space="preserve"> self-report.</w:t>
      </w:r>
    </w:p>
    <w:p w14:paraId="4AC350FA" w14:textId="77777777" w:rsidR="00D016F7" w:rsidRDefault="00D016F7" w:rsidP="003B3E29"/>
    <w:p w14:paraId="26094239" w14:textId="50D25929" w:rsidR="00D016F7" w:rsidRPr="00D016F7" w:rsidRDefault="00D016F7" w:rsidP="00D016F7">
      <w:pPr>
        <w:rPr>
          <w:u w:val="single"/>
        </w:rPr>
      </w:pPr>
      <w:r w:rsidRPr="00D016F7">
        <w:rPr>
          <w:u w:val="single"/>
        </w:rPr>
        <w:t>WG Final Reports and Evaluat</w:t>
      </w:r>
      <w:r w:rsidR="00DE096A">
        <w:rPr>
          <w:u w:val="single"/>
        </w:rPr>
        <w:t>ors</w:t>
      </w:r>
      <w:r w:rsidR="00461AEA" w:rsidRPr="00461AEA">
        <w:rPr>
          <w:u w:val="single"/>
        </w:rPr>
        <w:t>:</w:t>
      </w:r>
    </w:p>
    <w:p w14:paraId="40F6CB49" w14:textId="2B6DB2F1" w:rsidR="00774107" w:rsidRDefault="00D016F7" w:rsidP="00D016F7">
      <w:r w:rsidRPr="00D016F7">
        <w:t>The WG final report template was divided into multiple sections, including an executive summary; summary of organizational and work processes; summary of meetings; key recommended scientific questions; recommendations of questionnaires, assessments, and specimens; and logistical and ethical considerations.</w:t>
      </w:r>
      <w:r w:rsidR="00461AEA" w:rsidRPr="00461AEA">
        <w:rPr>
          <w:rFonts w:ascii="Times New Roman" w:eastAsiaTheme="minorBidi" w:hAnsi="Times New Roman" w:cs="Times New Roman"/>
          <w:sz w:val="24"/>
          <w:szCs w:val="24"/>
        </w:rPr>
        <w:t xml:space="preserve"> </w:t>
      </w:r>
      <w:r w:rsidR="00461AEA" w:rsidRPr="00461AEA">
        <w:t>Trainees</w:t>
      </w:r>
      <w:r w:rsidR="00461AEA">
        <w:t xml:space="preserve"> evaluating the final WG reports</w:t>
      </w:r>
      <w:r w:rsidR="00461AEA" w:rsidRPr="00461AEA">
        <w:t xml:space="preserve"> represented a variety of disciplines (e.g., anthropology, child health, environmental health, nutrition, psychology) and were selected from a pool of candidates based on prior experiences with mixed methods research, program development, teaching, and/or other relevant areas, as well as their expressed interest in the project. All were compensated for their time.</w:t>
      </w:r>
    </w:p>
    <w:p w14:paraId="464CD0D0" w14:textId="2C15F423" w:rsidR="00774107" w:rsidRDefault="0ECDBEFE" w:rsidP="00D016F7">
      <w:r>
        <w:t xml:space="preserve">Prior to completing any working group evaluation, each rater completed a mandatory orientation and training on the Rutgers Canvas Learning Management System. This 1-hour asynchronous online training consisted of an overview video that described the mission and vision of the New Jersey Kids Study as well as the role and tasks of the 10 working groups. The video also provided explicit instructions on how to conduct ratings for each working group </w:t>
      </w:r>
      <w:proofErr w:type="gramStart"/>
      <w:r>
        <w:t>through the use of</w:t>
      </w:r>
      <w:proofErr w:type="gramEnd"/>
      <w:r>
        <w:t xml:space="preserve"> a detailed evaluation rubric with an online submission link for the final ratings. The video and supplementary materials highlighted the importance of conducting independent evaluations where scores or impressions of the reports were not shared with other raters. Raters also completed a supplementary learning module on Canvas that included the NJKS External Reviewer How-To Guide, background information on the NJKS white paper, and a review of the NJKS white paper.</w:t>
      </w:r>
    </w:p>
    <w:p w14:paraId="0487E48A" w14:textId="77777777" w:rsidR="007A6E07" w:rsidRDefault="007A6E07"/>
    <w:p w14:paraId="668B6C0B" w14:textId="77777777" w:rsidR="007A6E07" w:rsidRDefault="007A6E07"/>
    <w:p w14:paraId="3FBE5640" w14:textId="77777777" w:rsidR="007A6E07" w:rsidRPr="007A6E07" w:rsidRDefault="007A6E07"/>
    <w:p w14:paraId="1E3D8A09" w14:textId="77777777" w:rsidR="007A6E07" w:rsidRDefault="007A6E07">
      <w:pPr>
        <w:rPr>
          <w:b/>
          <w:bCs/>
          <w:i/>
          <w:iCs/>
        </w:rPr>
        <w:sectPr w:rsidR="007A6E07" w:rsidSect="00327DAA">
          <w:pgSz w:w="12240" w:h="15840"/>
          <w:pgMar w:top="1080" w:right="1080" w:bottom="1080" w:left="1080" w:header="720" w:footer="720" w:gutter="0"/>
          <w:cols w:space="720"/>
          <w:docGrid w:linePitch="360"/>
        </w:sectPr>
      </w:pPr>
    </w:p>
    <w:p w14:paraId="3E3E2166" w14:textId="16AC0417" w:rsidR="00B93D5D" w:rsidRDefault="008B156C">
      <w:r w:rsidRPr="008B0FA9">
        <w:rPr>
          <w:b/>
          <w:bCs/>
          <w:i/>
          <w:iCs/>
        </w:rPr>
        <w:lastRenderedPageBreak/>
        <w:t xml:space="preserve">Supplementary </w:t>
      </w:r>
      <w:r w:rsidR="00B93D5D" w:rsidRPr="008B0FA9">
        <w:rPr>
          <w:b/>
          <w:bCs/>
          <w:i/>
          <w:iCs/>
        </w:rPr>
        <w:t>Table 1</w:t>
      </w:r>
      <w:r w:rsidR="00B93D5D">
        <w:t xml:space="preserve">. </w:t>
      </w:r>
      <w:proofErr w:type="spellStart"/>
      <w:r w:rsidR="00B93D5D">
        <w:t>Correlations</w:t>
      </w:r>
      <w:r w:rsidR="007902C1" w:rsidRPr="007902C1">
        <w:rPr>
          <w:vertAlign w:val="superscript"/>
        </w:rPr>
        <w:t>a</w:t>
      </w:r>
      <w:proofErr w:type="spellEnd"/>
      <w:r w:rsidR="00B93D5D">
        <w:t xml:space="preserve"> between different domains of the modified </w:t>
      </w:r>
      <w:proofErr w:type="spellStart"/>
      <w:r w:rsidR="00B93D5D">
        <w:t>TeamSTEPPS</w:t>
      </w:r>
      <w:proofErr w:type="spellEnd"/>
      <w:r w:rsidR="00B93D5D">
        <w:t xml:space="preserve"> </w:t>
      </w:r>
      <w:r w:rsidR="00B93D5D" w:rsidRPr="00D06C08">
        <w:t>Team Assessment Questionnaire</w:t>
      </w:r>
    </w:p>
    <w:tbl>
      <w:tblPr>
        <w:tblW w:w="5000" w:type="pct"/>
        <w:tblLayout w:type="fixed"/>
        <w:tblLook w:val="04A0" w:firstRow="1" w:lastRow="0" w:firstColumn="1" w:lastColumn="0" w:noHBand="0" w:noVBand="1"/>
      </w:tblPr>
      <w:tblGrid>
        <w:gridCol w:w="446"/>
        <w:gridCol w:w="1444"/>
        <w:gridCol w:w="1351"/>
        <w:gridCol w:w="1439"/>
        <w:gridCol w:w="1529"/>
        <w:gridCol w:w="1083"/>
        <w:gridCol w:w="1258"/>
        <w:gridCol w:w="1080"/>
        <w:gridCol w:w="1261"/>
        <w:gridCol w:w="1403"/>
        <w:gridCol w:w="1381"/>
      </w:tblGrid>
      <w:tr w:rsidR="00B93D5D" w:rsidRPr="00D86312" w14:paraId="0EA1BCB4" w14:textId="77777777" w:rsidTr="00BB5536">
        <w:trPr>
          <w:trHeight w:val="300"/>
        </w:trPr>
        <w:tc>
          <w:tcPr>
            <w:tcW w:w="163" w:type="pct"/>
          </w:tcPr>
          <w:p w14:paraId="70941494" w14:textId="77777777" w:rsidR="00B93D5D" w:rsidRPr="00D86312" w:rsidRDefault="00B93D5D" w:rsidP="00BB5536">
            <w:pPr>
              <w:spacing w:after="0" w:line="240" w:lineRule="auto"/>
              <w:rPr>
                <w:rFonts w:ascii="Calibri" w:eastAsia="Times New Roman" w:hAnsi="Calibri" w:cs="Calibri"/>
                <w:color w:val="000000"/>
              </w:rPr>
            </w:pPr>
          </w:p>
        </w:tc>
        <w:tc>
          <w:tcPr>
            <w:tcW w:w="528" w:type="pct"/>
            <w:tcBorders>
              <w:right w:val="single" w:sz="4" w:space="0" w:color="auto"/>
            </w:tcBorders>
            <w:shd w:val="clear" w:color="auto" w:fill="auto"/>
            <w:noWrap/>
            <w:vAlign w:val="bottom"/>
          </w:tcPr>
          <w:p w14:paraId="7BE65963" w14:textId="77777777" w:rsidR="00B93D5D" w:rsidRPr="00D86312" w:rsidRDefault="00B93D5D" w:rsidP="00BB5536">
            <w:pPr>
              <w:spacing w:after="0" w:line="240" w:lineRule="auto"/>
              <w:rPr>
                <w:rFonts w:ascii="Calibri" w:eastAsia="Times New Roman" w:hAnsi="Calibri" w:cs="Calibri"/>
                <w:color w:val="000000"/>
              </w:rPr>
            </w:pPr>
          </w:p>
        </w:tc>
        <w:tc>
          <w:tcPr>
            <w:tcW w:w="3804"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F003342" w14:textId="77777777" w:rsidR="00B93D5D" w:rsidRPr="007902C1" w:rsidRDefault="00B93D5D" w:rsidP="00BB5536">
            <w:pPr>
              <w:spacing w:after="0" w:line="240" w:lineRule="auto"/>
              <w:jc w:val="center"/>
              <w:rPr>
                <w:rFonts w:ascii="Calibri" w:eastAsia="Times New Roman" w:hAnsi="Calibri" w:cs="Calibri"/>
                <w:b/>
                <w:bCs/>
                <w:color w:val="000000"/>
              </w:rPr>
            </w:pPr>
            <w:r w:rsidRPr="007902C1">
              <w:rPr>
                <w:rFonts w:ascii="Calibri" w:eastAsia="Times New Roman" w:hAnsi="Calibri" w:cs="Calibri"/>
                <w:b/>
                <w:bCs/>
                <w:color w:val="000000"/>
              </w:rPr>
              <w:t>TAQ Score Domains</w:t>
            </w:r>
          </w:p>
        </w:tc>
        <w:tc>
          <w:tcPr>
            <w:tcW w:w="505" w:type="pct"/>
            <w:vMerge w:val="restart"/>
            <w:tcBorders>
              <w:top w:val="single" w:sz="4" w:space="0" w:color="auto"/>
              <w:left w:val="nil"/>
              <w:right w:val="single" w:sz="4" w:space="0" w:color="auto"/>
            </w:tcBorders>
            <w:shd w:val="clear" w:color="auto" w:fill="auto"/>
            <w:noWrap/>
            <w:vAlign w:val="center"/>
          </w:tcPr>
          <w:p w14:paraId="55BB5466" w14:textId="77777777" w:rsidR="00B93D5D" w:rsidRPr="007902C1" w:rsidRDefault="00B93D5D" w:rsidP="00BB5536">
            <w:pPr>
              <w:spacing w:after="0" w:line="240" w:lineRule="auto"/>
              <w:jc w:val="center"/>
              <w:rPr>
                <w:rFonts w:ascii="Calibri" w:eastAsia="Times New Roman" w:hAnsi="Calibri" w:cs="Calibri"/>
                <w:b/>
                <w:bCs/>
                <w:color w:val="000000"/>
              </w:rPr>
            </w:pPr>
            <w:r w:rsidRPr="007902C1">
              <w:rPr>
                <w:rFonts w:ascii="Calibri" w:eastAsia="Times New Roman" w:hAnsi="Calibri" w:cs="Calibri"/>
                <w:b/>
                <w:bCs/>
                <w:color w:val="000000"/>
              </w:rPr>
              <w:t>TAQ Total Score</w:t>
            </w:r>
          </w:p>
        </w:tc>
      </w:tr>
      <w:tr w:rsidR="00B93D5D" w:rsidRPr="00D86312" w14:paraId="0B7C3510" w14:textId="77777777" w:rsidTr="00BB5536">
        <w:trPr>
          <w:trHeight w:val="300"/>
        </w:trPr>
        <w:tc>
          <w:tcPr>
            <w:tcW w:w="163" w:type="pct"/>
            <w:tcBorders>
              <w:bottom w:val="single" w:sz="4" w:space="0" w:color="auto"/>
            </w:tcBorders>
          </w:tcPr>
          <w:p w14:paraId="6DD0EB3A" w14:textId="77777777" w:rsidR="00B93D5D" w:rsidRPr="00D86312" w:rsidRDefault="00B93D5D" w:rsidP="00BB5536">
            <w:pPr>
              <w:spacing w:after="0" w:line="240" w:lineRule="auto"/>
              <w:rPr>
                <w:rFonts w:ascii="Calibri" w:eastAsia="Times New Roman" w:hAnsi="Calibri" w:cs="Calibri"/>
                <w:color w:val="000000"/>
              </w:rPr>
            </w:pPr>
          </w:p>
        </w:tc>
        <w:tc>
          <w:tcPr>
            <w:tcW w:w="528" w:type="pct"/>
            <w:tcBorders>
              <w:bottom w:val="single" w:sz="4" w:space="0" w:color="auto"/>
              <w:right w:val="single" w:sz="4" w:space="0" w:color="auto"/>
            </w:tcBorders>
            <w:shd w:val="clear" w:color="auto" w:fill="auto"/>
            <w:noWrap/>
            <w:vAlign w:val="bottom"/>
            <w:hideMark/>
          </w:tcPr>
          <w:p w14:paraId="02DD05DD" w14:textId="77777777" w:rsidR="00B93D5D" w:rsidRPr="00D86312" w:rsidRDefault="00B93D5D" w:rsidP="00BB5536">
            <w:pPr>
              <w:spacing w:after="0" w:line="240" w:lineRule="auto"/>
              <w:rPr>
                <w:rFonts w:ascii="Calibri" w:eastAsia="Times New Roman" w:hAnsi="Calibri" w:cs="Calibri"/>
                <w:color w:val="000000"/>
              </w:rPr>
            </w:pPr>
            <w:r w:rsidRPr="00D86312">
              <w:rPr>
                <w:rFonts w:ascii="Calibri" w:eastAsia="Times New Roman" w:hAnsi="Calibri" w:cs="Calibri"/>
                <w:color w:val="000000"/>
              </w:rPr>
              <w:t> </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9113"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r w:rsidRPr="00D86312">
              <w:rPr>
                <w:rFonts w:ascii="Calibri" w:eastAsia="Times New Roman" w:hAnsi="Calibri" w:cs="Calibri"/>
                <w:color w:val="000000"/>
              </w:rPr>
              <w:t>foundation</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14:paraId="6C688308"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r w:rsidRPr="00D86312">
              <w:rPr>
                <w:rFonts w:ascii="Calibri" w:eastAsia="Times New Roman" w:hAnsi="Calibri" w:cs="Calibri"/>
                <w:color w:val="000000"/>
              </w:rPr>
              <w:t>functioning</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0077C7DD"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r w:rsidRPr="00D86312">
              <w:rPr>
                <w:rFonts w:ascii="Calibri" w:eastAsia="Times New Roman" w:hAnsi="Calibri" w:cs="Calibri"/>
                <w:color w:val="000000"/>
              </w:rPr>
              <w:t>performance</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0E3B29CD"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r w:rsidRPr="00D86312">
              <w:rPr>
                <w:rFonts w:ascii="Calibri" w:eastAsia="Times New Roman" w:hAnsi="Calibri" w:cs="Calibri"/>
                <w:color w:val="000000"/>
              </w:rPr>
              <w:t>skills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0EBF6003"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r w:rsidRPr="00D86312">
              <w:rPr>
                <w:rFonts w:ascii="Calibri" w:eastAsia="Times New Roman" w:hAnsi="Calibri" w:cs="Calibri"/>
                <w:color w:val="000000"/>
              </w:rPr>
              <w:t>climate</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5ED31D74"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r w:rsidRPr="00D86312">
              <w:rPr>
                <w:rFonts w:ascii="Calibri" w:eastAsia="Times New Roman" w:hAnsi="Calibri" w:cs="Calibri"/>
                <w:color w:val="000000"/>
              </w:rPr>
              <w:t>identity</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41DE2D6" w14:textId="77777777" w:rsidR="00B93D5D"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WG </w:t>
            </w:r>
          </w:p>
          <w:p w14:paraId="69941F48" w14:textId="74927064"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c</w:t>
            </w:r>
            <w:r w:rsidRPr="00D86312">
              <w:rPr>
                <w:rFonts w:ascii="Calibri" w:eastAsia="Times New Roman" w:hAnsi="Calibri" w:cs="Calibri"/>
                <w:color w:val="000000"/>
              </w:rPr>
              <w:t>o</w:t>
            </w:r>
            <w:r>
              <w:rPr>
                <w:rFonts w:ascii="Calibri" w:eastAsia="Times New Roman" w:hAnsi="Calibri" w:cs="Calibri"/>
                <w:color w:val="000000"/>
              </w:rPr>
              <w:t>-</w:t>
            </w:r>
            <w:r w:rsidRPr="00D86312">
              <w:rPr>
                <w:rFonts w:ascii="Calibri" w:eastAsia="Times New Roman" w:hAnsi="Calibri" w:cs="Calibri"/>
                <w:color w:val="000000"/>
              </w:rPr>
              <w:t>lead</w:t>
            </w:r>
            <w:r w:rsidR="0065131B">
              <w:rPr>
                <w:rFonts w:ascii="Calibri" w:eastAsia="Times New Roman" w:hAnsi="Calibri" w:cs="Calibri"/>
                <w:color w:val="000000"/>
              </w:rPr>
              <w:t>er</w:t>
            </w:r>
            <w:r>
              <w:rPr>
                <w:rFonts w:ascii="Calibri" w:eastAsia="Times New Roman" w:hAnsi="Calibri" w:cs="Calibri"/>
                <w:color w:val="000000"/>
              </w:rPr>
              <w:t>s</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7280EA70"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NJKS leadership</w:t>
            </w:r>
          </w:p>
        </w:tc>
        <w:tc>
          <w:tcPr>
            <w:tcW w:w="505" w:type="pct"/>
            <w:vMerge/>
            <w:tcBorders>
              <w:left w:val="nil"/>
              <w:bottom w:val="single" w:sz="4" w:space="0" w:color="auto"/>
              <w:right w:val="single" w:sz="4" w:space="0" w:color="auto"/>
            </w:tcBorders>
            <w:shd w:val="clear" w:color="auto" w:fill="auto"/>
            <w:noWrap/>
            <w:vAlign w:val="center"/>
            <w:hideMark/>
          </w:tcPr>
          <w:p w14:paraId="56AED05C" w14:textId="77777777" w:rsidR="00B93D5D" w:rsidRPr="00D86312" w:rsidRDefault="00B93D5D" w:rsidP="00BB5536">
            <w:pPr>
              <w:spacing w:after="0" w:line="240" w:lineRule="auto"/>
              <w:jc w:val="center"/>
              <w:rPr>
                <w:rFonts w:ascii="Calibri" w:eastAsia="Times New Roman" w:hAnsi="Calibri" w:cs="Calibri"/>
                <w:color w:val="000000"/>
              </w:rPr>
            </w:pPr>
          </w:p>
        </w:tc>
      </w:tr>
      <w:tr w:rsidR="00B93D5D" w:rsidRPr="00D86312" w14:paraId="11B330CA" w14:textId="77777777" w:rsidTr="00BB5536">
        <w:trPr>
          <w:trHeight w:val="300"/>
        </w:trPr>
        <w:tc>
          <w:tcPr>
            <w:tcW w:w="16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370C5FE9" w14:textId="77777777" w:rsidR="00B93D5D" w:rsidRPr="007902C1" w:rsidRDefault="00B93D5D" w:rsidP="00BB5536">
            <w:pPr>
              <w:spacing w:after="0" w:line="240" w:lineRule="auto"/>
              <w:ind w:left="113" w:right="113"/>
              <w:jc w:val="center"/>
              <w:rPr>
                <w:rFonts w:ascii="Calibri" w:eastAsia="Times New Roman" w:hAnsi="Calibri" w:cs="Calibri"/>
                <w:b/>
                <w:bCs/>
                <w:color w:val="000000"/>
              </w:rPr>
            </w:pPr>
            <w:r w:rsidRPr="007902C1">
              <w:rPr>
                <w:rFonts w:ascii="Calibri" w:eastAsia="Times New Roman" w:hAnsi="Calibri" w:cs="Calibri"/>
                <w:b/>
                <w:bCs/>
                <w:color w:val="000000"/>
              </w:rPr>
              <w:t>TAQ Score Domains</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30DA"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r w:rsidRPr="00D86312">
              <w:rPr>
                <w:rFonts w:ascii="Calibri" w:eastAsia="Times New Roman" w:hAnsi="Calibri" w:cs="Calibri"/>
                <w:color w:val="000000"/>
              </w:rPr>
              <w:t>foundation</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14:paraId="4B0718C6"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1.000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14:paraId="6A4E4E40"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0.745</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591CE3C9"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0.786</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445B7D7F"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0.642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04EA450F"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0.729</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2A6814B6"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0.728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75EF4FCC"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0.738</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78D54276"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0.652</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2863A4BA"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0.879</w:t>
            </w:r>
          </w:p>
        </w:tc>
      </w:tr>
      <w:tr w:rsidR="00B93D5D" w:rsidRPr="00D86312" w14:paraId="1078ED31" w14:textId="77777777" w:rsidTr="007902C1">
        <w:trPr>
          <w:trHeight w:val="300"/>
        </w:trPr>
        <w:tc>
          <w:tcPr>
            <w:tcW w:w="163" w:type="pct"/>
            <w:vMerge/>
            <w:tcBorders>
              <w:top w:val="single" w:sz="4" w:space="0" w:color="auto"/>
              <w:left w:val="single" w:sz="4" w:space="0" w:color="auto"/>
              <w:bottom w:val="single" w:sz="4" w:space="0" w:color="auto"/>
              <w:right w:val="single" w:sz="4" w:space="0" w:color="auto"/>
            </w:tcBorders>
          </w:tcPr>
          <w:p w14:paraId="22637839" w14:textId="77777777" w:rsidR="00B93D5D" w:rsidRPr="00D86312" w:rsidRDefault="00B93D5D" w:rsidP="00BB5536">
            <w:pPr>
              <w:spacing w:after="0" w:line="240" w:lineRule="auto"/>
              <w:jc w:val="right"/>
              <w:rPr>
                <w:rFonts w:ascii="Calibri" w:eastAsia="Times New Roman" w:hAnsi="Calibri" w:cs="Calibri"/>
                <w:color w:val="00000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D715"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r w:rsidRPr="00D86312">
              <w:rPr>
                <w:rFonts w:ascii="Calibri" w:eastAsia="Times New Roman" w:hAnsi="Calibri" w:cs="Calibri"/>
                <w:color w:val="000000"/>
              </w:rPr>
              <w:t>functioning</w:t>
            </w:r>
          </w:p>
        </w:tc>
        <w:tc>
          <w:tcPr>
            <w:tcW w:w="494"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10D31933"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0.745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14:paraId="0D7A6178"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1.000</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AF9E4F4"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0.753</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4FD12C7F"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0.713</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26A4E565"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0.748</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1F0124B1"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0.751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9E95B58"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0.706</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5861E58E"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0.535</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3EB06755"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0.860</w:t>
            </w:r>
          </w:p>
        </w:tc>
      </w:tr>
      <w:tr w:rsidR="00B93D5D" w:rsidRPr="00D86312" w14:paraId="76E84E5F" w14:textId="77777777" w:rsidTr="007902C1">
        <w:trPr>
          <w:trHeight w:val="300"/>
        </w:trPr>
        <w:tc>
          <w:tcPr>
            <w:tcW w:w="163" w:type="pct"/>
            <w:vMerge/>
            <w:tcBorders>
              <w:top w:val="single" w:sz="4" w:space="0" w:color="auto"/>
              <w:left w:val="single" w:sz="4" w:space="0" w:color="auto"/>
              <w:bottom w:val="single" w:sz="4" w:space="0" w:color="auto"/>
              <w:right w:val="single" w:sz="4" w:space="0" w:color="auto"/>
            </w:tcBorders>
          </w:tcPr>
          <w:p w14:paraId="0A3024F4" w14:textId="77777777" w:rsidR="00B93D5D" w:rsidRPr="00D86312" w:rsidRDefault="00B93D5D" w:rsidP="00BB5536">
            <w:pPr>
              <w:spacing w:after="0" w:line="240" w:lineRule="auto"/>
              <w:jc w:val="right"/>
              <w:rPr>
                <w:rFonts w:ascii="Calibri" w:eastAsia="Times New Roman" w:hAnsi="Calibri" w:cs="Calibri"/>
                <w:color w:val="00000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684C"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r w:rsidRPr="00D86312">
              <w:rPr>
                <w:rFonts w:ascii="Calibri" w:eastAsia="Times New Roman" w:hAnsi="Calibri" w:cs="Calibri"/>
                <w:color w:val="000000"/>
              </w:rPr>
              <w:t>performance</w:t>
            </w:r>
          </w:p>
        </w:tc>
        <w:tc>
          <w:tcPr>
            <w:tcW w:w="494"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34DC2CA3"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0.786</w:t>
            </w:r>
          </w:p>
        </w:tc>
        <w:tc>
          <w:tcPr>
            <w:tcW w:w="52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7DA93AF5"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0.753</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6047CFB9"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1.000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3DF8DCD3"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0.653</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0F3C64B8"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0.722</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1AF0A70F"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0.733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D45B77A"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0.707</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169C92AC"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0.662</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0FB391AD"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0.881</w:t>
            </w:r>
          </w:p>
        </w:tc>
      </w:tr>
      <w:tr w:rsidR="00B93D5D" w:rsidRPr="00D86312" w14:paraId="08888B54" w14:textId="77777777" w:rsidTr="007902C1">
        <w:trPr>
          <w:trHeight w:val="300"/>
        </w:trPr>
        <w:tc>
          <w:tcPr>
            <w:tcW w:w="163" w:type="pct"/>
            <w:vMerge/>
            <w:tcBorders>
              <w:top w:val="single" w:sz="4" w:space="0" w:color="auto"/>
              <w:left w:val="single" w:sz="4" w:space="0" w:color="auto"/>
              <w:bottom w:val="single" w:sz="4" w:space="0" w:color="auto"/>
              <w:right w:val="single" w:sz="4" w:space="0" w:color="auto"/>
            </w:tcBorders>
          </w:tcPr>
          <w:p w14:paraId="49137903" w14:textId="77777777" w:rsidR="00B93D5D" w:rsidRPr="00D86312" w:rsidRDefault="00B93D5D" w:rsidP="00BB5536">
            <w:pPr>
              <w:spacing w:after="0" w:line="240" w:lineRule="auto"/>
              <w:jc w:val="right"/>
              <w:rPr>
                <w:rFonts w:ascii="Calibri" w:eastAsia="Times New Roman" w:hAnsi="Calibri" w:cs="Calibri"/>
                <w:color w:val="00000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65484" w14:textId="77777777" w:rsidR="00B93D5D"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p>
          <w:p w14:paraId="72B4F90F"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skills</w:t>
            </w:r>
          </w:p>
        </w:tc>
        <w:tc>
          <w:tcPr>
            <w:tcW w:w="494"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23C39BA1"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0.642</w:t>
            </w:r>
          </w:p>
        </w:tc>
        <w:tc>
          <w:tcPr>
            <w:tcW w:w="52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2236279D"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0.713</w:t>
            </w:r>
          </w:p>
        </w:tc>
        <w:tc>
          <w:tcPr>
            <w:tcW w:w="559"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129A6763"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0.653</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487D0107"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1.000</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7E9D4EFE"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0.677</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73EC643A"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0.718</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ECDEBF2"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0.644</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4CE18BE3"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0.471</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03C06FAA"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0.794</w:t>
            </w:r>
          </w:p>
        </w:tc>
      </w:tr>
      <w:tr w:rsidR="00B93D5D" w:rsidRPr="00D86312" w14:paraId="3692931B" w14:textId="77777777" w:rsidTr="007902C1">
        <w:trPr>
          <w:trHeight w:val="300"/>
        </w:trPr>
        <w:tc>
          <w:tcPr>
            <w:tcW w:w="163" w:type="pct"/>
            <w:vMerge/>
            <w:tcBorders>
              <w:top w:val="single" w:sz="4" w:space="0" w:color="auto"/>
              <w:left w:val="single" w:sz="4" w:space="0" w:color="auto"/>
              <w:bottom w:val="single" w:sz="4" w:space="0" w:color="auto"/>
              <w:right w:val="single" w:sz="4" w:space="0" w:color="auto"/>
            </w:tcBorders>
          </w:tcPr>
          <w:p w14:paraId="7955BC53" w14:textId="77777777" w:rsidR="00B93D5D" w:rsidRPr="00D86312" w:rsidRDefault="00B93D5D" w:rsidP="00BB5536">
            <w:pPr>
              <w:spacing w:after="0" w:line="240" w:lineRule="auto"/>
              <w:jc w:val="right"/>
              <w:rPr>
                <w:rFonts w:ascii="Calibri" w:eastAsia="Times New Roman" w:hAnsi="Calibri" w:cs="Calibri"/>
                <w:color w:val="00000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6BFCD" w14:textId="77777777" w:rsidR="00B93D5D"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p>
          <w:p w14:paraId="0E98FADC"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climate</w:t>
            </w:r>
          </w:p>
        </w:tc>
        <w:tc>
          <w:tcPr>
            <w:tcW w:w="494"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1DDC862B"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0.729</w:t>
            </w:r>
          </w:p>
        </w:tc>
        <w:tc>
          <w:tcPr>
            <w:tcW w:w="52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3013D499"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0.748</w:t>
            </w:r>
          </w:p>
        </w:tc>
        <w:tc>
          <w:tcPr>
            <w:tcW w:w="559"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03CFB52C"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0.722</w:t>
            </w:r>
          </w:p>
        </w:tc>
        <w:tc>
          <w:tcPr>
            <w:tcW w:w="39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52660651"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0.677</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2F0D2725"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1.000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26A3887D"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0.789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AB7F947"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0.802</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2EE2F8C7"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0.543</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546EB7EB"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0.871</w:t>
            </w:r>
          </w:p>
        </w:tc>
      </w:tr>
      <w:tr w:rsidR="00B93D5D" w:rsidRPr="00D86312" w14:paraId="4EB22325" w14:textId="77777777" w:rsidTr="007902C1">
        <w:trPr>
          <w:trHeight w:val="300"/>
        </w:trPr>
        <w:tc>
          <w:tcPr>
            <w:tcW w:w="163" w:type="pct"/>
            <w:vMerge/>
            <w:tcBorders>
              <w:top w:val="single" w:sz="4" w:space="0" w:color="auto"/>
              <w:left w:val="single" w:sz="4" w:space="0" w:color="auto"/>
              <w:bottom w:val="single" w:sz="4" w:space="0" w:color="auto"/>
              <w:right w:val="single" w:sz="4" w:space="0" w:color="auto"/>
            </w:tcBorders>
          </w:tcPr>
          <w:p w14:paraId="30223964" w14:textId="77777777" w:rsidR="00B93D5D" w:rsidRPr="00D86312" w:rsidRDefault="00B93D5D" w:rsidP="00BB5536">
            <w:pPr>
              <w:spacing w:after="0" w:line="240" w:lineRule="auto"/>
              <w:jc w:val="right"/>
              <w:rPr>
                <w:rFonts w:ascii="Calibri" w:eastAsia="Times New Roman" w:hAnsi="Calibri" w:cs="Calibri"/>
                <w:color w:val="00000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08F37" w14:textId="77777777" w:rsidR="00B93D5D"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Team </w:t>
            </w:r>
          </w:p>
          <w:p w14:paraId="2C82FB50"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identity</w:t>
            </w:r>
          </w:p>
        </w:tc>
        <w:tc>
          <w:tcPr>
            <w:tcW w:w="494"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37EFE6BB"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0.728</w:t>
            </w:r>
          </w:p>
        </w:tc>
        <w:tc>
          <w:tcPr>
            <w:tcW w:w="52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09737665"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0.751</w:t>
            </w:r>
          </w:p>
        </w:tc>
        <w:tc>
          <w:tcPr>
            <w:tcW w:w="559"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2D91A7BB"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0.733</w:t>
            </w:r>
          </w:p>
        </w:tc>
        <w:tc>
          <w:tcPr>
            <w:tcW w:w="39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47DC7CC3"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0.718</w:t>
            </w:r>
          </w:p>
        </w:tc>
        <w:tc>
          <w:tcPr>
            <w:tcW w:w="460"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70AB17C8"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0.789</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6EBC56C7"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1.000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4A5A0BB3"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0.905</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7B7FB228"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0.689</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6CE2AA74"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0.910</w:t>
            </w:r>
          </w:p>
        </w:tc>
      </w:tr>
      <w:tr w:rsidR="00B93D5D" w:rsidRPr="00D86312" w14:paraId="54A12B10" w14:textId="77777777" w:rsidTr="007902C1">
        <w:trPr>
          <w:trHeight w:val="300"/>
        </w:trPr>
        <w:tc>
          <w:tcPr>
            <w:tcW w:w="163" w:type="pct"/>
            <w:vMerge/>
            <w:tcBorders>
              <w:top w:val="single" w:sz="4" w:space="0" w:color="auto"/>
              <w:left w:val="single" w:sz="4" w:space="0" w:color="auto"/>
              <w:bottom w:val="single" w:sz="4" w:space="0" w:color="auto"/>
              <w:right w:val="single" w:sz="4" w:space="0" w:color="auto"/>
            </w:tcBorders>
          </w:tcPr>
          <w:p w14:paraId="22FB17C9" w14:textId="77777777" w:rsidR="00B93D5D" w:rsidRPr="00D86312" w:rsidRDefault="00B93D5D" w:rsidP="00BB5536">
            <w:pPr>
              <w:spacing w:after="0" w:line="240" w:lineRule="auto"/>
              <w:jc w:val="right"/>
              <w:rPr>
                <w:rFonts w:ascii="Calibri" w:eastAsia="Times New Roman" w:hAnsi="Calibri" w:cs="Calibri"/>
                <w:color w:val="00000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C4F97" w14:textId="77777777" w:rsidR="00B93D5D"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WG </w:t>
            </w:r>
          </w:p>
          <w:p w14:paraId="5A1617F7" w14:textId="076F700F" w:rsidR="00B93D5D" w:rsidRPr="00D86312" w:rsidRDefault="0065131B"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c</w:t>
            </w:r>
            <w:r w:rsidR="00B93D5D" w:rsidRPr="00D86312">
              <w:rPr>
                <w:rFonts w:ascii="Calibri" w:eastAsia="Times New Roman" w:hAnsi="Calibri" w:cs="Calibri"/>
                <w:color w:val="000000"/>
              </w:rPr>
              <w:t>o</w:t>
            </w:r>
            <w:r w:rsidR="00B93D5D">
              <w:rPr>
                <w:rFonts w:ascii="Calibri" w:eastAsia="Times New Roman" w:hAnsi="Calibri" w:cs="Calibri"/>
                <w:color w:val="000000"/>
              </w:rPr>
              <w:t>-</w:t>
            </w:r>
            <w:r w:rsidR="00B93D5D" w:rsidRPr="00D86312">
              <w:rPr>
                <w:rFonts w:ascii="Calibri" w:eastAsia="Times New Roman" w:hAnsi="Calibri" w:cs="Calibri"/>
                <w:color w:val="000000"/>
              </w:rPr>
              <w:t>lead</w:t>
            </w:r>
            <w:r>
              <w:rPr>
                <w:rFonts w:ascii="Calibri" w:eastAsia="Times New Roman" w:hAnsi="Calibri" w:cs="Calibri"/>
                <w:color w:val="000000"/>
              </w:rPr>
              <w:t>er</w:t>
            </w:r>
            <w:r w:rsidR="00B93D5D">
              <w:rPr>
                <w:rFonts w:ascii="Calibri" w:eastAsia="Times New Roman" w:hAnsi="Calibri" w:cs="Calibri"/>
                <w:color w:val="000000"/>
              </w:rPr>
              <w:t>s</w:t>
            </w:r>
          </w:p>
        </w:tc>
        <w:tc>
          <w:tcPr>
            <w:tcW w:w="494"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1CA23CD8"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0.738</w:t>
            </w:r>
          </w:p>
        </w:tc>
        <w:tc>
          <w:tcPr>
            <w:tcW w:w="52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1704E358"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0.706</w:t>
            </w:r>
          </w:p>
        </w:tc>
        <w:tc>
          <w:tcPr>
            <w:tcW w:w="559"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31925547"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0.707</w:t>
            </w:r>
          </w:p>
        </w:tc>
        <w:tc>
          <w:tcPr>
            <w:tcW w:w="39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55DE4202"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0.644</w:t>
            </w:r>
          </w:p>
        </w:tc>
        <w:tc>
          <w:tcPr>
            <w:tcW w:w="460"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4A972FED"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0.802</w:t>
            </w:r>
          </w:p>
        </w:tc>
        <w:tc>
          <w:tcPr>
            <w:tcW w:w="395"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251671D6"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0.905</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919F74E"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1.000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24316000"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0.683</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153CB2B9"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0.869</w:t>
            </w:r>
          </w:p>
        </w:tc>
      </w:tr>
      <w:tr w:rsidR="00B93D5D" w:rsidRPr="00D86312" w14:paraId="5A9528E5" w14:textId="77777777" w:rsidTr="007902C1">
        <w:trPr>
          <w:trHeight w:val="300"/>
        </w:trPr>
        <w:tc>
          <w:tcPr>
            <w:tcW w:w="163" w:type="pct"/>
            <w:vMerge/>
            <w:tcBorders>
              <w:top w:val="single" w:sz="4" w:space="0" w:color="auto"/>
              <w:left w:val="single" w:sz="4" w:space="0" w:color="auto"/>
              <w:bottom w:val="single" w:sz="4" w:space="0" w:color="auto"/>
              <w:right w:val="single" w:sz="4" w:space="0" w:color="auto"/>
            </w:tcBorders>
          </w:tcPr>
          <w:p w14:paraId="45FDE612" w14:textId="77777777" w:rsidR="00B93D5D" w:rsidRPr="00D86312" w:rsidRDefault="00B93D5D" w:rsidP="00BB5536">
            <w:pPr>
              <w:spacing w:after="0" w:line="240" w:lineRule="auto"/>
              <w:jc w:val="right"/>
              <w:rPr>
                <w:rFonts w:ascii="Calibri" w:eastAsia="Times New Roman" w:hAnsi="Calibri" w:cs="Calibri"/>
                <w:color w:val="00000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118A" w14:textId="77777777" w:rsidR="00B93D5D" w:rsidRPr="00D86312" w:rsidRDefault="00B93D5D" w:rsidP="00BB5536">
            <w:pPr>
              <w:spacing w:after="0" w:line="240" w:lineRule="auto"/>
              <w:jc w:val="center"/>
              <w:rPr>
                <w:rFonts w:ascii="Calibri" w:eastAsia="Times New Roman" w:hAnsi="Calibri" w:cs="Calibri"/>
                <w:color w:val="000000"/>
              </w:rPr>
            </w:pPr>
            <w:r>
              <w:rPr>
                <w:rFonts w:ascii="Calibri" w:eastAsia="Times New Roman" w:hAnsi="Calibri" w:cs="Calibri"/>
                <w:color w:val="000000"/>
              </w:rPr>
              <w:t>NJKS leadership</w:t>
            </w:r>
          </w:p>
        </w:tc>
        <w:tc>
          <w:tcPr>
            <w:tcW w:w="494"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3E5D9C2C"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0.652</w:t>
            </w:r>
          </w:p>
        </w:tc>
        <w:tc>
          <w:tcPr>
            <w:tcW w:w="52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283D10F0"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0.535</w:t>
            </w:r>
          </w:p>
        </w:tc>
        <w:tc>
          <w:tcPr>
            <w:tcW w:w="559"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49BF8F91"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0.662</w:t>
            </w:r>
          </w:p>
        </w:tc>
        <w:tc>
          <w:tcPr>
            <w:tcW w:w="39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54F39959"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0.471</w:t>
            </w:r>
          </w:p>
        </w:tc>
        <w:tc>
          <w:tcPr>
            <w:tcW w:w="460"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204EC5D9"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0.543</w:t>
            </w:r>
          </w:p>
        </w:tc>
        <w:tc>
          <w:tcPr>
            <w:tcW w:w="395"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0908D97F"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0.689</w:t>
            </w:r>
          </w:p>
        </w:tc>
        <w:tc>
          <w:tcPr>
            <w:tcW w:w="461"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338C9170"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0.683</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32B44749"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1.000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491F8DF1"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0.751</w:t>
            </w:r>
          </w:p>
        </w:tc>
      </w:tr>
      <w:tr w:rsidR="00B93D5D" w:rsidRPr="00D86312" w14:paraId="4F4C6402" w14:textId="77777777" w:rsidTr="007902C1">
        <w:trPr>
          <w:cantSplit/>
          <w:trHeight w:val="773"/>
        </w:trPr>
        <w:tc>
          <w:tcPr>
            <w:tcW w:w="691" w:type="pct"/>
            <w:gridSpan w:val="2"/>
            <w:tcBorders>
              <w:top w:val="single" w:sz="4" w:space="0" w:color="auto"/>
              <w:left w:val="single" w:sz="4" w:space="0" w:color="auto"/>
              <w:bottom w:val="single" w:sz="4" w:space="0" w:color="auto"/>
              <w:right w:val="single" w:sz="4" w:space="0" w:color="auto"/>
            </w:tcBorders>
            <w:vAlign w:val="center"/>
          </w:tcPr>
          <w:p w14:paraId="274ECAEF" w14:textId="77777777" w:rsidR="00B93D5D" w:rsidRPr="007902C1" w:rsidRDefault="00B93D5D" w:rsidP="007902C1">
            <w:pPr>
              <w:spacing w:after="0" w:line="240" w:lineRule="auto"/>
              <w:jc w:val="center"/>
              <w:rPr>
                <w:rFonts w:ascii="Calibri" w:eastAsia="Times New Roman" w:hAnsi="Calibri" w:cs="Calibri"/>
                <w:b/>
                <w:bCs/>
                <w:color w:val="000000"/>
              </w:rPr>
            </w:pPr>
            <w:r w:rsidRPr="007902C1">
              <w:rPr>
                <w:rFonts w:ascii="Calibri" w:eastAsia="Times New Roman" w:hAnsi="Calibri" w:cs="Calibri"/>
                <w:b/>
                <w:bCs/>
                <w:color w:val="000000"/>
              </w:rPr>
              <w:t>TAQ</w:t>
            </w:r>
          </w:p>
          <w:p w14:paraId="14CC0253" w14:textId="77777777" w:rsidR="00B93D5D" w:rsidRPr="00D86312" w:rsidRDefault="00B93D5D" w:rsidP="007902C1">
            <w:pPr>
              <w:spacing w:after="0" w:line="240" w:lineRule="auto"/>
              <w:jc w:val="center"/>
              <w:rPr>
                <w:rFonts w:ascii="Calibri" w:eastAsia="Times New Roman" w:hAnsi="Calibri" w:cs="Calibri"/>
                <w:color w:val="000000"/>
              </w:rPr>
            </w:pPr>
            <w:r w:rsidRPr="007902C1">
              <w:rPr>
                <w:rFonts w:ascii="Calibri" w:eastAsia="Times New Roman" w:hAnsi="Calibri" w:cs="Calibri"/>
                <w:b/>
                <w:bCs/>
                <w:color w:val="000000"/>
              </w:rPr>
              <w:t>Total Score</w:t>
            </w:r>
          </w:p>
        </w:tc>
        <w:tc>
          <w:tcPr>
            <w:tcW w:w="494"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7181F946"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0.879</w:t>
            </w:r>
          </w:p>
        </w:tc>
        <w:tc>
          <w:tcPr>
            <w:tcW w:w="52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2244EB71"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0.860</w:t>
            </w:r>
          </w:p>
        </w:tc>
        <w:tc>
          <w:tcPr>
            <w:tcW w:w="559"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49090F03"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0.881</w:t>
            </w:r>
          </w:p>
        </w:tc>
        <w:tc>
          <w:tcPr>
            <w:tcW w:w="396"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7B91D26F"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0.794</w:t>
            </w:r>
          </w:p>
        </w:tc>
        <w:tc>
          <w:tcPr>
            <w:tcW w:w="460"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2442DF31"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0.871</w:t>
            </w:r>
          </w:p>
        </w:tc>
        <w:tc>
          <w:tcPr>
            <w:tcW w:w="395"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34791FD0"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0.910</w:t>
            </w:r>
          </w:p>
        </w:tc>
        <w:tc>
          <w:tcPr>
            <w:tcW w:w="461"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25C62D34"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0.869</w:t>
            </w:r>
          </w:p>
        </w:tc>
        <w:tc>
          <w:tcPr>
            <w:tcW w:w="513" w:type="pct"/>
            <w:tcBorders>
              <w:top w:val="single" w:sz="4" w:space="0" w:color="auto"/>
              <w:left w:val="nil"/>
              <w:bottom w:val="single" w:sz="4" w:space="0" w:color="auto"/>
              <w:right w:val="single" w:sz="4" w:space="0" w:color="auto"/>
            </w:tcBorders>
            <w:shd w:val="clear" w:color="auto" w:fill="000000" w:themeFill="text1"/>
            <w:noWrap/>
            <w:vAlign w:val="center"/>
            <w:hideMark/>
          </w:tcPr>
          <w:p w14:paraId="3EC0F809"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0.751</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0BF84A70" w14:textId="77777777" w:rsidR="00B93D5D" w:rsidRPr="00D86312" w:rsidRDefault="00B93D5D" w:rsidP="00BB5536">
            <w:pPr>
              <w:spacing w:after="0" w:line="240" w:lineRule="auto"/>
              <w:jc w:val="center"/>
              <w:rPr>
                <w:rFonts w:ascii="Calibri" w:eastAsia="Times New Roman" w:hAnsi="Calibri" w:cs="Calibri"/>
                <w:color w:val="000000"/>
              </w:rPr>
            </w:pPr>
            <w:r w:rsidRPr="00D86312">
              <w:rPr>
                <w:rFonts w:ascii="Calibri" w:eastAsia="Times New Roman" w:hAnsi="Calibri" w:cs="Calibri"/>
                <w:color w:val="000000"/>
              </w:rPr>
              <w:t>1.000</w:t>
            </w:r>
          </w:p>
        </w:tc>
      </w:tr>
    </w:tbl>
    <w:p w14:paraId="5B957D41" w14:textId="5A0BEE60" w:rsidR="00B93D5D" w:rsidRPr="00B879B6" w:rsidRDefault="00B879B6" w:rsidP="00B93D5D">
      <w:pPr>
        <w:spacing w:after="0" w:line="240" w:lineRule="auto"/>
        <w:rPr>
          <w:bCs/>
        </w:rPr>
      </w:pPr>
      <w:r w:rsidRPr="00B879B6">
        <w:rPr>
          <w:bCs/>
        </w:rPr>
        <w:t>NJKS, New Jersey Kids Study; TAQ, Team Assessment Questionnaire</w:t>
      </w:r>
      <w:r w:rsidR="00B93D5D" w:rsidRPr="00B879B6">
        <w:rPr>
          <w:bCs/>
        </w:rPr>
        <w:t>; WG</w:t>
      </w:r>
      <w:r w:rsidRPr="00B879B6">
        <w:rPr>
          <w:bCs/>
        </w:rPr>
        <w:t>,</w:t>
      </w:r>
      <w:r w:rsidR="00B93D5D" w:rsidRPr="00B879B6">
        <w:rPr>
          <w:bCs/>
        </w:rPr>
        <w:t xml:space="preserve"> Working Group</w:t>
      </w:r>
    </w:p>
    <w:p w14:paraId="2719C153" w14:textId="4F496916" w:rsidR="00B93D5D" w:rsidRPr="00015883" w:rsidRDefault="007902C1" w:rsidP="00B93D5D">
      <w:pPr>
        <w:spacing w:after="0" w:line="240" w:lineRule="auto"/>
      </w:pPr>
      <w:r w:rsidRPr="007902C1">
        <w:rPr>
          <w:vertAlign w:val="superscript"/>
        </w:rPr>
        <w:t>a</w:t>
      </w:r>
      <w:r>
        <w:t xml:space="preserve"> </w:t>
      </w:r>
      <w:r w:rsidR="00B93D5D">
        <w:t>Spearman correlation coefficients</w:t>
      </w:r>
    </w:p>
    <w:p w14:paraId="221A523D" w14:textId="77777777" w:rsidR="00974E98" w:rsidRDefault="00974E98" w:rsidP="00B93D5D">
      <w:pPr>
        <w:spacing w:after="0" w:line="240" w:lineRule="auto"/>
      </w:pPr>
    </w:p>
    <w:p w14:paraId="17C685BA" w14:textId="77777777" w:rsidR="00B93D5D" w:rsidRDefault="00B93D5D" w:rsidP="00B93D5D">
      <w:pPr>
        <w:spacing w:after="0" w:line="240" w:lineRule="auto"/>
        <w:sectPr w:rsidR="00B93D5D" w:rsidSect="00327DAA">
          <w:pgSz w:w="15840" w:h="12240" w:orient="landscape"/>
          <w:pgMar w:top="1080" w:right="1080" w:bottom="1080" w:left="1080" w:header="720" w:footer="720" w:gutter="0"/>
          <w:cols w:space="720"/>
          <w:docGrid w:linePitch="360"/>
        </w:sectPr>
      </w:pPr>
    </w:p>
    <w:p w14:paraId="017F0DEB" w14:textId="2796633C" w:rsidR="00B879B6" w:rsidRDefault="008B156C" w:rsidP="003E3216">
      <w:pPr>
        <w:spacing w:after="0" w:line="240" w:lineRule="auto"/>
        <w:rPr>
          <w:vertAlign w:val="superscript"/>
        </w:rPr>
      </w:pPr>
      <w:r w:rsidRPr="008B0FA9">
        <w:rPr>
          <w:b/>
          <w:bCs/>
          <w:i/>
          <w:iCs/>
        </w:rPr>
        <w:lastRenderedPageBreak/>
        <w:t xml:space="preserve">Supplementary Table </w:t>
      </w:r>
      <w:r w:rsidR="00C516D6" w:rsidRPr="008B0FA9">
        <w:rPr>
          <w:b/>
          <w:bCs/>
          <w:i/>
          <w:iCs/>
        </w:rPr>
        <w:t>2</w:t>
      </w:r>
      <w:r w:rsidR="00B879B6" w:rsidRPr="008B0FA9">
        <w:rPr>
          <w:b/>
          <w:bCs/>
          <w:i/>
          <w:iCs/>
        </w:rPr>
        <w:t>.</w:t>
      </w:r>
      <w:r w:rsidR="00B879B6">
        <w:t xml:space="preserve"> </w:t>
      </w:r>
      <w:r w:rsidR="005739B7" w:rsidRPr="005739B7">
        <w:t xml:space="preserve">Factors associated with modified </w:t>
      </w:r>
      <w:proofErr w:type="spellStart"/>
      <w:r w:rsidR="005739B7" w:rsidRPr="005739B7">
        <w:t>TeamSTEPPS</w:t>
      </w:r>
      <w:proofErr w:type="spellEnd"/>
      <w:r w:rsidR="005739B7" w:rsidRPr="005739B7">
        <w:t xml:space="preserve"> Team Assessment Questionnaire (TAQ) </w:t>
      </w:r>
      <w:r w:rsidR="005739B7">
        <w:rPr>
          <w:rFonts w:ascii="Calibri" w:eastAsia="Times New Roman" w:hAnsi="Calibri" w:cs="Calibri"/>
          <w:color w:val="000000"/>
        </w:rPr>
        <w:t xml:space="preserve">Team Climate </w:t>
      </w:r>
      <w:proofErr w:type="spellStart"/>
      <w:r w:rsidR="005739B7">
        <w:t>s</w:t>
      </w:r>
      <w:r w:rsidR="005739B7" w:rsidRPr="005739B7">
        <w:t>cores</w:t>
      </w:r>
      <w:r w:rsidR="005739B7" w:rsidRPr="005739B7">
        <w:rPr>
          <w:vertAlign w:val="superscript"/>
        </w:rPr>
        <w:t>a</w:t>
      </w:r>
      <w:proofErr w:type="spellEnd"/>
    </w:p>
    <w:tbl>
      <w:tblPr>
        <w:tblW w:w="8053" w:type="dxa"/>
        <w:tblLayout w:type="fixed"/>
        <w:tblLook w:val="04A0" w:firstRow="1" w:lastRow="0" w:firstColumn="1" w:lastColumn="0" w:noHBand="0" w:noVBand="1"/>
      </w:tblPr>
      <w:tblGrid>
        <w:gridCol w:w="3955"/>
        <w:gridCol w:w="1123"/>
        <w:gridCol w:w="1805"/>
        <w:gridCol w:w="1170"/>
      </w:tblGrid>
      <w:tr w:rsidR="00C15504" w:rsidRPr="001C46AA" w14:paraId="2291F904" w14:textId="77777777" w:rsidTr="00C15504">
        <w:trPr>
          <w:trHeight w:val="300"/>
        </w:trPr>
        <w:tc>
          <w:tcPr>
            <w:tcW w:w="3955"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14:paraId="616EE8B5" w14:textId="77777777" w:rsidR="00C15504" w:rsidRPr="006F015C" w:rsidRDefault="00C15504" w:rsidP="005B4EA5">
            <w:pPr>
              <w:spacing w:after="0" w:line="240" w:lineRule="auto"/>
              <w:contextualSpacing/>
            </w:pPr>
            <w:r w:rsidRPr="006F015C">
              <w:t>Factor</w:t>
            </w:r>
          </w:p>
        </w:tc>
        <w:tc>
          <w:tcPr>
            <w:tcW w:w="1123"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hideMark/>
          </w:tcPr>
          <w:p w14:paraId="6456AF38" w14:textId="21EDA510" w:rsidR="00C15504" w:rsidRPr="006F015C" w:rsidRDefault="00C15504" w:rsidP="005B4EA5">
            <w:pPr>
              <w:spacing w:after="0" w:line="240" w:lineRule="auto"/>
              <w:contextualSpacing/>
              <w:jc w:val="center"/>
            </w:pPr>
            <w:r w:rsidRPr="006F015C">
              <w:t>β</w:t>
            </w:r>
          </w:p>
        </w:tc>
        <w:tc>
          <w:tcPr>
            <w:tcW w:w="1805" w:type="dxa"/>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14:paraId="6C8CF299" w14:textId="77777777" w:rsidR="00C15504" w:rsidRPr="006F015C" w:rsidRDefault="00C15504" w:rsidP="005B4EA5">
            <w:pPr>
              <w:spacing w:after="0" w:line="240" w:lineRule="auto"/>
              <w:contextualSpacing/>
              <w:jc w:val="center"/>
            </w:pPr>
            <w:r w:rsidRPr="006F015C">
              <w:t>95% CI</w:t>
            </w:r>
          </w:p>
        </w:tc>
        <w:tc>
          <w:tcPr>
            <w:tcW w:w="1170"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7643D010" w14:textId="77777777" w:rsidR="00C15504" w:rsidRPr="006F015C" w:rsidRDefault="00C15504" w:rsidP="005B4EA5">
            <w:pPr>
              <w:spacing w:after="0" w:line="240" w:lineRule="auto"/>
              <w:contextualSpacing/>
              <w:jc w:val="center"/>
            </w:pPr>
            <w:r w:rsidRPr="006F015C">
              <w:t>P-value</w:t>
            </w:r>
          </w:p>
        </w:tc>
      </w:tr>
      <w:tr w:rsidR="00C15504" w:rsidRPr="001C46AA" w14:paraId="27AF97B9" w14:textId="77777777" w:rsidTr="00296A3F">
        <w:trPr>
          <w:trHeight w:val="300"/>
        </w:trPr>
        <w:tc>
          <w:tcPr>
            <w:tcW w:w="395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14:paraId="550AC407" w14:textId="36368BDE" w:rsidR="00C15504" w:rsidRPr="006F015C" w:rsidRDefault="00C15504" w:rsidP="00C15504">
            <w:pPr>
              <w:spacing w:after="0" w:line="240" w:lineRule="auto"/>
              <w:contextualSpacing/>
            </w:pPr>
            <w:r>
              <w:t>Intercept</w:t>
            </w:r>
          </w:p>
        </w:tc>
        <w:tc>
          <w:tcPr>
            <w:tcW w:w="1123"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2B91BAD" w14:textId="4A3AF78D" w:rsidR="00C15504" w:rsidRPr="006F015C" w:rsidRDefault="00C15504" w:rsidP="00C15504">
            <w:pPr>
              <w:spacing w:after="0" w:line="240" w:lineRule="auto"/>
              <w:contextualSpacing/>
              <w:jc w:val="center"/>
            </w:pPr>
            <w:r>
              <w:rPr>
                <w:rFonts w:ascii="Calibri" w:hAnsi="Calibri" w:cs="Calibri"/>
                <w:color w:val="000000"/>
              </w:rPr>
              <w:t>5.14</w:t>
            </w:r>
          </w:p>
        </w:tc>
        <w:tc>
          <w:tcPr>
            <w:tcW w:w="1805"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267BAED" w14:textId="1ACC1B70" w:rsidR="00C15504" w:rsidRPr="006F015C" w:rsidRDefault="00C15504" w:rsidP="00C15504">
            <w:pPr>
              <w:spacing w:after="0" w:line="240" w:lineRule="auto"/>
              <w:contextualSpacing/>
              <w:jc w:val="center"/>
            </w:pPr>
            <w:r>
              <w:rPr>
                <w:rFonts w:ascii="Calibri" w:hAnsi="Calibri" w:cs="Calibri"/>
                <w:color w:val="000000"/>
              </w:rPr>
              <w:t>4.65, 5.64</w:t>
            </w:r>
          </w:p>
        </w:tc>
        <w:tc>
          <w:tcPr>
            <w:tcW w:w="11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07AF256" w14:textId="78D021EF" w:rsidR="00C15504" w:rsidRPr="006F015C" w:rsidRDefault="009E485D" w:rsidP="00C15504">
            <w:pPr>
              <w:spacing w:after="0" w:line="240" w:lineRule="auto"/>
              <w:contextualSpacing/>
              <w:jc w:val="center"/>
            </w:pPr>
            <w:r>
              <w:rPr>
                <w:rFonts w:ascii="Calibri" w:hAnsi="Calibri" w:cs="Calibri"/>
                <w:color w:val="000000"/>
              </w:rPr>
              <w:t>&lt;</w:t>
            </w:r>
            <w:r w:rsidR="00C15504">
              <w:rPr>
                <w:rFonts w:ascii="Calibri" w:hAnsi="Calibri" w:cs="Calibri"/>
                <w:color w:val="000000"/>
              </w:rPr>
              <w:t>0</w:t>
            </w:r>
            <w:r>
              <w:rPr>
                <w:rFonts w:ascii="Calibri" w:hAnsi="Calibri" w:cs="Calibri"/>
                <w:color w:val="000000"/>
              </w:rPr>
              <w:t>.001</w:t>
            </w:r>
          </w:p>
        </w:tc>
      </w:tr>
      <w:tr w:rsidR="00C15504" w:rsidRPr="001C46AA" w14:paraId="2C4CF386" w14:textId="77777777" w:rsidTr="00296A3F">
        <w:trPr>
          <w:trHeight w:val="300"/>
        </w:trPr>
        <w:tc>
          <w:tcPr>
            <w:tcW w:w="395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14:paraId="165C5CD1" w14:textId="15A073A1" w:rsidR="00C15504" w:rsidRPr="006F015C" w:rsidRDefault="00C15504" w:rsidP="00C15504">
            <w:pPr>
              <w:spacing w:after="0" w:line="240" w:lineRule="auto"/>
              <w:contextualSpacing/>
            </w:pPr>
            <w:r w:rsidRPr="006F015C">
              <w:t>Standard deviation of age</w:t>
            </w:r>
          </w:p>
        </w:tc>
        <w:tc>
          <w:tcPr>
            <w:tcW w:w="1123"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6556AD71" w14:textId="1E233C20" w:rsidR="00C15504" w:rsidRPr="006F015C" w:rsidRDefault="00C15504" w:rsidP="00C15504">
            <w:pPr>
              <w:spacing w:after="0" w:line="240" w:lineRule="auto"/>
              <w:contextualSpacing/>
              <w:jc w:val="center"/>
            </w:pPr>
            <w:r>
              <w:rPr>
                <w:rFonts w:ascii="Calibri" w:hAnsi="Calibri" w:cs="Calibri"/>
                <w:color w:val="000000"/>
              </w:rPr>
              <w:t>-0.05</w:t>
            </w:r>
          </w:p>
        </w:tc>
        <w:tc>
          <w:tcPr>
            <w:tcW w:w="1805"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948B346" w14:textId="79DFFA41" w:rsidR="00C15504" w:rsidRPr="006F015C" w:rsidRDefault="00C15504" w:rsidP="00C15504">
            <w:pPr>
              <w:spacing w:after="0" w:line="240" w:lineRule="auto"/>
              <w:contextualSpacing/>
              <w:jc w:val="center"/>
            </w:pPr>
            <w:r>
              <w:rPr>
                <w:rFonts w:ascii="Calibri" w:hAnsi="Calibri" w:cs="Calibri"/>
                <w:color w:val="000000"/>
              </w:rPr>
              <w:t>-0.10, -0.01</w:t>
            </w:r>
          </w:p>
        </w:tc>
        <w:tc>
          <w:tcPr>
            <w:tcW w:w="11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5125B80" w14:textId="619CFCB1" w:rsidR="00C15504" w:rsidRPr="006F015C" w:rsidRDefault="00C15504" w:rsidP="00C15504">
            <w:pPr>
              <w:spacing w:after="0" w:line="240" w:lineRule="auto"/>
              <w:contextualSpacing/>
              <w:jc w:val="center"/>
            </w:pPr>
            <w:r>
              <w:rPr>
                <w:rFonts w:ascii="Calibri" w:hAnsi="Calibri" w:cs="Calibri"/>
                <w:color w:val="000000"/>
              </w:rPr>
              <w:t>0.02</w:t>
            </w:r>
          </w:p>
        </w:tc>
      </w:tr>
      <w:tr w:rsidR="00C15504" w:rsidRPr="001C46AA" w14:paraId="45C535E9" w14:textId="77777777" w:rsidTr="00296A3F">
        <w:trPr>
          <w:trHeight w:val="300"/>
        </w:trPr>
        <w:tc>
          <w:tcPr>
            <w:tcW w:w="395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14:paraId="1F273419" w14:textId="61562C88" w:rsidR="00C15504" w:rsidRPr="006F015C" w:rsidRDefault="00C15504" w:rsidP="00C15504">
            <w:pPr>
              <w:spacing w:after="0" w:line="240" w:lineRule="auto"/>
              <w:contextualSpacing/>
            </w:pPr>
            <w:r w:rsidRPr="006F015C">
              <w:t xml:space="preserve">School diversity </w:t>
            </w:r>
            <w:proofErr w:type="spellStart"/>
            <w:r w:rsidRPr="006F015C">
              <w:t>ratio</w:t>
            </w:r>
            <w:r w:rsidR="008847A6">
              <w:rPr>
                <w:vertAlign w:val="superscript"/>
              </w:rPr>
              <w:t>b</w:t>
            </w:r>
            <w:proofErr w:type="spellEnd"/>
          </w:p>
        </w:tc>
        <w:tc>
          <w:tcPr>
            <w:tcW w:w="1123"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14:paraId="1621E761" w14:textId="6340A0F5" w:rsidR="00C15504" w:rsidRPr="006F015C" w:rsidRDefault="00C15504" w:rsidP="00C15504">
            <w:pPr>
              <w:spacing w:after="0" w:line="240" w:lineRule="auto"/>
              <w:contextualSpacing/>
              <w:jc w:val="center"/>
            </w:pPr>
            <w:r>
              <w:rPr>
                <w:rFonts w:ascii="Calibri" w:hAnsi="Calibri" w:cs="Calibri"/>
                <w:color w:val="000000"/>
              </w:rPr>
              <w:t>-2.52</w:t>
            </w:r>
          </w:p>
        </w:tc>
        <w:tc>
          <w:tcPr>
            <w:tcW w:w="1805"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DB63B59" w14:textId="5F0C965E" w:rsidR="00C15504" w:rsidRPr="006F015C" w:rsidRDefault="00C15504" w:rsidP="00C15504">
            <w:pPr>
              <w:spacing w:after="0" w:line="240" w:lineRule="auto"/>
              <w:contextualSpacing/>
              <w:jc w:val="center"/>
            </w:pPr>
            <w:r>
              <w:rPr>
                <w:rFonts w:ascii="Calibri" w:hAnsi="Calibri" w:cs="Calibri"/>
                <w:color w:val="000000"/>
              </w:rPr>
              <w:t>-3.10, -1.93</w:t>
            </w:r>
          </w:p>
        </w:tc>
        <w:tc>
          <w:tcPr>
            <w:tcW w:w="11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30F8745" w14:textId="72B54A7B" w:rsidR="00C15504" w:rsidRPr="006F015C" w:rsidRDefault="009E485D" w:rsidP="00C15504">
            <w:pPr>
              <w:spacing w:after="0" w:line="240" w:lineRule="auto"/>
              <w:contextualSpacing/>
              <w:jc w:val="center"/>
            </w:pPr>
            <w:r>
              <w:rPr>
                <w:rFonts w:ascii="Calibri" w:hAnsi="Calibri" w:cs="Calibri"/>
                <w:color w:val="000000"/>
              </w:rPr>
              <w:t>&lt;0.001</w:t>
            </w:r>
          </w:p>
        </w:tc>
      </w:tr>
      <w:tr w:rsidR="00C15504" w:rsidRPr="001C46AA" w14:paraId="45CE6C8C" w14:textId="77777777" w:rsidTr="00296A3F">
        <w:trPr>
          <w:trHeight w:val="300"/>
        </w:trPr>
        <w:tc>
          <w:tcPr>
            <w:tcW w:w="395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14:paraId="39B20F4D" w14:textId="467C21A0" w:rsidR="00C15504" w:rsidRPr="006F015C" w:rsidRDefault="00C15504" w:rsidP="00C15504">
            <w:pPr>
              <w:spacing w:after="0" w:line="240" w:lineRule="auto"/>
              <w:contextualSpacing/>
            </w:pPr>
            <w:r w:rsidRPr="006F015C">
              <w:t xml:space="preserve">NIH PI </w:t>
            </w:r>
            <w:proofErr w:type="spellStart"/>
            <w:r w:rsidRPr="006F015C">
              <w:t>ratio</w:t>
            </w:r>
            <w:r w:rsidR="008847A6">
              <w:rPr>
                <w:vertAlign w:val="superscript"/>
              </w:rPr>
              <w:t>c</w:t>
            </w:r>
            <w:proofErr w:type="spellEnd"/>
          </w:p>
        </w:tc>
        <w:tc>
          <w:tcPr>
            <w:tcW w:w="1123"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023396EA" w14:textId="67C3C337" w:rsidR="00C15504" w:rsidRPr="006F015C" w:rsidRDefault="00C15504" w:rsidP="00C15504">
            <w:pPr>
              <w:spacing w:after="0" w:line="240" w:lineRule="auto"/>
              <w:contextualSpacing/>
              <w:jc w:val="center"/>
            </w:pPr>
            <w:r>
              <w:rPr>
                <w:rFonts w:ascii="Calibri" w:hAnsi="Calibri" w:cs="Calibri"/>
                <w:color w:val="000000"/>
              </w:rPr>
              <w:t>1.02</w:t>
            </w:r>
          </w:p>
        </w:tc>
        <w:tc>
          <w:tcPr>
            <w:tcW w:w="1805"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0314196" w14:textId="1434DA07" w:rsidR="00C15504" w:rsidRPr="006F015C" w:rsidRDefault="00C15504" w:rsidP="00C15504">
            <w:pPr>
              <w:spacing w:after="0" w:line="240" w:lineRule="auto"/>
              <w:contextualSpacing/>
              <w:jc w:val="center"/>
            </w:pPr>
            <w:r>
              <w:rPr>
                <w:rFonts w:ascii="Calibri" w:hAnsi="Calibri" w:cs="Calibri"/>
                <w:color w:val="000000"/>
              </w:rPr>
              <w:t>0.52, 1.52</w:t>
            </w:r>
          </w:p>
        </w:tc>
        <w:tc>
          <w:tcPr>
            <w:tcW w:w="11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CADE246" w14:textId="3E0C4475" w:rsidR="00C15504" w:rsidRPr="006F015C" w:rsidRDefault="009E485D" w:rsidP="00C15504">
            <w:pPr>
              <w:spacing w:after="0" w:line="240" w:lineRule="auto"/>
              <w:contextualSpacing/>
              <w:jc w:val="center"/>
            </w:pPr>
            <w:r>
              <w:rPr>
                <w:rFonts w:ascii="Calibri" w:hAnsi="Calibri" w:cs="Calibri"/>
                <w:color w:val="000000"/>
              </w:rPr>
              <w:t>&lt;0.001</w:t>
            </w:r>
          </w:p>
        </w:tc>
      </w:tr>
      <w:tr w:rsidR="00C15504" w:rsidRPr="001C46AA" w14:paraId="43C1DE41" w14:textId="77777777" w:rsidTr="00296A3F">
        <w:trPr>
          <w:trHeight w:val="300"/>
        </w:trPr>
        <w:tc>
          <w:tcPr>
            <w:tcW w:w="3955" w:type="dxa"/>
            <w:tcBorders>
              <w:top w:val="nil"/>
              <w:left w:val="single" w:sz="4" w:space="0" w:color="auto"/>
              <w:bottom w:val="single" w:sz="4" w:space="0" w:color="auto"/>
              <w:right w:val="single" w:sz="4" w:space="0" w:color="auto"/>
            </w:tcBorders>
            <w:shd w:val="clear" w:color="auto" w:fill="auto"/>
            <w:noWrap/>
            <w:tcMar>
              <w:left w:w="43" w:type="dxa"/>
              <w:right w:w="43" w:type="dxa"/>
            </w:tcMar>
            <w:hideMark/>
          </w:tcPr>
          <w:p w14:paraId="1B271DE3" w14:textId="77777777" w:rsidR="00C15504" w:rsidRPr="006F015C" w:rsidRDefault="00C15504" w:rsidP="00C15504">
            <w:pPr>
              <w:spacing w:after="0" w:line="240" w:lineRule="auto"/>
              <w:contextualSpacing/>
            </w:pPr>
            <w:r w:rsidRPr="006F015C">
              <w:t>Number of working group members</w:t>
            </w:r>
          </w:p>
        </w:tc>
        <w:tc>
          <w:tcPr>
            <w:tcW w:w="1123"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3CA9D2C" w14:textId="6E63D322" w:rsidR="00C15504" w:rsidRPr="006F015C" w:rsidRDefault="00C15504" w:rsidP="00C15504">
            <w:pPr>
              <w:spacing w:after="0" w:line="240" w:lineRule="auto"/>
              <w:contextualSpacing/>
              <w:jc w:val="center"/>
            </w:pPr>
            <w:r>
              <w:rPr>
                <w:rFonts w:ascii="Calibri" w:hAnsi="Calibri" w:cs="Calibri"/>
                <w:color w:val="000000"/>
              </w:rPr>
              <w:t>-0.01</w:t>
            </w:r>
          </w:p>
        </w:tc>
        <w:tc>
          <w:tcPr>
            <w:tcW w:w="1805"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EFC8AC8" w14:textId="6C2E8111" w:rsidR="00C15504" w:rsidRPr="006F015C" w:rsidRDefault="00C15504" w:rsidP="00C15504">
            <w:pPr>
              <w:spacing w:after="0" w:line="240" w:lineRule="auto"/>
              <w:contextualSpacing/>
              <w:jc w:val="center"/>
            </w:pPr>
            <w:r>
              <w:rPr>
                <w:rFonts w:ascii="Calibri" w:hAnsi="Calibri" w:cs="Calibri"/>
                <w:color w:val="000000"/>
              </w:rPr>
              <w:t>-0.03, 0.01</w:t>
            </w:r>
          </w:p>
        </w:tc>
        <w:tc>
          <w:tcPr>
            <w:tcW w:w="11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96506C7" w14:textId="427D6918" w:rsidR="00C15504" w:rsidRPr="006F015C" w:rsidRDefault="00C15504" w:rsidP="00C15504">
            <w:pPr>
              <w:spacing w:after="0" w:line="240" w:lineRule="auto"/>
              <w:contextualSpacing/>
              <w:jc w:val="center"/>
            </w:pPr>
            <w:r>
              <w:rPr>
                <w:rFonts w:ascii="Calibri" w:hAnsi="Calibri" w:cs="Calibri"/>
                <w:color w:val="000000"/>
              </w:rPr>
              <w:t>0.45</w:t>
            </w:r>
          </w:p>
        </w:tc>
      </w:tr>
      <w:tr w:rsidR="00C15504" w:rsidRPr="001C46AA" w14:paraId="6C915AF2" w14:textId="77777777" w:rsidTr="00AE21B4">
        <w:trPr>
          <w:trHeight w:val="300"/>
        </w:trPr>
        <w:tc>
          <w:tcPr>
            <w:tcW w:w="3955"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tcPr>
          <w:p w14:paraId="5E85B6F7" w14:textId="087B33A2" w:rsidR="00C15504" w:rsidRPr="006F015C" w:rsidRDefault="00C15504" w:rsidP="00C15504">
            <w:pPr>
              <w:spacing w:after="0" w:line="240" w:lineRule="auto"/>
              <w:contextualSpacing/>
            </w:pPr>
            <w:r w:rsidRPr="006F015C">
              <w:t xml:space="preserve">Professor </w:t>
            </w:r>
            <w:proofErr w:type="spellStart"/>
            <w:r w:rsidRPr="006F015C">
              <w:t>ratio</w:t>
            </w:r>
            <w:r w:rsidR="008847A6">
              <w:rPr>
                <w:vertAlign w:val="superscript"/>
              </w:rPr>
              <w:t>d</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1C78F56D" w14:textId="00CDD41A" w:rsidR="00C15504" w:rsidRPr="006F015C" w:rsidRDefault="00C15504" w:rsidP="00C15504">
            <w:pPr>
              <w:spacing w:after="0" w:line="240" w:lineRule="auto"/>
              <w:contextualSpacing/>
              <w:jc w:val="center"/>
            </w:pPr>
            <w:r>
              <w:rPr>
                <w:rFonts w:ascii="Calibri" w:hAnsi="Calibri" w:cs="Calibri"/>
                <w:color w:val="000000"/>
              </w:rPr>
              <w:t>0.94</w:t>
            </w:r>
          </w:p>
        </w:tc>
        <w:tc>
          <w:tcPr>
            <w:tcW w:w="1805"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676C281E" w14:textId="2AC43173" w:rsidR="00C15504" w:rsidRPr="006F015C" w:rsidRDefault="00C15504" w:rsidP="00C15504">
            <w:pPr>
              <w:spacing w:after="0" w:line="240" w:lineRule="auto"/>
              <w:contextualSpacing/>
              <w:jc w:val="center"/>
            </w:pPr>
            <w:r>
              <w:rPr>
                <w:rFonts w:ascii="Calibri" w:hAnsi="Calibri" w:cs="Calibri"/>
                <w:color w:val="000000"/>
              </w:rPr>
              <w:t>0.42, 1.46</w:t>
            </w:r>
          </w:p>
        </w:tc>
        <w:tc>
          <w:tcPr>
            <w:tcW w:w="1170"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3B4BF8B7" w14:textId="678457C6" w:rsidR="00C15504" w:rsidRPr="006F015C" w:rsidRDefault="00C15504" w:rsidP="00C15504">
            <w:pPr>
              <w:spacing w:after="0" w:line="240" w:lineRule="auto"/>
              <w:contextualSpacing/>
              <w:jc w:val="center"/>
            </w:pPr>
            <w:r>
              <w:rPr>
                <w:rFonts w:ascii="Calibri" w:hAnsi="Calibri" w:cs="Calibri"/>
                <w:color w:val="000000"/>
              </w:rPr>
              <w:t>0.001</w:t>
            </w:r>
          </w:p>
        </w:tc>
      </w:tr>
    </w:tbl>
    <w:p w14:paraId="0D75633F" w14:textId="606C36A3" w:rsidR="00730B44" w:rsidRPr="00730B44" w:rsidRDefault="005739B7" w:rsidP="005739B7">
      <w:pPr>
        <w:spacing w:after="0" w:line="240" w:lineRule="auto"/>
        <w:rPr>
          <w:rFonts w:ascii="Calibri" w:eastAsia="Times New Roman" w:hAnsi="Calibri" w:cs="Calibri"/>
          <w:bCs/>
          <w:color w:val="000000"/>
        </w:rPr>
      </w:pPr>
      <w:r w:rsidRPr="00730B44">
        <w:rPr>
          <w:rFonts w:ascii="Calibri" w:eastAsia="Times New Roman" w:hAnsi="Calibri" w:cs="Calibri"/>
          <w:bCs/>
          <w:color w:val="000000"/>
        </w:rPr>
        <w:t>β</w:t>
      </w:r>
      <w:r w:rsidR="00730B44" w:rsidRPr="00730B44">
        <w:rPr>
          <w:rFonts w:ascii="Calibri" w:eastAsia="Times New Roman" w:hAnsi="Calibri" w:cs="Calibri"/>
          <w:bCs/>
          <w:color w:val="000000"/>
        </w:rPr>
        <w:t>,</w:t>
      </w:r>
      <w:r w:rsidRPr="00730B44">
        <w:rPr>
          <w:rFonts w:ascii="Calibri" w:eastAsia="Times New Roman" w:hAnsi="Calibri" w:cs="Calibri"/>
          <w:bCs/>
          <w:color w:val="000000"/>
        </w:rPr>
        <w:t xml:space="preserve"> </w:t>
      </w:r>
      <w:r w:rsidR="00730B44" w:rsidRPr="00730B44">
        <w:rPr>
          <w:rFonts w:ascii="Calibri" w:eastAsia="Times New Roman" w:hAnsi="Calibri" w:cs="Calibri"/>
          <w:bCs/>
          <w:color w:val="000000"/>
        </w:rPr>
        <w:t xml:space="preserve">adjusted </w:t>
      </w:r>
      <w:r w:rsidRPr="00730B44">
        <w:rPr>
          <w:rFonts w:ascii="Calibri" w:eastAsia="Times New Roman" w:hAnsi="Calibri" w:cs="Calibri"/>
          <w:bCs/>
          <w:color w:val="000000"/>
        </w:rPr>
        <w:t>beta coefficient</w:t>
      </w:r>
      <w:r w:rsidR="00730B44" w:rsidRPr="00730B44">
        <w:rPr>
          <w:rFonts w:ascii="Calibri" w:eastAsia="Times New Roman" w:hAnsi="Calibri" w:cs="Calibri"/>
          <w:bCs/>
          <w:color w:val="000000"/>
        </w:rPr>
        <w:t>; CI, confidence interval; PI, principal investigator</w:t>
      </w:r>
    </w:p>
    <w:p w14:paraId="75116F50" w14:textId="4B8041C5" w:rsidR="005739B7" w:rsidRPr="005739B7" w:rsidRDefault="005739B7" w:rsidP="005739B7">
      <w:pPr>
        <w:spacing w:after="0" w:line="240" w:lineRule="auto"/>
      </w:pPr>
      <w:r w:rsidRPr="005739B7">
        <w:rPr>
          <w:vertAlign w:val="superscript"/>
        </w:rPr>
        <w:t>a</w:t>
      </w:r>
      <w:r w:rsidRPr="005739B7">
        <w:t xml:space="preserve"> Results produced from multivariable linear regression models with dependent variable </w:t>
      </w:r>
      <w:r w:rsidR="00730B44">
        <w:rPr>
          <w:rFonts w:ascii="Calibri" w:eastAsia="Times New Roman" w:hAnsi="Calibri" w:cs="Calibri"/>
          <w:color w:val="000000"/>
        </w:rPr>
        <w:t>working group median Team Climate (</w:t>
      </w:r>
      <w:r w:rsidR="00730B44" w:rsidRPr="005739B7">
        <w:t xml:space="preserve">TAQ </w:t>
      </w:r>
      <w:r w:rsidR="00730B44">
        <w:t>domain)</w:t>
      </w:r>
      <w:r w:rsidR="00730B44">
        <w:rPr>
          <w:rFonts w:ascii="Calibri" w:eastAsia="Times New Roman" w:hAnsi="Calibri" w:cs="Calibri"/>
          <w:color w:val="000000"/>
        </w:rPr>
        <w:t xml:space="preserve"> Score</w:t>
      </w:r>
    </w:p>
    <w:p w14:paraId="400938BB" w14:textId="66023DD4" w:rsidR="005739B7" w:rsidRPr="005739B7" w:rsidRDefault="008847A6" w:rsidP="005739B7">
      <w:pPr>
        <w:spacing w:after="0" w:line="240" w:lineRule="auto"/>
      </w:pPr>
      <w:r>
        <w:rPr>
          <w:vertAlign w:val="superscript"/>
        </w:rPr>
        <w:t>b</w:t>
      </w:r>
      <w:r w:rsidR="005739B7" w:rsidRPr="005739B7">
        <w:t xml:space="preserve"> Ratio of number of distinct school affiliations to total WG members</w:t>
      </w:r>
    </w:p>
    <w:p w14:paraId="4FAD5A58" w14:textId="1DE6D21F" w:rsidR="00BD003D" w:rsidRPr="00BD003D" w:rsidRDefault="008847A6" w:rsidP="00BD003D">
      <w:pPr>
        <w:spacing w:after="0" w:line="240" w:lineRule="auto"/>
      </w:pPr>
      <w:r>
        <w:rPr>
          <w:vertAlign w:val="superscript"/>
        </w:rPr>
        <w:t>c</w:t>
      </w:r>
      <w:r w:rsidR="00BD003D" w:rsidRPr="00BD003D">
        <w:t xml:space="preserve"> Ratio of WG members previously funded by the National Institutes of Health as principal investigators to all WG members</w:t>
      </w:r>
    </w:p>
    <w:p w14:paraId="486FC40D" w14:textId="1903CDB5" w:rsidR="00BD003D" w:rsidRPr="00BD003D" w:rsidRDefault="008847A6" w:rsidP="00BD003D">
      <w:pPr>
        <w:spacing w:after="0" w:line="240" w:lineRule="auto"/>
      </w:pPr>
      <w:r>
        <w:rPr>
          <w:vertAlign w:val="superscript"/>
        </w:rPr>
        <w:t>d</w:t>
      </w:r>
      <w:r w:rsidR="00BD003D" w:rsidRPr="00BD003D">
        <w:t xml:space="preserve"> Ratio of full professors to total working group members</w:t>
      </w:r>
    </w:p>
    <w:p w14:paraId="64660896" w14:textId="10C3869B" w:rsidR="005967B6" w:rsidRPr="00730B44" w:rsidRDefault="005967B6" w:rsidP="002A692C">
      <w:pPr>
        <w:spacing w:after="0" w:line="240" w:lineRule="auto"/>
      </w:pPr>
    </w:p>
    <w:p w14:paraId="7427C784" w14:textId="77777777" w:rsidR="00753981" w:rsidRDefault="00753981" w:rsidP="00DC5E46">
      <w:pPr>
        <w:spacing w:after="0" w:line="240" w:lineRule="auto"/>
        <w:sectPr w:rsidR="00753981" w:rsidSect="00327DAA">
          <w:pgSz w:w="12240" w:h="15840"/>
          <w:pgMar w:top="1080" w:right="1080" w:bottom="1080" w:left="1080" w:header="720" w:footer="720" w:gutter="0"/>
          <w:cols w:space="720"/>
          <w:docGrid w:linePitch="360"/>
        </w:sectPr>
      </w:pPr>
    </w:p>
    <w:p w14:paraId="2F0FE708" w14:textId="647AB58D" w:rsidR="00753981" w:rsidRPr="00753981" w:rsidRDefault="00753981" w:rsidP="00753981">
      <w:pPr>
        <w:spacing w:after="0" w:line="240" w:lineRule="auto"/>
      </w:pPr>
      <w:r w:rsidRPr="008B0FA9">
        <w:rPr>
          <w:b/>
          <w:bCs/>
          <w:i/>
          <w:iCs/>
        </w:rPr>
        <w:lastRenderedPageBreak/>
        <w:t xml:space="preserve">Supplementary Table </w:t>
      </w:r>
      <w:r>
        <w:rPr>
          <w:b/>
          <w:bCs/>
          <w:i/>
          <w:iCs/>
        </w:rPr>
        <w:t>3</w:t>
      </w:r>
      <w:r w:rsidRPr="00753981">
        <w:t xml:space="preserve">. Working group-level factors associated with final report assessment </w:t>
      </w:r>
      <w:proofErr w:type="spellStart"/>
      <w:r w:rsidRPr="00753981">
        <w:t>scores</w:t>
      </w:r>
      <w:r w:rsidRPr="00753981">
        <w:rPr>
          <w:vertAlign w:val="superscript"/>
        </w:rPr>
        <w:t>a</w:t>
      </w:r>
      <w:proofErr w:type="spellEnd"/>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876"/>
        <w:gridCol w:w="876"/>
        <w:gridCol w:w="1674"/>
        <w:gridCol w:w="990"/>
      </w:tblGrid>
      <w:tr w:rsidR="00753981" w:rsidRPr="00753981" w14:paraId="59B54CB1" w14:textId="77777777" w:rsidTr="003E729A">
        <w:trPr>
          <w:trHeight w:val="300"/>
        </w:trPr>
        <w:tc>
          <w:tcPr>
            <w:tcW w:w="4375" w:type="dxa"/>
            <w:shd w:val="clear" w:color="auto" w:fill="auto"/>
            <w:noWrap/>
            <w:vAlign w:val="bottom"/>
            <w:hideMark/>
          </w:tcPr>
          <w:p w14:paraId="101EE70A" w14:textId="77777777" w:rsidR="00753981" w:rsidRPr="00753981" w:rsidRDefault="00753981" w:rsidP="00753981">
            <w:pPr>
              <w:spacing w:after="0" w:line="240" w:lineRule="auto"/>
              <w:rPr>
                <w:b/>
                <w:bCs/>
              </w:rPr>
            </w:pPr>
            <w:r w:rsidRPr="00753981">
              <w:rPr>
                <w:b/>
                <w:bCs/>
              </w:rPr>
              <w:t>Factor</w:t>
            </w:r>
          </w:p>
        </w:tc>
        <w:tc>
          <w:tcPr>
            <w:tcW w:w="876" w:type="dxa"/>
          </w:tcPr>
          <w:p w14:paraId="0C9228E7" w14:textId="77777777" w:rsidR="00753981" w:rsidRPr="00753981" w:rsidRDefault="00753981" w:rsidP="00753981">
            <w:pPr>
              <w:spacing w:after="0" w:line="240" w:lineRule="auto"/>
              <w:jc w:val="center"/>
              <w:rPr>
                <w:b/>
                <w:bCs/>
              </w:rPr>
            </w:pPr>
            <w:r w:rsidRPr="00753981">
              <w:rPr>
                <w:b/>
                <w:bCs/>
              </w:rPr>
              <w:t>n</w:t>
            </w:r>
          </w:p>
        </w:tc>
        <w:tc>
          <w:tcPr>
            <w:tcW w:w="876" w:type="dxa"/>
            <w:shd w:val="clear" w:color="auto" w:fill="auto"/>
            <w:noWrap/>
            <w:vAlign w:val="center"/>
            <w:hideMark/>
          </w:tcPr>
          <w:p w14:paraId="5E37D738" w14:textId="77777777" w:rsidR="00753981" w:rsidRPr="00753981" w:rsidRDefault="00753981" w:rsidP="00753981">
            <w:pPr>
              <w:spacing w:after="0" w:line="240" w:lineRule="auto"/>
              <w:jc w:val="center"/>
              <w:rPr>
                <w:b/>
                <w:bCs/>
              </w:rPr>
            </w:pPr>
            <w:r w:rsidRPr="00753981">
              <w:rPr>
                <w:b/>
                <w:bCs/>
              </w:rPr>
              <w:t>β</w:t>
            </w:r>
          </w:p>
        </w:tc>
        <w:tc>
          <w:tcPr>
            <w:tcW w:w="1674" w:type="dxa"/>
          </w:tcPr>
          <w:p w14:paraId="1F486D1E" w14:textId="5293D11E" w:rsidR="00753981" w:rsidRPr="00753981" w:rsidRDefault="00753981" w:rsidP="00753981">
            <w:pPr>
              <w:spacing w:after="0" w:line="240" w:lineRule="auto"/>
              <w:jc w:val="center"/>
              <w:rPr>
                <w:b/>
                <w:bCs/>
              </w:rPr>
            </w:pPr>
            <w:r w:rsidRPr="00753981">
              <w:rPr>
                <w:b/>
                <w:bCs/>
              </w:rPr>
              <w:t>95% CI</w:t>
            </w:r>
          </w:p>
        </w:tc>
        <w:tc>
          <w:tcPr>
            <w:tcW w:w="990" w:type="dxa"/>
          </w:tcPr>
          <w:p w14:paraId="388ECF59" w14:textId="77777777" w:rsidR="00753981" w:rsidRPr="00753981" w:rsidRDefault="00753981" w:rsidP="00753981">
            <w:pPr>
              <w:spacing w:after="0" w:line="240" w:lineRule="auto"/>
              <w:jc w:val="center"/>
              <w:rPr>
                <w:b/>
                <w:bCs/>
              </w:rPr>
            </w:pPr>
            <w:r w:rsidRPr="00753981">
              <w:rPr>
                <w:b/>
                <w:bCs/>
              </w:rPr>
              <w:t>P-value</w:t>
            </w:r>
          </w:p>
        </w:tc>
      </w:tr>
      <w:tr w:rsidR="00753981" w:rsidRPr="00753981" w14:paraId="28A84935" w14:textId="77777777" w:rsidTr="003E729A">
        <w:trPr>
          <w:trHeight w:val="300"/>
        </w:trPr>
        <w:tc>
          <w:tcPr>
            <w:tcW w:w="4375" w:type="dxa"/>
            <w:shd w:val="clear" w:color="auto" w:fill="auto"/>
            <w:noWrap/>
            <w:vAlign w:val="bottom"/>
            <w:hideMark/>
          </w:tcPr>
          <w:p w14:paraId="1B4C0775" w14:textId="77777777" w:rsidR="00753981" w:rsidRPr="00753981" w:rsidRDefault="00753981" w:rsidP="00753981">
            <w:pPr>
              <w:spacing w:after="0" w:line="240" w:lineRule="auto"/>
            </w:pPr>
            <w:r w:rsidRPr="00753981">
              <w:t xml:space="preserve">WG </w:t>
            </w:r>
            <w:r w:rsidRPr="00753981">
              <w:rPr>
                <w:bCs/>
              </w:rPr>
              <w:t xml:space="preserve">median </w:t>
            </w:r>
            <w:r w:rsidRPr="00753981">
              <w:t>TAQ score</w:t>
            </w:r>
          </w:p>
        </w:tc>
        <w:tc>
          <w:tcPr>
            <w:tcW w:w="876" w:type="dxa"/>
          </w:tcPr>
          <w:p w14:paraId="4EC6CF39" w14:textId="77777777" w:rsidR="00753981" w:rsidRPr="00753981" w:rsidRDefault="00753981" w:rsidP="00753981">
            <w:pPr>
              <w:spacing w:after="0" w:line="240" w:lineRule="auto"/>
              <w:jc w:val="center"/>
            </w:pPr>
            <w:r w:rsidRPr="00753981">
              <w:t>10</w:t>
            </w:r>
          </w:p>
        </w:tc>
        <w:tc>
          <w:tcPr>
            <w:tcW w:w="876" w:type="dxa"/>
            <w:shd w:val="clear" w:color="auto" w:fill="auto"/>
            <w:noWrap/>
            <w:vAlign w:val="bottom"/>
            <w:hideMark/>
          </w:tcPr>
          <w:p w14:paraId="3C088EA1" w14:textId="77777777" w:rsidR="00753981" w:rsidRPr="00753981" w:rsidRDefault="00753981" w:rsidP="00753981">
            <w:pPr>
              <w:spacing w:after="0" w:line="240" w:lineRule="auto"/>
              <w:jc w:val="center"/>
            </w:pPr>
            <w:r w:rsidRPr="00753981">
              <w:t>0.36</w:t>
            </w:r>
          </w:p>
        </w:tc>
        <w:tc>
          <w:tcPr>
            <w:tcW w:w="1674" w:type="dxa"/>
          </w:tcPr>
          <w:p w14:paraId="2F5496EC" w14:textId="77777777" w:rsidR="00753981" w:rsidRPr="00753981" w:rsidRDefault="00753981" w:rsidP="00753981">
            <w:pPr>
              <w:spacing w:after="0" w:line="240" w:lineRule="auto"/>
              <w:jc w:val="center"/>
            </w:pPr>
            <w:r w:rsidRPr="00753981">
              <w:t>-0.13, 0.84</w:t>
            </w:r>
          </w:p>
        </w:tc>
        <w:tc>
          <w:tcPr>
            <w:tcW w:w="990" w:type="dxa"/>
          </w:tcPr>
          <w:p w14:paraId="5B2EACCE" w14:textId="77777777" w:rsidR="00753981" w:rsidRPr="00753981" w:rsidRDefault="00753981" w:rsidP="00753981">
            <w:pPr>
              <w:spacing w:after="0" w:line="240" w:lineRule="auto"/>
              <w:jc w:val="center"/>
            </w:pPr>
            <w:r w:rsidRPr="00753981">
              <w:t>0.19</w:t>
            </w:r>
          </w:p>
        </w:tc>
      </w:tr>
      <w:tr w:rsidR="00753981" w:rsidRPr="00753981" w14:paraId="45236776" w14:textId="77777777" w:rsidTr="003E729A">
        <w:trPr>
          <w:trHeight w:val="300"/>
        </w:trPr>
        <w:tc>
          <w:tcPr>
            <w:tcW w:w="4375" w:type="dxa"/>
            <w:shd w:val="clear" w:color="auto" w:fill="auto"/>
            <w:noWrap/>
            <w:vAlign w:val="bottom"/>
            <w:hideMark/>
          </w:tcPr>
          <w:p w14:paraId="5B0D3F15" w14:textId="77777777" w:rsidR="00753981" w:rsidRPr="00753981" w:rsidRDefault="00753981" w:rsidP="00753981">
            <w:pPr>
              <w:spacing w:after="0" w:line="240" w:lineRule="auto"/>
            </w:pPr>
            <w:r w:rsidRPr="00753981">
              <w:t xml:space="preserve">WG member </w:t>
            </w:r>
            <w:r w:rsidRPr="00753981">
              <w:rPr>
                <w:bCs/>
              </w:rPr>
              <w:t xml:space="preserve">median </w:t>
            </w:r>
            <w:r w:rsidRPr="00753981">
              <w:t>enthusiasm score</w:t>
            </w:r>
          </w:p>
        </w:tc>
        <w:tc>
          <w:tcPr>
            <w:tcW w:w="876" w:type="dxa"/>
          </w:tcPr>
          <w:p w14:paraId="2639F7C0" w14:textId="77777777" w:rsidR="00753981" w:rsidRPr="00753981" w:rsidRDefault="00753981" w:rsidP="00753981">
            <w:pPr>
              <w:spacing w:after="0" w:line="240" w:lineRule="auto"/>
              <w:jc w:val="center"/>
            </w:pPr>
            <w:r w:rsidRPr="00753981">
              <w:t>10</w:t>
            </w:r>
          </w:p>
        </w:tc>
        <w:tc>
          <w:tcPr>
            <w:tcW w:w="876" w:type="dxa"/>
            <w:shd w:val="clear" w:color="auto" w:fill="auto"/>
            <w:noWrap/>
            <w:vAlign w:val="bottom"/>
            <w:hideMark/>
          </w:tcPr>
          <w:p w14:paraId="18E2428A" w14:textId="77777777" w:rsidR="00753981" w:rsidRPr="00753981" w:rsidRDefault="00753981" w:rsidP="00753981">
            <w:pPr>
              <w:spacing w:after="0" w:line="240" w:lineRule="auto"/>
              <w:jc w:val="center"/>
            </w:pPr>
            <w:r w:rsidRPr="00753981">
              <w:t>-0.38</w:t>
            </w:r>
          </w:p>
        </w:tc>
        <w:tc>
          <w:tcPr>
            <w:tcW w:w="1674" w:type="dxa"/>
          </w:tcPr>
          <w:p w14:paraId="3B1F6E0B" w14:textId="77777777" w:rsidR="00753981" w:rsidRPr="00753981" w:rsidRDefault="00753981" w:rsidP="00753981">
            <w:pPr>
              <w:spacing w:after="0" w:line="240" w:lineRule="auto"/>
              <w:jc w:val="center"/>
            </w:pPr>
            <w:r w:rsidRPr="00753981">
              <w:t>-3.27, 2.52</w:t>
            </w:r>
          </w:p>
        </w:tc>
        <w:tc>
          <w:tcPr>
            <w:tcW w:w="990" w:type="dxa"/>
          </w:tcPr>
          <w:p w14:paraId="3FCD6188" w14:textId="77777777" w:rsidR="00753981" w:rsidRPr="00753981" w:rsidRDefault="00753981" w:rsidP="00753981">
            <w:pPr>
              <w:spacing w:after="0" w:line="240" w:lineRule="auto"/>
              <w:jc w:val="center"/>
            </w:pPr>
            <w:r w:rsidRPr="00753981">
              <w:t>0.91</w:t>
            </w:r>
          </w:p>
        </w:tc>
      </w:tr>
      <w:tr w:rsidR="00753981" w:rsidRPr="00753981" w14:paraId="3BDC2401" w14:textId="77777777" w:rsidTr="003E729A">
        <w:trPr>
          <w:trHeight w:val="300"/>
        </w:trPr>
        <w:tc>
          <w:tcPr>
            <w:tcW w:w="4375" w:type="dxa"/>
            <w:shd w:val="clear" w:color="auto" w:fill="auto"/>
            <w:noWrap/>
            <w:vAlign w:val="bottom"/>
            <w:hideMark/>
          </w:tcPr>
          <w:p w14:paraId="7A44F786" w14:textId="77777777" w:rsidR="00753981" w:rsidRPr="00753981" w:rsidRDefault="00753981" w:rsidP="00753981">
            <w:pPr>
              <w:spacing w:after="0" w:line="240" w:lineRule="auto"/>
            </w:pPr>
            <w:r w:rsidRPr="00753981">
              <w:t xml:space="preserve">WG leader </w:t>
            </w:r>
            <w:r w:rsidRPr="00753981">
              <w:rPr>
                <w:bCs/>
              </w:rPr>
              <w:t>median</w:t>
            </w:r>
            <w:r w:rsidRPr="00753981">
              <w:t xml:space="preserve"> enthusiasm score</w:t>
            </w:r>
          </w:p>
        </w:tc>
        <w:tc>
          <w:tcPr>
            <w:tcW w:w="876" w:type="dxa"/>
          </w:tcPr>
          <w:p w14:paraId="42D8D1D5" w14:textId="77777777" w:rsidR="00753981" w:rsidRPr="00753981" w:rsidRDefault="00753981" w:rsidP="00753981">
            <w:pPr>
              <w:spacing w:after="0" w:line="240" w:lineRule="auto"/>
              <w:jc w:val="center"/>
            </w:pPr>
            <w:r w:rsidRPr="00753981">
              <w:t>9</w:t>
            </w:r>
          </w:p>
        </w:tc>
        <w:tc>
          <w:tcPr>
            <w:tcW w:w="876" w:type="dxa"/>
            <w:shd w:val="clear" w:color="auto" w:fill="auto"/>
            <w:noWrap/>
            <w:vAlign w:val="bottom"/>
            <w:hideMark/>
          </w:tcPr>
          <w:p w14:paraId="12F69F7D" w14:textId="77777777" w:rsidR="00753981" w:rsidRPr="00753981" w:rsidRDefault="00753981" w:rsidP="00753981">
            <w:pPr>
              <w:spacing w:after="0" w:line="240" w:lineRule="auto"/>
              <w:jc w:val="center"/>
            </w:pPr>
            <w:r w:rsidRPr="00753981">
              <w:t>0.16</w:t>
            </w:r>
          </w:p>
        </w:tc>
        <w:tc>
          <w:tcPr>
            <w:tcW w:w="1674" w:type="dxa"/>
          </w:tcPr>
          <w:p w14:paraId="1A51405A" w14:textId="77777777" w:rsidR="00753981" w:rsidRPr="00753981" w:rsidRDefault="00753981" w:rsidP="00753981">
            <w:pPr>
              <w:spacing w:after="0" w:line="240" w:lineRule="auto"/>
              <w:jc w:val="center"/>
            </w:pPr>
            <w:r w:rsidRPr="00753981">
              <w:t>-1.55, 1.88</w:t>
            </w:r>
          </w:p>
        </w:tc>
        <w:tc>
          <w:tcPr>
            <w:tcW w:w="990" w:type="dxa"/>
          </w:tcPr>
          <w:p w14:paraId="3A1E6A2D" w14:textId="77777777" w:rsidR="00753981" w:rsidRPr="00753981" w:rsidRDefault="00753981" w:rsidP="00753981">
            <w:pPr>
              <w:spacing w:after="0" w:line="240" w:lineRule="auto"/>
              <w:jc w:val="center"/>
            </w:pPr>
            <w:r w:rsidRPr="00753981">
              <w:t>0.81</w:t>
            </w:r>
          </w:p>
        </w:tc>
      </w:tr>
      <w:tr w:rsidR="00753981" w:rsidRPr="00753981" w14:paraId="302CAAE9" w14:textId="77777777" w:rsidTr="003E729A">
        <w:trPr>
          <w:trHeight w:val="300"/>
        </w:trPr>
        <w:tc>
          <w:tcPr>
            <w:tcW w:w="4375" w:type="dxa"/>
            <w:shd w:val="clear" w:color="auto" w:fill="auto"/>
            <w:noWrap/>
            <w:vAlign w:val="bottom"/>
            <w:hideMark/>
          </w:tcPr>
          <w:p w14:paraId="075E042C" w14:textId="77777777" w:rsidR="00753981" w:rsidRPr="00753981" w:rsidRDefault="00753981" w:rsidP="00753981">
            <w:pPr>
              <w:spacing w:after="0" w:line="240" w:lineRule="auto"/>
            </w:pPr>
            <w:r w:rsidRPr="00753981">
              <w:t xml:space="preserve">WG leader </w:t>
            </w:r>
            <w:r w:rsidRPr="00753981">
              <w:rPr>
                <w:bCs/>
              </w:rPr>
              <w:t>median</w:t>
            </w:r>
            <w:r w:rsidRPr="00753981">
              <w:t xml:space="preserve"> % effort in research</w:t>
            </w:r>
          </w:p>
        </w:tc>
        <w:tc>
          <w:tcPr>
            <w:tcW w:w="876" w:type="dxa"/>
          </w:tcPr>
          <w:p w14:paraId="3CD2BC3D" w14:textId="77777777" w:rsidR="00753981" w:rsidRPr="00753981" w:rsidRDefault="00753981" w:rsidP="00753981">
            <w:pPr>
              <w:spacing w:after="0" w:line="240" w:lineRule="auto"/>
              <w:jc w:val="center"/>
            </w:pPr>
            <w:r w:rsidRPr="00753981">
              <w:t>9</w:t>
            </w:r>
          </w:p>
        </w:tc>
        <w:tc>
          <w:tcPr>
            <w:tcW w:w="876" w:type="dxa"/>
            <w:shd w:val="clear" w:color="auto" w:fill="auto"/>
            <w:noWrap/>
            <w:vAlign w:val="bottom"/>
            <w:hideMark/>
          </w:tcPr>
          <w:p w14:paraId="7B8C4919" w14:textId="77777777" w:rsidR="00753981" w:rsidRPr="00753981" w:rsidRDefault="00753981" w:rsidP="00753981">
            <w:pPr>
              <w:spacing w:after="0" w:line="240" w:lineRule="auto"/>
              <w:jc w:val="center"/>
            </w:pPr>
            <w:r w:rsidRPr="00753981">
              <w:t>-0.02</w:t>
            </w:r>
          </w:p>
        </w:tc>
        <w:tc>
          <w:tcPr>
            <w:tcW w:w="1674" w:type="dxa"/>
          </w:tcPr>
          <w:p w14:paraId="4FDD3539" w14:textId="77777777" w:rsidR="00753981" w:rsidRPr="00753981" w:rsidRDefault="00753981" w:rsidP="00753981">
            <w:pPr>
              <w:spacing w:after="0" w:line="240" w:lineRule="auto"/>
              <w:jc w:val="center"/>
            </w:pPr>
            <w:r w:rsidRPr="00753981">
              <w:t>-0.07, 0.03</w:t>
            </w:r>
          </w:p>
        </w:tc>
        <w:tc>
          <w:tcPr>
            <w:tcW w:w="990" w:type="dxa"/>
          </w:tcPr>
          <w:p w14:paraId="744FB055" w14:textId="77777777" w:rsidR="00753981" w:rsidRPr="00753981" w:rsidRDefault="00753981" w:rsidP="00753981">
            <w:pPr>
              <w:spacing w:after="0" w:line="240" w:lineRule="auto"/>
              <w:jc w:val="center"/>
            </w:pPr>
            <w:r w:rsidRPr="00753981">
              <w:t>0.89</w:t>
            </w:r>
          </w:p>
        </w:tc>
      </w:tr>
      <w:tr w:rsidR="00753981" w:rsidRPr="00753981" w14:paraId="742CC0A1" w14:textId="77777777" w:rsidTr="003E729A">
        <w:trPr>
          <w:trHeight w:val="300"/>
        </w:trPr>
        <w:tc>
          <w:tcPr>
            <w:tcW w:w="4375" w:type="dxa"/>
            <w:shd w:val="clear" w:color="auto" w:fill="auto"/>
            <w:noWrap/>
            <w:vAlign w:val="bottom"/>
            <w:hideMark/>
          </w:tcPr>
          <w:p w14:paraId="3CA57434" w14:textId="77777777" w:rsidR="00753981" w:rsidRPr="00753981" w:rsidRDefault="00753981" w:rsidP="00753981">
            <w:pPr>
              <w:spacing w:after="0" w:line="240" w:lineRule="auto"/>
            </w:pPr>
            <w:r w:rsidRPr="00753981">
              <w:t xml:space="preserve">WG leader </w:t>
            </w:r>
            <w:r w:rsidRPr="00753981">
              <w:rPr>
                <w:bCs/>
              </w:rPr>
              <w:t>median</w:t>
            </w:r>
            <w:r w:rsidRPr="00753981">
              <w:t xml:space="preserve"> % effort in clinical</w:t>
            </w:r>
          </w:p>
        </w:tc>
        <w:tc>
          <w:tcPr>
            <w:tcW w:w="876" w:type="dxa"/>
          </w:tcPr>
          <w:p w14:paraId="3267B446" w14:textId="77777777" w:rsidR="00753981" w:rsidRPr="00753981" w:rsidRDefault="00753981" w:rsidP="00753981">
            <w:pPr>
              <w:spacing w:after="0" w:line="240" w:lineRule="auto"/>
              <w:jc w:val="center"/>
            </w:pPr>
            <w:r w:rsidRPr="00753981">
              <w:t>9</w:t>
            </w:r>
          </w:p>
        </w:tc>
        <w:tc>
          <w:tcPr>
            <w:tcW w:w="876" w:type="dxa"/>
            <w:shd w:val="clear" w:color="auto" w:fill="auto"/>
            <w:noWrap/>
            <w:vAlign w:val="bottom"/>
            <w:hideMark/>
          </w:tcPr>
          <w:p w14:paraId="4F7BC2E9" w14:textId="77777777" w:rsidR="00753981" w:rsidRPr="00753981" w:rsidRDefault="00753981" w:rsidP="00753981">
            <w:pPr>
              <w:spacing w:after="0" w:line="240" w:lineRule="auto"/>
              <w:jc w:val="center"/>
            </w:pPr>
            <w:r w:rsidRPr="00753981">
              <w:t>0.003</w:t>
            </w:r>
          </w:p>
        </w:tc>
        <w:tc>
          <w:tcPr>
            <w:tcW w:w="1674" w:type="dxa"/>
          </w:tcPr>
          <w:p w14:paraId="59F14A8C" w14:textId="77777777" w:rsidR="00753981" w:rsidRPr="00753981" w:rsidRDefault="00753981" w:rsidP="00753981">
            <w:pPr>
              <w:spacing w:after="0" w:line="240" w:lineRule="auto"/>
              <w:jc w:val="center"/>
            </w:pPr>
            <w:r w:rsidRPr="00753981">
              <w:t>-0.05, 0.06</w:t>
            </w:r>
          </w:p>
        </w:tc>
        <w:tc>
          <w:tcPr>
            <w:tcW w:w="990" w:type="dxa"/>
          </w:tcPr>
          <w:p w14:paraId="18C5B7E6" w14:textId="77777777" w:rsidR="00753981" w:rsidRPr="00753981" w:rsidRDefault="00753981" w:rsidP="00753981">
            <w:pPr>
              <w:spacing w:after="0" w:line="240" w:lineRule="auto"/>
              <w:jc w:val="center"/>
            </w:pPr>
            <w:r w:rsidRPr="00753981">
              <w:t>0.86</w:t>
            </w:r>
          </w:p>
        </w:tc>
      </w:tr>
      <w:tr w:rsidR="00753981" w:rsidRPr="00753981" w14:paraId="1337C753" w14:textId="77777777" w:rsidTr="003E729A">
        <w:trPr>
          <w:trHeight w:val="300"/>
        </w:trPr>
        <w:tc>
          <w:tcPr>
            <w:tcW w:w="4375" w:type="dxa"/>
            <w:shd w:val="clear" w:color="auto" w:fill="auto"/>
            <w:noWrap/>
            <w:vAlign w:val="bottom"/>
            <w:hideMark/>
          </w:tcPr>
          <w:p w14:paraId="73E6C4AA" w14:textId="77777777" w:rsidR="00753981" w:rsidRPr="00753981" w:rsidRDefault="00753981" w:rsidP="00753981">
            <w:pPr>
              <w:spacing w:after="0" w:line="240" w:lineRule="auto"/>
            </w:pPr>
            <w:r w:rsidRPr="00753981">
              <w:t xml:space="preserve">WG leader </w:t>
            </w:r>
            <w:r w:rsidRPr="00753981">
              <w:rPr>
                <w:bCs/>
              </w:rPr>
              <w:t>median</w:t>
            </w:r>
            <w:r w:rsidRPr="00753981">
              <w:t xml:space="preserve"> % effort in education</w:t>
            </w:r>
          </w:p>
        </w:tc>
        <w:tc>
          <w:tcPr>
            <w:tcW w:w="876" w:type="dxa"/>
          </w:tcPr>
          <w:p w14:paraId="7713A86A" w14:textId="77777777" w:rsidR="00753981" w:rsidRPr="00753981" w:rsidRDefault="00753981" w:rsidP="00753981">
            <w:pPr>
              <w:spacing w:after="0" w:line="240" w:lineRule="auto"/>
              <w:jc w:val="center"/>
            </w:pPr>
            <w:r w:rsidRPr="00753981">
              <w:t>9</w:t>
            </w:r>
          </w:p>
        </w:tc>
        <w:tc>
          <w:tcPr>
            <w:tcW w:w="876" w:type="dxa"/>
            <w:shd w:val="clear" w:color="auto" w:fill="auto"/>
            <w:noWrap/>
            <w:vAlign w:val="bottom"/>
            <w:hideMark/>
          </w:tcPr>
          <w:p w14:paraId="4830D1AF" w14:textId="77777777" w:rsidR="00753981" w:rsidRPr="00753981" w:rsidRDefault="00753981" w:rsidP="00753981">
            <w:pPr>
              <w:spacing w:after="0" w:line="240" w:lineRule="auto"/>
              <w:jc w:val="center"/>
            </w:pPr>
            <w:r w:rsidRPr="00753981">
              <w:t>0.006</w:t>
            </w:r>
          </w:p>
        </w:tc>
        <w:tc>
          <w:tcPr>
            <w:tcW w:w="1674" w:type="dxa"/>
          </w:tcPr>
          <w:p w14:paraId="13E90510" w14:textId="77777777" w:rsidR="00753981" w:rsidRPr="00753981" w:rsidRDefault="00753981" w:rsidP="00753981">
            <w:pPr>
              <w:spacing w:after="0" w:line="240" w:lineRule="auto"/>
              <w:jc w:val="center"/>
            </w:pPr>
            <w:r w:rsidRPr="00753981">
              <w:t>-0.08, 0.09</w:t>
            </w:r>
          </w:p>
        </w:tc>
        <w:tc>
          <w:tcPr>
            <w:tcW w:w="990" w:type="dxa"/>
          </w:tcPr>
          <w:p w14:paraId="6D73EC29" w14:textId="77777777" w:rsidR="00753981" w:rsidRPr="00753981" w:rsidRDefault="00753981" w:rsidP="00753981">
            <w:pPr>
              <w:spacing w:after="0" w:line="240" w:lineRule="auto"/>
              <w:jc w:val="center"/>
            </w:pPr>
            <w:r w:rsidRPr="00753981">
              <w:t>0.44</w:t>
            </w:r>
          </w:p>
        </w:tc>
      </w:tr>
      <w:tr w:rsidR="00753981" w:rsidRPr="00753981" w14:paraId="23F3CB5A" w14:textId="77777777" w:rsidTr="003E729A">
        <w:trPr>
          <w:trHeight w:val="300"/>
        </w:trPr>
        <w:tc>
          <w:tcPr>
            <w:tcW w:w="4375" w:type="dxa"/>
            <w:shd w:val="clear" w:color="auto" w:fill="auto"/>
            <w:noWrap/>
            <w:vAlign w:val="bottom"/>
            <w:hideMark/>
          </w:tcPr>
          <w:p w14:paraId="5DE67A51" w14:textId="77777777" w:rsidR="00753981" w:rsidRPr="00753981" w:rsidRDefault="00753981" w:rsidP="00753981">
            <w:pPr>
              <w:spacing w:after="0" w:line="240" w:lineRule="auto"/>
            </w:pPr>
            <w:r w:rsidRPr="00753981">
              <w:t xml:space="preserve">WG leader </w:t>
            </w:r>
            <w:r w:rsidRPr="00753981">
              <w:rPr>
                <w:bCs/>
              </w:rPr>
              <w:t>median</w:t>
            </w:r>
            <w:r w:rsidRPr="00753981">
              <w:t xml:space="preserve"> % effort in admin</w:t>
            </w:r>
          </w:p>
        </w:tc>
        <w:tc>
          <w:tcPr>
            <w:tcW w:w="876" w:type="dxa"/>
          </w:tcPr>
          <w:p w14:paraId="6DEF53FC" w14:textId="77777777" w:rsidR="00753981" w:rsidRPr="00753981" w:rsidRDefault="00753981" w:rsidP="00753981">
            <w:pPr>
              <w:spacing w:after="0" w:line="240" w:lineRule="auto"/>
              <w:jc w:val="center"/>
            </w:pPr>
            <w:r w:rsidRPr="00753981">
              <w:t>9</w:t>
            </w:r>
          </w:p>
        </w:tc>
        <w:tc>
          <w:tcPr>
            <w:tcW w:w="876" w:type="dxa"/>
            <w:shd w:val="clear" w:color="auto" w:fill="auto"/>
            <w:noWrap/>
            <w:vAlign w:val="bottom"/>
            <w:hideMark/>
          </w:tcPr>
          <w:p w14:paraId="1175CD3B" w14:textId="77777777" w:rsidR="00753981" w:rsidRPr="00753981" w:rsidRDefault="00753981" w:rsidP="00753981">
            <w:pPr>
              <w:spacing w:after="0" w:line="240" w:lineRule="auto"/>
              <w:jc w:val="center"/>
            </w:pPr>
            <w:r w:rsidRPr="00753981">
              <w:t>0.03</w:t>
            </w:r>
          </w:p>
        </w:tc>
        <w:tc>
          <w:tcPr>
            <w:tcW w:w="1674" w:type="dxa"/>
          </w:tcPr>
          <w:p w14:paraId="6F4F0C73" w14:textId="77777777" w:rsidR="00753981" w:rsidRPr="00753981" w:rsidRDefault="00753981" w:rsidP="00753981">
            <w:pPr>
              <w:spacing w:after="0" w:line="240" w:lineRule="auto"/>
              <w:jc w:val="center"/>
            </w:pPr>
            <w:r w:rsidRPr="00753981">
              <w:t>-0.04, 0.09</w:t>
            </w:r>
          </w:p>
        </w:tc>
        <w:tc>
          <w:tcPr>
            <w:tcW w:w="990" w:type="dxa"/>
          </w:tcPr>
          <w:p w14:paraId="469D8493" w14:textId="77777777" w:rsidR="00753981" w:rsidRPr="00753981" w:rsidRDefault="00753981" w:rsidP="00753981">
            <w:pPr>
              <w:spacing w:after="0" w:line="240" w:lineRule="auto"/>
              <w:jc w:val="center"/>
            </w:pPr>
            <w:r w:rsidRPr="00753981">
              <w:t>0.46</w:t>
            </w:r>
          </w:p>
        </w:tc>
      </w:tr>
    </w:tbl>
    <w:p w14:paraId="5ACD0E44" w14:textId="77777777" w:rsidR="00753981" w:rsidRPr="00753981" w:rsidRDefault="00753981" w:rsidP="00753981">
      <w:pPr>
        <w:spacing w:after="0" w:line="240" w:lineRule="auto"/>
      </w:pPr>
      <w:r w:rsidRPr="00753981">
        <w:t>β, unadjusted beta coefficient; CI, confidence interval; TAQ, Team Assessment Questionnaire; WG, Working Group</w:t>
      </w:r>
    </w:p>
    <w:p w14:paraId="07A926FD" w14:textId="25DFCF9F" w:rsidR="00753981" w:rsidRPr="00753981" w:rsidRDefault="00753981" w:rsidP="00753981">
      <w:pPr>
        <w:spacing w:after="0" w:line="240" w:lineRule="auto"/>
      </w:pPr>
      <w:r w:rsidRPr="00753981">
        <w:rPr>
          <w:vertAlign w:val="superscript"/>
        </w:rPr>
        <w:t>a</w:t>
      </w:r>
      <w:r w:rsidRPr="00753981">
        <w:t xml:space="preserve"> Results produced from unadjusted linear regression models with </w:t>
      </w:r>
      <w:r>
        <w:t xml:space="preserve">the </w:t>
      </w:r>
      <w:r w:rsidRPr="00753981">
        <w:t xml:space="preserve">dependent variable </w:t>
      </w:r>
      <w:r>
        <w:t xml:space="preserve">of the raw </w:t>
      </w:r>
      <w:r w:rsidRPr="00753981">
        <w:t>final report assessment score</w:t>
      </w:r>
    </w:p>
    <w:p w14:paraId="71C435FF" w14:textId="5C7AE592" w:rsidR="00DC5E46" w:rsidRDefault="00DC5E46" w:rsidP="00DC5E46">
      <w:pPr>
        <w:spacing w:after="0" w:line="240" w:lineRule="auto"/>
      </w:pPr>
    </w:p>
    <w:sectPr w:rsidR="00DC5E46" w:rsidSect="00327DA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5D"/>
    <w:rsid w:val="00001D7E"/>
    <w:rsid w:val="00023F9E"/>
    <w:rsid w:val="00030C92"/>
    <w:rsid w:val="00033959"/>
    <w:rsid w:val="0003402F"/>
    <w:rsid w:val="0004075B"/>
    <w:rsid w:val="00041B23"/>
    <w:rsid w:val="0004249D"/>
    <w:rsid w:val="0004463E"/>
    <w:rsid w:val="00051DFC"/>
    <w:rsid w:val="00061F93"/>
    <w:rsid w:val="00076935"/>
    <w:rsid w:val="000839C6"/>
    <w:rsid w:val="00085530"/>
    <w:rsid w:val="0008607D"/>
    <w:rsid w:val="000A43FD"/>
    <w:rsid w:val="000B1D6A"/>
    <w:rsid w:val="000B6FF7"/>
    <w:rsid w:val="000C1495"/>
    <w:rsid w:val="000C427D"/>
    <w:rsid w:val="000D484D"/>
    <w:rsid w:val="000D6844"/>
    <w:rsid w:val="000F4E3A"/>
    <w:rsid w:val="00100493"/>
    <w:rsid w:val="00101626"/>
    <w:rsid w:val="00103DDE"/>
    <w:rsid w:val="00106D0E"/>
    <w:rsid w:val="0012390B"/>
    <w:rsid w:val="00124ABC"/>
    <w:rsid w:val="00130482"/>
    <w:rsid w:val="00130C79"/>
    <w:rsid w:val="0013488C"/>
    <w:rsid w:val="00135F05"/>
    <w:rsid w:val="00141471"/>
    <w:rsid w:val="00143E94"/>
    <w:rsid w:val="00144933"/>
    <w:rsid w:val="001455CD"/>
    <w:rsid w:val="00145E5B"/>
    <w:rsid w:val="00153904"/>
    <w:rsid w:val="001558D1"/>
    <w:rsid w:val="001703F6"/>
    <w:rsid w:val="00170CAE"/>
    <w:rsid w:val="001753F2"/>
    <w:rsid w:val="001757BF"/>
    <w:rsid w:val="001762A5"/>
    <w:rsid w:val="001762B8"/>
    <w:rsid w:val="0018072F"/>
    <w:rsid w:val="0019556C"/>
    <w:rsid w:val="00195CD4"/>
    <w:rsid w:val="00197CD5"/>
    <w:rsid w:val="001A3850"/>
    <w:rsid w:val="001C3C26"/>
    <w:rsid w:val="001E36BA"/>
    <w:rsid w:val="001E6DC7"/>
    <w:rsid w:val="001F4EAD"/>
    <w:rsid w:val="0021117F"/>
    <w:rsid w:val="00215180"/>
    <w:rsid w:val="00215424"/>
    <w:rsid w:val="002353E1"/>
    <w:rsid w:val="00242098"/>
    <w:rsid w:val="00247333"/>
    <w:rsid w:val="002505C3"/>
    <w:rsid w:val="00253443"/>
    <w:rsid w:val="00254D01"/>
    <w:rsid w:val="00262354"/>
    <w:rsid w:val="00263C7B"/>
    <w:rsid w:val="00263E05"/>
    <w:rsid w:val="00264BA1"/>
    <w:rsid w:val="002659C6"/>
    <w:rsid w:val="00267878"/>
    <w:rsid w:val="002766E7"/>
    <w:rsid w:val="00280A55"/>
    <w:rsid w:val="0028245A"/>
    <w:rsid w:val="00285313"/>
    <w:rsid w:val="00295F09"/>
    <w:rsid w:val="0029757B"/>
    <w:rsid w:val="002A1D27"/>
    <w:rsid w:val="002A59A2"/>
    <w:rsid w:val="002A6722"/>
    <w:rsid w:val="002A692C"/>
    <w:rsid w:val="002A7702"/>
    <w:rsid w:val="002B7D67"/>
    <w:rsid w:val="002C1339"/>
    <w:rsid w:val="002C38B3"/>
    <w:rsid w:val="002D1CCA"/>
    <w:rsid w:val="002D714D"/>
    <w:rsid w:val="002E3D4F"/>
    <w:rsid w:val="002F172D"/>
    <w:rsid w:val="002F6799"/>
    <w:rsid w:val="0030750D"/>
    <w:rsid w:val="0031216E"/>
    <w:rsid w:val="00312EF8"/>
    <w:rsid w:val="00314E6D"/>
    <w:rsid w:val="00314FED"/>
    <w:rsid w:val="003262A5"/>
    <w:rsid w:val="00327A84"/>
    <w:rsid w:val="00327DAA"/>
    <w:rsid w:val="003300B2"/>
    <w:rsid w:val="0033098B"/>
    <w:rsid w:val="003332CE"/>
    <w:rsid w:val="003350DD"/>
    <w:rsid w:val="00336836"/>
    <w:rsid w:val="003520EF"/>
    <w:rsid w:val="0036055A"/>
    <w:rsid w:val="00363A64"/>
    <w:rsid w:val="00366C14"/>
    <w:rsid w:val="00375E03"/>
    <w:rsid w:val="00383EBD"/>
    <w:rsid w:val="00387969"/>
    <w:rsid w:val="00394F54"/>
    <w:rsid w:val="0039660B"/>
    <w:rsid w:val="003A6F4D"/>
    <w:rsid w:val="003A7267"/>
    <w:rsid w:val="003B090C"/>
    <w:rsid w:val="003B3084"/>
    <w:rsid w:val="003B3E29"/>
    <w:rsid w:val="003B775F"/>
    <w:rsid w:val="003C27CE"/>
    <w:rsid w:val="003C2CE7"/>
    <w:rsid w:val="003C6B6E"/>
    <w:rsid w:val="003C6DB9"/>
    <w:rsid w:val="003D27D7"/>
    <w:rsid w:val="003D2C0E"/>
    <w:rsid w:val="003D3EA0"/>
    <w:rsid w:val="003D4B05"/>
    <w:rsid w:val="003D4B07"/>
    <w:rsid w:val="003D513F"/>
    <w:rsid w:val="003E3216"/>
    <w:rsid w:val="003F10B7"/>
    <w:rsid w:val="003F4471"/>
    <w:rsid w:val="003F7091"/>
    <w:rsid w:val="00402D16"/>
    <w:rsid w:val="00406C4E"/>
    <w:rsid w:val="00412AE8"/>
    <w:rsid w:val="00412F1D"/>
    <w:rsid w:val="004155DC"/>
    <w:rsid w:val="00420980"/>
    <w:rsid w:val="00421B51"/>
    <w:rsid w:val="00427A5F"/>
    <w:rsid w:val="00434627"/>
    <w:rsid w:val="00436BB3"/>
    <w:rsid w:val="00437A71"/>
    <w:rsid w:val="00440284"/>
    <w:rsid w:val="00450C6B"/>
    <w:rsid w:val="00453FB0"/>
    <w:rsid w:val="004606D8"/>
    <w:rsid w:val="00461AEA"/>
    <w:rsid w:val="004660A4"/>
    <w:rsid w:val="0047040C"/>
    <w:rsid w:val="0047076C"/>
    <w:rsid w:val="0047082E"/>
    <w:rsid w:val="00470B8D"/>
    <w:rsid w:val="00474AC4"/>
    <w:rsid w:val="00476AE3"/>
    <w:rsid w:val="00477B8E"/>
    <w:rsid w:val="004869EF"/>
    <w:rsid w:val="00496E3D"/>
    <w:rsid w:val="004A35EA"/>
    <w:rsid w:val="004A625E"/>
    <w:rsid w:val="004B0EA1"/>
    <w:rsid w:val="004B7145"/>
    <w:rsid w:val="004C1487"/>
    <w:rsid w:val="004C16C8"/>
    <w:rsid w:val="004C3C4C"/>
    <w:rsid w:val="004C4CB8"/>
    <w:rsid w:val="004D1979"/>
    <w:rsid w:val="004D1CCB"/>
    <w:rsid w:val="004D5071"/>
    <w:rsid w:val="004D51AB"/>
    <w:rsid w:val="004E1782"/>
    <w:rsid w:val="004E2167"/>
    <w:rsid w:val="004E3D26"/>
    <w:rsid w:val="004F3644"/>
    <w:rsid w:val="00522490"/>
    <w:rsid w:val="005277AC"/>
    <w:rsid w:val="005338D6"/>
    <w:rsid w:val="00534A15"/>
    <w:rsid w:val="005362C2"/>
    <w:rsid w:val="0055413A"/>
    <w:rsid w:val="005548B1"/>
    <w:rsid w:val="00563300"/>
    <w:rsid w:val="005739B7"/>
    <w:rsid w:val="00575063"/>
    <w:rsid w:val="00575EE3"/>
    <w:rsid w:val="00577791"/>
    <w:rsid w:val="0058124A"/>
    <w:rsid w:val="005819A5"/>
    <w:rsid w:val="00585BDF"/>
    <w:rsid w:val="00587FD6"/>
    <w:rsid w:val="00592D27"/>
    <w:rsid w:val="005967B6"/>
    <w:rsid w:val="0059736E"/>
    <w:rsid w:val="005A06F0"/>
    <w:rsid w:val="005B16AE"/>
    <w:rsid w:val="005B1800"/>
    <w:rsid w:val="005B6A7A"/>
    <w:rsid w:val="005B7729"/>
    <w:rsid w:val="005C130D"/>
    <w:rsid w:val="005C4AAD"/>
    <w:rsid w:val="005C4DDA"/>
    <w:rsid w:val="005C719A"/>
    <w:rsid w:val="005D4C99"/>
    <w:rsid w:val="005E0C8A"/>
    <w:rsid w:val="005E2097"/>
    <w:rsid w:val="005E20CB"/>
    <w:rsid w:val="005E346A"/>
    <w:rsid w:val="005F3717"/>
    <w:rsid w:val="005F5A0C"/>
    <w:rsid w:val="005F7C39"/>
    <w:rsid w:val="00605174"/>
    <w:rsid w:val="00616BD8"/>
    <w:rsid w:val="00616D6D"/>
    <w:rsid w:val="0062050F"/>
    <w:rsid w:val="0062321C"/>
    <w:rsid w:val="00626C9D"/>
    <w:rsid w:val="00627CD4"/>
    <w:rsid w:val="0063398F"/>
    <w:rsid w:val="00640592"/>
    <w:rsid w:val="006417A9"/>
    <w:rsid w:val="00650066"/>
    <w:rsid w:val="0065131B"/>
    <w:rsid w:val="00657AC1"/>
    <w:rsid w:val="0066391C"/>
    <w:rsid w:val="00671AED"/>
    <w:rsid w:val="00676654"/>
    <w:rsid w:val="00677E42"/>
    <w:rsid w:val="006A27C7"/>
    <w:rsid w:val="006A31A6"/>
    <w:rsid w:val="006A6F46"/>
    <w:rsid w:val="006B10D1"/>
    <w:rsid w:val="006B2743"/>
    <w:rsid w:val="006B3779"/>
    <w:rsid w:val="006B5922"/>
    <w:rsid w:val="006C2E26"/>
    <w:rsid w:val="006C7A55"/>
    <w:rsid w:val="006D09DB"/>
    <w:rsid w:val="006E2E7C"/>
    <w:rsid w:val="006F015C"/>
    <w:rsid w:val="006F1820"/>
    <w:rsid w:val="006F3332"/>
    <w:rsid w:val="006F70F6"/>
    <w:rsid w:val="007064EB"/>
    <w:rsid w:val="00712D0C"/>
    <w:rsid w:val="00716CCA"/>
    <w:rsid w:val="007179F2"/>
    <w:rsid w:val="00730B44"/>
    <w:rsid w:val="0073157E"/>
    <w:rsid w:val="00734D2E"/>
    <w:rsid w:val="00736370"/>
    <w:rsid w:val="0073795E"/>
    <w:rsid w:val="007404DE"/>
    <w:rsid w:val="00742625"/>
    <w:rsid w:val="00750C88"/>
    <w:rsid w:val="00753981"/>
    <w:rsid w:val="00755970"/>
    <w:rsid w:val="00764092"/>
    <w:rsid w:val="00774107"/>
    <w:rsid w:val="00774285"/>
    <w:rsid w:val="007744E1"/>
    <w:rsid w:val="00775D50"/>
    <w:rsid w:val="0078164E"/>
    <w:rsid w:val="0078481B"/>
    <w:rsid w:val="00785B4D"/>
    <w:rsid w:val="007868BD"/>
    <w:rsid w:val="00787D1A"/>
    <w:rsid w:val="007902C1"/>
    <w:rsid w:val="00795350"/>
    <w:rsid w:val="00795C16"/>
    <w:rsid w:val="007A6E07"/>
    <w:rsid w:val="007B52D5"/>
    <w:rsid w:val="007C27A1"/>
    <w:rsid w:val="007C3A4E"/>
    <w:rsid w:val="007C5E0A"/>
    <w:rsid w:val="007D50E4"/>
    <w:rsid w:val="007E0285"/>
    <w:rsid w:val="007E0942"/>
    <w:rsid w:val="007E1627"/>
    <w:rsid w:val="007E4113"/>
    <w:rsid w:val="007E6E5E"/>
    <w:rsid w:val="00806EAA"/>
    <w:rsid w:val="0081727D"/>
    <w:rsid w:val="008246C9"/>
    <w:rsid w:val="00827F57"/>
    <w:rsid w:val="00830165"/>
    <w:rsid w:val="00830AA2"/>
    <w:rsid w:val="00833D98"/>
    <w:rsid w:val="008403F5"/>
    <w:rsid w:val="0084130B"/>
    <w:rsid w:val="00844304"/>
    <w:rsid w:val="008543D1"/>
    <w:rsid w:val="00856652"/>
    <w:rsid w:val="00860175"/>
    <w:rsid w:val="00860EBC"/>
    <w:rsid w:val="008625F3"/>
    <w:rsid w:val="00864194"/>
    <w:rsid w:val="00877C31"/>
    <w:rsid w:val="00882E70"/>
    <w:rsid w:val="008847A6"/>
    <w:rsid w:val="00886219"/>
    <w:rsid w:val="008970C7"/>
    <w:rsid w:val="008A3B6C"/>
    <w:rsid w:val="008B0EEC"/>
    <w:rsid w:val="008B0FA9"/>
    <w:rsid w:val="008B1435"/>
    <w:rsid w:val="008B156C"/>
    <w:rsid w:val="008B4E60"/>
    <w:rsid w:val="008C0FBB"/>
    <w:rsid w:val="008C36F7"/>
    <w:rsid w:val="008C39C7"/>
    <w:rsid w:val="008E4A36"/>
    <w:rsid w:val="008E53CE"/>
    <w:rsid w:val="008F1DAC"/>
    <w:rsid w:val="008F33B7"/>
    <w:rsid w:val="00900472"/>
    <w:rsid w:val="009023FE"/>
    <w:rsid w:val="00905731"/>
    <w:rsid w:val="00905DAB"/>
    <w:rsid w:val="00915523"/>
    <w:rsid w:val="0091654C"/>
    <w:rsid w:val="00921BEB"/>
    <w:rsid w:val="0092621A"/>
    <w:rsid w:val="00931FC2"/>
    <w:rsid w:val="00940639"/>
    <w:rsid w:val="00947C6F"/>
    <w:rsid w:val="00952AFE"/>
    <w:rsid w:val="00962E29"/>
    <w:rsid w:val="00967438"/>
    <w:rsid w:val="00974E98"/>
    <w:rsid w:val="00982FAD"/>
    <w:rsid w:val="009843DD"/>
    <w:rsid w:val="0098683A"/>
    <w:rsid w:val="009909F4"/>
    <w:rsid w:val="00992048"/>
    <w:rsid w:val="00997BF1"/>
    <w:rsid w:val="009A4D1E"/>
    <w:rsid w:val="009B7110"/>
    <w:rsid w:val="009B7A44"/>
    <w:rsid w:val="009C4090"/>
    <w:rsid w:val="009C625E"/>
    <w:rsid w:val="009D4B9D"/>
    <w:rsid w:val="009D50B1"/>
    <w:rsid w:val="009D5507"/>
    <w:rsid w:val="009D6334"/>
    <w:rsid w:val="009E0C16"/>
    <w:rsid w:val="009E485D"/>
    <w:rsid w:val="009E7707"/>
    <w:rsid w:val="009F6E9F"/>
    <w:rsid w:val="00A01895"/>
    <w:rsid w:val="00A020BE"/>
    <w:rsid w:val="00A113FE"/>
    <w:rsid w:val="00A16843"/>
    <w:rsid w:val="00A22058"/>
    <w:rsid w:val="00A2259E"/>
    <w:rsid w:val="00A25039"/>
    <w:rsid w:val="00A35122"/>
    <w:rsid w:val="00A356EA"/>
    <w:rsid w:val="00A3761C"/>
    <w:rsid w:val="00A400B3"/>
    <w:rsid w:val="00A41A88"/>
    <w:rsid w:val="00A57303"/>
    <w:rsid w:val="00A607F5"/>
    <w:rsid w:val="00A61D5E"/>
    <w:rsid w:val="00A637B7"/>
    <w:rsid w:val="00A7156C"/>
    <w:rsid w:val="00A81B8C"/>
    <w:rsid w:val="00A925F9"/>
    <w:rsid w:val="00AA30D1"/>
    <w:rsid w:val="00AA5454"/>
    <w:rsid w:val="00AB0471"/>
    <w:rsid w:val="00AC032D"/>
    <w:rsid w:val="00AC4993"/>
    <w:rsid w:val="00AC58A7"/>
    <w:rsid w:val="00AC6F8C"/>
    <w:rsid w:val="00AD1A71"/>
    <w:rsid w:val="00AD3D2E"/>
    <w:rsid w:val="00AD5602"/>
    <w:rsid w:val="00AE34A3"/>
    <w:rsid w:val="00AE5075"/>
    <w:rsid w:val="00AF542F"/>
    <w:rsid w:val="00B018EA"/>
    <w:rsid w:val="00B022C4"/>
    <w:rsid w:val="00B02B3B"/>
    <w:rsid w:val="00B12B7F"/>
    <w:rsid w:val="00B14690"/>
    <w:rsid w:val="00B1495A"/>
    <w:rsid w:val="00B35482"/>
    <w:rsid w:val="00B437C5"/>
    <w:rsid w:val="00B440F5"/>
    <w:rsid w:val="00B503BB"/>
    <w:rsid w:val="00B50EC4"/>
    <w:rsid w:val="00B60216"/>
    <w:rsid w:val="00B61186"/>
    <w:rsid w:val="00B67429"/>
    <w:rsid w:val="00B758AF"/>
    <w:rsid w:val="00B75DC8"/>
    <w:rsid w:val="00B7644F"/>
    <w:rsid w:val="00B85C41"/>
    <w:rsid w:val="00B879B6"/>
    <w:rsid w:val="00B91054"/>
    <w:rsid w:val="00B91996"/>
    <w:rsid w:val="00B920B9"/>
    <w:rsid w:val="00B93D5D"/>
    <w:rsid w:val="00BA34FE"/>
    <w:rsid w:val="00BA58C6"/>
    <w:rsid w:val="00BB0FC9"/>
    <w:rsid w:val="00BB5D93"/>
    <w:rsid w:val="00BC3187"/>
    <w:rsid w:val="00BD003D"/>
    <w:rsid w:val="00BD3BD4"/>
    <w:rsid w:val="00BD4DA9"/>
    <w:rsid w:val="00BD50D3"/>
    <w:rsid w:val="00BE1A27"/>
    <w:rsid w:val="00BE5340"/>
    <w:rsid w:val="00BE6A9B"/>
    <w:rsid w:val="00BE7CFA"/>
    <w:rsid w:val="00BF2D5A"/>
    <w:rsid w:val="00BF3C18"/>
    <w:rsid w:val="00BF41D2"/>
    <w:rsid w:val="00BF703B"/>
    <w:rsid w:val="00C03D0B"/>
    <w:rsid w:val="00C075A9"/>
    <w:rsid w:val="00C10632"/>
    <w:rsid w:val="00C13932"/>
    <w:rsid w:val="00C15504"/>
    <w:rsid w:val="00C16EE0"/>
    <w:rsid w:val="00C22608"/>
    <w:rsid w:val="00C23F55"/>
    <w:rsid w:val="00C25794"/>
    <w:rsid w:val="00C27816"/>
    <w:rsid w:val="00C30B6A"/>
    <w:rsid w:val="00C31E6B"/>
    <w:rsid w:val="00C414EF"/>
    <w:rsid w:val="00C448AE"/>
    <w:rsid w:val="00C461AB"/>
    <w:rsid w:val="00C46B2A"/>
    <w:rsid w:val="00C471DE"/>
    <w:rsid w:val="00C505EB"/>
    <w:rsid w:val="00C511B2"/>
    <w:rsid w:val="00C516D6"/>
    <w:rsid w:val="00C63339"/>
    <w:rsid w:val="00C64968"/>
    <w:rsid w:val="00C64ED2"/>
    <w:rsid w:val="00C8282C"/>
    <w:rsid w:val="00C849F5"/>
    <w:rsid w:val="00C853C5"/>
    <w:rsid w:val="00C8620C"/>
    <w:rsid w:val="00C93497"/>
    <w:rsid w:val="00C96876"/>
    <w:rsid w:val="00CA363A"/>
    <w:rsid w:val="00CB0486"/>
    <w:rsid w:val="00CC189F"/>
    <w:rsid w:val="00CC3770"/>
    <w:rsid w:val="00CE74FE"/>
    <w:rsid w:val="00CF30F9"/>
    <w:rsid w:val="00CF3CF3"/>
    <w:rsid w:val="00CF510F"/>
    <w:rsid w:val="00CF68EB"/>
    <w:rsid w:val="00CF6C56"/>
    <w:rsid w:val="00CF73F2"/>
    <w:rsid w:val="00D016F7"/>
    <w:rsid w:val="00D0456D"/>
    <w:rsid w:val="00D06715"/>
    <w:rsid w:val="00D15631"/>
    <w:rsid w:val="00D31B7C"/>
    <w:rsid w:val="00D36EF7"/>
    <w:rsid w:val="00D42648"/>
    <w:rsid w:val="00D51D51"/>
    <w:rsid w:val="00D53E83"/>
    <w:rsid w:val="00D5441E"/>
    <w:rsid w:val="00D54B7B"/>
    <w:rsid w:val="00D570A2"/>
    <w:rsid w:val="00D57118"/>
    <w:rsid w:val="00D64B3D"/>
    <w:rsid w:val="00D651B1"/>
    <w:rsid w:val="00D70D39"/>
    <w:rsid w:val="00D93AD7"/>
    <w:rsid w:val="00D93B53"/>
    <w:rsid w:val="00D94C09"/>
    <w:rsid w:val="00DA1067"/>
    <w:rsid w:val="00DA1124"/>
    <w:rsid w:val="00DA6473"/>
    <w:rsid w:val="00DB2766"/>
    <w:rsid w:val="00DB7B50"/>
    <w:rsid w:val="00DC1807"/>
    <w:rsid w:val="00DC3F13"/>
    <w:rsid w:val="00DC5E46"/>
    <w:rsid w:val="00DC61D9"/>
    <w:rsid w:val="00DC7602"/>
    <w:rsid w:val="00DD16BE"/>
    <w:rsid w:val="00DD1A1D"/>
    <w:rsid w:val="00DD49CF"/>
    <w:rsid w:val="00DD669D"/>
    <w:rsid w:val="00DE096A"/>
    <w:rsid w:val="00DE1305"/>
    <w:rsid w:val="00DE23F9"/>
    <w:rsid w:val="00DE4B95"/>
    <w:rsid w:val="00DF4266"/>
    <w:rsid w:val="00E020FE"/>
    <w:rsid w:val="00E26FC6"/>
    <w:rsid w:val="00E30538"/>
    <w:rsid w:val="00E31E9A"/>
    <w:rsid w:val="00E402A5"/>
    <w:rsid w:val="00E42340"/>
    <w:rsid w:val="00E43A1A"/>
    <w:rsid w:val="00E4468E"/>
    <w:rsid w:val="00E453A5"/>
    <w:rsid w:val="00E4543B"/>
    <w:rsid w:val="00E45C3D"/>
    <w:rsid w:val="00E4774E"/>
    <w:rsid w:val="00E54B00"/>
    <w:rsid w:val="00E551A4"/>
    <w:rsid w:val="00E57C7C"/>
    <w:rsid w:val="00E6523B"/>
    <w:rsid w:val="00E66FB0"/>
    <w:rsid w:val="00E67F93"/>
    <w:rsid w:val="00E71A61"/>
    <w:rsid w:val="00E75145"/>
    <w:rsid w:val="00E77749"/>
    <w:rsid w:val="00E83D4A"/>
    <w:rsid w:val="00E866DB"/>
    <w:rsid w:val="00E90D2D"/>
    <w:rsid w:val="00E924F5"/>
    <w:rsid w:val="00E94B90"/>
    <w:rsid w:val="00EA240B"/>
    <w:rsid w:val="00EA5BA3"/>
    <w:rsid w:val="00EA6EB8"/>
    <w:rsid w:val="00EA7C2E"/>
    <w:rsid w:val="00EB3DE6"/>
    <w:rsid w:val="00ED0506"/>
    <w:rsid w:val="00ED177B"/>
    <w:rsid w:val="00ED3E6A"/>
    <w:rsid w:val="00ED4F34"/>
    <w:rsid w:val="00EF3B98"/>
    <w:rsid w:val="00EF5314"/>
    <w:rsid w:val="00F014AA"/>
    <w:rsid w:val="00F0310B"/>
    <w:rsid w:val="00F07FD2"/>
    <w:rsid w:val="00F15A53"/>
    <w:rsid w:val="00F20E99"/>
    <w:rsid w:val="00F23567"/>
    <w:rsid w:val="00F3206C"/>
    <w:rsid w:val="00F3646B"/>
    <w:rsid w:val="00F43AD0"/>
    <w:rsid w:val="00F44B27"/>
    <w:rsid w:val="00F44BA3"/>
    <w:rsid w:val="00F45D6F"/>
    <w:rsid w:val="00F46751"/>
    <w:rsid w:val="00F473EA"/>
    <w:rsid w:val="00F47FF2"/>
    <w:rsid w:val="00F532CB"/>
    <w:rsid w:val="00F55704"/>
    <w:rsid w:val="00F61764"/>
    <w:rsid w:val="00F81546"/>
    <w:rsid w:val="00F81A0B"/>
    <w:rsid w:val="00F82771"/>
    <w:rsid w:val="00F87A7D"/>
    <w:rsid w:val="00F96D83"/>
    <w:rsid w:val="00F97345"/>
    <w:rsid w:val="00F97FFA"/>
    <w:rsid w:val="00FB2853"/>
    <w:rsid w:val="00FB51D3"/>
    <w:rsid w:val="00FD4E18"/>
    <w:rsid w:val="00FD5991"/>
    <w:rsid w:val="00FD6C1A"/>
    <w:rsid w:val="00FD76F4"/>
    <w:rsid w:val="00FE2DCE"/>
    <w:rsid w:val="00FE4E14"/>
    <w:rsid w:val="00FE5B20"/>
    <w:rsid w:val="00FF21F8"/>
    <w:rsid w:val="00FF72D3"/>
    <w:rsid w:val="0ECDB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2F02"/>
  <w15:chartTrackingRefBased/>
  <w15:docId w15:val="{52DBA1F3-47B9-364F-A71C-31EF8378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D5D"/>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B156C"/>
    <w:rPr>
      <w:kern w:val="0"/>
      <w:sz w:val="22"/>
      <w:szCs w:val="22"/>
      <w14:ligatures w14:val="none"/>
    </w:rPr>
  </w:style>
  <w:style w:type="character" w:styleId="CommentReference">
    <w:name w:val="annotation reference"/>
    <w:basedOn w:val="DefaultParagraphFont"/>
    <w:uiPriority w:val="99"/>
    <w:semiHidden/>
    <w:unhideWhenUsed/>
    <w:rsid w:val="003350DD"/>
    <w:rPr>
      <w:sz w:val="16"/>
      <w:szCs w:val="16"/>
    </w:rPr>
  </w:style>
  <w:style w:type="paragraph" w:styleId="CommentText">
    <w:name w:val="annotation text"/>
    <w:basedOn w:val="Normal"/>
    <w:link w:val="CommentTextChar"/>
    <w:uiPriority w:val="99"/>
    <w:unhideWhenUsed/>
    <w:rsid w:val="003350DD"/>
    <w:pPr>
      <w:spacing w:line="240" w:lineRule="auto"/>
    </w:pPr>
    <w:rPr>
      <w:sz w:val="20"/>
      <w:szCs w:val="20"/>
    </w:rPr>
  </w:style>
  <w:style w:type="character" w:customStyle="1" w:styleId="CommentTextChar">
    <w:name w:val="Comment Text Char"/>
    <w:basedOn w:val="DefaultParagraphFont"/>
    <w:link w:val="CommentText"/>
    <w:uiPriority w:val="99"/>
    <w:rsid w:val="003350D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50DD"/>
    <w:rPr>
      <w:b/>
      <w:bCs/>
    </w:rPr>
  </w:style>
  <w:style w:type="character" w:customStyle="1" w:styleId="CommentSubjectChar">
    <w:name w:val="Comment Subject Char"/>
    <w:basedOn w:val="CommentTextChar"/>
    <w:link w:val="CommentSubject"/>
    <w:uiPriority w:val="99"/>
    <w:semiHidden/>
    <w:rsid w:val="003350D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489621">
      <w:bodyDiv w:val="1"/>
      <w:marLeft w:val="0"/>
      <w:marRight w:val="0"/>
      <w:marTop w:val="0"/>
      <w:marBottom w:val="0"/>
      <w:divBdr>
        <w:top w:val="none" w:sz="0" w:space="0" w:color="auto"/>
        <w:left w:val="none" w:sz="0" w:space="0" w:color="auto"/>
        <w:bottom w:val="none" w:sz="0" w:space="0" w:color="auto"/>
        <w:right w:val="none" w:sz="0" w:space="0" w:color="auto"/>
      </w:divBdr>
      <w:divsChild>
        <w:div w:id="20664728">
          <w:marLeft w:val="0"/>
          <w:marRight w:val="0"/>
          <w:marTop w:val="0"/>
          <w:marBottom w:val="0"/>
          <w:divBdr>
            <w:top w:val="none" w:sz="0" w:space="0" w:color="auto"/>
            <w:left w:val="none" w:sz="0" w:space="0" w:color="auto"/>
            <w:bottom w:val="none" w:sz="0" w:space="0" w:color="auto"/>
            <w:right w:val="none" w:sz="0" w:space="0" w:color="auto"/>
          </w:divBdr>
          <w:divsChild>
            <w:div w:id="782652338">
              <w:marLeft w:val="0"/>
              <w:marRight w:val="0"/>
              <w:marTop w:val="0"/>
              <w:marBottom w:val="0"/>
              <w:divBdr>
                <w:top w:val="none" w:sz="0" w:space="0" w:color="auto"/>
                <w:left w:val="none" w:sz="0" w:space="0" w:color="auto"/>
                <w:bottom w:val="none" w:sz="0" w:space="0" w:color="auto"/>
                <w:right w:val="none" w:sz="0" w:space="0" w:color="auto"/>
              </w:divBdr>
              <w:divsChild>
                <w:div w:id="407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Horton</dc:creator>
  <cp:keywords/>
  <dc:description/>
  <cp:lastModifiedBy>Daniel Horton</cp:lastModifiedBy>
  <cp:revision>3</cp:revision>
  <dcterms:created xsi:type="dcterms:W3CDTF">2024-06-26T11:17:00Z</dcterms:created>
  <dcterms:modified xsi:type="dcterms:W3CDTF">2024-06-26T11:17:00Z</dcterms:modified>
</cp:coreProperties>
</file>