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90C5" w14:textId="10785FEF" w:rsidR="00D603AD" w:rsidRDefault="00B626B8" w:rsidP="00B626B8">
      <w:pPr>
        <w:spacing w:after="0"/>
        <w:rPr>
          <w:rFonts w:ascii="Times New Roman" w:hAnsi="Times New Roman" w:cs="Times New Roman"/>
          <w:sz w:val="24"/>
          <w:szCs w:val="24"/>
        </w:rPr>
      </w:pPr>
      <w:r w:rsidRPr="00012749">
        <w:rPr>
          <w:rFonts w:ascii="Times New Roman" w:hAnsi="Times New Roman" w:cs="Times New Roman"/>
          <w:sz w:val="24"/>
          <w:szCs w:val="24"/>
        </w:rPr>
        <w:t xml:space="preserve">Supplement 2: A list of </w:t>
      </w:r>
      <w:r>
        <w:rPr>
          <w:rFonts w:ascii="Times New Roman" w:hAnsi="Times New Roman" w:cs="Times New Roman"/>
          <w:sz w:val="24"/>
          <w:szCs w:val="24"/>
        </w:rPr>
        <w:t>v</w:t>
      </w:r>
      <w:r w:rsidR="00D603AD" w:rsidRPr="00012749">
        <w:rPr>
          <w:rFonts w:ascii="Times New Roman" w:hAnsi="Times New Roman" w:cs="Times New Roman"/>
          <w:sz w:val="24"/>
          <w:szCs w:val="24"/>
        </w:rPr>
        <w:t xml:space="preserve">eterinary </w:t>
      </w:r>
      <w:r>
        <w:rPr>
          <w:rFonts w:ascii="Times New Roman" w:hAnsi="Times New Roman" w:cs="Times New Roman"/>
          <w:sz w:val="24"/>
          <w:szCs w:val="24"/>
        </w:rPr>
        <w:t>tr</w:t>
      </w:r>
      <w:r w:rsidR="00D603AD" w:rsidRPr="00012749">
        <w:rPr>
          <w:rFonts w:ascii="Times New Roman" w:hAnsi="Times New Roman" w:cs="Times New Roman"/>
          <w:sz w:val="24"/>
          <w:szCs w:val="24"/>
        </w:rPr>
        <w:t xml:space="preserve">auma </w:t>
      </w:r>
      <w:r>
        <w:rPr>
          <w:rFonts w:ascii="Times New Roman" w:hAnsi="Times New Roman" w:cs="Times New Roman"/>
          <w:sz w:val="24"/>
          <w:szCs w:val="24"/>
        </w:rPr>
        <w:t>r</w:t>
      </w:r>
      <w:r w:rsidR="00D603AD" w:rsidRPr="00012749">
        <w:rPr>
          <w:rFonts w:ascii="Times New Roman" w:hAnsi="Times New Roman" w:cs="Times New Roman"/>
          <w:sz w:val="24"/>
          <w:szCs w:val="24"/>
        </w:rPr>
        <w:t xml:space="preserve">esources </w:t>
      </w:r>
      <w:r>
        <w:rPr>
          <w:rFonts w:ascii="Times New Roman" w:hAnsi="Times New Roman" w:cs="Times New Roman"/>
          <w:sz w:val="24"/>
          <w:szCs w:val="24"/>
        </w:rPr>
        <w:t>including regional Veterinary Trauma Centers (VTCs) and their level of verification. Like their human trauma center counter parts, VTCs are verified based on their depth of resources. The “Resources for the optimal care of the injured veterinary patient” document utilized to verify VTCs at each level described in the summary below can be accessed through the Veterinary Committee on Trauma (VetCOT) website under “Additional Resources”.</w:t>
      </w:r>
    </w:p>
    <w:p w14:paraId="3CB8255E" w14:textId="77777777" w:rsidR="00B626B8" w:rsidRDefault="00B626B8" w:rsidP="00B626B8">
      <w:pPr>
        <w:spacing w:after="0"/>
        <w:rPr>
          <w:rFonts w:ascii="Times New Roman" w:hAnsi="Times New Roman" w:cs="Times New Roman"/>
          <w:sz w:val="24"/>
          <w:szCs w:val="24"/>
        </w:rPr>
      </w:pPr>
    </w:p>
    <w:tbl>
      <w:tblPr>
        <w:tblStyle w:val="TableGrid"/>
        <w:tblpPr w:leftFromText="180" w:rightFromText="180" w:vertAnchor="page" w:horzAnchor="margin" w:tblpY="3622"/>
        <w:tblW w:w="9535" w:type="dxa"/>
        <w:tblLook w:val="04A0" w:firstRow="1" w:lastRow="0" w:firstColumn="1" w:lastColumn="0" w:noHBand="0" w:noVBand="1"/>
      </w:tblPr>
      <w:tblGrid>
        <w:gridCol w:w="4580"/>
        <w:gridCol w:w="4225"/>
        <w:gridCol w:w="730"/>
      </w:tblGrid>
      <w:tr w:rsidR="00B626B8" w14:paraId="55AEB758" w14:textId="77777777" w:rsidTr="00012749">
        <w:tc>
          <w:tcPr>
            <w:tcW w:w="4580" w:type="dxa"/>
            <w:shd w:val="clear" w:color="auto" w:fill="D0CECE" w:themeFill="background2" w:themeFillShade="E6"/>
          </w:tcPr>
          <w:p w14:paraId="6DBC7348" w14:textId="77777777" w:rsidR="00B626B8" w:rsidRPr="005457EF" w:rsidRDefault="00B626B8" w:rsidP="00B626B8">
            <w:pPr>
              <w:rPr>
                <w:rFonts w:ascii="Times New Roman" w:hAnsi="Times New Roman" w:cs="Times New Roman"/>
                <w:b/>
                <w:bCs/>
              </w:rPr>
            </w:pPr>
            <w:r w:rsidRPr="005457EF">
              <w:rPr>
                <w:rFonts w:ascii="Times New Roman" w:hAnsi="Times New Roman" w:cs="Times New Roman"/>
                <w:b/>
                <w:bCs/>
              </w:rPr>
              <w:t xml:space="preserve">Veterinary Trauma Center </w:t>
            </w:r>
          </w:p>
        </w:tc>
        <w:tc>
          <w:tcPr>
            <w:tcW w:w="4225" w:type="dxa"/>
            <w:shd w:val="clear" w:color="auto" w:fill="D0CECE" w:themeFill="background2" w:themeFillShade="E6"/>
          </w:tcPr>
          <w:p w14:paraId="719F7C00" w14:textId="77777777" w:rsidR="00B626B8" w:rsidRPr="005457EF" w:rsidRDefault="00B626B8" w:rsidP="00B626B8">
            <w:pPr>
              <w:rPr>
                <w:rFonts w:ascii="Times New Roman" w:hAnsi="Times New Roman" w:cs="Times New Roman"/>
                <w:b/>
                <w:bCs/>
              </w:rPr>
            </w:pPr>
            <w:r w:rsidRPr="005457EF">
              <w:rPr>
                <w:rFonts w:ascii="Times New Roman" w:hAnsi="Times New Roman" w:cs="Times New Roman"/>
                <w:b/>
                <w:bCs/>
              </w:rPr>
              <w:t xml:space="preserve">Location </w:t>
            </w:r>
          </w:p>
        </w:tc>
        <w:tc>
          <w:tcPr>
            <w:tcW w:w="730" w:type="dxa"/>
            <w:shd w:val="clear" w:color="auto" w:fill="D0CECE" w:themeFill="background2" w:themeFillShade="E6"/>
          </w:tcPr>
          <w:p w14:paraId="0E650CF4" w14:textId="77777777" w:rsidR="00B626B8" w:rsidRPr="005457EF" w:rsidRDefault="00B626B8" w:rsidP="00B626B8">
            <w:pPr>
              <w:rPr>
                <w:rFonts w:ascii="Times New Roman" w:hAnsi="Times New Roman" w:cs="Times New Roman"/>
                <w:b/>
                <w:bCs/>
              </w:rPr>
            </w:pPr>
            <w:r w:rsidRPr="005457EF">
              <w:rPr>
                <w:rFonts w:ascii="Times New Roman" w:hAnsi="Times New Roman" w:cs="Times New Roman"/>
                <w:b/>
                <w:bCs/>
              </w:rPr>
              <w:t xml:space="preserve">Level </w:t>
            </w:r>
          </w:p>
        </w:tc>
      </w:tr>
      <w:tr w:rsidR="00B626B8" w14:paraId="3FD5E594" w14:textId="77777777" w:rsidTr="00012749">
        <w:tc>
          <w:tcPr>
            <w:tcW w:w="4580" w:type="dxa"/>
          </w:tcPr>
          <w:p w14:paraId="2ABC887B"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Animal Medical Center </w:t>
            </w:r>
          </w:p>
        </w:tc>
        <w:tc>
          <w:tcPr>
            <w:tcW w:w="4225" w:type="dxa"/>
          </w:tcPr>
          <w:p w14:paraId="1DCCA489"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New York, New York, USA</w:t>
            </w:r>
          </w:p>
        </w:tc>
        <w:tc>
          <w:tcPr>
            <w:tcW w:w="730" w:type="dxa"/>
          </w:tcPr>
          <w:p w14:paraId="4ED0EB0B"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I  </w:t>
            </w:r>
          </w:p>
        </w:tc>
      </w:tr>
      <w:tr w:rsidR="00B626B8" w14:paraId="74E30C9E" w14:textId="77777777" w:rsidTr="00012749">
        <w:tc>
          <w:tcPr>
            <w:tcW w:w="4580" w:type="dxa"/>
          </w:tcPr>
          <w:p w14:paraId="0BD53DC7"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Arizona Veterinary Emergency and Critical Care Center </w:t>
            </w:r>
          </w:p>
        </w:tc>
        <w:tc>
          <w:tcPr>
            <w:tcW w:w="4225" w:type="dxa"/>
          </w:tcPr>
          <w:p w14:paraId="0EAFBB0F"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Peoria and Gilbert, Arizona, USA </w:t>
            </w:r>
          </w:p>
        </w:tc>
        <w:tc>
          <w:tcPr>
            <w:tcW w:w="730" w:type="dxa"/>
          </w:tcPr>
          <w:p w14:paraId="06A7F808"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III</w:t>
            </w:r>
          </w:p>
        </w:tc>
      </w:tr>
      <w:tr w:rsidR="00B626B8" w14:paraId="7A9F42D0" w14:textId="77777777" w:rsidTr="00012749">
        <w:tc>
          <w:tcPr>
            <w:tcW w:w="4580" w:type="dxa"/>
          </w:tcPr>
          <w:p w14:paraId="4567EEB4"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Boundary Bay Veterinary Specialty Hospital </w:t>
            </w:r>
          </w:p>
        </w:tc>
        <w:tc>
          <w:tcPr>
            <w:tcW w:w="4225" w:type="dxa"/>
          </w:tcPr>
          <w:p w14:paraId="3F3D390C"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Bellingham, Washington, USA and Surrey, British Columbia, Canada </w:t>
            </w:r>
          </w:p>
        </w:tc>
        <w:tc>
          <w:tcPr>
            <w:tcW w:w="730" w:type="dxa"/>
          </w:tcPr>
          <w:p w14:paraId="2AC24A0B"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II</w:t>
            </w:r>
          </w:p>
        </w:tc>
      </w:tr>
      <w:tr w:rsidR="00B626B8" w14:paraId="5A73FDA5" w14:textId="77777777" w:rsidTr="00012749">
        <w:tc>
          <w:tcPr>
            <w:tcW w:w="4580" w:type="dxa"/>
          </w:tcPr>
          <w:p w14:paraId="4AD315F4"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Canada West Veterinary Specialists and Critical Care Hospital </w:t>
            </w:r>
          </w:p>
        </w:tc>
        <w:tc>
          <w:tcPr>
            <w:tcW w:w="4225" w:type="dxa"/>
          </w:tcPr>
          <w:p w14:paraId="1EFE1D2A"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Vancouver, British Columbia, Canada </w:t>
            </w:r>
          </w:p>
        </w:tc>
        <w:tc>
          <w:tcPr>
            <w:tcW w:w="730" w:type="dxa"/>
          </w:tcPr>
          <w:p w14:paraId="15B1A0D6"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II</w:t>
            </w:r>
          </w:p>
        </w:tc>
      </w:tr>
      <w:tr w:rsidR="00B626B8" w14:paraId="0DFE3BB6" w14:textId="77777777" w:rsidTr="00012749">
        <w:tc>
          <w:tcPr>
            <w:tcW w:w="4580" w:type="dxa"/>
          </w:tcPr>
          <w:p w14:paraId="2ED67CDB"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Colorado State University </w:t>
            </w:r>
          </w:p>
        </w:tc>
        <w:tc>
          <w:tcPr>
            <w:tcW w:w="4225" w:type="dxa"/>
          </w:tcPr>
          <w:p w14:paraId="7580B63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Fort Collins, Colorado, USA </w:t>
            </w:r>
          </w:p>
        </w:tc>
        <w:tc>
          <w:tcPr>
            <w:tcW w:w="730" w:type="dxa"/>
          </w:tcPr>
          <w:p w14:paraId="65DA97CB"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II </w:t>
            </w:r>
          </w:p>
        </w:tc>
      </w:tr>
      <w:tr w:rsidR="00B626B8" w14:paraId="191CAE9C" w14:textId="77777777" w:rsidTr="00012749">
        <w:tc>
          <w:tcPr>
            <w:tcW w:w="4580" w:type="dxa"/>
          </w:tcPr>
          <w:p w14:paraId="6D457D58"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Iowa State University</w:t>
            </w:r>
          </w:p>
        </w:tc>
        <w:tc>
          <w:tcPr>
            <w:tcW w:w="4225" w:type="dxa"/>
          </w:tcPr>
          <w:p w14:paraId="1DE69D1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Ames, Iowa, USA </w:t>
            </w:r>
          </w:p>
        </w:tc>
        <w:tc>
          <w:tcPr>
            <w:tcW w:w="730" w:type="dxa"/>
          </w:tcPr>
          <w:p w14:paraId="3324780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II</w:t>
            </w:r>
          </w:p>
        </w:tc>
      </w:tr>
      <w:tr w:rsidR="00B626B8" w14:paraId="6045087B" w14:textId="77777777" w:rsidTr="00012749">
        <w:tc>
          <w:tcPr>
            <w:tcW w:w="4580" w:type="dxa"/>
            <w:vAlign w:val="bottom"/>
          </w:tcPr>
          <w:p w14:paraId="7C634DE4"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Lakeshore Veterinary Specialists/Blue Pearl</w:t>
            </w:r>
            <w:r w:rsidRPr="005457EF">
              <w:rPr>
                <w:rFonts w:ascii="Times New Roman" w:eastAsia="Times New Roman" w:hAnsi="Times New Roman" w:cs="Times New Roman"/>
                <w:color w:val="242424"/>
                <w:sz w:val="16"/>
                <w:szCs w:val="16"/>
                <w:bdr w:val="none" w:sz="0" w:space="0" w:color="auto" w:frame="1"/>
              </w:rPr>
              <w:t xml:space="preserve"> Hospital </w:t>
            </w:r>
          </w:p>
        </w:tc>
        <w:tc>
          <w:tcPr>
            <w:tcW w:w="4225" w:type="dxa"/>
          </w:tcPr>
          <w:p w14:paraId="08B01F04"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Glendale, Wisconsin, USA </w:t>
            </w:r>
          </w:p>
        </w:tc>
        <w:tc>
          <w:tcPr>
            <w:tcW w:w="730" w:type="dxa"/>
            <w:vAlign w:val="bottom"/>
          </w:tcPr>
          <w:p w14:paraId="67A2813E"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0406C2AF" w14:textId="77777777" w:rsidTr="00012749">
        <w:tc>
          <w:tcPr>
            <w:tcW w:w="4580" w:type="dxa"/>
            <w:vAlign w:val="bottom"/>
          </w:tcPr>
          <w:p w14:paraId="5363322C"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Maine Veterinary</w:t>
            </w:r>
            <w:r w:rsidRPr="005457EF">
              <w:rPr>
                <w:rFonts w:ascii="Times New Roman" w:eastAsia="Times New Roman" w:hAnsi="Times New Roman" w:cs="Times New Roman"/>
                <w:color w:val="242424"/>
                <w:sz w:val="16"/>
                <w:szCs w:val="16"/>
                <w:bdr w:val="none" w:sz="0" w:space="0" w:color="auto" w:frame="1"/>
              </w:rPr>
              <w:t xml:space="preserve"> Medical Center </w:t>
            </w:r>
          </w:p>
        </w:tc>
        <w:tc>
          <w:tcPr>
            <w:tcW w:w="4225" w:type="dxa"/>
          </w:tcPr>
          <w:p w14:paraId="1F88938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Scarborough, Maine, USA </w:t>
            </w:r>
          </w:p>
        </w:tc>
        <w:tc>
          <w:tcPr>
            <w:tcW w:w="730" w:type="dxa"/>
            <w:vAlign w:val="bottom"/>
          </w:tcPr>
          <w:p w14:paraId="558FADAE"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79655EB4" w14:textId="77777777" w:rsidTr="00012749">
        <w:tc>
          <w:tcPr>
            <w:tcW w:w="4580" w:type="dxa"/>
            <w:vAlign w:val="bottom"/>
          </w:tcPr>
          <w:p w14:paraId="12675838"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457EF">
              <w:rPr>
                <w:rFonts w:ascii="Times New Roman" w:eastAsia="Times New Roman" w:hAnsi="Times New Roman" w:cs="Times New Roman"/>
                <w:color w:val="242424"/>
                <w:sz w:val="16"/>
                <w:szCs w:val="16"/>
                <w:bdr w:val="none" w:sz="0" w:space="0" w:color="auto" w:frame="1"/>
              </w:rPr>
              <w:t xml:space="preserve">North Carolina State University </w:t>
            </w:r>
          </w:p>
        </w:tc>
        <w:tc>
          <w:tcPr>
            <w:tcW w:w="4225" w:type="dxa"/>
          </w:tcPr>
          <w:p w14:paraId="21B00901"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Raleigh, North Caroline, USA </w:t>
            </w:r>
          </w:p>
        </w:tc>
        <w:tc>
          <w:tcPr>
            <w:tcW w:w="730" w:type="dxa"/>
            <w:vAlign w:val="bottom"/>
          </w:tcPr>
          <w:p w14:paraId="795628BA"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40DF4F97" w14:textId="77777777" w:rsidTr="00012749">
        <w:tc>
          <w:tcPr>
            <w:tcW w:w="4580" w:type="dxa"/>
            <w:vAlign w:val="bottom"/>
          </w:tcPr>
          <w:p w14:paraId="40EF1840"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NorthStar VETS</w:t>
            </w:r>
          </w:p>
        </w:tc>
        <w:tc>
          <w:tcPr>
            <w:tcW w:w="4225" w:type="dxa"/>
          </w:tcPr>
          <w:p w14:paraId="2F8228A4"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Robbinsville, New Jersey, USA </w:t>
            </w:r>
          </w:p>
        </w:tc>
        <w:tc>
          <w:tcPr>
            <w:tcW w:w="730" w:type="dxa"/>
            <w:vAlign w:val="bottom"/>
          </w:tcPr>
          <w:p w14:paraId="2F5DE9CE"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5B623A90" w14:textId="77777777" w:rsidTr="00012749">
        <w:tc>
          <w:tcPr>
            <w:tcW w:w="4580" w:type="dxa"/>
            <w:vAlign w:val="bottom"/>
          </w:tcPr>
          <w:p w14:paraId="51FD1FD5"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Oakland Veterinary Referral Services</w:t>
            </w:r>
          </w:p>
        </w:tc>
        <w:tc>
          <w:tcPr>
            <w:tcW w:w="4225" w:type="dxa"/>
          </w:tcPr>
          <w:p w14:paraId="76BB0F4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Bloomfield Hills, Michigan, USA </w:t>
            </w:r>
          </w:p>
        </w:tc>
        <w:tc>
          <w:tcPr>
            <w:tcW w:w="730" w:type="dxa"/>
            <w:vAlign w:val="bottom"/>
          </w:tcPr>
          <w:p w14:paraId="014551DD"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III</w:t>
            </w:r>
          </w:p>
        </w:tc>
      </w:tr>
      <w:tr w:rsidR="00B626B8" w14:paraId="39902D81" w14:textId="77777777" w:rsidTr="00012749">
        <w:tc>
          <w:tcPr>
            <w:tcW w:w="4580" w:type="dxa"/>
            <w:vAlign w:val="bottom"/>
          </w:tcPr>
          <w:p w14:paraId="626D97C1"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sz w:val="16"/>
                <w:szCs w:val="16"/>
                <w:bdr w:val="none" w:sz="0" w:space="0" w:color="auto" w:frame="1"/>
              </w:rPr>
              <w:t>Ohio State University Veterinary Medical Center</w:t>
            </w:r>
          </w:p>
        </w:tc>
        <w:tc>
          <w:tcPr>
            <w:tcW w:w="4225" w:type="dxa"/>
          </w:tcPr>
          <w:p w14:paraId="2163AC9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Columbus, Ohio, USA </w:t>
            </w:r>
          </w:p>
        </w:tc>
        <w:tc>
          <w:tcPr>
            <w:tcW w:w="730" w:type="dxa"/>
            <w:vAlign w:val="bottom"/>
          </w:tcPr>
          <w:p w14:paraId="07E00E45"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75A85816" w14:textId="77777777" w:rsidTr="00012749">
        <w:tc>
          <w:tcPr>
            <w:tcW w:w="4580" w:type="dxa"/>
            <w:vAlign w:val="bottom"/>
          </w:tcPr>
          <w:p w14:paraId="6B2E8FCB" w14:textId="77777777" w:rsidR="00B626B8" w:rsidRPr="005457EF" w:rsidRDefault="00B626B8" w:rsidP="00B626B8">
            <w:pPr>
              <w:rPr>
                <w:rFonts w:ascii="Times New Roman" w:eastAsia="Times New Roman" w:hAnsi="Times New Roman" w:cs="Times New Roman"/>
                <w:color w:val="FF0000"/>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Oradell Animal Hospital</w:t>
            </w:r>
          </w:p>
        </w:tc>
        <w:tc>
          <w:tcPr>
            <w:tcW w:w="4225" w:type="dxa"/>
          </w:tcPr>
          <w:p w14:paraId="744F4818"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Paramus, New Jersey, USA </w:t>
            </w:r>
          </w:p>
        </w:tc>
        <w:tc>
          <w:tcPr>
            <w:tcW w:w="730" w:type="dxa"/>
            <w:vAlign w:val="bottom"/>
          </w:tcPr>
          <w:p w14:paraId="208DA965"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5FDFA63C" w14:textId="77777777" w:rsidTr="00012749">
        <w:tc>
          <w:tcPr>
            <w:tcW w:w="4580" w:type="dxa"/>
            <w:vAlign w:val="bottom"/>
          </w:tcPr>
          <w:p w14:paraId="5648405F"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Pacific Northwest</w:t>
            </w:r>
            <w:r w:rsidRPr="005457EF">
              <w:rPr>
                <w:rFonts w:ascii="Times New Roman" w:eastAsia="Times New Roman" w:hAnsi="Times New Roman" w:cs="Times New Roman"/>
                <w:color w:val="242424"/>
                <w:sz w:val="16"/>
                <w:szCs w:val="16"/>
                <w:bdr w:val="none" w:sz="0" w:space="0" w:color="auto" w:frame="1"/>
              </w:rPr>
              <w:t xml:space="preserve"> Pet ER and Specialty Center</w:t>
            </w:r>
          </w:p>
        </w:tc>
        <w:tc>
          <w:tcPr>
            <w:tcW w:w="4225" w:type="dxa"/>
          </w:tcPr>
          <w:p w14:paraId="2CDA6A6F"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Vancouver, Washington, USA </w:t>
            </w:r>
          </w:p>
        </w:tc>
        <w:tc>
          <w:tcPr>
            <w:tcW w:w="730" w:type="dxa"/>
            <w:vAlign w:val="bottom"/>
          </w:tcPr>
          <w:p w14:paraId="5231E9B5"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III</w:t>
            </w:r>
          </w:p>
        </w:tc>
      </w:tr>
      <w:tr w:rsidR="00B626B8" w14:paraId="61C9C06D" w14:textId="77777777" w:rsidTr="00012749">
        <w:tc>
          <w:tcPr>
            <w:tcW w:w="4580" w:type="dxa"/>
            <w:vAlign w:val="bottom"/>
          </w:tcPr>
          <w:p w14:paraId="21F931B4"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sz w:val="16"/>
                <w:szCs w:val="16"/>
                <w:bdr w:val="none" w:sz="0" w:space="0" w:color="auto" w:frame="1"/>
              </w:rPr>
              <w:t>Red Bank</w:t>
            </w:r>
            <w:r w:rsidRPr="005457EF">
              <w:rPr>
                <w:rFonts w:ascii="Times New Roman" w:eastAsia="Times New Roman" w:hAnsi="Times New Roman" w:cs="Times New Roman"/>
                <w:sz w:val="16"/>
                <w:szCs w:val="16"/>
                <w:bdr w:val="none" w:sz="0" w:space="0" w:color="auto" w:frame="1"/>
              </w:rPr>
              <w:t xml:space="preserve"> Veterinary Hospital</w:t>
            </w:r>
          </w:p>
        </w:tc>
        <w:tc>
          <w:tcPr>
            <w:tcW w:w="4225" w:type="dxa"/>
          </w:tcPr>
          <w:p w14:paraId="6FF47B10"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Hillsborough, New Jersey, USA </w:t>
            </w:r>
          </w:p>
        </w:tc>
        <w:tc>
          <w:tcPr>
            <w:tcW w:w="730" w:type="dxa"/>
            <w:vAlign w:val="bottom"/>
          </w:tcPr>
          <w:p w14:paraId="11220941"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w:t>
            </w:r>
          </w:p>
        </w:tc>
      </w:tr>
      <w:tr w:rsidR="00B626B8" w14:paraId="27595166" w14:textId="77777777" w:rsidTr="00012749">
        <w:tc>
          <w:tcPr>
            <w:tcW w:w="4580" w:type="dxa"/>
            <w:vAlign w:val="bottom"/>
          </w:tcPr>
          <w:p w14:paraId="13E8102F" w14:textId="77777777" w:rsidR="00B626B8" w:rsidRPr="005457EF" w:rsidRDefault="00B626B8" w:rsidP="00B626B8">
            <w:pPr>
              <w:rPr>
                <w:rFonts w:ascii="Times New Roman" w:eastAsia="Times New Roman" w:hAnsi="Times New Roman" w:cs="Times New Roman"/>
                <w:color w:val="FF0000"/>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The Royal Veterinary College, Queen Mother Hospital for Animals</w:t>
            </w:r>
          </w:p>
        </w:tc>
        <w:tc>
          <w:tcPr>
            <w:tcW w:w="4225" w:type="dxa"/>
          </w:tcPr>
          <w:p w14:paraId="48C194D8"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London, United Kingdom </w:t>
            </w:r>
          </w:p>
        </w:tc>
        <w:tc>
          <w:tcPr>
            <w:tcW w:w="730" w:type="dxa"/>
            <w:vAlign w:val="bottom"/>
          </w:tcPr>
          <w:p w14:paraId="4577FE08"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w:t>
            </w:r>
          </w:p>
        </w:tc>
      </w:tr>
      <w:tr w:rsidR="00B626B8" w14:paraId="589C90FD" w14:textId="77777777" w:rsidTr="00012749">
        <w:tc>
          <w:tcPr>
            <w:tcW w:w="4580" w:type="dxa"/>
            <w:vAlign w:val="bottom"/>
          </w:tcPr>
          <w:p w14:paraId="28947D63"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Tufts Cummings School of Veterinary Medicine</w:t>
            </w:r>
          </w:p>
        </w:tc>
        <w:tc>
          <w:tcPr>
            <w:tcW w:w="4225" w:type="dxa"/>
          </w:tcPr>
          <w:p w14:paraId="639B15CE"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North Grafton, Massachusetts, USA</w:t>
            </w:r>
          </w:p>
        </w:tc>
        <w:tc>
          <w:tcPr>
            <w:tcW w:w="730" w:type="dxa"/>
            <w:vAlign w:val="bottom"/>
          </w:tcPr>
          <w:p w14:paraId="4FA06DAE"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w:t>
            </w:r>
          </w:p>
        </w:tc>
      </w:tr>
      <w:tr w:rsidR="00B626B8" w14:paraId="39E7CE2F" w14:textId="77777777" w:rsidTr="00012749">
        <w:tc>
          <w:tcPr>
            <w:tcW w:w="4580" w:type="dxa"/>
            <w:vAlign w:val="bottom"/>
          </w:tcPr>
          <w:p w14:paraId="09731F84"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University of Pennsylvania School of Veterinary Medicine</w:t>
            </w:r>
          </w:p>
        </w:tc>
        <w:tc>
          <w:tcPr>
            <w:tcW w:w="4225" w:type="dxa"/>
          </w:tcPr>
          <w:p w14:paraId="208CCA1F"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Philadelphia, Pennsylvania, USA </w:t>
            </w:r>
          </w:p>
        </w:tc>
        <w:tc>
          <w:tcPr>
            <w:tcW w:w="730" w:type="dxa"/>
            <w:vAlign w:val="bottom"/>
          </w:tcPr>
          <w:p w14:paraId="5432BF75"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w:t>
            </w:r>
          </w:p>
        </w:tc>
      </w:tr>
      <w:tr w:rsidR="00B626B8" w14:paraId="4C161915" w14:textId="77777777" w:rsidTr="00012749">
        <w:tc>
          <w:tcPr>
            <w:tcW w:w="4580" w:type="dxa"/>
            <w:vAlign w:val="bottom"/>
          </w:tcPr>
          <w:p w14:paraId="0CDDC362"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Veterinary Specialty Center</w:t>
            </w:r>
          </w:p>
        </w:tc>
        <w:tc>
          <w:tcPr>
            <w:tcW w:w="4225" w:type="dxa"/>
          </w:tcPr>
          <w:p w14:paraId="329D4611"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Buffalo Grove, Illinois, USA </w:t>
            </w:r>
          </w:p>
        </w:tc>
        <w:tc>
          <w:tcPr>
            <w:tcW w:w="730" w:type="dxa"/>
            <w:vAlign w:val="bottom"/>
          </w:tcPr>
          <w:p w14:paraId="5695CE3F"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65BA0CE9" w14:textId="77777777" w:rsidTr="00012749">
        <w:tc>
          <w:tcPr>
            <w:tcW w:w="4580" w:type="dxa"/>
            <w:vAlign w:val="bottom"/>
          </w:tcPr>
          <w:p w14:paraId="06CD1E70" w14:textId="77777777" w:rsidR="00B626B8" w:rsidRPr="005457EF" w:rsidRDefault="00B626B8" w:rsidP="00B626B8">
            <w:pPr>
              <w:rPr>
                <w:rFonts w:ascii="Times New Roman" w:eastAsia="Times New Roman" w:hAnsi="Times New Roman" w:cs="Times New Roman"/>
                <w:sz w:val="16"/>
                <w:szCs w:val="16"/>
                <w:bdr w:val="none" w:sz="0" w:space="0" w:color="auto" w:frame="1"/>
              </w:rPr>
            </w:pPr>
            <w:r w:rsidRPr="00507A76">
              <w:rPr>
                <w:rFonts w:ascii="Times New Roman" w:eastAsia="Times New Roman" w:hAnsi="Times New Roman" w:cs="Times New Roman"/>
                <w:sz w:val="16"/>
                <w:szCs w:val="16"/>
                <w:bdr w:val="none" w:sz="0" w:space="0" w:color="auto" w:frame="1"/>
              </w:rPr>
              <w:t>Veterinary Specialty Hospital of San Diego</w:t>
            </w:r>
          </w:p>
        </w:tc>
        <w:tc>
          <w:tcPr>
            <w:tcW w:w="4225" w:type="dxa"/>
          </w:tcPr>
          <w:p w14:paraId="06156012"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San Diego, California, USA </w:t>
            </w:r>
          </w:p>
        </w:tc>
        <w:tc>
          <w:tcPr>
            <w:tcW w:w="730" w:type="dxa"/>
            <w:vAlign w:val="bottom"/>
          </w:tcPr>
          <w:p w14:paraId="7D133A8C"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28850A3A" w14:textId="77777777" w:rsidTr="00012749">
        <w:tc>
          <w:tcPr>
            <w:tcW w:w="4580" w:type="dxa"/>
            <w:vAlign w:val="bottom"/>
          </w:tcPr>
          <w:p w14:paraId="2D8E30D2" w14:textId="77777777" w:rsidR="00B626B8" w:rsidRPr="005457EF" w:rsidRDefault="00B626B8" w:rsidP="00B626B8">
            <w:pPr>
              <w:rPr>
                <w:rFonts w:ascii="Times New Roman" w:eastAsia="Times New Roman" w:hAnsi="Times New Roman" w:cs="Times New Roman"/>
                <w:color w:val="FF0000"/>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Western Veterinary Specialty and Emergency Centre</w:t>
            </w:r>
          </w:p>
        </w:tc>
        <w:tc>
          <w:tcPr>
            <w:tcW w:w="4225" w:type="dxa"/>
          </w:tcPr>
          <w:p w14:paraId="42F3AA87"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Calgary, Alberta, Canada </w:t>
            </w:r>
          </w:p>
        </w:tc>
        <w:tc>
          <w:tcPr>
            <w:tcW w:w="730" w:type="dxa"/>
            <w:vAlign w:val="bottom"/>
          </w:tcPr>
          <w:p w14:paraId="18E1C667"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r w:rsidR="00B626B8" w14:paraId="77F85CD0" w14:textId="77777777" w:rsidTr="00012749">
        <w:tc>
          <w:tcPr>
            <w:tcW w:w="4580" w:type="dxa"/>
            <w:vAlign w:val="bottom"/>
          </w:tcPr>
          <w:p w14:paraId="12E61E60" w14:textId="77777777" w:rsidR="00B626B8" w:rsidRPr="005457EF" w:rsidRDefault="00B626B8" w:rsidP="00B626B8">
            <w:pPr>
              <w:rPr>
                <w:rFonts w:ascii="Times New Roman" w:eastAsia="Times New Roman" w:hAnsi="Times New Roman" w:cs="Times New Roman"/>
                <w:color w:val="242424"/>
                <w:sz w:val="16"/>
                <w:szCs w:val="16"/>
                <w:bdr w:val="none" w:sz="0" w:space="0" w:color="auto" w:frame="1"/>
              </w:rPr>
            </w:pPr>
            <w:r w:rsidRPr="00507A76">
              <w:rPr>
                <w:rFonts w:ascii="Times New Roman" w:eastAsia="Times New Roman" w:hAnsi="Times New Roman" w:cs="Times New Roman"/>
                <w:color w:val="242424"/>
                <w:sz w:val="16"/>
                <w:szCs w:val="16"/>
                <w:bdr w:val="none" w:sz="0" w:space="0" w:color="auto" w:frame="1"/>
              </w:rPr>
              <w:t>Wisconsin Veterinary Referral Center</w:t>
            </w:r>
          </w:p>
        </w:tc>
        <w:tc>
          <w:tcPr>
            <w:tcW w:w="4225" w:type="dxa"/>
          </w:tcPr>
          <w:p w14:paraId="21281168" w14:textId="77777777" w:rsidR="00B626B8" w:rsidRPr="005457EF" w:rsidRDefault="00B626B8" w:rsidP="00B626B8">
            <w:pPr>
              <w:rPr>
                <w:rFonts w:ascii="Times New Roman" w:hAnsi="Times New Roman" w:cs="Times New Roman"/>
                <w:sz w:val="16"/>
                <w:szCs w:val="16"/>
              </w:rPr>
            </w:pPr>
            <w:r w:rsidRPr="005457EF">
              <w:rPr>
                <w:rFonts w:ascii="Times New Roman" w:hAnsi="Times New Roman" w:cs="Times New Roman"/>
                <w:sz w:val="16"/>
                <w:szCs w:val="16"/>
              </w:rPr>
              <w:t xml:space="preserve">Grafton, Wisconsin, USA </w:t>
            </w:r>
          </w:p>
        </w:tc>
        <w:tc>
          <w:tcPr>
            <w:tcW w:w="730" w:type="dxa"/>
            <w:vAlign w:val="bottom"/>
          </w:tcPr>
          <w:p w14:paraId="19309607" w14:textId="77777777" w:rsidR="00B626B8" w:rsidRPr="005457EF" w:rsidRDefault="00B626B8" w:rsidP="00B626B8">
            <w:pPr>
              <w:rPr>
                <w:rFonts w:ascii="Times New Roman" w:hAnsi="Times New Roman" w:cs="Times New Roman"/>
                <w:sz w:val="16"/>
                <w:szCs w:val="16"/>
              </w:rPr>
            </w:pPr>
            <w:r w:rsidRPr="00507A76">
              <w:rPr>
                <w:rFonts w:ascii="Times New Roman" w:eastAsia="Times New Roman" w:hAnsi="Times New Roman" w:cs="Times New Roman"/>
                <w:color w:val="242424"/>
                <w:sz w:val="16"/>
                <w:szCs w:val="16"/>
                <w:bdr w:val="none" w:sz="0" w:space="0" w:color="auto" w:frame="1"/>
              </w:rPr>
              <w:t>II</w:t>
            </w:r>
          </w:p>
        </w:tc>
      </w:tr>
    </w:tbl>
    <w:p w14:paraId="5279466A" w14:textId="79B33891" w:rsidR="00EE7463" w:rsidRPr="005457EF" w:rsidRDefault="00EE7463" w:rsidP="00D603AD">
      <w:pPr>
        <w:spacing w:after="0"/>
        <w:rPr>
          <w:rFonts w:ascii="Times New Roman" w:hAnsi="Times New Roman" w:cs="Times New Roman"/>
          <w:b/>
          <w:bCs/>
          <w:u w:val="single"/>
        </w:rPr>
      </w:pPr>
    </w:p>
    <w:p w14:paraId="3D5707CB" w14:textId="23C10C35" w:rsidR="00EE7463" w:rsidRPr="005457EF" w:rsidRDefault="00B626B8" w:rsidP="00D603AD">
      <w:pPr>
        <w:spacing w:after="0"/>
        <w:rPr>
          <w:rFonts w:ascii="Times New Roman" w:hAnsi="Times New Roman" w:cs="Times New Roman"/>
          <w:b/>
          <w:bCs/>
          <w:u w:val="single"/>
        </w:rPr>
      </w:pPr>
      <w:r w:rsidRPr="005457EF">
        <w:rPr>
          <w:rFonts w:ascii="Times New Roman" w:hAnsi="Times New Roman" w:cs="Times New Roman"/>
          <w:b/>
          <w:bCs/>
          <w:u w:val="single"/>
        </w:rPr>
        <w:t xml:space="preserve"> </w:t>
      </w:r>
      <w:r w:rsidR="00EE7463" w:rsidRPr="005457EF">
        <w:rPr>
          <w:rFonts w:ascii="Times New Roman" w:hAnsi="Times New Roman" w:cs="Times New Roman"/>
          <w:b/>
          <w:bCs/>
          <w:u w:val="single"/>
        </w:rPr>
        <w:t xml:space="preserve">Veterinary Trauma Center </w:t>
      </w:r>
      <w:r w:rsidR="005457EF" w:rsidRPr="005457EF">
        <w:rPr>
          <w:rFonts w:ascii="Times New Roman" w:hAnsi="Times New Roman" w:cs="Times New Roman"/>
          <w:b/>
          <w:bCs/>
          <w:u w:val="single"/>
        </w:rPr>
        <w:t>Levels</w:t>
      </w:r>
      <w:r w:rsidR="00D37F0A" w:rsidRPr="00D37F0A">
        <w:rPr>
          <w:rFonts w:ascii="Times New Roman" w:hAnsi="Times New Roman" w:cs="Times New Roman"/>
          <w:b/>
          <w:bCs/>
          <w:u w:val="single"/>
          <w:vertAlign w:val="superscript"/>
        </w:rPr>
        <w:t>*</w:t>
      </w:r>
    </w:p>
    <w:tbl>
      <w:tblPr>
        <w:tblStyle w:val="TableGrid"/>
        <w:tblW w:w="0" w:type="auto"/>
        <w:tblLook w:val="04A0" w:firstRow="1" w:lastRow="0" w:firstColumn="1" w:lastColumn="0" w:noHBand="0" w:noVBand="1"/>
      </w:tblPr>
      <w:tblGrid>
        <w:gridCol w:w="9350"/>
      </w:tblGrid>
      <w:tr w:rsidR="00EE7463" w14:paraId="753BBB0C" w14:textId="77777777" w:rsidTr="00EE7463">
        <w:tc>
          <w:tcPr>
            <w:tcW w:w="9350" w:type="dxa"/>
          </w:tcPr>
          <w:p w14:paraId="4DD165D0" w14:textId="30C4FC01" w:rsidR="00EE7463" w:rsidRPr="00EE7463" w:rsidRDefault="00EE7463" w:rsidP="00EE7463">
            <w:pPr>
              <w:spacing w:line="259" w:lineRule="auto"/>
              <w:rPr>
                <w:rFonts w:ascii="Times New Roman" w:hAnsi="Times New Roman" w:cs="Times New Roman"/>
                <w:sz w:val="16"/>
                <w:szCs w:val="16"/>
              </w:rPr>
            </w:pPr>
            <w:r w:rsidRPr="00D603AD">
              <w:rPr>
                <w:rFonts w:ascii="Times New Roman" w:hAnsi="Times New Roman" w:cs="Times New Roman"/>
                <w:b/>
                <w:bCs/>
                <w:sz w:val="16"/>
                <w:szCs w:val="16"/>
                <w:u w:val="single"/>
              </w:rPr>
              <w:t>Level 1</w:t>
            </w:r>
            <w:r w:rsidRPr="00D603AD">
              <w:rPr>
                <w:rFonts w:ascii="Times New Roman" w:hAnsi="Times New Roman" w:cs="Times New Roman"/>
                <w:sz w:val="16"/>
                <w:szCs w:val="16"/>
              </w:rPr>
              <w:t xml:space="preserve"> -</w:t>
            </w:r>
            <w:r w:rsidRPr="00EE7463">
              <w:rPr>
                <w:rFonts w:ascii="Times New Roman" w:hAnsi="Times New Roman" w:cs="Times New Roman"/>
                <w:sz w:val="16"/>
                <w:szCs w:val="16"/>
              </w:rPr>
              <w:t xml:space="preserve"> Level I VTCs must have the ability to provide total care for every aspect of management of the </w:t>
            </w:r>
            <w:r>
              <w:rPr>
                <w:rFonts w:ascii="Times New Roman" w:hAnsi="Times New Roman" w:cs="Times New Roman"/>
                <w:sz w:val="16"/>
                <w:szCs w:val="16"/>
              </w:rPr>
              <w:t xml:space="preserve">small animal </w:t>
            </w:r>
            <w:r w:rsidRPr="00EE7463">
              <w:rPr>
                <w:rFonts w:ascii="Times New Roman" w:hAnsi="Times New Roman" w:cs="Times New Roman"/>
                <w:sz w:val="16"/>
                <w:szCs w:val="16"/>
              </w:rPr>
              <w:t xml:space="preserve"> trauma patient from emergency stabilization through definitive medical and surgical care, and rehabilitation. This requires significant depth of resources (medical and surgical) and personnel. These hospitals are open to receive SA trauma patients (and other emergencies) 24 hours a day, 7 days a week, 365 days a year. Level I VTCs also have the responsibility of providing leadership in education, training of veterinarians and veterinary technicians, and research. Level I VTCs are likely to have internship and/or residency programs in emergency and critical care (ECC); however, this is not a current requirement. Training for emergency veterinarians and technicians should involve, at a minimum, regular in-house continuing education specifically in the field of trauma.</w:t>
            </w:r>
            <w:r>
              <w:rPr>
                <w:rFonts w:ascii="Times New Roman" w:hAnsi="Times New Roman" w:cs="Times New Roman"/>
                <w:sz w:val="16"/>
                <w:szCs w:val="16"/>
              </w:rPr>
              <w:t xml:space="preserve"> </w:t>
            </w:r>
            <w:r w:rsidR="00D603AD">
              <w:rPr>
                <w:rFonts w:ascii="Times New Roman" w:hAnsi="Times New Roman" w:cs="Times New Roman"/>
                <w:sz w:val="16"/>
                <w:szCs w:val="16"/>
              </w:rPr>
              <w:t xml:space="preserve"> </w:t>
            </w:r>
            <w:r w:rsidRPr="00EE7463">
              <w:rPr>
                <w:rFonts w:ascii="Times New Roman" w:hAnsi="Times New Roman" w:cs="Times New Roman"/>
                <w:sz w:val="16"/>
                <w:szCs w:val="16"/>
              </w:rPr>
              <w:t>Level I VTCs have specialists available for in-house consultation 7-days a week in the fields of emergency and critical care, surgery, cardiology and radiology. In order to enable definitive care for trauma patients, specialists in anesthesiology, neurology, internal medicine, cardiology, and ophthalmology are also available on staff and on an on-call basis as needed. The intensive care unit (ICU) is under the supervision of an emergency and critical care specialist (DACVECC) and is staffed by experienced and/or certified veterinary technicians (CVTs) and veterinarians 24 hours a day, 7 days a week</w:t>
            </w:r>
          </w:p>
        </w:tc>
      </w:tr>
      <w:tr w:rsidR="00EE7463" w14:paraId="47FF4041" w14:textId="77777777" w:rsidTr="00EE7463">
        <w:tc>
          <w:tcPr>
            <w:tcW w:w="9350" w:type="dxa"/>
          </w:tcPr>
          <w:p w14:paraId="0F83A28A" w14:textId="37B6D489" w:rsidR="00EE7463" w:rsidRPr="00EE7463" w:rsidRDefault="00D603AD" w:rsidP="001E7AC9">
            <w:pPr>
              <w:rPr>
                <w:rFonts w:ascii="Times New Roman" w:hAnsi="Times New Roman" w:cs="Times New Roman"/>
              </w:rPr>
            </w:pPr>
            <w:r w:rsidRPr="00D603AD">
              <w:rPr>
                <w:rFonts w:ascii="Times New Roman" w:hAnsi="Times New Roman" w:cs="Times New Roman"/>
                <w:b/>
                <w:bCs/>
                <w:sz w:val="16"/>
                <w:szCs w:val="16"/>
                <w:u w:val="single"/>
              </w:rPr>
              <w:t>Level II</w:t>
            </w:r>
            <w:r>
              <w:rPr>
                <w:rFonts w:ascii="Times New Roman" w:hAnsi="Times New Roman" w:cs="Times New Roman"/>
                <w:sz w:val="16"/>
                <w:szCs w:val="16"/>
              </w:rPr>
              <w:t xml:space="preserve"> - </w:t>
            </w:r>
            <w:r w:rsidR="00EE7463" w:rsidRPr="00EE7463">
              <w:rPr>
                <w:rFonts w:ascii="Times New Roman" w:hAnsi="Times New Roman" w:cs="Times New Roman"/>
                <w:sz w:val="16"/>
                <w:szCs w:val="16"/>
              </w:rPr>
              <w:t>Level II VTCs are acute care facilities with the commitment, resources, and skilled personnel necessary to provide sophisticated medical and surgical, emergent, and critical care for critically ill or injured animals. They are expected to function as regional educational and/or research leaders, similar to Level I VTCs. These hospitals are open to receive SA trauma patients (and other emergencies) 24 hours a day, 7 days a week, 365 days a year. Level II VTCs must have specialists in emergency and critical care, surgery and internal medicine. Additionally these centers have a radiologist(s) available for consultation (if not available in-house).</w:t>
            </w:r>
          </w:p>
        </w:tc>
      </w:tr>
      <w:tr w:rsidR="00EE7463" w14:paraId="06AE2B95" w14:textId="77777777" w:rsidTr="00EE7463">
        <w:tc>
          <w:tcPr>
            <w:tcW w:w="9350" w:type="dxa"/>
          </w:tcPr>
          <w:p w14:paraId="2650D954" w14:textId="7CFD7971" w:rsidR="00EE7463" w:rsidRPr="005457EF" w:rsidRDefault="00D603AD" w:rsidP="001E7AC9">
            <w:pPr>
              <w:rPr>
                <w:rFonts w:ascii="Times New Roman" w:hAnsi="Times New Roman" w:cs="Times New Roman"/>
                <w:sz w:val="16"/>
                <w:szCs w:val="16"/>
              </w:rPr>
            </w:pPr>
            <w:r w:rsidRPr="00D603AD">
              <w:rPr>
                <w:rFonts w:ascii="Times New Roman" w:hAnsi="Times New Roman" w:cs="Times New Roman"/>
                <w:b/>
                <w:bCs/>
                <w:sz w:val="16"/>
                <w:szCs w:val="16"/>
                <w:u w:val="single"/>
              </w:rPr>
              <w:t>Level III</w:t>
            </w:r>
            <w:r>
              <w:rPr>
                <w:rFonts w:ascii="Times New Roman" w:hAnsi="Times New Roman" w:cs="Times New Roman"/>
                <w:sz w:val="16"/>
                <w:szCs w:val="16"/>
              </w:rPr>
              <w:t xml:space="preserve"> - </w:t>
            </w:r>
            <w:r w:rsidR="005457EF" w:rsidRPr="005457EF">
              <w:rPr>
                <w:rFonts w:ascii="Times New Roman" w:hAnsi="Times New Roman" w:cs="Times New Roman"/>
                <w:sz w:val="16"/>
                <w:szCs w:val="16"/>
              </w:rPr>
              <w:t>Level III VTCs have the commitment, resources, and skilled personnel necessary to provide high level care for injured animals during business hours. These hospitals are open to receive SA trauma patients (and other emergencies) during part of the day but not necessarily 24 hours a day.</w:t>
            </w:r>
            <w:r>
              <w:rPr>
                <w:rFonts w:ascii="Times New Roman" w:hAnsi="Times New Roman" w:cs="Times New Roman"/>
                <w:sz w:val="16"/>
                <w:szCs w:val="16"/>
              </w:rPr>
              <w:t xml:space="preserve"> </w:t>
            </w:r>
            <w:r w:rsidR="005457EF" w:rsidRPr="005457EF">
              <w:rPr>
                <w:rFonts w:ascii="Times New Roman" w:hAnsi="Times New Roman" w:cs="Times New Roman"/>
                <w:sz w:val="16"/>
                <w:szCs w:val="16"/>
              </w:rPr>
              <w:t>Level III VTCs are primarily involved in the stabilization of severely traumatized patients and management of less severely injured trauma patients. There must be a veterinarian on duty, on the premises, at all times during hours of operation. These hospitals are not required to be staffed with veterinarians and technicians 24 hours a day and thus may transfer patients to a Level I or II VTC following initial stabilization, for ongoing care. Additionally, these hospitals are not required to have veterinarians with specialist qualifications on staff, and thus animals may be transferred to another facility for definitive medical or surgical care when necessary.</w:t>
            </w:r>
            <w:r w:rsidR="005457EF">
              <w:rPr>
                <w:rFonts w:ascii="Times New Roman" w:hAnsi="Times New Roman" w:cs="Times New Roman"/>
                <w:sz w:val="16"/>
                <w:szCs w:val="16"/>
              </w:rPr>
              <w:t xml:space="preserve"> </w:t>
            </w:r>
            <w:r w:rsidR="005457EF" w:rsidRPr="005457EF">
              <w:rPr>
                <w:rFonts w:ascii="Times New Roman" w:hAnsi="Times New Roman" w:cs="Times New Roman"/>
                <w:sz w:val="16"/>
                <w:szCs w:val="16"/>
              </w:rPr>
              <w:t>Level III VTCs have procedures in place to allow consultation with, and easy transfer of patients to, Level I and/or II VTCs.</w:t>
            </w:r>
          </w:p>
        </w:tc>
      </w:tr>
    </w:tbl>
    <w:p w14:paraId="29635F16" w14:textId="2125D37D" w:rsidR="00A54742" w:rsidRDefault="00D37F0A" w:rsidP="001E7AC9">
      <w:pPr>
        <w:spacing w:after="0"/>
        <w:rPr>
          <w:rFonts w:ascii="Times New Roman" w:hAnsi="Times New Roman" w:cs="Times New Roman"/>
          <w:sz w:val="16"/>
          <w:szCs w:val="16"/>
        </w:rPr>
      </w:pPr>
      <w:r w:rsidRPr="00D37F0A">
        <w:rPr>
          <w:rFonts w:ascii="Times New Roman" w:hAnsi="Times New Roman" w:cs="Times New Roman"/>
          <w:sz w:val="16"/>
          <w:szCs w:val="16"/>
          <w:vertAlign w:val="superscript"/>
        </w:rPr>
        <w:t>*</w:t>
      </w:r>
      <w:r>
        <w:rPr>
          <w:rFonts w:ascii="Times New Roman" w:hAnsi="Times New Roman" w:cs="Times New Roman"/>
          <w:sz w:val="16"/>
          <w:szCs w:val="16"/>
        </w:rPr>
        <w:t>From: “Resources for the optimal care of the injured veterinary patient, Second edition”, JVECC 2018.</w:t>
      </w:r>
    </w:p>
    <w:p w14:paraId="6D101558" w14:textId="77777777" w:rsidR="00D37F0A" w:rsidRPr="00D37F0A" w:rsidRDefault="00D37F0A" w:rsidP="001E7AC9">
      <w:pPr>
        <w:spacing w:after="0"/>
        <w:rPr>
          <w:rFonts w:ascii="Times New Roman" w:hAnsi="Times New Roman" w:cs="Times New Roman"/>
          <w:sz w:val="16"/>
          <w:szCs w:val="16"/>
        </w:rPr>
      </w:pPr>
    </w:p>
    <w:p w14:paraId="61F7F8C8" w14:textId="102E7394" w:rsidR="005457EF" w:rsidRDefault="005457EF" w:rsidP="005457EF">
      <w:pPr>
        <w:spacing w:after="0"/>
        <w:jc w:val="center"/>
        <w:rPr>
          <w:rFonts w:ascii="Times New Roman" w:hAnsi="Times New Roman" w:cs="Times New Roman"/>
          <w:b/>
          <w:bCs/>
          <w:u w:val="single"/>
        </w:rPr>
      </w:pPr>
      <w:r>
        <w:rPr>
          <w:rFonts w:ascii="Times New Roman" w:hAnsi="Times New Roman" w:cs="Times New Roman"/>
          <w:b/>
          <w:bCs/>
          <w:u w:val="single"/>
        </w:rPr>
        <w:t>Additional Resources</w:t>
      </w:r>
    </w:p>
    <w:p w14:paraId="6C15E6A7" w14:textId="5B6D1C0E" w:rsidR="005457EF" w:rsidRDefault="005457EF" w:rsidP="005457EF">
      <w:pPr>
        <w:spacing w:after="0"/>
        <w:rPr>
          <w:rFonts w:ascii="Times New Roman" w:hAnsi="Times New Roman" w:cs="Times New Roman"/>
          <w:sz w:val="16"/>
          <w:szCs w:val="16"/>
        </w:rPr>
      </w:pPr>
      <w:r>
        <w:rPr>
          <w:rFonts w:ascii="Times New Roman" w:hAnsi="Times New Roman" w:cs="Times New Roman"/>
          <w:sz w:val="16"/>
          <w:szCs w:val="16"/>
        </w:rPr>
        <w:t xml:space="preserve">American College of Veterinary Emergency and Critical Care – </w:t>
      </w:r>
      <w:hyperlink r:id="rId4" w:history="1">
        <w:r w:rsidRPr="00AF058C">
          <w:rPr>
            <w:rStyle w:val="Hyperlink"/>
            <w:rFonts w:ascii="Times New Roman" w:hAnsi="Times New Roman" w:cs="Times New Roman"/>
            <w:sz w:val="16"/>
            <w:szCs w:val="16"/>
          </w:rPr>
          <w:t>www.acvecc.org</w:t>
        </w:r>
      </w:hyperlink>
      <w:r>
        <w:rPr>
          <w:rFonts w:ascii="Times New Roman" w:hAnsi="Times New Roman" w:cs="Times New Roman"/>
          <w:sz w:val="16"/>
          <w:szCs w:val="16"/>
        </w:rPr>
        <w:t xml:space="preserve"> </w:t>
      </w:r>
    </w:p>
    <w:p w14:paraId="7917440D" w14:textId="4281AF27" w:rsidR="005457EF" w:rsidRDefault="005457EF" w:rsidP="005457EF">
      <w:pPr>
        <w:spacing w:after="0"/>
        <w:rPr>
          <w:rFonts w:ascii="Times New Roman" w:hAnsi="Times New Roman" w:cs="Times New Roman"/>
          <w:sz w:val="16"/>
          <w:szCs w:val="16"/>
        </w:rPr>
      </w:pPr>
      <w:r>
        <w:rPr>
          <w:rFonts w:ascii="Times New Roman" w:hAnsi="Times New Roman" w:cs="Times New Roman"/>
          <w:sz w:val="16"/>
          <w:szCs w:val="16"/>
        </w:rPr>
        <w:lastRenderedPageBreak/>
        <w:t xml:space="preserve">Clinical and Translational Science Award One Health Alliance – </w:t>
      </w:r>
      <w:hyperlink r:id="rId5" w:history="1">
        <w:r w:rsidRPr="00AF058C">
          <w:rPr>
            <w:rStyle w:val="Hyperlink"/>
            <w:rFonts w:ascii="Times New Roman" w:hAnsi="Times New Roman" w:cs="Times New Roman"/>
            <w:sz w:val="16"/>
            <w:szCs w:val="16"/>
          </w:rPr>
          <w:t>www.ctdaonehealthalliance.org</w:t>
        </w:r>
      </w:hyperlink>
      <w:r>
        <w:rPr>
          <w:rFonts w:ascii="Times New Roman" w:hAnsi="Times New Roman" w:cs="Times New Roman"/>
          <w:sz w:val="16"/>
          <w:szCs w:val="16"/>
        </w:rPr>
        <w:t xml:space="preserve"> </w:t>
      </w:r>
    </w:p>
    <w:p w14:paraId="04294A4B" w14:textId="6FF54BB0" w:rsidR="005457EF" w:rsidRDefault="005457EF" w:rsidP="005457EF">
      <w:pPr>
        <w:spacing w:after="0"/>
        <w:rPr>
          <w:rFonts w:ascii="Times New Roman" w:hAnsi="Times New Roman" w:cs="Times New Roman"/>
          <w:sz w:val="16"/>
          <w:szCs w:val="16"/>
        </w:rPr>
      </w:pPr>
      <w:r>
        <w:rPr>
          <w:rFonts w:ascii="Times New Roman" w:hAnsi="Times New Roman" w:cs="Times New Roman"/>
          <w:sz w:val="16"/>
          <w:szCs w:val="16"/>
        </w:rPr>
        <w:t xml:space="preserve">European College of Veterinary Emergency and Critical Care – </w:t>
      </w:r>
      <w:hyperlink r:id="rId6" w:history="1">
        <w:r w:rsidRPr="00AF058C">
          <w:rPr>
            <w:rStyle w:val="Hyperlink"/>
            <w:rFonts w:ascii="Times New Roman" w:hAnsi="Times New Roman" w:cs="Times New Roman"/>
            <w:sz w:val="16"/>
            <w:szCs w:val="16"/>
          </w:rPr>
          <w:t>www.ecvecc.org</w:t>
        </w:r>
      </w:hyperlink>
      <w:r>
        <w:rPr>
          <w:rFonts w:ascii="Times New Roman" w:hAnsi="Times New Roman" w:cs="Times New Roman"/>
          <w:sz w:val="16"/>
          <w:szCs w:val="16"/>
        </w:rPr>
        <w:t xml:space="preserve"> </w:t>
      </w:r>
    </w:p>
    <w:p w14:paraId="30658A89" w14:textId="24A5A4E6" w:rsidR="005457EF" w:rsidRDefault="005457EF" w:rsidP="005457EF">
      <w:pPr>
        <w:spacing w:after="0"/>
        <w:rPr>
          <w:rFonts w:ascii="Times New Roman" w:hAnsi="Times New Roman" w:cs="Times New Roman"/>
          <w:sz w:val="16"/>
          <w:szCs w:val="16"/>
        </w:rPr>
      </w:pPr>
      <w:r>
        <w:rPr>
          <w:rFonts w:ascii="Times New Roman" w:hAnsi="Times New Roman" w:cs="Times New Roman"/>
          <w:sz w:val="16"/>
          <w:szCs w:val="16"/>
        </w:rPr>
        <w:t xml:space="preserve">Joint Trauma System, Department of Defense, USA </w:t>
      </w:r>
      <w:r w:rsidR="00D603AD">
        <w:rPr>
          <w:rFonts w:ascii="Times New Roman" w:hAnsi="Times New Roman" w:cs="Times New Roman"/>
          <w:sz w:val="16"/>
          <w:szCs w:val="16"/>
        </w:rPr>
        <w:t>–</w:t>
      </w:r>
      <w:r>
        <w:rPr>
          <w:rFonts w:ascii="Times New Roman" w:hAnsi="Times New Roman" w:cs="Times New Roman"/>
          <w:sz w:val="16"/>
          <w:szCs w:val="16"/>
        </w:rPr>
        <w:t xml:space="preserve"> </w:t>
      </w:r>
      <w:hyperlink r:id="rId7" w:history="1">
        <w:r w:rsidR="00D603AD" w:rsidRPr="00D603AD">
          <w:rPr>
            <w:rStyle w:val="Hyperlink"/>
            <w:rFonts w:ascii="Times New Roman" w:hAnsi="Times New Roman" w:cs="Times New Roman"/>
            <w:sz w:val="16"/>
            <w:szCs w:val="16"/>
          </w:rPr>
          <w:t>jts.health.mil</w:t>
        </w:r>
      </w:hyperlink>
      <w:r w:rsidR="00D603AD">
        <w:rPr>
          <w:rFonts w:ascii="Times New Roman" w:hAnsi="Times New Roman" w:cs="Times New Roman"/>
          <w:sz w:val="16"/>
          <w:szCs w:val="16"/>
        </w:rPr>
        <w:t xml:space="preserve"> </w:t>
      </w:r>
    </w:p>
    <w:p w14:paraId="6114B19B" w14:textId="78D75CFD" w:rsidR="005457EF" w:rsidRDefault="005457EF" w:rsidP="005457EF">
      <w:pPr>
        <w:spacing w:after="0"/>
        <w:rPr>
          <w:rFonts w:ascii="Times New Roman" w:hAnsi="Times New Roman" w:cs="Times New Roman"/>
          <w:sz w:val="16"/>
          <w:szCs w:val="16"/>
        </w:rPr>
      </w:pPr>
      <w:r>
        <w:rPr>
          <w:rFonts w:ascii="Times New Roman" w:hAnsi="Times New Roman" w:cs="Times New Roman"/>
          <w:sz w:val="16"/>
          <w:szCs w:val="16"/>
        </w:rPr>
        <w:t xml:space="preserve">Veterinary Committee on Trauma – </w:t>
      </w:r>
      <w:hyperlink r:id="rId8" w:history="1">
        <w:r w:rsidRPr="00AF058C">
          <w:rPr>
            <w:rStyle w:val="Hyperlink"/>
            <w:rFonts w:ascii="Times New Roman" w:hAnsi="Times New Roman" w:cs="Times New Roman"/>
            <w:sz w:val="16"/>
            <w:szCs w:val="16"/>
          </w:rPr>
          <w:t>www.vetcot.org</w:t>
        </w:r>
      </w:hyperlink>
      <w:r>
        <w:rPr>
          <w:rFonts w:ascii="Times New Roman" w:hAnsi="Times New Roman" w:cs="Times New Roman"/>
          <w:sz w:val="16"/>
          <w:szCs w:val="16"/>
        </w:rPr>
        <w:t xml:space="preserve"> </w:t>
      </w:r>
    </w:p>
    <w:p w14:paraId="52299A57" w14:textId="77777777" w:rsidR="005457EF" w:rsidRPr="005457EF" w:rsidRDefault="005457EF" w:rsidP="005457EF">
      <w:pPr>
        <w:spacing w:after="0"/>
        <w:rPr>
          <w:rFonts w:ascii="Times New Roman" w:hAnsi="Times New Roman" w:cs="Times New Roman"/>
          <w:sz w:val="16"/>
          <w:szCs w:val="16"/>
        </w:rPr>
      </w:pPr>
    </w:p>
    <w:sectPr w:rsidR="005457EF" w:rsidRPr="005457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87"/>
    <w:rsid w:val="00012749"/>
    <w:rsid w:val="001E7AC9"/>
    <w:rsid w:val="003D38AF"/>
    <w:rsid w:val="00507A76"/>
    <w:rsid w:val="005457EF"/>
    <w:rsid w:val="006C5BF4"/>
    <w:rsid w:val="00925AE2"/>
    <w:rsid w:val="009D5F5F"/>
    <w:rsid w:val="00A54742"/>
    <w:rsid w:val="00B626B8"/>
    <w:rsid w:val="00C55E87"/>
    <w:rsid w:val="00D37F0A"/>
    <w:rsid w:val="00D603AD"/>
    <w:rsid w:val="00D8194F"/>
    <w:rsid w:val="00EE7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C8468D"/>
  <w15:chartTrackingRefBased/>
  <w15:docId w15:val="{54ADD220-CA9F-40C5-99D5-BBBD7DD0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7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07A76"/>
    <w:rPr>
      <w:color w:val="0563C1" w:themeColor="hyperlink"/>
      <w:u w:val="single"/>
    </w:rPr>
  </w:style>
  <w:style w:type="character" w:styleId="UnresolvedMention">
    <w:name w:val="Unresolved Mention"/>
    <w:basedOn w:val="DefaultParagraphFont"/>
    <w:uiPriority w:val="99"/>
    <w:semiHidden/>
    <w:unhideWhenUsed/>
    <w:rsid w:val="00507A76"/>
    <w:rPr>
      <w:color w:val="605E5C"/>
      <w:shd w:val="clear" w:color="auto" w:fill="E1DFDD"/>
    </w:rPr>
  </w:style>
  <w:style w:type="paragraph" w:customStyle="1" w:styleId="xmsonormal">
    <w:name w:val="x_msonormal"/>
    <w:basedOn w:val="Normal"/>
    <w:rsid w:val="00507A7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E7463"/>
    <w:rPr>
      <w:rFonts w:ascii="Times New Roman" w:hAnsi="Times New Roman" w:cs="Times New Roman"/>
      <w:sz w:val="24"/>
      <w:szCs w:val="24"/>
    </w:rPr>
  </w:style>
  <w:style w:type="paragraph" w:styleId="Revision">
    <w:name w:val="Revision"/>
    <w:hidden/>
    <w:uiPriority w:val="99"/>
    <w:semiHidden/>
    <w:rsid w:val="00B626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571157">
      <w:bodyDiv w:val="1"/>
      <w:marLeft w:val="0"/>
      <w:marRight w:val="0"/>
      <w:marTop w:val="0"/>
      <w:marBottom w:val="0"/>
      <w:divBdr>
        <w:top w:val="none" w:sz="0" w:space="0" w:color="auto"/>
        <w:left w:val="none" w:sz="0" w:space="0" w:color="auto"/>
        <w:bottom w:val="none" w:sz="0" w:space="0" w:color="auto"/>
        <w:right w:val="none" w:sz="0" w:space="0" w:color="auto"/>
      </w:divBdr>
    </w:div>
    <w:div w:id="788743103">
      <w:bodyDiv w:val="1"/>
      <w:marLeft w:val="0"/>
      <w:marRight w:val="0"/>
      <w:marTop w:val="0"/>
      <w:marBottom w:val="0"/>
      <w:divBdr>
        <w:top w:val="none" w:sz="0" w:space="0" w:color="auto"/>
        <w:left w:val="none" w:sz="0" w:space="0" w:color="auto"/>
        <w:bottom w:val="none" w:sz="0" w:space="0" w:color="auto"/>
        <w:right w:val="none" w:sz="0" w:space="0" w:color="auto"/>
      </w:divBdr>
    </w:div>
    <w:div w:id="1020165624">
      <w:bodyDiv w:val="1"/>
      <w:marLeft w:val="0"/>
      <w:marRight w:val="0"/>
      <w:marTop w:val="0"/>
      <w:marBottom w:val="0"/>
      <w:divBdr>
        <w:top w:val="none" w:sz="0" w:space="0" w:color="auto"/>
        <w:left w:val="none" w:sz="0" w:space="0" w:color="auto"/>
        <w:bottom w:val="none" w:sz="0" w:space="0" w:color="auto"/>
        <w:right w:val="none" w:sz="0" w:space="0" w:color="auto"/>
      </w:divBdr>
    </w:div>
    <w:div w:id="1444304403">
      <w:bodyDiv w:val="1"/>
      <w:marLeft w:val="0"/>
      <w:marRight w:val="0"/>
      <w:marTop w:val="0"/>
      <w:marBottom w:val="0"/>
      <w:divBdr>
        <w:top w:val="none" w:sz="0" w:space="0" w:color="auto"/>
        <w:left w:val="none" w:sz="0" w:space="0" w:color="auto"/>
        <w:bottom w:val="none" w:sz="0" w:space="0" w:color="auto"/>
        <w:right w:val="none" w:sz="0" w:space="0" w:color="auto"/>
      </w:divBdr>
    </w:div>
    <w:div w:id="1469399924">
      <w:bodyDiv w:val="1"/>
      <w:marLeft w:val="0"/>
      <w:marRight w:val="0"/>
      <w:marTop w:val="0"/>
      <w:marBottom w:val="0"/>
      <w:divBdr>
        <w:top w:val="none" w:sz="0" w:space="0" w:color="auto"/>
        <w:left w:val="none" w:sz="0" w:space="0" w:color="auto"/>
        <w:bottom w:val="none" w:sz="0" w:space="0" w:color="auto"/>
        <w:right w:val="none" w:sz="0" w:space="0" w:color="auto"/>
      </w:divBdr>
    </w:div>
    <w:div w:id="2062287419">
      <w:bodyDiv w:val="1"/>
      <w:marLeft w:val="0"/>
      <w:marRight w:val="0"/>
      <w:marTop w:val="0"/>
      <w:marBottom w:val="0"/>
      <w:divBdr>
        <w:top w:val="none" w:sz="0" w:space="0" w:color="auto"/>
        <w:left w:val="none" w:sz="0" w:space="0" w:color="auto"/>
        <w:bottom w:val="none" w:sz="0" w:space="0" w:color="auto"/>
        <w:right w:val="none" w:sz="0" w:space="0" w:color="auto"/>
      </w:divBdr>
    </w:div>
    <w:div w:id="210803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tcot.org" TargetMode="External"/><Relationship Id="rId3" Type="http://schemas.openxmlformats.org/officeDocument/2006/relationships/webSettings" Target="webSettings.xml"/><Relationship Id="rId7" Type="http://schemas.openxmlformats.org/officeDocument/2006/relationships/hyperlink" Target="file:///Users/wilkevets/Desktop/Kelly%20work/CSU/Research/TeTRA-Med/White%20paper%202022/Journal%20of%20Clinical%20and%20Translational%20Science%20submission/jts.health.m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vecc.org" TargetMode="External"/><Relationship Id="rId5" Type="http://schemas.openxmlformats.org/officeDocument/2006/relationships/hyperlink" Target="http://www.ctdaonehealthalliance.org" TargetMode="External"/><Relationship Id="rId10" Type="http://schemas.openxmlformats.org/officeDocument/2006/relationships/theme" Target="theme/theme1.xml"/><Relationship Id="rId4" Type="http://schemas.openxmlformats.org/officeDocument/2006/relationships/hyperlink" Target="http://www.acvecc.or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940</Words>
  <Characters>5358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Tucker,Claire</dc:creator>
  <cp:keywords/>
  <dc:description/>
  <cp:lastModifiedBy>Kelly Wilke</cp:lastModifiedBy>
  <cp:revision>4</cp:revision>
  <dcterms:created xsi:type="dcterms:W3CDTF">2024-03-08T04:11:00Z</dcterms:created>
  <dcterms:modified xsi:type="dcterms:W3CDTF">2024-03-17T02:06:00Z</dcterms:modified>
</cp:coreProperties>
</file>