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41DB" w14:textId="2885DA36" w:rsidR="00B94573" w:rsidRPr="00D82287" w:rsidRDefault="00572C36" w:rsidP="00395D20">
      <w:pPr>
        <w:jc w:val="center"/>
        <w:rPr>
          <w:rFonts w:cstheme="minorHAnsi"/>
          <w:b/>
          <w:bCs/>
          <w:sz w:val="28"/>
          <w:szCs w:val="28"/>
        </w:rPr>
      </w:pPr>
      <w:r w:rsidRPr="00D67367">
        <w:rPr>
          <w:rFonts w:cstheme="minorHAnsi"/>
          <w:b/>
          <w:bCs/>
          <w:sz w:val="28"/>
          <w:szCs w:val="28"/>
        </w:rPr>
        <w:t>Supplementa</w:t>
      </w:r>
      <w:r>
        <w:rPr>
          <w:rFonts w:cstheme="minorHAnsi"/>
          <w:b/>
          <w:bCs/>
          <w:sz w:val="28"/>
          <w:szCs w:val="28"/>
        </w:rPr>
        <w:t>ry</w:t>
      </w:r>
      <w:r w:rsidR="00395D20" w:rsidRPr="00D82287">
        <w:rPr>
          <w:rFonts w:cstheme="minorHAnsi"/>
          <w:b/>
          <w:bCs/>
          <w:sz w:val="28"/>
          <w:szCs w:val="28"/>
        </w:rPr>
        <w:t xml:space="preserve"> </w:t>
      </w:r>
      <w:r>
        <w:rPr>
          <w:rFonts w:cstheme="minorHAnsi"/>
          <w:b/>
          <w:bCs/>
          <w:sz w:val="28"/>
          <w:szCs w:val="28"/>
        </w:rPr>
        <w:t>M</w:t>
      </w:r>
      <w:r w:rsidR="00395D20" w:rsidRPr="00D82287">
        <w:rPr>
          <w:rFonts w:cstheme="minorHAnsi"/>
          <w:b/>
          <w:bCs/>
          <w:sz w:val="28"/>
          <w:szCs w:val="28"/>
        </w:rPr>
        <w:t>aterial fo</w:t>
      </w:r>
      <w:r w:rsidR="001A07A6" w:rsidRPr="00D82287">
        <w:rPr>
          <w:rFonts w:cstheme="minorHAnsi"/>
          <w:b/>
          <w:bCs/>
          <w:sz w:val="28"/>
          <w:szCs w:val="28"/>
        </w:rPr>
        <w:t xml:space="preserve">r the paper </w:t>
      </w:r>
    </w:p>
    <w:p w14:paraId="2A186708" w14:textId="77777777" w:rsidR="00000A05" w:rsidRPr="00D82287" w:rsidRDefault="00000A05" w:rsidP="00395D20">
      <w:pPr>
        <w:jc w:val="center"/>
        <w:rPr>
          <w:rFonts w:cstheme="minorHAnsi"/>
          <w:b/>
          <w:bCs/>
          <w:sz w:val="28"/>
          <w:szCs w:val="28"/>
        </w:rPr>
      </w:pPr>
    </w:p>
    <w:p w14:paraId="0CB6F381" w14:textId="12E2F4B9" w:rsidR="001A07A6" w:rsidRDefault="001A07A6" w:rsidP="00395D20">
      <w:pPr>
        <w:jc w:val="center"/>
        <w:rPr>
          <w:rFonts w:cstheme="minorHAnsi"/>
          <w:b/>
          <w:bCs/>
          <w:i/>
          <w:iCs/>
          <w:color w:val="000000"/>
        </w:rPr>
      </w:pPr>
      <w:r w:rsidRPr="00D67367">
        <w:rPr>
          <w:rFonts w:cstheme="minorHAnsi"/>
          <w:b/>
          <w:bCs/>
          <w:i/>
          <w:iCs/>
          <w:color w:val="000000"/>
        </w:rPr>
        <w:t>The role and capacities of large-scale actor coalitions in shaping sustainability transformations</w:t>
      </w:r>
    </w:p>
    <w:p w14:paraId="7D365781" w14:textId="0FF96D1C" w:rsidR="003A03CB" w:rsidRPr="003A03CB" w:rsidRDefault="003A03CB" w:rsidP="00395D20">
      <w:pPr>
        <w:jc w:val="center"/>
        <w:rPr>
          <w:rFonts w:cstheme="minorHAnsi"/>
          <w:sz w:val="28"/>
          <w:szCs w:val="28"/>
        </w:rPr>
      </w:pPr>
      <w:r w:rsidRPr="003A03CB">
        <w:rPr>
          <w:rFonts w:cstheme="minorHAnsi"/>
          <w:b/>
          <w:bCs/>
          <w:color w:val="000000"/>
          <w:highlight w:val="yellow"/>
        </w:rPr>
        <w:t>DOI:</w:t>
      </w:r>
      <w:r w:rsidRPr="003A03CB">
        <w:rPr>
          <w:rFonts w:cstheme="minorHAnsi"/>
          <w:b/>
          <w:bCs/>
          <w:color w:val="000000"/>
        </w:rPr>
        <w:t xml:space="preserve"> </w:t>
      </w:r>
    </w:p>
    <w:p w14:paraId="3F1B1B60" w14:textId="77777777" w:rsidR="00D20A53" w:rsidRPr="00D82287" w:rsidRDefault="00D20A53" w:rsidP="00395D20">
      <w:pPr>
        <w:jc w:val="center"/>
        <w:rPr>
          <w:rFonts w:cstheme="minorHAnsi"/>
          <w:b/>
          <w:bCs/>
        </w:rPr>
      </w:pPr>
    </w:p>
    <w:p w14:paraId="260AC498" w14:textId="794079E1" w:rsidR="001A07A6" w:rsidRPr="00D82287" w:rsidRDefault="003A03CB" w:rsidP="00395D20">
      <w:pPr>
        <w:jc w:val="center"/>
        <w:rPr>
          <w:rFonts w:cstheme="minorHAnsi"/>
        </w:rPr>
      </w:pPr>
      <w:r>
        <w:rPr>
          <w:rFonts w:cstheme="minorHAnsi"/>
          <w:i/>
          <w:iCs/>
        </w:rPr>
        <w:t>Published in</w:t>
      </w:r>
      <w:r w:rsidR="00572C36" w:rsidRPr="00D82287">
        <w:rPr>
          <w:rFonts w:cstheme="minorHAnsi"/>
        </w:rPr>
        <w:t xml:space="preserve"> </w:t>
      </w:r>
      <w:r w:rsidR="00562AA8" w:rsidRPr="00D82287">
        <w:rPr>
          <w:rFonts w:cstheme="minorHAnsi"/>
        </w:rPr>
        <w:t xml:space="preserve">Global Sustainability </w:t>
      </w:r>
      <w:r w:rsidR="001A07A6" w:rsidRPr="00D82287">
        <w:rPr>
          <w:rFonts w:cstheme="minorHAnsi"/>
        </w:rPr>
        <w:t xml:space="preserve"> </w:t>
      </w:r>
      <w:r w:rsidR="001A07A6" w:rsidRPr="00D67367">
        <w:rPr>
          <w:rFonts w:cstheme="minorHAnsi"/>
        </w:rPr>
        <w:br/>
      </w:r>
    </w:p>
    <w:sdt>
      <w:sdtPr>
        <w:rPr>
          <w:rFonts w:asciiTheme="minorHAnsi" w:eastAsiaTheme="minorHAnsi" w:hAnsiTheme="minorHAnsi" w:cstheme="minorHAnsi"/>
          <w:b w:val="0"/>
          <w:bCs w:val="0"/>
          <w:color w:val="auto"/>
          <w:kern w:val="2"/>
          <w:sz w:val="24"/>
          <w:szCs w:val="24"/>
          <w:lang w:val="en-GB"/>
          <w14:ligatures w14:val="standardContextual"/>
        </w:rPr>
        <w:id w:val="1927997099"/>
        <w:docPartObj>
          <w:docPartGallery w:val="Table of Contents"/>
          <w:docPartUnique/>
        </w:docPartObj>
      </w:sdtPr>
      <w:sdtContent>
        <w:p w14:paraId="0DB5E278" w14:textId="4192ACED" w:rsidR="00353FCF" w:rsidRPr="00D82287" w:rsidRDefault="00353FCF">
          <w:pPr>
            <w:pStyle w:val="TOCHeading"/>
            <w:rPr>
              <w:rFonts w:asciiTheme="minorHAnsi" w:hAnsiTheme="minorHAnsi" w:cstheme="minorHAnsi"/>
              <w:lang w:val="en-GB"/>
            </w:rPr>
          </w:pPr>
          <w:r w:rsidRPr="00D82287">
            <w:rPr>
              <w:rFonts w:asciiTheme="minorHAnsi" w:hAnsiTheme="minorHAnsi" w:cstheme="minorHAnsi"/>
              <w:lang w:val="en-GB"/>
            </w:rPr>
            <w:t>Table of Contents</w:t>
          </w:r>
        </w:p>
        <w:p w14:paraId="438328A8" w14:textId="465BE03F" w:rsidR="006F5EF7" w:rsidRPr="00D82287" w:rsidRDefault="00353FCF">
          <w:pPr>
            <w:pStyle w:val="TOC1"/>
            <w:tabs>
              <w:tab w:val="left" w:pos="480"/>
              <w:tab w:val="right" w:leader="dot" w:pos="9016"/>
            </w:tabs>
            <w:rPr>
              <w:rFonts w:eastAsiaTheme="minorEastAsia" w:cstheme="minorBidi"/>
              <w:b w:val="0"/>
              <w:bCs w:val="0"/>
              <w:i w:val="0"/>
              <w:iCs w:val="0"/>
              <w:lang w:eastAsia="en-GB"/>
            </w:rPr>
          </w:pPr>
          <w:r w:rsidRPr="00D67367">
            <w:rPr>
              <w:b w:val="0"/>
              <w:bCs w:val="0"/>
            </w:rPr>
            <w:fldChar w:fldCharType="begin"/>
          </w:r>
          <w:r w:rsidRPr="00D67367">
            <w:instrText xml:space="preserve"> TOC \o "1-3" \h \z \u </w:instrText>
          </w:r>
          <w:r w:rsidRPr="00D67367">
            <w:rPr>
              <w:b w:val="0"/>
              <w:bCs w:val="0"/>
            </w:rPr>
            <w:fldChar w:fldCharType="separate"/>
          </w:r>
          <w:hyperlink w:anchor="_Toc180411810" w:history="1">
            <w:r w:rsidR="006F5EF7" w:rsidRPr="00D82287">
              <w:rPr>
                <w:rStyle w:val="Hyperlink"/>
              </w:rPr>
              <w:t>1.</w:t>
            </w:r>
            <w:r w:rsidR="006F5EF7" w:rsidRPr="00D82287">
              <w:rPr>
                <w:rFonts w:eastAsiaTheme="minorEastAsia" w:cstheme="minorBidi"/>
                <w:b w:val="0"/>
                <w:bCs w:val="0"/>
                <w:i w:val="0"/>
                <w:iCs w:val="0"/>
                <w:lang w:eastAsia="en-GB"/>
              </w:rPr>
              <w:tab/>
            </w:r>
            <w:r w:rsidR="006F5EF7" w:rsidRPr="00D82287">
              <w:rPr>
                <w:rStyle w:val="Hyperlink"/>
              </w:rPr>
              <w:t>Methodology</w:t>
            </w:r>
            <w:r w:rsidR="006F5EF7" w:rsidRPr="00D82287">
              <w:rPr>
                <w:webHidden/>
              </w:rPr>
              <w:tab/>
            </w:r>
            <w:r w:rsidR="006F5EF7" w:rsidRPr="00D82287">
              <w:rPr>
                <w:webHidden/>
              </w:rPr>
              <w:fldChar w:fldCharType="begin"/>
            </w:r>
            <w:r w:rsidR="006F5EF7" w:rsidRPr="00D82287">
              <w:rPr>
                <w:webHidden/>
              </w:rPr>
              <w:instrText xml:space="preserve"> PAGEREF _Toc180411810 \h </w:instrText>
            </w:r>
            <w:r w:rsidR="006F5EF7" w:rsidRPr="00D82287">
              <w:rPr>
                <w:webHidden/>
              </w:rPr>
            </w:r>
            <w:r w:rsidR="006F5EF7" w:rsidRPr="00D82287">
              <w:rPr>
                <w:webHidden/>
              </w:rPr>
              <w:fldChar w:fldCharType="separate"/>
            </w:r>
            <w:r w:rsidR="006F5EF7" w:rsidRPr="00D82287">
              <w:rPr>
                <w:webHidden/>
              </w:rPr>
              <w:t>2</w:t>
            </w:r>
            <w:r w:rsidR="006F5EF7" w:rsidRPr="00D82287">
              <w:rPr>
                <w:webHidden/>
              </w:rPr>
              <w:fldChar w:fldCharType="end"/>
            </w:r>
          </w:hyperlink>
        </w:p>
        <w:p w14:paraId="19BB7EEA" w14:textId="00559AAD" w:rsidR="006F5EF7" w:rsidRPr="00D82287" w:rsidRDefault="006F5EF7">
          <w:pPr>
            <w:pStyle w:val="TOC2"/>
            <w:tabs>
              <w:tab w:val="left" w:pos="960"/>
              <w:tab w:val="right" w:leader="dot" w:pos="9016"/>
            </w:tabs>
            <w:rPr>
              <w:rFonts w:eastAsiaTheme="minorEastAsia" w:cstheme="minorBidi"/>
              <w:b w:val="0"/>
              <w:bCs w:val="0"/>
              <w:sz w:val="24"/>
              <w:szCs w:val="24"/>
              <w:lang w:eastAsia="en-GB"/>
            </w:rPr>
          </w:pPr>
          <w:hyperlink w:anchor="_Toc180411811" w:history="1">
            <w:r w:rsidRPr="00D82287">
              <w:rPr>
                <w:rStyle w:val="Hyperlink"/>
              </w:rPr>
              <w:t>1.1.</w:t>
            </w:r>
            <w:r w:rsidRPr="00D82287">
              <w:rPr>
                <w:rFonts w:eastAsiaTheme="minorEastAsia" w:cstheme="minorBidi"/>
                <w:b w:val="0"/>
                <w:bCs w:val="0"/>
                <w:sz w:val="24"/>
                <w:szCs w:val="24"/>
                <w:lang w:eastAsia="en-GB"/>
              </w:rPr>
              <w:tab/>
            </w:r>
            <w:r w:rsidRPr="00D82287">
              <w:rPr>
                <w:rStyle w:val="Hyperlink"/>
              </w:rPr>
              <w:t>Phase A</w:t>
            </w:r>
            <w:r w:rsidRPr="00D82287">
              <w:rPr>
                <w:webHidden/>
              </w:rPr>
              <w:tab/>
            </w:r>
            <w:r w:rsidRPr="00D82287">
              <w:rPr>
                <w:webHidden/>
              </w:rPr>
              <w:fldChar w:fldCharType="begin"/>
            </w:r>
            <w:r w:rsidRPr="00D82287">
              <w:rPr>
                <w:webHidden/>
              </w:rPr>
              <w:instrText xml:space="preserve"> PAGEREF _Toc180411811 \h </w:instrText>
            </w:r>
            <w:r w:rsidRPr="00D82287">
              <w:rPr>
                <w:webHidden/>
              </w:rPr>
            </w:r>
            <w:r w:rsidRPr="00D82287">
              <w:rPr>
                <w:webHidden/>
              </w:rPr>
              <w:fldChar w:fldCharType="separate"/>
            </w:r>
            <w:r w:rsidRPr="00D82287">
              <w:rPr>
                <w:webHidden/>
              </w:rPr>
              <w:t>2</w:t>
            </w:r>
            <w:r w:rsidRPr="00D82287">
              <w:rPr>
                <w:webHidden/>
              </w:rPr>
              <w:fldChar w:fldCharType="end"/>
            </w:r>
          </w:hyperlink>
        </w:p>
        <w:p w14:paraId="49008E3B" w14:textId="71C6A734" w:rsidR="006F5EF7" w:rsidRPr="00D82287" w:rsidRDefault="006F5EF7">
          <w:pPr>
            <w:pStyle w:val="TOC2"/>
            <w:tabs>
              <w:tab w:val="left" w:pos="960"/>
              <w:tab w:val="right" w:leader="dot" w:pos="9016"/>
            </w:tabs>
            <w:rPr>
              <w:rFonts w:eastAsiaTheme="minorEastAsia" w:cstheme="minorBidi"/>
              <w:b w:val="0"/>
              <w:bCs w:val="0"/>
              <w:sz w:val="24"/>
              <w:szCs w:val="24"/>
              <w:lang w:eastAsia="en-GB"/>
            </w:rPr>
          </w:pPr>
          <w:hyperlink w:anchor="_Toc180411812" w:history="1">
            <w:r w:rsidRPr="00D82287">
              <w:rPr>
                <w:rStyle w:val="Hyperlink"/>
              </w:rPr>
              <w:t>1.2.</w:t>
            </w:r>
            <w:r w:rsidRPr="00D82287">
              <w:rPr>
                <w:rFonts w:eastAsiaTheme="minorEastAsia" w:cstheme="minorBidi"/>
                <w:b w:val="0"/>
                <w:bCs w:val="0"/>
                <w:sz w:val="24"/>
                <w:szCs w:val="24"/>
                <w:lang w:eastAsia="en-GB"/>
              </w:rPr>
              <w:tab/>
            </w:r>
            <w:r w:rsidRPr="00D82287">
              <w:rPr>
                <w:rStyle w:val="Hyperlink"/>
              </w:rPr>
              <w:t>Phase B</w:t>
            </w:r>
            <w:r w:rsidRPr="00D82287">
              <w:rPr>
                <w:webHidden/>
              </w:rPr>
              <w:tab/>
            </w:r>
            <w:r w:rsidRPr="00D82287">
              <w:rPr>
                <w:webHidden/>
              </w:rPr>
              <w:fldChar w:fldCharType="begin"/>
            </w:r>
            <w:r w:rsidRPr="00D82287">
              <w:rPr>
                <w:webHidden/>
              </w:rPr>
              <w:instrText xml:space="preserve"> PAGEREF _Toc180411812 \h </w:instrText>
            </w:r>
            <w:r w:rsidRPr="00D82287">
              <w:rPr>
                <w:webHidden/>
              </w:rPr>
            </w:r>
            <w:r w:rsidRPr="00D82287">
              <w:rPr>
                <w:webHidden/>
              </w:rPr>
              <w:fldChar w:fldCharType="separate"/>
            </w:r>
            <w:r w:rsidRPr="00D82287">
              <w:rPr>
                <w:webHidden/>
              </w:rPr>
              <w:t>3</w:t>
            </w:r>
            <w:r w:rsidRPr="00D82287">
              <w:rPr>
                <w:webHidden/>
              </w:rPr>
              <w:fldChar w:fldCharType="end"/>
            </w:r>
          </w:hyperlink>
        </w:p>
        <w:p w14:paraId="355D4241" w14:textId="57A898A3" w:rsidR="006F5EF7" w:rsidRPr="00D82287" w:rsidRDefault="006F5EF7">
          <w:pPr>
            <w:pStyle w:val="TOC2"/>
            <w:tabs>
              <w:tab w:val="left" w:pos="960"/>
              <w:tab w:val="right" w:leader="dot" w:pos="9016"/>
            </w:tabs>
            <w:rPr>
              <w:rFonts w:eastAsiaTheme="minorEastAsia" w:cstheme="minorBidi"/>
              <w:b w:val="0"/>
              <w:bCs w:val="0"/>
              <w:sz w:val="24"/>
              <w:szCs w:val="24"/>
              <w:lang w:eastAsia="en-GB"/>
            </w:rPr>
          </w:pPr>
          <w:hyperlink w:anchor="_Toc180411813" w:history="1">
            <w:r w:rsidRPr="00D82287">
              <w:rPr>
                <w:rStyle w:val="Hyperlink"/>
              </w:rPr>
              <w:t>1.3.</w:t>
            </w:r>
            <w:r w:rsidRPr="00D82287">
              <w:rPr>
                <w:rFonts w:eastAsiaTheme="minorEastAsia" w:cstheme="minorBidi"/>
                <w:b w:val="0"/>
                <w:bCs w:val="0"/>
                <w:sz w:val="24"/>
                <w:szCs w:val="24"/>
                <w:lang w:eastAsia="en-GB"/>
              </w:rPr>
              <w:tab/>
            </w:r>
            <w:r w:rsidRPr="00D82287">
              <w:rPr>
                <w:rStyle w:val="Hyperlink"/>
              </w:rPr>
              <w:t>Datasets</w:t>
            </w:r>
            <w:r w:rsidRPr="00D82287">
              <w:rPr>
                <w:webHidden/>
              </w:rPr>
              <w:tab/>
            </w:r>
            <w:r w:rsidRPr="00D82287">
              <w:rPr>
                <w:webHidden/>
              </w:rPr>
              <w:fldChar w:fldCharType="begin"/>
            </w:r>
            <w:r w:rsidRPr="00D82287">
              <w:rPr>
                <w:webHidden/>
              </w:rPr>
              <w:instrText xml:space="preserve"> PAGEREF _Toc180411813 \h </w:instrText>
            </w:r>
            <w:r w:rsidRPr="00D82287">
              <w:rPr>
                <w:webHidden/>
              </w:rPr>
            </w:r>
            <w:r w:rsidRPr="00D82287">
              <w:rPr>
                <w:webHidden/>
              </w:rPr>
              <w:fldChar w:fldCharType="separate"/>
            </w:r>
            <w:r w:rsidRPr="00D82287">
              <w:rPr>
                <w:webHidden/>
              </w:rPr>
              <w:t>3</w:t>
            </w:r>
            <w:r w:rsidRPr="00D82287">
              <w:rPr>
                <w:webHidden/>
              </w:rPr>
              <w:fldChar w:fldCharType="end"/>
            </w:r>
          </w:hyperlink>
        </w:p>
        <w:p w14:paraId="55C382C4" w14:textId="52D62608" w:rsidR="006F5EF7" w:rsidRPr="00D82287" w:rsidRDefault="006F5EF7">
          <w:pPr>
            <w:pStyle w:val="TOC2"/>
            <w:tabs>
              <w:tab w:val="left" w:pos="960"/>
              <w:tab w:val="right" w:leader="dot" w:pos="9016"/>
            </w:tabs>
            <w:rPr>
              <w:rFonts w:eastAsiaTheme="minorEastAsia" w:cstheme="minorBidi"/>
              <w:b w:val="0"/>
              <w:bCs w:val="0"/>
              <w:sz w:val="24"/>
              <w:szCs w:val="24"/>
              <w:lang w:eastAsia="en-GB"/>
            </w:rPr>
          </w:pPr>
          <w:hyperlink w:anchor="_Toc180411814" w:history="1">
            <w:r w:rsidRPr="00D82287">
              <w:rPr>
                <w:rStyle w:val="Hyperlink"/>
                <w:rFonts w:ascii="Calibri" w:hAnsi="Calibri" w:cs="Calibri"/>
              </w:rPr>
              <w:t>1.4.</w:t>
            </w:r>
            <w:r w:rsidRPr="00D82287">
              <w:rPr>
                <w:rFonts w:eastAsiaTheme="minorEastAsia" w:cstheme="minorBidi"/>
                <w:b w:val="0"/>
                <w:bCs w:val="0"/>
                <w:sz w:val="24"/>
                <w:szCs w:val="24"/>
                <w:lang w:eastAsia="en-GB"/>
              </w:rPr>
              <w:tab/>
            </w:r>
            <w:r w:rsidRPr="00D82287">
              <w:rPr>
                <w:rStyle w:val="Hyperlink"/>
                <w:rFonts w:ascii="Calibri" w:hAnsi="Calibri" w:cs="Calibri"/>
              </w:rPr>
              <w:t>LSAC inclusion criteria – Table S1</w:t>
            </w:r>
            <w:r w:rsidRPr="00D82287">
              <w:rPr>
                <w:webHidden/>
              </w:rPr>
              <w:tab/>
            </w:r>
            <w:r w:rsidRPr="00D82287">
              <w:rPr>
                <w:webHidden/>
              </w:rPr>
              <w:fldChar w:fldCharType="begin"/>
            </w:r>
            <w:r w:rsidRPr="00D82287">
              <w:rPr>
                <w:webHidden/>
              </w:rPr>
              <w:instrText xml:space="preserve"> PAGEREF _Toc180411814 \h </w:instrText>
            </w:r>
            <w:r w:rsidRPr="00D82287">
              <w:rPr>
                <w:webHidden/>
              </w:rPr>
            </w:r>
            <w:r w:rsidRPr="00D82287">
              <w:rPr>
                <w:webHidden/>
              </w:rPr>
              <w:fldChar w:fldCharType="separate"/>
            </w:r>
            <w:r w:rsidRPr="00D82287">
              <w:rPr>
                <w:webHidden/>
              </w:rPr>
              <w:t>4</w:t>
            </w:r>
            <w:r w:rsidRPr="00D82287">
              <w:rPr>
                <w:webHidden/>
              </w:rPr>
              <w:fldChar w:fldCharType="end"/>
            </w:r>
          </w:hyperlink>
        </w:p>
        <w:p w14:paraId="487C7A29" w14:textId="5F10D815" w:rsidR="006F5EF7" w:rsidRPr="00D82287" w:rsidRDefault="006F5EF7">
          <w:pPr>
            <w:pStyle w:val="TOC2"/>
            <w:tabs>
              <w:tab w:val="left" w:pos="960"/>
              <w:tab w:val="right" w:leader="dot" w:pos="9016"/>
            </w:tabs>
            <w:rPr>
              <w:rFonts w:eastAsiaTheme="minorEastAsia" w:cstheme="minorBidi"/>
              <w:b w:val="0"/>
              <w:bCs w:val="0"/>
              <w:sz w:val="24"/>
              <w:szCs w:val="24"/>
              <w:lang w:eastAsia="en-GB"/>
            </w:rPr>
          </w:pPr>
          <w:hyperlink w:anchor="_Toc180411815" w:history="1">
            <w:r w:rsidRPr="00D82287">
              <w:rPr>
                <w:rStyle w:val="Hyperlink"/>
                <w:rFonts w:eastAsia="Times New Roman"/>
                <w:kern w:val="0"/>
                <w:lang w:eastAsia="en-GB"/>
                <w14:ligatures w14:val="none"/>
              </w:rPr>
              <w:t xml:space="preserve">1.5. </w:t>
            </w:r>
            <w:r w:rsidRPr="00D82287">
              <w:rPr>
                <w:rFonts w:eastAsiaTheme="minorEastAsia" w:cstheme="minorBidi"/>
                <w:b w:val="0"/>
                <w:bCs w:val="0"/>
                <w:sz w:val="24"/>
                <w:szCs w:val="24"/>
                <w:lang w:eastAsia="en-GB"/>
              </w:rPr>
              <w:tab/>
            </w:r>
            <w:r w:rsidRPr="00D82287">
              <w:rPr>
                <w:rStyle w:val="Hyperlink"/>
                <w:rFonts w:eastAsia="Times New Roman"/>
                <w:kern w:val="0"/>
                <w:lang w:eastAsia="en-GB"/>
                <w14:ligatures w14:val="none"/>
              </w:rPr>
              <w:t>Methodological and analytical Limitations</w:t>
            </w:r>
            <w:r w:rsidRPr="00D82287">
              <w:rPr>
                <w:webHidden/>
              </w:rPr>
              <w:tab/>
            </w:r>
            <w:r w:rsidRPr="00D82287">
              <w:rPr>
                <w:webHidden/>
              </w:rPr>
              <w:fldChar w:fldCharType="begin"/>
            </w:r>
            <w:r w:rsidRPr="00D82287">
              <w:rPr>
                <w:webHidden/>
              </w:rPr>
              <w:instrText xml:space="preserve"> PAGEREF _Toc180411815 \h </w:instrText>
            </w:r>
            <w:r w:rsidRPr="00D82287">
              <w:rPr>
                <w:webHidden/>
              </w:rPr>
            </w:r>
            <w:r w:rsidRPr="00D82287">
              <w:rPr>
                <w:webHidden/>
              </w:rPr>
              <w:fldChar w:fldCharType="separate"/>
            </w:r>
            <w:r w:rsidRPr="00D82287">
              <w:rPr>
                <w:webHidden/>
              </w:rPr>
              <w:t>7</w:t>
            </w:r>
            <w:r w:rsidRPr="00D82287">
              <w:rPr>
                <w:webHidden/>
              </w:rPr>
              <w:fldChar w:fldCharType="end"/>
            </w:r>
          </w:hyperlink>
        </w:p>
        <w:p w14:paraId="6A675261" w14:textId="70EE3607" w:rsidR="006F5EF7" w:rsidRPr="00D82287" w:rsidRDefault="006F5EF7">
          <w:pPr>
            <w:pStyle w:val="TOC2"/>
            <w:tabs>
              <w:tab w:val="left" w:pos="960"/>
              <w:tab w:val="right" w:leader="dot" w:pos="9016"/>
            </w:tabs>
            <w:rPr>
              <w:rFonts w:eastAsiaTheme="minorEastAsia" w:cstheme="minorBidi"/>
              <w:b w:val="0"/>
              <w:bCs w:val="0"/>
              <w:sz w:val="24"/>
              <w:szCs w:val="24"/>
              <w:lang w:eastAsia="en-GB"/>
            </w:rPr>
          </w:pPr>
          <w:hyperlink w:anchor="_Toc180411816" w:history="1">
            <w:r w:rsidRPr="00D82287">
              <w:rPr>
                <w:rStyle w:val="Hyperlink"/>
              </w:rPr>
              <w:t xml:space="preserve">1.6. </w:t>
            </w:r>
            <w:r w:rsidRPr="00D82287">
              <w:rPr>
                <w:rFonts w:eastAsiaTheme="minorEastAsia" w:cstheme="minorBidi"/>
                <w:b w:val="0"/>
                <w:bCs w:val="0"/>
                <w:sz w:val="24"/>
                <w:szCs w:val="24"/>
                <w:lang w:eastAsia="en-GB"/>
              </w:rPr>
              <w:tab/>
            </w:r>
            <w:r w:rsidRPr="00D82287">
              <w:rPr>
                <w:rStyle w:val="Hyperlink"/>
              </w:rPr>
              <w:t>Set-up, strategies and capacities</w:t>
            </w:r>
            <w:r w:rsidRPr="00D82287">
              <w:rPr>
                <w:webHidden/>
              </w:rPr>
              <w:tab/>
            </w:r>
            <w:r w:rsidRPr="00D82287">
              <w:rPr>
                <w:webHidden/>
              </w:rPr>
              <w:fldChar w:fldCharType="begin"/>
            </w:r>
            <w:r w:rsidRPr="00D82287">
              <w:rPr>
                <w:webHidden/>
              </w:rPr>
              <w:instrText xml:space="preserve"> PAGEREF _Toc180411816 \h </w:instrText>
            </w:r>
            <w:r w:rsidRPr="00D82287">
              <w:rPr>
                <w:webHidden/>
              </w:rPr>
            </w:r>
            <w:r w:rsidRPr="00D82287">
              <w:rPr>
                <w:webHidden/>
              </w:rPr>
              <w:fldChar w:fldCharType="separate"/>
            </w:r>
            <w:r w:rsidRPr="00D82287">
              <w:rPr>
                <w:webHidden/>
              </w:rPr>
              <w:t>7</w:t>
            </w:r>
            <w:r w:rsidRPr="00D82287">
              <w:rPr>
                <w:webHidden/>
              </w:rPr>
              <w:fldChar w:fldCharType="end"/>
            </w:r>
          </w:hyperlink>
        </w:p>
        <w:p w14:paraId="18D04B20" w14:textId="2B6109DC" w:rsidR="006F5EF7" w:rsidRPr="00D82287" w:rsidRDefault="006F5EF7">
          <w:pPr>
            <w:pStyle w:val="TOC1"/>
            <w:tabs>
              <w:tab w:val="left" w:pos="480"/>
              <w:tab w:val="right" w:leader="dot" w:pos="9016"/>
            </w:tabs>
            <w:rPr>
              <w:rFonts w:eastAsiaTheme="minorEastAsia" w:cstheme="minorBidi"/>
              <w:b w:val="0"/>
              <w:bCs w:val="0"/>
              <w:i w:val="0"/>
              <w:iCs w:val="0"/>
              <w:lang w:eastAsia="en-GB"/>
            </w:rPr>
          </w:pPr>
          <w:hyperlink w:anchor="_Toc180411817" w:history="1">
            <w:r w:rsidRPr="00D82287">
              <w:rPr>
                <w:rStyle w:val="Hyperlink"/>
              </w:rPr>
              <w:t>2.</w:t>
            </w:r>
            <w:r w:rsidRPr="00D82287">
              <w:rPr>
                <w:rFonts w:eastAsiaTheme="minorEastAsia" w:cstheme="minorBidi"/>
                <w:b w:val="0"/>
                <w:bCs w:val="0"/>
                <w:i w:val="0"/>
                <w:iCs w:val="0"/>
                <w:lang w:eastAsia="en-GB"/>
              </w:rPr>
              <w:tab/>
            </w:r>
            <w:r w:rsidRPr="00D82287">
              <w:rPr>
                <w:rStyle w:val="Hyperlink"/>
              </w:rPr>
              <w:t>Appendix</w:t>
            </w:r>
            <w:r w:rsidRPr="00D82287">
              <w:rPr>
                <w:webHidden/>
              </w:rPr>
              <w:tab/>
            </w:r>
            <w:r w:rsidRPr="00D82287">
              <w:rPr>
                <w:webHidden/>
              </w:rPr>
              <w:fldChar w:fldCharType="begin"/>
            </w:r>
            <w:r w:rsidRPr="00D82287">
              <w:rPr>
                <w:webHidden/>
              </w:rPr>
              <w:instrText xml:space="preserve"> PAGEREF _Toc180411817 \h </w:instrText>
            </w:r>
            <w:r w:rsidRPr="00D82287">
              <w:rPr>
                <w:webHidden/>
              </w:rPr>
            </w:r>
            <w:r w:rsidRPr="00D82287">
              <w:rPr>
                <w:webHidden/>
              </w:rPr>
              <w:fldChar w:fldCharType="separate"/>
            </w:r>
            <w:r w:rsidRPr="00D82287">
              <w:rPr>
                <w:webHidden/>
              </w:rPr>
              <w:t>8</w:t>
            </w:r>
            <w:r w:rsidRPr="00D82287">
              <w:rPr>
                <w:webHidden/>
              </w:rPr>
              <w:fldChar w:fldCharType="end"/>
            </w:r>
          </w:hyperlink>
        </w:p>
        <w:p w14:paraId="09DED615" w14:textId="18805F86" w:rsidR="006F5EF7" w:rsidRPr="00D82287" w:rsidRDefault="006F5EF7">
          <w:pPr>
            <w:pStyle w:val="TOC2"/>
            <w:tabs>
              <w:tab w:val="right" w:leader="dot" w:pos="9016"/>
            </w:tabs>
            <w:rPr>
              <w:rFonts w:eastAsiaTheme="minorEastAsia" w:cstheme="minorBidi"/>
              <w:b w:val="0"/>
              <w:bCs w:val="0"/>
              <w:sz w:val="24"/>
              <w:szCs w:val="24"/>
              <w:lang w:eastAsia="en-GB"/>
            </w:rPr>
          </w:pPr>
          <w:hyperlink w:anchor="_Toc180411818" w:history="1">
            <w:r w:rsidRPr="00D82287">
              <w:rPr>
                <w:rStyle w:val="Hyperlink"/>
              </w:rPr>
              <w:t>A.1. Table S2. Extended analytical framework, developed in collaboration with Nadja Naijar and Stephen Mejia</w:t>
            </w:r>
            <w:r w:rsidRPr="00D82287">
              <w:rPr>
                <w:webHidden/>
              </w:rPr>
              <w:tab/>
            </w:r>
            <w:r w:rsidRPr="00D82287">
              <w:rPr>
                <w:webHidden/>
              </w:rPr>
              <w:fldChar w:fldCharType="begin"/>
            </w:r>
            <w:r w:rsidRPr="00D82287">
              <w:rPr>
                <w:webHidden/>
              </w:rPr>
              <w:instrText xml:space="preserve"> PAGEREF _Toc180411818 \h </w:instrText>
            </w:r>
            <w:r w:rsidRPr="00D82287">
              <w:rPr>
                <w:webHidden/>
              </w:rPr>
            </w:r>
            <w:r w:rsidRPr="00D82287">
              <w:rPr>
                <w:webHidden/>
              </w:rPr>
              <w:fldChar w:fldCharType="separate"/>
            </w:r>
            <w:r w:rsidRPr="00D82287">
              <w:rPr>
                <w:webHidden/>
              </w:rPr>
              <w:t>8</w:t>
            </w:r>
            <w:r w:rsidRPr="00D82287">
              <w:rPr>
                <w:webHidden/>
              </w:rPr>
              <w:fldChar w:fldCharType="end"/>
            </w:r>
          </w:hyperlink>
        </w:p>
        <w:p w14:paraId="44C793BC" w14:textId="660578F9" w:rsidR="006F5EF7" w:rsidRPr="00D82287" w:rsidRDefault="006F5EF7">
          <w:pPr>
            <w:pStyle w:val="TOC2"/>
            <w:tabs>
              <w:tab w:val="right" w:leader="dot" w:pos="9016"/>
            </w:tabs>
            <w:rPr>
              <w:rFonts w:eastAsiaTheme="minorEastAsia" w:cstheme="minorBidi"/>
              <w:b w:val="0"/>
              <w:bCs w:val="0"/>
              <w:sz w:val="24"/>
              <w:szCs w:val="24"/>
              <w:lang w:eastAsia="en-GB"/>
            </w:rPr>
          </w:pPr>
          <w:hyperlink w:anchor="_Toc180411819" w:history="1">
            <w:r w:rsidRPr="00D82287">
              <w:rPr>
                <w:rStyle w:val="Hyperlink"/>
              </w:rPr>
              <w:t>A.2. Figure S1. Thematic map</w:t>
            </w:r>
            <w:r w:rsidRPr="00D82287">
              <w:rPr>
                <w:webHidden/>
              </w:rPr>
              <w:tab/>
            </w:r>
            <w:r w:rsidRPr="00D82287">
              <w:rPr>
                <w:webHidden/>
              </w:rPr>
              <w:fldChar w:fldCharType="begin"/>
            </w:r>
            <w:r w:rsidRPr="00D82287">
              <w:rPr>
                <w:webHidden/>
              </w:rPr>
              <w:instrText xml:space="preserve"> PAGEREF _Toc180411819 \h </w:instrText>
            </w:r>
            <w:r w:rsidRPr="00D82287">
              <w:rPr>
                <w:webHidden/>
              </w:rPr>
            </w:r>
            <w:r w:rsidRPr="00D82287">
              <w:rPr>
                <w:webHidden/>
              </w:rPr>
              <w:fldChar w:fldCharType="separate"/>
            </w:r>
            <w:r w:rsidRPr="00D82287">
              <w:rPr>
                <w:webHidden/>
              </w:rPr>
              <w:t>18</w:t>
            </w:r>
            <w:r w:rsidRPr="00D82287">
              <w:rPr>
                <w:webHidden/>
              </w:rPr>
              <w:fldChar w:fldCharType="end"/>
            </w:r>
          </w:hyperlink>
        </w:p>
        <w:p w14:paraId="377B5E4D" w14:textId="7F193A05" w:rsidR="006F5EF7" w:rsidRPr="00D82287" w:rsidRDefault="006F5EF7">
          <w:pPr>
            <w:pStyle w:val="TOC2"/>
            <w:tabs>
              <w:tab w:val="right" w:leader="dot" w:pos="9016"/>
            </w:tabs>
            <w:rPr>
              <w:rFonts w:eastAsiaTheme="minorEastAsia" w:cstheme="minorBidi"/>
              <w:b w:val="0"/>
              <w:bCs w:val="0"/>
              <w:sz w:val="24"/>
              <w:szCs w:val="24"/>
              <w:lang w:eastAsia="en-GB"/>
            </w:rPr>
          </w:pPr>
          <w:hyperlink w:anchor="_Toc180411820" w:history="1">
            <w:r w:rsidRPr="00D82287">
              <w:rPr>
                <w:rStyle w:val="Hyperlink"/>
              </w:rPr>
              <w:t>A.3. Table S3. Analytical framework categories and definitions</w:t>
            </w:r>
            <w:r w:rsidRPr="00D82287">
              <w:rPr>
                <w:webHidden/>
              </w:rPr>
              <w:tab/>
            </w:r>
            <w:r w:rsidRPr="00D82287">
              <w:rPr>
                <w:webHidden/>
              </w:rPr>
              <w:fldChar w:fldCharType="begin"/>
            </w:r>
            <w:r w:rsidRPr="00D82287">
              <w:rPr>
                <w:webHidden/>
              </w:rPr>
              <w:instrText xml:space="preserve"> PAGEREF _Toc180411820 \h </w:instrText>
            </w:r>
            <w:r w:rsidRPr="00D82287">
              <w:rPr>
                <w:webHidden/>
              </w:rPr>
            </w:r>
            <w:r w:rsidRPr="00D82287">
              <w:rPr>
                <w:webHidden/>
              </w:rPr>
              <w:fldChar w:fldCharType="separate"/>
            </w:r>
            <w:r w:rsidRPr="00D82287">
              <w:rPr>
                <w:webHidden/>
              </w:rPr>
              <w:t>19</w:t>
            </w:r>
            <w:r w:rsidRPr="00D82287">
              <w:rPr>
                <w:webHidden/>
              </w:rPr>
              <w:fldChar w:fldCharType="end"/>
            </w:r>
          </w:hyperlink>
        </w:p>
        <w:p w14:paraId="12DD82FF" w14:textId="05DC378B" w:rsidR="006F5EF7" w:rsidRPr="00D82287" w:rsidRDefault="006F5EF7">
          <w:pPr>
            <w:pStyle w:val="TOC2"/>
            <w:tabs>
              <w:tab w:val="right" w:leader="dot" w:pos="9016"/>
            </w:tabs>
            <w:rPr>
              <w:rFonts w:eastAsiaTheme="minorEastAsia" w:cstheme="minorBidi"/>
              <w:b w:val="0"/>
              <w:bCs w:val="0"/>
              <w:sz w:val="24"/>
              <w:szCs w:val="24"/>
              <w:lang w:eastAsia="en-GB"/>
            </w:rPr>
          </w:pPr>
          <w:hyperlink w:anchor="_Toc180411821" w:history="1">
            <w:r w:rsidRPr="00D82287">
              <w:rPr>
                <w:rStyle w:val="Hyperlink"/>
              </w:rPr>
              <w:t>A.4. Qualitative synthesis - full summaries of LSACs</w:t>
            </w:r>
            <w:r w:rsidRPr="00D82287">
              <w:rPr>
                <w:webHidden/>
              </w:rPr>
              <w:tab/>
            </w:r>
            <w:r w:rsidRPr="00D82287">
              <w:rPr>
                <w:webHidden/>
              </w:rPr>
              <w:fldChar w:fldCharType="begin"/>
            </w:r>
            <w:r w:rsidRPr="00D82287">
              <w:rPr>
                <w:webHidden/>
              </w:rPr>
              <w:instrText xml:space="preserve"> PAGEREF _Toc180411821 \h </w:instrText>
            </w:r>
            <w:r w:rsidRPr="00D82287">
              <w:rPr>
                <w:webHidden/>
              </w:rPr>
            </w:r>
            <w:r w:rsidRPr="00D82287">
              <w:rPr>
                <w:webHidden/>
              </w:rPr>
              <w:fldChar w:fldCharType="separate"/>
            </w:r>
            <w:r w:rsidRPr="00D82287">
              <w:rPr>
                <w:webHidden/>
              </w:rPr>
              <w:t>41</w:t>
            </w:r>
            <w:r w:rsidRPr="00D82287">
              <w:rPr>
                <w:webHidden/>
              </w:rPr>
              <w:fldChar w:fldCharType="end"/>
            </w:r>
          </w:hyperlink>
        </w:p>
        <w:p w14:paraId="56F72E00" w14:textId="0FCCB503" w:rsidR="006F5EF7" w:rsidRPr="00D82287" w:rsidRDefault="006F5EF7">
          <w:pPr>
            <w:pStyle w:val="TOC2"/>
            <w:tabs>
              <w:tab w:val="right" w:leader="dot" w:pos="9016"/>
            </w:tabs>
            <w:rPr>
              <w:rFonts w:eastAsiaTheme="minorEastAsia" w:cstheme="minorBidi"/>
              <w:b w:val="0"/>
              <w:bCs w:val="0"/>
              <w:sz w:val="24"/>
              <w:szCs w:val="24"/>
              <w:lang w:eastAsia="en-GB"/>
            </w:rPr>
          </w:pPr>
          <w:hyperlink w:anchor="_Toc180411822" w:history="1">
            <w:r w:rsidRPr="00D82287">
              <w:rPr>
                <w:rStyle w:val="Hyperlink"/>
                <w:rFonts w:ascii="Calibri" w:hAnsi="Calibri" w:cs="Calibri"/>
              </w:rPr>
              <w:t>A.5. Quantitative data – Table S4</w:t>
            </w:r>
            <w:r w:rsidRPr="00D82287">
              <w:rPr>
                <w:webHidden/>
              </w:rPr>
              <w:tab/>
            </w:r>
            <w:r w:rsidRPr="00D82287">
              <w:rPr>
                <w:webHidden/>
              </w:rPr>
              <w:fldChar w:fldCharType="begin"/>
            </w:r>
            <w:r w:rsidRPr="00D82287">
              <w:rPr>
                <w:webHidden/>
              </w:rPr>
              <w:instrText xml:space="preserve"> PAGEREF _Toc180411822 \h </w:instrText>
            </w:r>
            <w:r w:rsidRPr="00D82287">
              <w:rPr>
                <w:webHidden/>
              </w:rPr>
            </w:r>
            <w:r w:rsidRPr="00D82287">
              <w:rPr>
                <w:webHidden/>
              </w:rPr>
              <w:fldChar w:fldCharType="separate"/>
            </w:r>
            <w:r w:rsidRPr="00D82287">
              <w:rPr>
                <w:webHidden/>
              </w:rPr>
              <w:t>49</w:t>
            </w:r>
            <w:r w:rsidRPr="00D82287">
              <w:rPr>
                <w:webHidden/>
              </w:rPr>
              <w:fldChar w:fldCharType="end"/>
            </w:r>
          </w:hyperlink>
        </w:p>
        <w:p w14:paraId="63ACAD22" w14:textId="54CCF9CE" w:rsidR="006F5EF7" w:rsidRPr="00D82287" w:rsidRDefault="006F5EF7">
          <w:pPr>
            <w:pStyle w:val="TOC1"/>
            <w:tabs>
              <w:tab w:val="left" w:pos="480"/>
              <w:tab w:val="right" w:leader="dot" w:pos="9016"/>
            </w:tabs>
            <w:rPr>
              <w:rFonts w:eastAsiaTheme="minorEastAsia" w:cstheme="minorBidi"/>
              <w:b w:val="0"/>
              <w:bCs w:val="0"/>
              <w:i w:val="0"/>
              <w:iCs w:val="0"/>
              <w:lang w:eastAsia="en-GB"/>
            </w:rPr>
          </w:pPr>
          <w:hyperlink w:anchor="_Toc180411823" w:history="1">
            <w:r w:rsidRPr="00D82287">
              <w:rPr>
                <w:rStyle w:val="Hyperlink"/>
              </w:rPr>
              <w:t>3.</w:t>
            </w:r>
            <w:r w:rsidRPr="00D82287">
              <w:rPr>
                <w:rFonts w:eastAsiaTheme="minorEastAsia" w:cstheme="minorBidi"/>
                <w:b w:val="0"/>
                <w:bCs w:val="0"/>
                <w:i w:val="0"/>
                <w:iCs w:val="0"/>
                <w:lang w:eastAsia="en-GB"/>
              </w:rPr>
              <w:tab/>
            </w:r>
            <w:r w:rsidRPr="00D82287">
              <w:rPr>
                <w:rStyle w:val="Hyperlink"/>
              </w:rPr>
              <w:t>References</w:t>
            </w:r>
            <w:r w:rsidRPr="00D82287">
              <w:rPr>
                <w:webHidden/>
              </w:rPr>
              <w:tab/>
            </w:r>
            <w:r w:rsidRPr="00D82287">
              <w:rPr>
                <w:webHidden/>
              </w:rPr>
              <w:fldChar w:fldCharType="begin"/>
            </w:r>
            <w:r w:rsidRPr="00D82287">
              <w:rPr>
                <w:webHidden/>
              </w:rPr>
              <w:instrText xml:space="preserve"> PAGEREF _Toc180411823 \h </w:instrText>
            </w:r>
            <w:r w:rsidRPr="00D82287">
              <w:rPr>
                <w:webHidden/>
              </w:rPr>
            </w:r>
            <w:r w:rsidRPr="00D82287">
              <w:rPr>
                <w:webHidden/>
              </w:rPr>
              <w:fldChar w:fldCharType="separate"/>
            </w:r>
            <w:r w:rsidRPr="00D82287">
              <w:rPr>
                <w:webHidden/>
              </w:rPr>
              <w:t>50</w:t>
            </w:r>
            <w:r w:rsidRPr="00D82287">
              <w:rPr>
                <w:webHidden/>
              </w:rPr>
              <w:fldChar w:fldCharType="end"/>
            </w:r>
          </w:hyperlink>
        </w:p>
        <w:p w14:paraId="15BDBDD5" w14:textId="36921F91" w:rsidR="00353FCF" w:rsidRPr="00D67367" w:rsidRDefault="00353FCF">
          <w:pPr>
            <w:rPr>
              <w:rFonts w:cstheme="minorHAnsi"/>
            </w:rPr>
          </w:pPr>
          <w:r w:rsidRPr="00D82287">
            <w:rPr>
              <w:rFonts w:cstheme="minorHAnsi"/>
              <w:b/>
              <w:bCs/>
            </w:rPr>
            <w:fldChar w:fldCharType="end"/>
          </w:r>
        </w:p>
      </w:sdtContent>
    </w:sdt>
    <w:p w14:paraId="323AC804" w14:textId="77777777" w:rsidR="00D20A53" w:rsidRPr="00D82287" w:rsidRDefault="00D20A53" w:rsidP="00832692">
      <w:pPr>
        <w:rPr>
          <w:rFonts w:cstheme="minorHAnsi"/>
          <w:b/>
          <w:bCs/>
        </w:rPr>
      </w:pPr>
    </w:p>
    <w:p w14:paraId="6C6C3A3E" w14:textId="77777777" w:rsidR="008071F7" w:rsidRPr="00D67367" w:rsidRDefault="008071F7">
      <w:pPr>
        <w:rPr>
          <w:rFonts w:cstheme="minorHAnsi"/>
        </w:rPr>
      </w:pPr>
    </w:p>
    <w:p w14:paraId="03452D5E" w14:textId="38493B14" w:rsidR="00DE2844" w:rsidRPr="00D82287" w:rsidRDefault="00DE2844">
      <w:pPr>
        <w:rPr>
          <w:rFonts w:eastAsia="Times New Roman" w:cstheme="minorHAnsi"/>
          <w:b/>
          <w:bCs/>
          <w:kern w:val="36"/>
          <w:sz w:val="48"/>
          <w:szCs w:val="48"/>
          <w:lang w:eastAsia="en-GB"/>
          <w14:ligatures w14:val="none"/>
        </w:rPr>
      </w:pPr>
      <w:r w:rsidRPr="00D67367">
        <w:rPr>
          <w:rFonts w:cstheme="minorHAnsi"/>
        </w:rPr>
        <w:br w:type="page"/>
      </w:r>
    </w:p>
    <w:p w14:paraId="61D85456" w14:textId="42E57CE5" w:rsidR="00832692" w:rsidRPr="00D82287" w:rsidRDefault="00832692" w:rsidP="005875A1">
      <w:pPr>
        <w:pStyle w:val="Heading1"/>
        <w:numPr>
          <w:ilvl w:val="0"/>
          <w:numId w:val="3"/>
        </w:numPr>
        <w:rPr>
          <w:rFonts w:asciiTheme="minorHAnsi" w:hAnsiTheme="minorHAnsi" w:cstheme="minorHAnsi"/>
          <w:lang w:val="en-GB"/>
        </w:rPr>
      </w:pPr>
      <w:bookmarkStart w:id="0" w:name="_Toc180411810"/>
      <w:r w:rsidRPr="00D82287">
        <w:rPr>
          <w:rFonts w:asciiTheme="minorHAnsi" w:hAnsiTheme="minorHAnsi" w:cstheme="minorHAnsi"/>
          <w:lang w:val="en-GB"/>
        </w:rPr>
        <w:lastRenderedPageBreak/>
        <w:t>Methodology</w:t>
      </w:r>
      <w:bookmarkEnd w:id="0"/>
      <w:r w:rsidRPr="00D82287">
        <w:rPr>
          <w:rFonts w:asciiTheme="minorHAnsi" w:hAnsiTheme="minorHAnsi" w:cstheme="minorHAnsi"/>
          <w:lang w:val="en-GB"/>
        </w:rPr>
        <w:t xml:space="preserve"> </w:t>
      </w:r>
    </w:p>
    <w:p w14:paraId="65E9492F" w14:textId="02E52316" w:rsidR="00231333" w:rsidRPr="00D82287" w:rsidRDefault="00C07761">
      <w:pPr>
        <w:rPr>
          <w:rFonts w:cstheme="minorHAnsi"/>
          <w:b/>
          <w:bCs/>
        </w:rPr>
      </w:pPr>
      <w:r w:rsidRPr="00D82287">
        <w:rPr>
          <w:rFonts w:cstheme="minorHAnsi"/>
        </w:rPr>
        <w:t xml:space="preserve">This section </w:t>
      </w:r>
      <w:r w:rsidR="00A477EA" w:rsidRPr="00D82287">
        <w:rPr>
          <w:rFonts w:cstheme="minorHAnsi"/>
        </w:rPr>
        <w:t>describes in detail the methodological steps undertaken in this study</w:t>
      </w:r>
      <w:r w:rsidR="00B162CC" w:rsidRPr="00D82287">
        <w:rPr>
          <w:rFonts w:cstheme="minorHAnsi"/>
        </w:rPr>
        <w:t xml:space="preserve"> - </w:t>
      </w:r>
      <w:r w:rsidR="00A477EA" w:rsidRPr="00D82287">
        <w:rPr>
          <w:rFonts w:cstheme="minorHAnsi"/>
        </w:rPr>
        <w:t>Phases A and B</w:t>
      </w:r>
      <w:r w:rsidR="00B162CC" w:rsidRPr="00D82287">
        <w:rPr>
          <w:rFonts w:cstheme="minorHAnsi"/>
        </w:rPr>
        <w:t xml:space="preserve"> (see manuscript Figure </w:t>
      </w:r>
      <w:r w:rsidR="00630B18" w:rsidRPr="00D82287">
        <w:rPr>
          <w:rFonts w:cstheme="minorHAnsi"/>
        </w:rPr>
        <w:t>1</w:t>
      </w:r>
      <w:r w:rsidR="00B162CC" w:rsidRPr="00D82287">
        <w:rPr>
          <w:rFonts w:cstheme="minorHAnsi"/>
        </w:rPr>
        <w:t>)</w:t>
      </w:r>
      <w:r w:rsidR="00A477EA" w:rsidRPr="00D82287">
        <w:rPr>
          <w:rFonts w:cstheme="minorHAnsi"/>
        </w:rPr>
        <w:t xml:space="preserve">. </w:t>
      </w:r>
    </w:p>
    <w:p w14:paraId="231F0B7C" w14:textId="77777777" w:rsidR="00353FCF" w:rsidRPr="00D82287" w:rsidRDefault="00353FCF">
      <w:pPr>
        <w:rPr>
          <w:rFonts w:cstheme="minorHAnsi"/>
        </w:rPr>
      </w:pPr>
    </w:p>
    <w:p w14:paraId="4EC663B4" w14:textId="6BC5F0C1" w:rsidR="00231333" w:rsidRPr="00D82287" w:rsidRDefault="00231333" w:rsidP="00D8550E">
      <w:pPr>
        <w:pStyle w:val="Heading2"/>
        <w:numPr>
          <w:ilvl w:val="1"/>
          <w:numId w:val="3"/>
        </w:numPr>
        <w:rPr>
          <w:rFonts w:asciiTheme="minorHAnsi" w:hAnsiTheme="minorHAnsi" w:cstheme="minorHAnsi"/>
          <w:lang w:val="en-GB"/>
        </w:rPr>
      </w:pPr>
      <w:bookmarkStart w:id="1" w:name="_Toc180411811"/>
      <w:r w:rsidRPr="00D82287">
        <w:rPr>
          <w:rFonts w:asciiTheme="minorHAnsi" w:hAnsiTheme="minorHAnsi" w:cstheme="minorHAnsi"/>
          <w:lang w:val="en-GB"/>
        </w:rPr>
        <w:t>Phase A</w:t>
      </w:r>
      <w:bookmarkEnd w:id="1"/>
    </w:p>
    <w:p w14:paraId="65C635A2" w14:textId="7A72B4D8" w:rsidR="00231333" w:rsidRPr="00D82287" w:rsidRDefault="00231333" w:rsidP="00231333">
      <w:pPr>
        <w:spacing w:before="240" w:after="240"/>
        <w:rPr>
          <w:rFonts w:eastAsia="Times New Roman" w:cstheme="minorHAnsi"/>
          <w:kern w:val="0"/>
          <w:lang w:eastAsia="en-GB"/>
          <w14:ligatures w14:val="none"/>
        </w:rPr>
      </w:pPr>
      <w:r w:rsidRPr="00D82287">
        <w:rPr>
          <w:rFonts w:eastAsia="Times New Roman" w:cstheme="minorHAnsi"/>
          <w:color w:val="000000"/>
          <w:kern w:val="0"/>
          <w:lang w:eastAsia="en-GB"/>
          <w14:ligatures w14:val="none"/>
        </w:rPr>
        <w:t xml:space="preserve">The project started </w:t>
      </w:r>
      <w:r w:rsidR="00A84336" w:rsidRPr="00D82287">
        <w:rPr>
          <w:rFonts w:eastAsia="Times New Roman" w:cstheme="minorHAnsi"/>
          <w:color w:val="000000"/>
          <w:kern w:val="0"/>
          <w:lang w:eastAsia="en-GB"/>
          <w14:ligatures w14:val="none"/>
        </w:rPr>
        <w:t>as an</w:t>
      </w:r>
      <w:r w:rsidRPr="00D82287">
        <w:rPr>
          <w:rFonts w:eastAsia="Times New Roman" w:cstheme="minorHAnsi"/>
          <w:color w:val="000000"/>
          <w:kern w:val="0"/>
          <w:lang w:eastAsia="en-GB"/>
          <w14:ligatures w14:val="none"/>
        </w:rPr>
        <w:t xml:space="preserve"> exploratory research inquiry, aiming to understand the role of an increasing number of coalitions that aspire</w:t>
      </w:r>
      <w:r w:rsidR="00A84336" w:rsidRPr="00D82287">
        <w:rPr>
          <w:rFonts w:eastAsia="Times New Roman" w:cstheme="minorHAnsi"/>
          <w:color w:val="000000"/>
          <w:kern w:val="0"/>
          <w:lang w:eastAsia="en-GB"/>
          <w14:ligatures w14:val="none"/>
        </w:rPr>
        <w:t xml:space="preserve"> </w:t>
      </w:r>
      <w:r w:rsidR="00A84336" w:rsidRPr="00AF4096">
        <w:rPr>
          <w:rFonts w:eastAsia="Times New Roman" w:cstheme="minorHAnsi"/>
          <w:color w:val="000000"/>
          <w:kern w:val="0"/>
          <w:lang w:val="en-SE" w:eastAsia="en-GB"/>
          <w14:ligatures w14:val="none"/>
        </w:rPr>
        <w:t>and promise</w:t>
      </w:r>
      <w:r w:rsidRPr="00AF4096">
        <w:rPr>
          <w:rFonts w:eastAsia="Times New Roman" w:cstheme="minorHAnsi"/>
          <w:color w:val="000000"/>
          <w:kern w:val="0"/>
          <w:lang w:val="en-SE" w:eastAsia="en-GB"/>
          <w14:ligatures w14:val="none"/>
        </w:rPr>
        <w:t xml:space="preserve"> to transform the way the</w:t>
      </w:r>
      <w:r w:rsidR="00A84336" w:rsidRPr="00AF4096">
        <w:rPr>
          <w:rFonts w:eastAsia="Times New Roman" w:cstheme="minorHAnsi"/>
          <w:color w:val="000000"/>
          <w:kern w:val="0"/>
          <w:lang w:val="en-SE" w:eastAsia="en-GB"/>
          <w14:ligatures w14:val="none"/>
        </w:rPr>
        <w:t>ir members and industries</w:t>
      </w:r>
      <w:r w:rsidRPr="00AF4096">
        <w:rPr>
          <w:rFonts w:eastAsia="Times New Roman" w:cstheme="minorHAnsi"/>
          <w:color w:val="000000"/>
          <w:kern w:val="0"/>
          <w:lang w:val="en-SE" w:eastAsia="en-GB"/>
          <w14:ligatures w14:val="none"/>
        </w:rPr>
        <w:t xml:space="preserve"> </w:t>
      </w:r>
      <w:r w:rsidR="00A84336" w:rsidRPr="00AF4096">
        <w:rPr>
          <w:rFonts w:eastAsia="Times New Roman" w:cstheme="minorHAnsi"/>
          <w:color w:val="000000"/>
          <w:kern w:val="0"/>
          <w:lang w:val="en-SE" w:eastAsia="en-GB"/>
          <w14:ligatures w14:val="none"/>
        </w:rPr>
        <w:t>impact sustainability</w:t>
      </w:r>
      <w:r w:rsidRPr="00D82287">
        <w:rPr>
          <w:rFonts w:eastAsia="Times New Roman" w:cstheme="minorHAnsi"/>
          <w:color w:val="000000"/>
          <w:kern w:val="0"/>
          <w:lang w:eastAsia="en-GB"/>
          <w14:ligatures w14:val="none"/>
        </w:rPr>
        <w:t xml:space="preserve">. The first phase of our research design consisted of a mapping activity of 8 coalitions (from the food, finance, fashion and ocean and multi-sector partnerships) and took place in Spring-Summer 2020 (see manuscript, Table 1). These eight LSACs share some similarities in regards to their control over monetary and natural resources </w:t>
      </w:r>
      <w:r w:rsidR="00B73376" w:rsidRPr="00D82287">
        <w:rPr>
          <w:rFonts w:eastAsia="Times New Roman" w:cstheme="minorHAnsi"/>
          <w:color w:val="000000"/>
          <w:kern w:val="0"/>
          <w:lang w:eastAsia="en-GB"/>
          <w14:ligatures w14:val="none"/>
        </w:rPr>
        <w:t>(Avelino, 2017)</w:t>
      </w:r>
      <w:r w:rsidRPr="00D82287">
        <w:rPr>
          <w:rFonts w:eastAsia="Times New Roman" w:cstheme="minorHAnsi"/>
          <w:color w:val="000000"/>
          <w:kern w:val="0"/>
          <w:lang w:eastAsia="en-GB"/>
          <w14:ligatures w14:val="none"/>
        </w:rPr>
        <w:t xml:space="preserve">, associations with actors who can influence processes due to their connections </w:t>
      </w:r>
      <w:r w:rsidR="00A73B2F" w:rsidRPr="00D82287">
        <w:rPr>
          <w:rFonts w:eastAsia="Times New Roman" w:cstheme="minorHAnsi"/>
          <w:color w:val="000000"/>
          <w:kern w:val="0"/>
          <w:lang w:eastAsia="en-GB"/>
          <w14:ligatures w14:val="none"/>
        </w:rPr>
        <w:t>(Moore et al., 2014)</w:t>
      </w:r>
      <w:r w:rsidRPr="00D82287">
        <w:rPr>
          <w:rFonts w:eastAsia="Times New Roman" w:cstheme="minorHAnsi"/>
          <w:color w:val="000000"/>
          <w:kern w:val="0"/>
          <w:lang w:eastAsia="en-GB"/>
          <w14:ligatures w14:val="none"/>
        </w:rPr>
        <w:t>, engagement with both social and environmental SDGs, as well as similar temporal and spatial scales of operation.</w:t>
      </w:r>
    </w:p>
    <w:p w14:paraId="000466A4" w14:textId="47D3A14A" w:rsidR="00231333" w:rsidRPr="00D82287" w:rsidRDefault="00231333" w:rsidP="00231333">
      <w:pPr>
        <w:spacing w:after="160"/>
        <w:rPr>
          <w:rFonts w:eastAsia="Times New Roman" w:cstheme="minorHAnsi"/>
          <w:kern w:val="0"/>
          <w:lang w:eastAsia="en-GB"/>
          <w14:ligatures w14:val="none"/>
        </w:rPr>
      </w:pPr>
      <w:r w:rsidRPr="00D82287">
        <w:rPr>
          <w:rFonts w:eastAsia="Times New Roman" w:cstheme="minorHAnsi"/>
          <w:color w:val="000000"/>
          <w:kern w:val="0"/>
          <w:lang w:eastAsia="en-GB"/>
          <w14:ligatures w14:val="none"/>
        </w:rPr>
        <w:t>Data for each of these coalitions was collected through their websites during the months April 2020 - June 2020. The data was collected in the form of secondary textual data and was mapped onto a matrix consisting of some categories such as ‘Mission’ (</w:t>
      </w:r>
      <w:r w:rsidRPr="00D82287">
        <w:rPr>
          <w:rFonts w:eastAsia="Times New Roman" w:cstheme="minorHAnsi"/>
          <w:i/>
          <w:iCs/>
          <w:color w:val="000000"/>
          <w:kern w:val="0"/>
          <w:lang w:eastAsia="en-GB"/>
          <w14:ligatures w14:val="none"/>
        </w:rPr>
        <w:t>What does the coalition aspire to do?</w:t>
      </w:r>
      <w:r w:rsidRPr="00D82287">
        <w:rPr>
          <w:rFonts w:eastAsia="Times New Roman" w:cstheme="minorHAnsi"/>
          <w:color w:val="000000"/>
          <w:kern w:val="0"/>
          <w:lang w:eastAsia="en-GB"/>
          <w14:ligatures w14:val="none"/>
        </w:rPr>
        <w:t>), ‘Actor diversity’ (</w:t>
      </w:r>
      <w:r w:rsidRPr="00D82287">
        <w:rPr>
          <w:rFonts w:eastAsia="Times New Roman" w:cstheme="minorHAnsi"/>
          <w:i/>
          <w:iCs/>
          <w:color w:val="000000"/>
          <w:kern w:val="0"/>
          <w:lang w:eastAsia="en-GB"/>
          <w14:ligatures w14:val="none"/>
        </w:rPr>
        <w:t>How diverse is the group of actors?</w:t>
      </w:r>
      <w:r w:rsidRPr="00D82287">
        <w:rPr>
          <w:rFonts w:eastAsia="Times New Roman" w:cstheme="minorHAnsi"/>
          <w:color w:val="000000"/>
          <w:kern w:val="0"/>
          <w:lang w:eastAsia="en-GB"/>
          <w14:ligatures w14:val="none"/>
        </w:rPr>
        <w:t>) and ‘Challenge’ (</w:t>
      </w:r>
      <w:r w:rsidRPr="00D82287">
        <w:rPr>
          <w:rFonts w:eastAsia="Times New Roman" w:cstheme="minorHAnsi"/>
          <w:i/>
          <w:iCs/>
          <w:color w:val="000000"/>
          <w:kern w:val="0"/>
          <w:lang w:eastAsia="en-GB"/>
          <w14:ligatures w14:val="none"/>
        </w:rPr>
        <w:t>What type of challenges does the coalition address?</w:t>
      </w:r>
      <w:r w:rsidRPr="00D82287">
        <w:rPr>
          <w:rFonts w:eastAsia="Times New Roman" w:cstheme="minorHAnsi"/>
          <w:color w:val="000000"/>
          <w:kern w:val="0"/>
          <w:lang w:eastAsia="en-GB"/>
          <w14:ligatures w14:val="none"/>
        </w:rPr>
        <w:t xml:space="preserve">). We followed an abductive approach </w:t>
      </w:r>
      <w:r w:rsidR="001F562A" w:rsidRPr="00D82287">
        <w:rPr>
          <w:rFonts w:eastAsia="Times New Roman" w:cstheme="minorHAnsi"/>
          <w:color w:val="000000"/>
          <w:kern w:val="0"/>
          <w:lang w:eastAsia="en-GB"/>
          <w14:ligatures w14:val="none"/>
        </w:rPr>
        <w:t>(Dubois &amp; Gadde, 2002)</w:t>
      </w:r>
      <w:r w:rsidRPr="00D82287">
        <w:rPr>
          <w:rFonts w:eastAsia="Times New Roman" w:cstheme="minorHAnsi"/>
          <w:color w:val="000000"/>
          <w:kern w:val="0"/>
          <w:lang w:eastAsia="en-GB"/>
          <w14:ligatures w14:val="none"/>
        </w:rPr>
        <w:t xml:space="preserve">, meaning that the framework was developing during, and according to, the data analysis process. We used thematic analysis, defined by Braun and Clarke </w:t>
      </w:r>
      <w:r w:rsidR="001F562A" w:rsidRPr="00D82287">
        <w:rPr>
          <w:rFonts w:eastAsia="Times New Roman" w:cstheme="minorHAnsi"/>
          <w:color w:val="000000"/>
          <w:kern w:val="0"/>
          <w:lang w:eastAsia="en-GB"/>
          <w14:ligatures w14:val="none"/>
        </w:rPr>
        <w:t>(Braun &amp; Clarke, 2006)</w:t>
      </w:r>
      <w:r w:rsidRPr="00D82287">
        <w:rPr>
          <w:rFonts w:eastAsia="Times New Roman" w:cstheme="minorHAnsi"/>
          <w:color w:val="000000"/>
          <w:kern w:val="0"/>
          <w:lang w:eastAsia="en-GB"/>
          <w14:ligatures w14:val="none"/>
        </w:rPr>
        <w:t xml:space="preserve"> as a method for </w:t>
      </w:r>
      <w:r w:rsidR="0045386E" w:rsidRPr="00D82287">
        <w:rPr>
          <w:rFonts w:eastAsia="Times New Roman" w:cstheme="minorHAnsi"/>
          <w:color w:val="000000"/>
          <w:kern w:val="0"/>
          <w:lang w:eastAsia="en-GB"/>
          <w14:ligatures w14:val="none"/>
        </w:rPr>
        <w:t>‘</w:t>
      </w:r>
      <w:r w:rsidRPr="00D82287">
        <w:rPr>
          <w:rFonts w:eastAsia="Times New Roman" w:cstheme="minorHAnsi"/>
          <w:i/>
          <w:iCs/>
          <w:color w:val="000000"/>
          <w:kern w:val="0"/>
          <w:lang w:eastAsia="en-GB"/>
          <w14:ligatures w14:val="none"/>
        </w:rPr>
        <w:t>identifying, analysing and reporting patterns (themes) within data</w:t>
      </w:r>
      <w:r w:rsidR="0045386E" w:rsidRPr="00D82287">
        <w:rPr>
          <w:rFonts w:eastAsia="Times New Roman" w:cstheme="minorHAnsi"/>
          <w:color w:val="000000"/>
          <w:kern w:val="0"/>
          <w:lang w:eastAsia="en-GB"/>
          <w14:ligatures w14:val="none"/>
        </w:rPr>
        <w:t>’</w:t>
      </w:r>
      <w:r w:rsidRPr="00D82287">
        <w:rPr>
          <w:rFonts w:eastAsia="Times New Roman" w:cstheme="minorHAnsi"/>
          <w:color w:val="000000"/>
          <w:kern w:val="0"/>
          <w:lang w:eastAsia="en-GB"/>
          <w14:ligatures w14:val="none"/>
        </w:rPr>
        <w:t xml:space="preserve">. After an initial round of thematic coding, emergent themes were captured and the matrix was expanded via reviewing relevant literature and existing mapping projects on Transformations (Seeds of Good Anthropocene), Management studies / Corporate Responsibility with a focus on coalitions </w:t>
      </w:r>
      <w:r w:rsidR="00DA7334" w:rsidRPr="00D67367">
        <w:rPr>
          <w:rFonts w:ascii="Calibri" w:cs="Calibri"/>
          <w:color w:val="000000"/>
          <w:kern w:val="0"/>
        </w:rPr>
        <w:t>(Grayson &amp; Nelson, 2020; The Cranfield Taxonomy)</w:t>
      </w:r>
      <w:r w:rsidRPr="00D82287">
        <w:rPr>
          <w:rFonts w:eastAsia="Times New Roman" w:cstheme="minorHAnsi"/>
          <w:color w:val="000000"/>
          <w:kern w:val="0"/>
          <w:lang w:eastAsia="en-GB"/>
          <w14:ligatures w14:val="none"/>
        </w:rPr>
        <w:t xml:space="preserve">, as well as discussing the empirical observations during weekly meetings with our research team. The initial matrix and coding were used to develop an extended analytical framework which included approximately 50 questions (see </w:t>
      </w:r>
      <w:r w:rsidR="00827865" w:rsidRPr="00D82287">
        <w:rPr>
          <w:rFonts w:eastAsia="Times New Roman" w:cstheme="minorHAnsi"/>
          <w:color w:val="000000"/>
          <w:kern w:val="0"/>
          <w:lang w:eastAsia="en-GB"/>
          <w14:ligatures w14:val="none"/>
        </w:rPr>
        <w:t>Table S</w:t>
      </w:r>
      <w:r w:rsidR="00E25BD6" w:rsidRPr="00D82287">
        <w:rPr>
          <w:rFonts w:eastAsia="Times New Roman" w:cstheme="minorHAnsi"/>
          <w:color w:val="000000"/>
          <w:kern w:val="0"/>
          <w:lang w:eastAsia="en-GB"/>
          <w14:ligatures w14:val="none"/>
        </w:rPr>
        <w:t>2</w:t>
      </w:r>
      <w:r w:rsidRPr="00D82287">
        <w:rPr>
          <w:rFonts w:eastAsia="Times New Roman" w:cstheme="minorHAnsi"/>
          <w:color w:val="000000"/>
          <w:kern w:val="0"/>
          <w:lang w:eastAsia="en-GB"/>
          <w14:ligatures w14:val="none"/>
        </w:rPr>
        <w:t xml:space="preserve">) and a thematic map (Figure </w:t>
      </w:r>
      <w:r w:rsidR="00656B41" w:rsidRPr="00D82287">
        <w:rPr>
          <w:rFonts w:eastAsia="Times New Roman" w:cstheme="minorHAnsi"/>
          <w:color w:val="000000"/>
          <w:kern w:val="0"/>
          <w:lang w:eastAsia="en-GB"/>
          <w14:ligatures w14:val="none"/>
        </w:rPr>
        <w:t>S</w:t>
      </w:r>
      <w:r w:rsidR="00A22002" w:rsidRPr="00D82287">
        <w:rPr>
          <w:rFonts w:eastAsia="Times New Roman" w:cstheme="minorHAnsi"/>
          <w:color w:val="000000"/>
          <w:kern w:val="0"/>
          <w:lang w:eastAsia="en-GB"/>
          <w14:ligatures w14:val="none"/>
        </w:rPr>
        <w:t>1</w:t>
      </w:r>
      <w:r w:rsidRPr="00D82287">
        <w:rPr>
          <w:rFonts w:eastAsia="Times New Roman" w:cstheme="minorHAnsi"/>
          <w:color w:val="000000"/>
          <w:kern w:val="0"/>
          <w:lang w:eastAsia="en-GB"/>
          <w14:ligatures w14:val="none"/>
        </w:rPr>
        <w:t>). The themes were grouped into broader categories and overarching codes</w:t>
      </w:r>
      <w:r w:rsidR="003A7AC3" w:rsidRPr="00D82287">
        <w:rPr>
          <w:rFonts w:eastAsia="Times New Roman" w:cstheme="minorHAnsi"/>
          <w:color w:val="000000"/>
          <w:kern w:val="0"/>
          <w:lang w:eastAsia="en-GB"/>
          <w14:ligatures w14:val="none"/>
        </w:rPr>
        <w:t>, based on similarities among the variables</w:t>
      </w:r>
      <w:r w:rsidRPr="00D82287">
        <w:rPr>
          <w:rFonts w:eastAsia="Times New Roman" w:cstheme="minorHAnsi"/>
          <w:color w:val="000000"/>
          <w:kern w:val="0"/>
          <w:lang w:eastAsia="en-GB"/>
          <w14:ligatures w14:val="none"/>
        </w:rPr>
        <w:t>. </w:t>
      </w:r>
    </w:p>
    <w:p w14:paraId="43E24C70" w14:textId="76617533" w:rsidR="00231333" w:rsidRPr="00D82287" w:rsidRDefault="00782145" w:rsidP="00231333">
      <w:pPr>
        <w:spacing w:before="240"/>
        <w:rPr>
          <w:rFonts w:eastAsia="Times New Roman" w:cstheme="minorHAnsi"/>
          <w:kern w:val="0"/>
          <w:lang w:eastAsia="en-GB"/>
          <w14:ligatures w14:val="none"/>
        </w:rPr>
      </w:pPr>
      <w:r w:rsidRPr="00D82287">
        <w:rPr>
          <w:rFonts w:eastAsia="Times New Roman" w:cstheme="minorHAnsi"/>
          <w:color w:val="000000"/>
          <w:kern w:val="0"/>
          <w:lang w:eastAsia="en-GB"/>
          <w14:ligatures w14:val="none"/>
        </w:rPr>
        <w:t xml:space="preserve">The findings of </w:t>
      </w:r>
      <w:r w:rsidR="00231333" w:rsidRPr="00D82287">
        <w:rPr>
          <w:rFonts w:eastAsia="Times New Roman" w:cstheme="minorHAnsi"/>
          <w:color w:val="000000"/>
          <w:kern w:val="0"/>
          <w:lang w:eastAsia="en-GB"/>
          <w14:ligatures w14:val="none"/>
        </w:rPr>
        <w:t xml:space="preserve">Phase A </w:t>
      </w:r>
      <w:r w:rsidRPr="00D82287">
        <w:rPr>
          <w:rFonts w:eastAsia="Times New Roman" w:cstheme="minorHAnsi"/>
          <w:color w:val="000000"/>
          <w:kern w:val="0"/>
          <w:lang w:eastAsia="en-GB"/>
          <w14:ligatures w14:val="none"/>
        </w:rPr>
        <w:t xml:space="preserve">(extended framework and thematic map) </w:t>
      </w:r>
      <w:r w:rsidR="00231333" w:rsidRPr="00D82287">
        <w:rPr>
          <w:rFonts w:eastAsia="Times New Roman" w:cstheme="minorHAnsi"/>
          <w:color w:val="000000"/>
          <w:kern w:val="0"/>
          <w:lang w:eastAsia="en-GB"/>
          <w14:ligatures w14:val="none"/>
        </w:rPr>
        <w:t>were presented at two consultation sessions in June 2020 with 5 researchers from the</w:t>
      </w:r>
      <w:r w:rsidR="00231333" w:rsidRPr="00D82287">
        <w:rPr>
          <w:rFonts w:eastAsia="Times New Roman" w:cstheme="minorHAnsi"/>
          <w:i/>
          <w:iCs/>
          <w:color w:val="000000"/>
          <w:kern w:val="0"/>
          <w:lang w:eastAsia="en-GB"/>
          <w14:ligatures w14:val="none"/>
        </w:rPr>
        <w:t xml:space="preserve"> Stockholm Resilience Centre</w:t>
      </w:r>
      <w:r w:rsidR="00231333" w:rsidRPr="00D82287">
        <w:rPr>
          <w:rFonts w:eastAsia="Times New Roman" w:cstheme="minorHAnsi"/>
          <w:color w:val="000000"/>
          <w:kern w:val="0"/>
          <w:lang w:eastAsia="en-GB"/>
          <w14:ligatures w14:val="none"/>
        </w:rPr>
        <w:t xml:space="preserve"> and the</w:t>
      </w:r>
      <w:r w:rsidR="00231333" w:rsidRPr="00D82287">
        <w:rPr>
          <w:rFonts w:eastAsia="Times New Roman" w:cstheme="minorHAnsi"/>
          <w:i/>
          <w:iCs/>
          <w:color w:val="000000"/>
          <w:kern w:val="0"/>
          <w:lang w:eastAsia="en-GB"/>
          <w14:ligatures w14:val="none"/>
        </w:rPr>
        <w:t xml:space="preserve"> Global Economic Dynamics and Biosphere</w:t>
      </w:r>
      <w:r w:rsidR="00231333" w:rsidRPr="00D82287">
        <w:rPr>
          <w:rFonts w:eastAsia="Times New Roman" w:cstheme="minorHAnsi"/>
          <w:color w:val="000000"/>
          <w:kern w:val="0"/>
          <w:lang w:eastAsia="en-GB"/>
          <w14:ligatures w14:val="none"/>
        </w:rPr>
        <w:t xml:space="preserve"> research programme with experience ranging from sustainability science, science-private sector collaborations, economics, social innovations and transformations. The received feedback was used to further develop the extended analytical framework. </w:t>
      </w:r>
    </w:p>
    <w:p w14:paraId="5B9B3AA1" w14:textId="77777777" w:rsidR="00231333" w:rsidRPr="00D82287" w:rsidRDefault="00231333" w:rsidP="00231333">
      <w:pPr>
        <w:rPr>
          <w:rFonts w:eastAsia="Times New Roman" w:cstheme="minorHAnsi"/>
          <w:kern w:val="0"/>
          <w:lang w:eastAsia="en-GB"/>
          <w14:ligatures w14:val="none"/>
        </w:rPr>
      </w:pPr>
    </w:p>
    <w:p w14:paraId="29C742A6" w14:textId="77777777" w:rsidR="00222E9F" w:rsidRPr="00D82287" w:rsidRDefault="00222E9F" w:rsidP="00231333">
      <w:pPr>
        <w:rPr>
          <w:rFonts w:eastAsia="Times New Roman" w:cstheme="minorHAnsi"/>
          <w:kern w:val="0"/>
          <w:lang w:eastAsia="en-GB"/>
          <w14:ligatures w14:val="none"/>
        </w:rPr>
      </w:pPr>
    </w:p>
    <w:p w14:paraId="3664FA13" w14:textId="77777777" w:rsidR="00222E9F" w:rsidRPr="00D82287" w:rsidRDefault="00222E9F" w:rsidP="00231333">
      <w:pPr>
        <w:rPr>
          <w:rFonts w:eastAsia="Times New Roman" w:cstheme="minorHAnsi"/>
          <w:kern w:val="0"/>
          <w:lang w:eastAsia="en-GB"/>
          <w14:ligatures w14:val="none"/>
        </w:rPr>
      </w:pPr>
    </w:p>
    <w:p w14:paraId="4B0AD20C" w14:textId="77777777" w:rsidR="00222E9F" w:rsidRPr="00D82287" w:rsidRDefault="00222E9F" w:rsidP="00231333">
      <w:pPr>
        <w:rPr>
          <w:rFonts w:eastAsia="Times New Roman" w:cstheme="minorHAnsi"/>
          <w:kern w:val="0"/>
          <w:lang w:eastAsia="en-GB"/>
          <w14:ligatures w14:val="none"/>
        </w:rPr>
      </w:pPr>
    </w:p>
    <w:p w14:paraId="6D25274D" w14:textId="432A5C80" w:rsidR="00231333" w:rsidRPr="00D82287" w:rsidRDefault="00231333" w:rsidP="005875A1">
      <w:pPr>
        <w:pStyle w:val="Heading2"/>
        <w:numPr>
          <w:ilvl w:val="1"/>
          <w:numId w:val="3"/>
        </w:numPr>
        <w:rPr>
          <w:rFonts w:asciiTheme="minorHAnsi" w:hAnsiTheme="minorHAnsi" w:cstheme="minorHAnsi"/>
          <w:lang w:val="en-GB"/>
        </w:rPr>
      </w:pPr>
      <w:bookmarkStart w:id="2" w:name="_Toc180411812"/>
      <w:r w:rsidRPr="00D82287">
        <w:rPr>
          <w:rFonts w:asciiTheme="minorHAnsi" w:hAnsiTheme="minorHAnsi" w:cstheme="minorHAnsi"/>
          <w:lang w:val="en-GB"/>
        </w:rPr>
        <w:lastRenderedPageBreak/>
        <w:t>Phase B</w:t>
      </w:r>
      <w:bookmarkEnd w:id="2"/>
    </w:p>
    <w:p w14:paraId="0C958C79" w14:textId="68BEDAC2" w:rsidR="00231333" w:rsidRPr="00D82287" w:rsidRDefault="00231333" w:rsidP="00335F6F">
      <w:pPr>
        <w:spacing w:before="240" w:after="240"/>
        <w:rPr>
          <w:rFonts w:eastAsia="Times New Roman" w:cstheme="minorHAnsi"/>
          <w:kern w:val="0"/>
          <w:lang w:eastAsia="en-GB"/>
          <w14:ligatures w14:val="none"/>
        </w:rPr>
      </w:pPr>
      <w:r w:rsidRPr="00D82287">
        <w:rPr>
          <w:rFonts w:eastAsia="Times New Roman" w:cstheme="minorHAnsi"/>
          <w:color w:val="000000"/>
          <w:kern w:val="0"/>
          <w:lang w:eastAsia="en-GB"/>
          <w14:ligatures w14:val="none"/>
        </w:rPr>
        <w:t>For the second phase of the project (Phase B) we decided to focus on coalitions from the food and finance sectors</w:t>
      </w:r>
      <w:r w:rsidR="009E2434" w:rsidRPr="00D82287">
        <w:rPr>
          <w:rFonts w:eastAsia="Times New Roman" w:cstheme="minorHAnsi"/>
          <w:color w:val="000000"/>
          <w:kern w:val="0"/>
          <w:lang w:eastAsia="en-GB"/>
          <w14:ligatures w14:val="none"/>
        </w:rPr>
        <w:t xml:space="preserve"> due to their critical position in impacting sustainability</w:t>
      </w:r>
      <w:r w:rsidRPr="00D82287">
        <w:rPr>
          <w:rFonts w:eastAsia="Times New Roman" w:cstheme="minorHAnsi"/>
          <w:color w:val="000000"/>
          <w:kern w:val="0"/>
          <w:lang w:eastAsia="en-GB"/>
          <w14:ligatures w14:val="none"/>
        </w:rPr>
        <w:t xml:space="preserve">, so the sample was reduced to 5 LSACs. The website information for each of the five LSACs was coded thematically, applying the </w:t>
      </w:r>
      <w:r w:rsidR="002525B9" w:rsidRPr="00D82287">
        <w:rPr>
          <w:rFonts w:eastAsia="Times New Roman" w:cstheme="minorHAnsi"/>
          <w:color w:val="000000"/>
          <w:kern w:val="0"/>
          <w:lang w:eastAsia="en-GB"/>
          <w14:ligatures w14:val="none"/>
        </w:rPr>
        <w:t xml:space="preserve">extended </w:t>
      </w:r>
      <w:r w:rsidRPr="00D82287">
        <w:rPr>
          <w:rFonts w:eastAsia="Times New Roman" w:cstheme="minorHAnsi"/>
          <w:color w:val="000000"/>
          <w:kern w:val="0"/>
          <w:lang w:eastAsia="en-GB"/>
          <w14:ligatures w14:val="none"/>
        </w:rPr>
        <w:t xml:space="preserve">framework as a coding structure (Table </w:t>
      </w:r>
      <w:r w:rsidR="002525B9" w:rsidRPr="00D82287">
        <w:rPr>
          <w:rFonts w:eastAsia="Times New Roman" w:cstheme="minorHAnsi"/>
          <w:color w:val="000000"/>
          <w:kern w:val="0"/>
          <w:lang w:eastAsia="en-GB"/>
          <w14:ligatures w14:val="none"/>
        </w:rPr>
        <w:t>S</w:t>
      </w:r>
      <w:r w:rsidR="00E25BD6" w:rsidRPr="00D82287">
        <w:rPr>
          <w:rFonts w:eastAsia="Times New Roman" w:cstheme="minorHAnsi"/>
          <w:color w:val="000000"/>
          <w:kern w:val="0"/>
          <w:lang w:eastAsia="en-GB"/>
          <w14:ligatures w14:val="none"/>
        </w:rPr>
        <w:t>2</w:t>
      </w:r>
      <w:r w:rsidRPr="00D82287">
        <w:rPr>
          <w:rFonts w:eastAsia="Times New Roman" w:cstheme="minorHAnsi"/>
          <w:color w:val="000000"/>
          <w:kern w:val="0"/>
          <w:lang w:eastAsia="en-GB"/>
          <w14:ligatures w14:val="none"/>
        </w:rPr>
        <w:t xml:space="preserve">). We used the web collector tool from the MAXQDA software to </w:t>
      </w:r>
      <w:r w:rsidR="00D655E4" w:rsidRPr="00D82287">
        <w:rPr>
          <w:rFonts w:eastAsia="Times New Roman" w:cstheme="minorHAnsi"/>
          <w:color w:val="000000"/>
          <w:kern w:val="0"/>
          <w:lang w:eastAsia="en-GB"/>
          <w14:ligatures w14:val="none"/>
        </w:rPr>
        <w:t>‘</w:t>
      </w:r>
      <w:r w:rsidRPr="00D82287">
        <w:rPr>
          <w:rFonts w:eastAsia="Times New Roman" w:cstheme="minorHAnsi"/>
          <w:color w:val="000000"/>
          <w:kern w:val="0"/>
          <w:lang w:eastAsia="en-GB"/>
          <w14:ligatures w14:val="none"/>
        </w:rPr>
        <w:t>capture</w:t>
      </w:r>
      <w:r w:rsidR="00D655E4" w:rsidRPr="00D82287">
        <w:rPr>
          <w:rFonts w:eastAsia="Times New Roman" w:cstheme="minorHAnsi"/>
          <w:color w:val="000000"/>
          <w:kern w:val="0"/>
          <w:lang w:eastAsia="en-GB"/>
          <w14:ligatures w14:val="none"/>
        </w:rPr>
        <w:t>’</w:t>
      </w:r>
      <w:r w:rsidRPr="00D82287">
        <w:rPr>
          <w:rFonts w:eastAsia="Times New Roman" w:cstheme="minorHAnsi"/>
          <w:color w:val="000000"/>
          <w:kern w:val="0"/>
          <w:lang w:eastAsia="en-GB"/>
          <w14:ligatures w14:val="none"/>
        </w:rPr>
        <w:t xml:space="preserve"> all website information present in the partnership´s websites during the months October 2020 </w:t>
      </w:r>
      <w:r w:rsidRPr="00D82287">
        <w:rPr>
          <w:rFonts w:eastAsia="Times New Roman" w:cstheme="minorHAnsi"/>
          <w:color w:val="000000" w:themeColor="text1"/>
          <w:kern w:val="0"/>
          <w:lang w:eastAsia="en-GB"/>
          <w14:ligatures w14:val="none"/>
        </w:rPr>
        <w:t xml:space="preserve">- </w:t>
      </w:r>
      <w:r w:rsidR="001D6BE2" w:rsidRPr="00D82287">
        <w:rPr>
          <w:rFonts w:eastAsia="Times New Roman" w:cstheme="minorHAnsi"/>
          <w:color w:val="000000" w:themeColor="text1"/>
          <w:kern w:val="0"/>
          <w:lang w:eastAsia="en-GB"/>
          <w14:ligatures w14:val="none"/>
        </w:rPr>
        <w:t xml:space="preserve">May </w:t>
      </w:r>
      <w:r w:rsidRPr="00D82287">
        <w:rPr>
          <w:rFonts w:eastAsia="Times New Roman" w:cstheme="minorHAnsi"/>
          <w:color w:val="000000"/>
          <w:kern w:val="0"/>
          <w:lang w:eastAsia="en-GB"/>
          <w14:ligatures w14:val="none"/>
        </w:rPr>
        <w:t>2021. After this round of coding, we classified the questions of the extended framework according to how they could be answered (open answers, numerical, binary, ordinal and non-ordinal categorical answers). We then selected a subset that could be answered categorically or numerically (</w:t>
      </w:r>
      <w:r w:rsidR="00511103" w:rsidRPr="00D82287">
        <w:rPr>
          <w:rFonts w:eastAsia="Times New Roman" w:cstheme="minorHAnsi"/>
          <w:color w:val="000000"/>
          <w:kern w:val="0"/>
          <w:lang w:eastAsia="en-GB"/>
          <w14:ligatures w14:val="none"/>
        </w:rPr>
        <w:t xml:space="preserve">see </w:t>
      </w:r>
      <w:r w:rsidRPr="00D82287">
        <w:rPr>
          <w:rFonts w:eastAsia="Times New Roman" w:cstheme="minorHAnsi"/>
          <w:color w:val="000000"/>
          <w:kern w:val="0"/>
          <w:lang w:eastAsia="en-GB"/>
          <w14:ligatures w14:val="none"/>
        </w:rPr>
        <w:t>Table 2</w:t>
      </w:r>
      <w:r w:rsidR="00511103" w:rsidRPr="00D82287">
        <w:rPr>
          <w:rFonts w:eastAsia="Times New Roman" w:cstheme="minorHAnsi"/>
          <w:color w:val="000000"/>
          <w:kern w:val="0"/>
          <w:lang w:eastAsia="en-GB"/>
          <w14:ligatures w14:val="none"/>
        </w:rPr>
        <w:t xml:space="preserve"> of the </w:t>
      </w:r>
      <w:r w:rsidR="0012482A" w:rsidRPr="00D82287">
        <w:rPr>
          <w:rFonts w:eastAsia="Times New Roman" w:cstheme="minorHAnsi"/>
          <w:color w:val="000000"/>
          <w:kern w:val="0"/>
          <w:lang w:eastAsia="en-GB"/>
          <w14:ligatures w14:val="none"/>
        </w:rPr>
        <w:t>manuscript</w:t>
      </w:r>
      <w:r w:rsidR="002525B9" w:rsidRPr="00D82287">
        <w:rPr>
          <w:rFonts w:eastAsia="Times New Roman" w:cstheme="minorHAnsi"/>
          <w:color w:val="000000"/>
          <w:kern w:val="0"/>
          <w:lang w:eastAsia="en-GB"/>
          <w14:ligatures w14:val="none"/>
        </w:rPr>
        <w:t xml:space="preserve"> and Table S</w:t>
      </w:r>
      <w:r w:rsidR="001B4FEF" w:rsidRPr="00D82287">
        <w:rPr>
          <w:rFonts w:eastAsia="Times New Roman" w:cstheme="minorHAnsi"/>
          <w:color w:val="000000"/>
          <w:kern w:val="0"/>
          <w:lang w:eastAsia="en-GB"/>
          <w14:ligatures w14:val="none"/>
        </w:rPr>
        <w:t>3</w:t>
      </w:r>
      <w:r w:rsidR="002525B9" w:rsidRPr="00D82287">
        <w:rPr>
          <w:rFonts w:eastAsia="Times New Roman" w:cstheme="minorHAnsi"/>
          <w:color w:val="000000"/>
          <w:kern w:val="0"/>
          <w:lang w:eastAsia="en-GB"/>
          <w14:ligatures w14:val="none"/>
        </w:rPr>
        <w:t xml:space="preserve"> for more information on how each variable is defined</w:t>
      </w:r>
      <w:r w:rsidR="001E66D5" w:rsidRPr="00D82287">
        <w:rPr>
          <w:rFonts w:eastAsia="Times New Roman" w:cstheme="minorHAnsi"/>
          <w:color w:val="000000"/>
          <w:kern w:val="0"/>
          <w:lang w:eastAsia="en-GB"/>
          <w14:ligatures w14:val="none"/>
        </w:rPr>
        <w:t>, see Table S4 for final scores</w:t>
      </w:r>
      <w:r w:rsidRPr="00D82287">
        <w:rPr>
          <w:rFonts w:eastAsia="Times New Roman" w:cstheme="minorHAnsi"/>
          <w:color w:val="000000"/>
          <w:kern w:val="0"/>
          <w:lang w:eastAsia="en-GB"/>
          <w14:ligatures w14:val="none"/>
        </w:rPr>
        <w:t xml:space="preserve">). </w:t>
      </w:r>
      <w:r w:rsidR="00D67367" w:rsidRPr="00D82287">
        <w:rPr>
          <w:rFonts w:eastAsia="Times New Roman" w:cstheme="minorHAnsi"/>
          <w:color w:val="000000"/>
          <w:kern w:val="0"/>
          <w:lang w:eastAsia="en-GB"/>
          <w14:ligatures w14:val="none"/>
        </w:rPr>
        <w:t xml:space="preserve">Based on this selection of 20 variables, </w:t>
      </w:r>
      <w:r w:rsidR="00A80232">
        <w:rPr>
          <w:rFonts w:eastAsia="Times New Roman" w:cstheme="minorHAnsi"/>
          <w:color w:val="000000"/>
          <w:kern w:val="0"/>
          <w:lang w:eastAsia="en-GB"/>
          <w14:ligatures w14:val="none"/>
        </w:rPr>
        <w:t xml:space="preserve">five </w:t>
      </w:r>
      <w:r w:rsidR="00D67367" w:rsidRPr="00D82287">
        <w:rPr>
          <w:rFonts w:eastAsia="Times New Roman" w:cstheme="minorHAnsi"/>
          <w:color w:val="000000"/>
          <w:kern w:val="0"/>
          <w:lang w:eastAsia="en-GB"/>
          <w14:ligatures w14:val="none"/>
        </w:rPr>
        <w:t xml:space="preserve">themes were inductively developed to categorize the variables into groupings that share characteristics (e.g. all the variables that </w:t>
      </w:r>
      <w:r w:rsidR="00D67367" w:rsidRPr="00D67367">
        <w:rPr>
          <w:rFonts w:eastAsia="Times New Roman" w:cstheme="minorHAnsi"/>
          <w:color w:val="000000"/>
          <w:kern w:val="0"/>
          <w:lang w:eastAsia="en-GB"/>
          <w14:ligatures w14:val="none"/>
        </w:rPr>
        <w:t>r</w:t>
      </w:r>
      <w:r w:rsidR="00D67367">
        <w:rPr>
          <w:rFonts w:eastAsia="Times New Roman" w:cstheme="minorHAnsi"/>
          <w:color w:val="000000"/>
          <w:kern w:val="0"/>
          <w:lang w:eastAsia="en-GB"/>
          <w14:ligatures w14:val="none"/>
        </w:rPr>
        <w:t>e</w:t>
      </w:r>
      <w:r w:rsidR="00D67367" w:rsidRPr="00D67367">
        <w:rPr>
          <w:rFonts w:eastAsia="Times New Roman" w:cstheme="minorHAnsi"/>
          <w:color w:val="000000"/>
          <w:kern w:val="0"/>
          <w:lang w:eastAsia="en-GB"/>
          <w14:ligatures w14:val="none"/>
        </w:rPr>
        <w:t>ferred</w:t>
      </w:r>
      <w:r w:rsidR="00D67367" w:rsidRPr="00D82287">
        <w:rPr>
          <w:rFonts w:eastAsia="Times New Roman" w:cstheme="minorHAnsi"/>
          <w:color w:val="000000"/>
          <w:kern w:val="0"/>
          <w:lang w:eastAsia="en-GB"/>
          <w14:ligatures w14:val="none"/>
        </w:rPr>
        <w:t xml:space="preserve"> </w:t>
      </w:r>
      <w:r w:rsidR="00D67367">
        <w:rPr>
          <w:rFonts w:eastAsia="Times New Roman" w:cstheme="minorHAnsi"/>
          <w:color w:val="000000"/>
          <w:kern w:val="0"/>
          <w:lang w:eastAsia="en-GB"/>
          <w14:ligatures w14:val="none"/>
        </w:rPr>
        <w:t>to linkages with external actors were grouped under the theme “networking”</w:t>
      </w:r>
      <w:r w:rsidR="00DE1E1D">
        <w:rPr>
          <w:rFonts w:eastAsia="Times New Roman" w:cstheme="minorHAnsi"/>
          <w:color w:val="000000"/>
          <w:kern w:val="0"/>
          <w:lang w:eastAsia="en-GB"/>
          <w14:ligatures w14:val="none"/>
        </w:rPr>
        <w:t>)</w:t>
      </w:r>
      <w:r w:rsidR="00D67367" w:rsidRPr="00D82287">
        <w:rPr>
          <w:rFonts w:eastAsia="Times New Roman" w:cstheme="minorHAnsi"/>
          <w:color w:val="000000"/>
          <w:kern w:val="0"/>
          <w:lang w:eastAsia="en-GB"/>
          <w14:ligatures w14:val="none"/>
        </w:rPr>
        <w:t xml:space="preserve">. </w:t>
      </w:r>
      <w:r w:rsidRPr="00D82287">
        <w:rPr>
          <w:rFonts w:eastAsia="Times New Roman" w:cstheme="minorHAnsi"/>
          <w:color w:val="000000"/>
          <w:kern w:val="0"/>
          <w:lang w:eastAsia="en-GB"/>
          <w14:ligatures w14:val="none"/>
        </w:rPr>
        <w:t>For variables that could be answered categorically, we used established frameworks to categorize our data. This categorization process allowed us to operationalize the framework for rapid assessment. The rapid assessment (Table 2</w:t>
      </w:r>
      <w:r w:rsidR="0012482A" w:rsidRPr="00D82287">
        <w:rPr>
          <w:rFonts w:eastAsia="Times New Roman" w:cstheme="minorHAnsi"/>
          <w:color w:val="000000"/>
          <w:kern w:val="0"/>
          <w:lang w:eastAsia="en-GB"/>
          <w14:ligatures w14:val="none"/>
        </w:rPr>
        <w:t>, see manuscript</w:t>
      </w:r>
      <w:r w:rsidRPr="00D82287">
        <w:rPr>
          <w:rFonts w:eastAsia="Times New Roman" w:cstheme="minorHAnsi"/>
          <w:color w:val="000000"/>
          <w:kern w:val="0"/>
          <w:lang w:eastAsia="en-GB"/>
          <w14:ligatures w14:val="none"/>
        </w:rPr>
        <w:t>) was then performed using secondary and publicly available data from the partnerships´ websites. </w:t>
      </w:r>
    </w:p>
    <w:p w14:paraId="3B93639E" w14:textId="77BB28F8" w:rsidR="005875A1" w:rsidRPr="00D82287" w:rsidRDefault="005875A1" w:rsidP="005875A1">
      <w:pPr>
        <w:pStyle w:val="Heading2"/>
        <w:numPr>
          <w:ilvl w:val="1"/>
          <w:numId w:val="3"/>
        </w:numPr>
        <w:rPr>
          <w:rFonts w:asciiTheme="minorHAnsi" w:hAnsiTheme="minorHAnsi" w:cstheme="minorHAnsi"/>
          <w:lang w:val="en-GB"/>
        </w:rPr>
      </w:pPr>
      <w:bookmarkStart w:id="3" w:name="_Toc180411813"/>
      <w:r w:rsidRPr="00D82287">
        <w:rPr>
          <w:rFonts w:asciiTheme="minorHAnsi" w:hAnsiTheme="minorHAnsi" w:cstheme="minorHAnsi"/>
          <w:lang w:val="en-GB"/>
        </w:rPr>
        <w:t>Datasets</w:t>
      </w:r>
      <w:bookmarkEnd w:id="3"/>
    </w:p>
    <w:p w14:paraId="603AC4D6" w14:textId="74CB1393" w:rsidR="00231333" w:rsidRPr="00D82287" w:rsidRDefault="00231333" w:rsidP="00231333">
      <w:pPr>
        <w:spacing w:before="240" w:after="240"/>
        <w:rPr>
          <w:rFonts w:eastAsia="Times New Roman" w:cstheme="minorHAnsi"/>
          <w:kern w:val="0"/>
          <w:lang w:eastAsia="en-GB"/>
          <w14:ligatures w14:val="none"/>
        </w:rPr>
      </w:pPr>
      <w:r w:rsidRPr="00D82287">
        <w:rPr>
          <w:rFonts w:eastAsia="Times New Roman" w:cstheme="minorHAnsi"/>
          <w:color w:val="000000"/>
          <w:kern w:val="0"/>
          <w:lang w:eastAsia="en-GB"/>
          <w14:ligatures w14:val="none"/>
        </w:rPr>
        <w:t>We normalized the rapid assessment subset</w:t>
      </w:r>
      <w:r w:rsidR="00712030" w:rsidRPr="00D82287">
        <w:rPr>
          <w:rFonts w:eastAsia="Times New Roman" w:cstheme="minorHAnsi"/>
          <w:color w:val="000000"/>
          <w:kern w:val="0"/>
          <w:lang w:eastAsia="en-GB"/>
          <w14:ligatures w14:val="none"/>
        </w:rPr>
        <w:t xml:space="preserve"> (Table S4)</w:t>
      </w:r>
      <w:r w:rsidRPr="00D82287">
        <w:rPr>
          <w:rFonts w:eastAsia="Times New Roman" w:cstheme="minorHAnsi"/>
          <w:color w:val="000000"/>
          <w:kern w:val="0"/>
          <w:lang w:eastAsia="en-GB"/>
          <w14:ligatures w14:val="none"/>
        </w:rPr>
        <w:t xml:space="preserve"> on a scale from 0 to 1 in order to enable comparison of categorical, numerical and binary variables on a common scale (hereafter, ‘normalized dataset’), with higher values indicating larger transformative capacity for that particular variable. An exception to this interpretation are for categorical nominal answers (e.g. regulation type, economic growth), where there is no direct association between the score and its alignment with transformations. However, for these questions the normalization is still useful for visual comparison across answers.</w:t>
      </w:r>
    </w:p>
    <w:p w14:paraId="4472450E" w14:textId="77777777" w:rsidR="00C47DEB" w:rsidRPr="00D82287" w:rsidRDefault="00231333" w:rsidP="00231333">
      <w:pPr>
        <w:spacing w:before="240"/>
        <w:rPr>
          <w:rFonts w:eastAsia="Times New Roman" w:cstheme="minorHAnsi"/>
          <w:color w:val="000000"/>
          <w:kern w:val="0"/>
          <w:lang w:eastAsia="en-GB"/>
          <w14:ligatures w14:val="none"/>
        </w:rPr>
        <w:sectPr w:rsidR="00C47DEB" w:rsidRPr="00D82287" w:rsidSect="0024740B">
          <w:footerReference w:type="even" r:id="rId8"/>
          <w:footerReference w:type="default" r:id="rId9"/>
          <w:pgSz w:w="11906" w:h="16838"/>
          <w:pgMar w:top="1440" w:right="1440" w:bottom="1440" w:left="1440" w:header="708" w:footer="708" w:gutter="0"/>
          <w:cols w:space="708"/>
          <w:docGrid w:linePitch="360"/>
        </w:sectPr>
      </w:pPr>
      <w:r w:rsidRPr="00D82287">
        <w:rPr>
          <w:rFonts w:eastAsia="Times New Roman" w:cstheme="minorHAnsi"/>
          <w:color w:val="000000"/>
          <w:kern w:val="0"/>
          <w:lang w:eastAsia="en-GB"/>
          <w14:ligatures w14:val="none"/>
        </w:rPr>
        <w:t xml:space="preserve">We also derived another dataset from the normalized dataset, hereafter called 'deviation-adjusted' dataset. To do so, we converted the normalized data scores into scores that are 'standardized' against the mean value of each meta-category. This means that for each variable, we estimated the mean score of the 5 data points (from the five partnerships). Finally, a ‘deviation-adjusted’ dataset was created, by subtracting the 5-coalition mean score from the score/data point of each coalition. This adjustment allows for a better comparison of where coalitions fall relatively to other coalitions within our sample. Preliminary results of Phase B were presented to a second consultation meeting, hosted by the </w:t>
      </w:r>
      <w:r w:rsidRPr="00D82287">
        <w:rPr>
          <w:rFonts w:eastAsia="Times New Roman" w:cstheme="minorHAnsi"/>
          <w:i/>
          <w:iCs/>
          <w:color w:val="000000"/>
          <w:kern w:val="0"/>
          <w:lang w:eastAsia="en-GB"/>
          <w14:ligatures w14:val="none"/>
        </w:rPr>
        <w:t>Stockholm Resilience Centre´s</w:t>
      </w:r>
      <w:r w:rsidRPr="00D82287">
        <w:rPr>
          <w:rFonts w:eastAsia="Times New Roman" w:cstheme="minorHAnsi"/>
          <w:color w:val="000000"/>
          <w:kern w:val="0"/>
          <w:lang w:eastAsia="en-GB"/>
          <w14:ligatures w14:val="none"/>
        </w:rPr>
        <w:t xml:space="preserve"> ‘Anthropocene Dynamics’ research theme in January 2021 with approx. 15 participants. </w:t>
      </w:r>
    </w:p>
    <w:p w14:paraId="499E3F80" w14:textId="77777777" w:rsidR="00231333" w:rsidRPr="00D82287" w:rsidRDefault="00231333" w:rsidP="00231333">
      <w:pPr>
        <w:spacing w:before="240"/>
        <w:rPr>
          <w:rFonts w:eastAsia="Times New Roman" w:cstheme="minorHAnsi"/>
          <w:kern w:val="0"/>
          <w:lang w:eastAsia="en-GB"/>
          <w14:ligatures w14:val="none"/>
        </w:rPr>
      </w:pPr>
    </w:p>
    <w:p w14:paraId="0BD804EA" w14:textId="3138E6D3" w:rsidR="00C47DEB" w:rsidRPr="00D82287" w:rsidRDefault="00C47DEB" w:rsidP="00D7611E">
      <w:pPr>
        <w:pStyle w:val="Heading2"/>
        <w:numPr>
          <w:ilvl w:val="1"/>
          <w:numId w:val="3"/>
        </w:numPr>
        <w:rPr>
          <w:rFonts w:ascii="Calibri" w:hAnsi="Calibri" w:cs="Calibri"/>
          <w:lang w:val="en-GB"/>
        </w:rPr>
      </w:pPr>
      <w:bookmarkStart w:id="4" w:name="_Toc180411814"/>
      <w:r w:rsidRPr="00D82287">
        <w:rPr>
          <w:rFonts w:ascii="Calibri" w:hAnsi="Calibri" w:cs="Calibri"/>
          <w:lang w:val="en-GB"/>
        </w:rPr>
        <w:t xml:space="preserve">LSAC inclusion criteria </w:t>
      </w:r>
      <w:r w:rsidR="00763DD8" w:rsidRPr="00D82287">
        <w:rPr>
          <w:rFonts w:ascii="Calibri" w:hAnsi="Calibri" w:cs="Calibri"/>
          <w:lang w:val="en-GB"/>
        </w:rPr>
        <w:t xml:space="preserve">– </w:t>
      </w:r>
      <w:r w:rsidR="001F2D40" w:rsidRPr="00D82287">
        <w:rPr>
          <w:rFonts w:ascii="Calibri" w:hAnsi="Calibri" w:cs="Calibri"/>
          <w:lang w:val="en-GB"/>
        </w:rPr>
        <w:t>T</w:t>
      </w:r>
      <w:r w:rsidR="00763DD8" w:rsidRPr="00D82287">
        <w:rPr>
          <w:rFonts w:ascii="Calibri" w:hAnsi="Calibri" w:cs="Calibri"/>
          <w:lang w:val="en-GB"/>
        </w:rPr>
        <w:t>able S1</w:t>
      </w:r>
      <w:bookmarkEnd w:id="4"/>
    </w:p>
    <w:p w14:paraId="2BA7273E" w14:textId="4D668BA9" w:rsidR="00C47DEB" w:rsidRPr="00D67367" w:rsidRDefault="00C47DEB" w:rsidP="00C30A5F">
      <w:pPr>
        <w:spacing w:before="80" w:after="240"/>
        <w:rPr>
          <w:rFonts w:ascii="Calibri" w:eastAsia="Calibri" w:hAnsi="Calibri" w:cs="Calibri"/>
          <w:sz w:val="20"/>
          <w:szCs w:val="20"/>
        </w:rPr>
      </w:pPr>
      <w:r w:rsidRPr="00D67367">
        <w:rPr>
          <w:rFonts w:ascii="Calibri" w:eastAsia="Calibri" w:hAnsi="Calibri" w:cs="Calibri"/>
          <w:b/>
          <w:sz w:val="20"/>
          <w:szCs w:val="20"/>
        </w:rPr>
        <w:t xml:space="preserve">Table </w:t>
      </w:r>
      <w:r w:rsidR="00E76E18" w:rsidRPr="00D67367">
        <w:rPr>
          <w:rFonts w:ascii="Calibri" w:eastAsia="Calibri" w:hAnsi="Calibri" w:cs="Calibri"/>
          <w:b/>
          <w:sz w:val="20"/>
          <w:szCs w:val="20"/>
        </w:rPr>
        <w:t>S</w:t>
      </w:r>
      <w:r w:rsidRPr="00D67367">
        <w:rPr>
          <w:rFonts w:ascii="Calibri" w:eastAsia="Calibri" w:hAnsi="Calibri" w:cs="Calibri"/>
          <w:b/>
          <w:sz w:val="20"/>
          <w:szCs w:val="20"/>
        </w:rPr>
        <w:t>1</w:t>
      </w:r>
      <w:r w:rsidRPr="00D67367">
        <w:rPr>
          <w:rFonts w:ascii="Calibri" w:eastAsia="Calibri" w:hAnsi="Calibri" w:cs="Calibri"/>
          <w:sz w:val="20"/>
          <w:szCs w:val="20"/>
        </w:rPr>
        <w:t>. Preliminary criteria for inclusion of relevant coalitions.</w:t>
      </w:r>
    </w:p>
    <w:tbl>
      <w:tblPr>
        <w:tblW w:w="1438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40"/>
        <w:gridCol w:w="1440"/>
        <w:gridCol w:w="1665"/>
        <w:gridCol w:w="3060"/>
        <w:gridCol w:w="3330"/>
        <w:gridCol w:w="3450"/>
      </w:tblGrid>
      <w:tr w:rsidR="00531298" w:rsidRPr="00D67367" w14:paraId="285AE97C" w14:textId="77777777" w:rsidTr="002F449B">
        <w:trPr>
          <w:trHeight w:val="810"/>
          <w:jc w:val="center"/>
        </w:trPr>
        <w:tc>
          <w:tcPr>
            <w:tcW w:w="1440" w:type="dxa"/>
            <w:tcBorders>
              <w:top w:val="single" w:sz="8" w:space="0" w:color="000000"/>
              <w:left w:val="single" w:sz="8" w:space="0" w:color="FFFFFF"/>
              <w:bottom w:val="single" w:sz="4" w:space="0" w:color="auto"/>
              <w:right w:val="single" w:sz="8" w:space="0" w:color="FFFFFF"/>
            </w:tcBorders>
          </w:tcPr>
          <w:p w14:paraId="054F0CA2" w14:textId="63D846AE" w:rsidR="00531298" w:rsidRPr="00D67367" w:rsidRDefault="00531298" w:rsidP="00A37F99">
            <w:pPr>
              <w:widowControl w:val="0"/>
              <w:spacing w:before="240"/>
              <w:rPr>
                <w:rFonts w:ascii="Calibri" w:eastAsia="Calibri" w:hAnsi="Calibri" w:cs="Calibri"/>
                <w:b/>
                <w:sz w:val="20"/>
                <w:szCs w:val="20"/>
              </w:rPr>
            </w:pPr>
            <w:r w:rsidRPr="00D67367">
              <w:rPr>
                <w:rFonts w:ascii="Calibri" w:eastAsia="Calibri" w:hAnsi="Calibri" w:cs="Calibri"/>
                <w:b/>
                <w:sz w:val="20"/>
                <w:szCs w:val="20"/>
              </w:rPr>
              <w:t>Unit of analysis</w:t>
            </w:r>
          </w:p>
        </w:tc>
        <w:tc>
          <w:tcPr>
            <w:tcW w:w="1440" w:type="dxa"/>
            <w:tcBorders>
              <w:top w:val="single" w:sz="8" w:space="0" w:color="000000"/>
              <w:left w:val="single" w:sz="8" w:space="0" w:color="FFFFFF"/>
              <w:bottom w:val="single" w:sz="4" w:space="0" w:color="auto"/>
              <w:right w:val="single" w:sz="8" w:space="0" w:color="FFFFFF"/>
            </w:tcBorders>
            <w:tcMar>
              <w:top w:w="100" w:type="dxa"/>
              <w:left w:w="100" w:type="dxa"/>
              <w:bottom w:w="100" w:type="dxa"/>
              <w:right w:w="100" w:type="dxa"/>
            </w:tcMar>
          </w:tcPr>
          <w:p w14:paraId="46994805" w14:textId="3AB9CF36" w:rsidR="00531298" w:rsidRPr="00D67367" w:rsidRDefault="00531298" w:rsidP="00A37F99">
            <w:pPr>
              <w:widowControl w:val="0"/>
              <w:spacing w:before="240"/>
              <w:rPr>
                <w:rFonts w:ascii="Calibri" w:eastAsia="Calibri" w:hAnsi="Calibri" w:cs="Calibri"/>
                <w:b/>
                <w:sz w:val="20"/>
                <w:szCs w:val="20"/>
              </w:rPr>
            </w:pPr>
            <w:r w:rsidRPr="00D67367">
              <w:rPr>
                <w:rFonts w:ascii="Calibri" w:eastAsia="Calibri" w:hAnsi="Calibri" w:cs="Calibri"/>
                <w:b/>
                <w:sz w:val="20"/>
                <w:szCs w:val="20"/>
              </w:rPr>
              <w:t>Dimension</w:t>
            </w:r>
          </w:p>
        </w:tc>
        <w:tc>
          <w:tcPr>
            <w:tcW w:w="1665" w:type="dxa"/>
            <w:tcBorders>
              <w:top w:val="single" w:sz="8" w:space="0" w:color="000000"/>
              <w:left w:val="single" w:sz="8" w:space="0" w:color="FFFFFF"/>
              <w:bottom w:val="single" w:sz="4" w:space="0" w:color="auto"/>
              <w:right w:val="single" w:sz="8" w:space="0" w:color="FFFFFF"/>
            </w:tcBorders>
            <w:tcMar>
              <w:top w:w="100" w:type="dxa"/>
              <w:left w:w="100" w:type="dxa"/>
              <w:bottom w:w="100" w:type="dxa"/>
              <w:right w:w="100" w:type="dxa"/>
            </w:tcMar>
          </w:tcPr>
          <w:p w14:paraId="016CC123"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b/>
                <w:sz w:val="20"/>
                <w:szCs w:val="20"/>
              </w:rPr>
              <w:t>Criterion</w:t>
            </w:r>
          </w:p>
        </w:tc>
        <w:tc>
          <w:tcPr>
            <w:tcW w:w="3060" w:type="dxa"/>
            <w:tcBorders>
              <w:top w:val="single" w:sz="8" w:space="0" w:color="000000"/>
              <w:left w:val="single" w:sz="8" w:space="0" w:color="FFFFFF"/>
              <w:bottom w:val="single" w:sz="4" w:space="0" w:color="auto"/>
              <w:right w:val="single" w:sz="8" w:space="0" w:color="FFFFFF"/>
            </w:tcBorders>
            <w:tcMar>
              <w:top w:w="100" w:type="dxa"/>
              <w:left w:w="100" w:type="dxa"/>
              <w:bottom w:w="100" w:type="dxa"/>
              <w:right w:w="100" w:type="dxa"/>
            </w:tcMar>
          </w:tcPr>
          <w:p w14:paraId="4439FC9C"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b/>
                <w:sz w:val="20"/>
                <w:szCs w:val="20"/>
              </w:rPr>
              <w:t>Description</w:t>
            </w:r>
            <w:r w:rsidRPr="00D67367">
              <w:rPr>
                <w:rFonts w:ascii="Calibri" w:eastAsia="Calibri" w:hAnsi="Calibri" w:cs="Calibri"/>
                <w:sz w:val="20"/>
                <w:szCs w:val="20"/>
              </w:rPr>
              <w:t xml:space="preserve"> </w:t>
            </w:r>
          </w:p>
        </w:tc>
        <w:tc>
          <w:tcPr>
            <w:tcW w:w="3330" w:type="dxa"/>
            <w:tcBorders>
              <w:top w:val="single" w:sz="8" w:space="0" w:color="000000"/>
              <w:left w:val="single" w:sz="8" w:space="0" w:color="FFFFFF"/>
              <w:bottom w:val="single" w:sz="4" w:space="0" w:color="auto"/>
              <w:right w:val="single" w:sz="8" w:space="0" w:color="FFFFFF"/>
            </w:tcBorders>
            <w:tcMar>
              <w:top w:w="100" w:type="dxa"/>
              <w:left w:w="100" w:type="dxa"/>
              <w:bottom w:w="100" w:type="dxa"/>
              <w:right w:w="100" w:type="dxa"/>
            </w:tcMar>
          </w:tcPr>
          <w:p w14:paraId="7F9CBC8B" w14:textId="773D60C1"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b/>
                <w:sz w:val="20"/>
                <w:szCs w:val="20"/>
              </w:rPr>
              <w:t>Motivation</w:t>
            </w:r>
            <w:r w:rsidR="002D5C73" w:rsidRPr="00D67367">
              <w:rPr>
                <w:rFonts w:ascii="Calibri" w:eastAsia="Calibri" w:hAnsi="Calibri" w:cs="Calibri"/>
                <w:b/>
                <w:sz w:val="20"/>
                <w:szCs w:val="20"/>
              </w:rPr>
              <w:t xml:space="preserve"> </w:t>
            </w:r>
          </w:p>
        </w:tc>
        <w:tc>
          <w:tcPr>
            <w:tcW w:w="3450" w:type="dxa"/>
            <w:tcBorders>
              <w:top w:val="single" w:sz="8" w:space="0" w:color="000000"/>
              <w:left w:val="single" w:sz="8" w:space="0" w:color="FFFFFF"/>
              <w:bottom w:val="single" w:sz="4" w:space="0" w:color="auto"/>
              <w:right w:val="single" w:sz="8" w:space="0" w:color="FFFFFF"/>
            </w:tcBorders>
            <w:tcMar>
              <w:top w:w="100" w:type="dxa"/>
              <w:left w:w="100" w:type="dxa"/>
              <w:bottom w:w="100" w:type="dxa"/>
              <w:right w:w="100" w:type="dxa"/>
            </w:tcMar>
          </w:tcPr>
          <w:p w14:paraId="3AFA1DED" w14:textId="77777777" w:rsidR="00531298" w:rsidRPr="00D67367" w:rsidRDefault="00531298" w:rsidP="00A37F99">
            <w:pPr>
              <w:widowControl w:val="0"/>
              <w:spacing w:before="240"/>
              <w:rPr>
                <w:rFonts w:ascii="Calibri" w:eastAsia="Calibri" w:hAnsi="Calibri" w:cs="Calibri"/>
                <w:b/>
                <w:sz w:val="20"/>
                <w:szCs w:val="20"/>
              </w:rPr>
            </w:pPr>
            <w:r w:rsidRPr="00D67367">
              <w:rPr>
                <w:rFonts w:ascii="Calibri" w:eastAsia="Calibri" w:hAnsi="Calibri" w:cs="Calibri"/>
                <w:b/>
                <w:sz w:val="20"/>
                <w:szCs w:val="20"/>
              </w:rPr>
              <w:t>Limitations</w:t>
            </w:r>
          </w:p>
        </w:tc>
      </w:tr>
      <w:tr w:rsidR="00531298" w:rsidRPr="00D67367" w14:paraId="5FF77742" w14:textId="77777777" w:rsidTr="002F449B">
        <w:trPr>
          <w:trHeight w:val="1485"/>
          <w:jc w:val="center"/>
        </w:trPr>
        <w:tc>
          <w:tcPr>
            <w:tcW w:w="1440" w:type="dxa"/>
            <w:tcBorders>
              <w:top w:val="single" w:sz="4" w:space="0" w:color="auto"/>
              <w:left w:val="nil"/>
              <w:bottom w:val="nil"/>
              <w:right w:val="nil"/>
            </w:tcBorders>
          </w:tcPr>
          <w:p w14:paraId="6FB60481" w14:textId="6DF63944" w:rsidR="00531298" w:rsidRPr="00D67367" w:rsidRDefault="00531298" w:rsidP="00746CF6">
            <w:pPr>
              <w:widowControl w:val="0"/>
              <w:spacing w:before="240"/>
              <w:rPr>
                <w:rFonts w:ascii="Calibri" w:eastAsia="Calibri" w:hAnsi="Calibri" w:cs="Calibri"/>
                <w:sz w:val="20"/>
                <w:szCs w:val="20"/>
              </w:rPr>
            </w:pPr>
            <w:r w:rsidRPr="00D67367">
              <w:rPr>
                <w:rFonts w:ascii="Calibri" w:eastAsia="Calibri" w:hAnsi="Calibri" w:cs="Calibri"/>
                <w:sz w:val="20"/>
                <w:szCs w:val="20"/>
              </w:rPr>
              <w:t>LSAC</w:t>
            </w:r>
          </w:p>
        </w:tc>
        <w:tc>
          <w:tcPr>
            <w:tcW w:w="1440" w:type="dxa"/>
            <w:tcBorders>
              <w:top w:val="single" w:sz="4" w:space="0" w:color="auto"/>
              <w:left w:val="nil"/>
              <w:bottom w:val="nil"/>
              <w:right w:val="nil"/>
            </w:tcBorders>
            <w:tcMar>
              <w:top w:w="100" w:type="dxa"/>
              <w:left w:w="100" w:type="dxa"/>
              <w:bottom w:w="100" w:type="dxa"/>
              <w:right w:w="100" w:type="dxa"/>
            </w:tcMar>
          </w:tcPr>
          <w:p w14:paraId="75052F5C" w14:textId="44A4574D" w:rsidR="00531298" w:rsidRPr="00D67367" w:rsidRDefault="00531298" w:rsidP="00746CF6">
            <w:pPr>
              <w:widowControl w:val="0"/>
              <w:spacing w:before="240"/>
              <w:rPr>
                <w:rFonts w:ascii="Calibri" w:eastAsia="Calibri" w:hAnsi="Calibri" w:cs="Calibri"/>
                <w:sz w:val="20"/>
                <w:szCs w:val="20"/>
              </w:rPr>
            </w:pPr>
            <w:r w:rsidRPr="00D67367">
              <w:rPr>
                <w:rFonts w:ascii="Calibri" w:eastAsia="Calibri" w:hAnsi="Calibri" w:cs="Calibri"/>
                <w:sz w:val="20"/>
                <w:szCs w:val="20"/>
              </w:rPr>
              <w:t>Collaborative</w:t>
            </w:r>
          </w:p>
        </w:tc>
        <w:tc>
          <w:tcPr>
            <w:tcW w:w="1665" w:type="dxa"/>
            <w:tcBorders>
              <w:top w:val="single" w:sz="4" w:space="0" w:color="auto"/>
              <w:left w:val="nil"/>
              <w:bottom w:val="nil"/>
              <w:right w:val="nil"/>
            </w:tcBorders>
            <w:tcMar>
              <w:top w:w="100" w:type="dxa"/>
              <w:left w:w="100" w:type="dxa"/>
              <w:bottom w:w="100" w:type="dxa"/>
              <w:right w:w="100" w:type="dxa"/>
            </w:tcMar>
          </w:tcPr>
          <w:p w14:paraId="62F6E311" w14:textId="78538DA7" w:rsidR="00531298" w:rsidRPr="00D67367" w:rsidRDefault="00531298" w:rsidP="00746CF6">
            <w:pPr>
              <w:widowControl w:val="0"/>
              <w:spacing w:before="240"/>
              <w:rPr>
                <w:rFonts w:ascii="Calibri" w:eastAsia="Calibri" w:hAnsi="Calibri" w:cs="Calibri"/>
                <w:sz w:val="20"/>
                <w:szCs w:val="20"/>
              </w:rPr>
            </w:pPr>
            <w:r w:rsidRPr="00D67367">
              <w:rPr>
                <w:rFonts w:ascii="Calibri" w:eastAsia="Calibri" w:hAnsi="Calibri" w:cs="Calibri"/>
                <w:sz w:val="20"/>
                <w:szCs w:val="20"/>
              </w:rPr>
              <w:t>At least two LSAs</w:t>
            </w:r>
          </w:p>
        </w:tc>
        <w:tc>
          <w:tcPr>
            <w:tcW w:w="3060" w:type="dxa"/>
            <w:tcBorders>
              <w:top w:val="single" w:sz="4" w:space="0" w:color="auto"/>
              <w:left w:val="nil"/>
              <w:bottom w:val="nil"/>
              <w:right w:val="nil"/>
            </w:tcBorders>
            <w:tcMar>
              <w:top w:w="100" w:type="dxa"/>
              <w:left w:w="100" w:type="dxa"/>
              <w:bottom w:w="100" w:type="dxa"/>
              <w:right w:w="100" w:type="dxa"/>
            </w:tcMar>
          </w:tcPr>
          <w:p w14:paraId="3471ECC0" w14:textId="386E25B9" w:rsidR="00531298" w:rsidRPr="00D67367" w:rsidRDefault="00531298" w:rsidP="00746CF6">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A minimum of two LSAs need to be present for an initiative to be considered a collaborative effort. </w:t>
            </w:r>
          </w:p>
        </w:tc>
        <w:tc>
          <w:tcPr>
            <w:tcW w:w="3330" w:type="dxa"/>
            <w:tcBorders>
              <w:top w:val="single" w:sz="4" w:space="0" w:color="auto"/>
              <w:left w:val="nil"/>
              <w:bottom w:val="nil"/>
              <w:right w:val="nil"/>
            </w:tcBorders>
            <w:tcMar>
              <w:top w:w="100" w:type="dxa"/>
              <w:left w:w="100" w:type="dxa"/>
              <w:bottom w:w="100" w:type="dxa"/>
              <w:right w:w="100" w:type="dxa"/>
            </w:tcMar>
          </w:tcPr>
          <w:p w14:paraId="119458F8" w14:textId="61D7A6DD" w:rsidR="00531298" w:rsidRPr="00D67367" w:rsidRDefault="00531298" w:rsidP="00746CF6">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We exclude single LSA and non-LSA actor (e.g. a company collaborates with a local NGO to improve agriculture) initiatives. </w:t>
            </w:r>
          </w:p>
        </w:tc>
        <w:tc>
          <w:tcPr>
            <w:tcW w:w="3450" w:type="dxa"/>
            <w:tcBorders>
              <w:top w:val="single" w:sz="4" w:space="0" w:color="auto"/>
              <w:left w:val="nil"/>
              <w:bottom w:val="nil"/>
              <w:right w:val="nil"/>
            </w:tcBorders>
            <w:tcMar>
              <w:top w:w="100" w:type="dxa"/>
              <w:left w:w="100" w:type="dxa"/>
              <w:bottom w:w="100" w:type="dxa"/>
              <w:right w:w="100" w:type="dxa"/>
            </w:tcMar>
          </w:tcPr>
          <w:p w14:paraId="0325E60F" w14:textId="0CE648FF" w:rsidR="00531298" w:rsidRPr="00D67367" w:rsidRDefault="00531298" w:rsidP="00746CF6">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Need for clear criteria of what constitutes an LSA. </w:t>
            </w:r>
          </w:p>
        </w:tc>
      </w:tr>
      <w:tr w:rsidR="00531298" w:rsidRPr="00D67367" w14:paraId="7DDDD495" w14:textId="77777777" w:rsidTr="002F449B">
        <w:trPr>
          <w:trHeight w:val="1485"/>
          <w:jc w:val="center"/>
        </w:trPr>
        <w:tc>
          <w:tcPr>
            <w:tcW w:w="1440" w:type="dxa"/>
            <w:tcBorders>
              <w:top w:val="nil"/>
              <w:left w:val="nil"/>
              <w:bottom w:val="nil"/>
              <w:right w:val="nil"/>
            </w:tcBorders>
          </w:tcPr>
          <w:p w14:paraId="52F09DE0" w14:textId="77777777" w:rsidR="00531298" w:rsidRPr="00D67367" w:rsidRDefault="00531298" w:rsidP="00A37F99">
            <w:pPr>
              <w:widowControl w:val="0"/>
              <w:spacing w:before="240"/>
              <w:rPr>
                <w:rFonts w:ascii="Calibri" w:eastAsia="Calibri" w:hAnsi="Calibri" w:cs="Calibri"/>
                <w:sz w:val="20"/>
                <w:szCs w:val="20"/>
              </w:rPr>
            </w:pPr>
          </w:p>
        </w:tc>
        <w:tc>
          <w:tcPr>
            <w:tcW w:w="1440" w:type="dxa"/>
            <w:tcBorders>
              <w:top w:val="nil"/>
              <w:left w:val="nil"/>
              <w:bottom w:val="nil"/>
              <w:right w:val="nil"/>
            </w:tcBorders>
            <w:tcMar>
              <w:top w:w="100" w:type="dxa"/>
              <w:left w:w="100" w:type="dxa"/>
              <w:bottom w:w="100" w:type="dxa"/>
              <w:right w:w="100" w:type="dxa"/>
            </w:tcMar>
          </w:tcPr>
          <w:p w14:paraId="61D8D7CF" w14:textId="34D7B968" w:rsidR="00531298" w:rsidRPr="00D67367" w:rsidRDefault="00531298" w:rsidP="00A37F99">
            <w:pPr>
              <w:widowControl w:val="0"/>
              <w:spacing w:before="240"/>
              <w:rPr>
                <w:rFonts w:ascii="Calibri" w:eastAsia="Calibri" w:hAnsi="Calibri" w:cs="Calibri"/>
                <w:sz w:val="20"/>
                <w:szCs w:val="20"/>
              </w:rPr>
            </w:pPr>
          </w:p>
        </w:tc>
        <w:tc>
          <w:tcPr>
            <w:tcW w:w="1665" w:type="dxa"/>
            <w:tcBorders>
              <w:top w:val="nil"/>
              <w:left w:val="nil"/>
              <w:bottom w:val="nil"/>
              <w:right w:val="nil"/>
            </w:tcBorders>
            <w:tcMar>
              <w:top w:w="100" w:type="dxa"/>
              <w:left w:w="100" w:type="dxa"/>
              <w:bottom w:w="100" w:type="dxa"/>
              <w:right w:w="100" w:type="dxa"/>
            </w:tcMar>
          </w:tcPr>
          <w:p w14:paraId="56DBFF0F" w14:textId="3198583A" w:rsidR="00531298" w:rsidRPr="00D67367" w:rsidRDefault="00531298" w:rsidP="00A37F99">
            <w:pPr>
              <w:widowControl w:val="0"/>
              <w:spacing w:before="240"/>
              <w:rPr>
                <w:rFonts w:ascii="Calibri" w:eastAsia="Calibri" w:hAnsi="Calibri" w:cs="Calibri"/>
                <w:sz w:val="20"/>
                <w:szCs w:val="20"/>
              </w:rPr>
            </w:pPr>
          </w:p>
        </w:tc>
        <w:tc>
          <w:tcPr>
            <w:tcW w:w="3060" w:type="dxa"/>
            <w:tcBorders>
              <w:top w:val="nil"/>
              <w:left w:val="nil"/>
              <w:bottom w:val="nil"/>
              <w:right w:val="nil"/>
            </w:tcBorders>
            <w:tcMar>
              <w:top w:w="100" w:type="dxa"/>
              <w:left w:w="100" w:type="dxa"/>
              <w:bottom w:w="100" w:type="dxa"/>
              <w:right w:w="100" w:type="dxa"/>
            </w:tcMar>
          </w:tcPr>
          <w:p w14:paraId="50D4BAA4" w14:textId="75141A78"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For an actor to be considered an LSA, they need to have the following characteristics: monetary, political, natural, global scale  </w:t>
            </w:r>
          </w:p>
        </w:tc>
        <w:tc>
          <w:tcPr>
            <w:tcW w:w="3330" w:type="dxa"/>
            <w:tcBorders>
              <w:top w:val="nil"/>
              <w:left w:val="nil"/>
              <w:bottom w:val="nil"/>
              <w:right w:val="nil"/>
            </w:tcBorders>
            <w:tcMar>
              <w:top w:w="100" w:type="dxa"/>
              <w:left w:w="100" w:type="dxa"/>
              <w:bottom w:w="100" w:type="dxa"/>
              <w:right w:w="100" w:type="dxa"/>
            </w:tcMar>
          </w:tcPr>
          <w:p w14:paraId="0C08F767" w14:textId="77777777" w:rsidR="00531298" w:rsidRPr="00D67367" w:rsidRDefault="00531298" w:rsidP="00A37F99">
            <w:pPr>
              <w:widowControl w:val="0"/>
              <w:spacing w:before="240"/>
              <w:rPr>
                <w:rFonts w:ascii="Calibri" w:eastAsia="Calibri" w:hAnsi="Calibri" w:cs="Calibri"/>
                <w:sz w:val="20"/>
                <w:szCs w:val="20"/>
              </w:rPr>
            </w:pPr>
          </w:p>
        </w:tc>
        <w:tc>
          <w:tcPr>
            <w:tcW w:w="3450" w:type="dxa"/>
            <w:tcBorders>
              <w:top w:val="nil"/>
              <w:left w:val="nil"/>
              <w:bottom w:val="nil"/>
              <w:right w:val="nil"/>
            </w:tcBorders>
            <w:tcMar>
              <w:top w:w="100" w:type="dxa"/>
              <w:left w:w="100" w:type="dxa"/>
              <w:bottom w:w="100" w:type="dxa"/>
              <w:right w:w="100" w:type="dxa"/>
            </w:tcMar>
          </w:tcPr>
          <w:p w14:paraId="4F07EB61" w14:textId="77777777" w:rsidR="00531298" w:rsidRPr="00D67367" w:rsidRDefault="00531298" w:rsidP="00A37F99">
            <w:pPr>
              <w:widowControl w:val="0"/>
              <w:spacing w:before="240"/>
              <w:rPr>
                <w:rFonts w:ascii="Calibri" w:eastAsia="Calibri" w:hAnsi="Calibri" w:cs="Calibri"/>
                <w:sz w:val="20"/>
                <w:szCs w:val="20"/>
              </w:rPr>
            </w:pPr>
          </w:p>
        </w:tc>
      </w:tr>
      <w:tr w:rsidR="00531298" w:rsidRPr="00D67367" w14:paraId="0BC81AF0" w14:textId="77777777" w:rsidTr="002F449B">
        <w:trPr>
          <w:trHeight w:val="1485"/>
          <w:jc w:val="center"/>
        </w:trPr>
        <w:tc>
          <w:tcPr>
            <w:tcW w:w="1440" w:type="dxa"/>
            <w:tcBorders>
              <w:top w:val="nil"/>
              <w:left w:val="nil"/>
              <w:bottom w:val="nil"/>
              <w:right w:val="nil"/>
            </w:tcBorders>
          </w:tcPr>
          <w:p w14:paraId="472EF68E" w14:textId="710425B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LSA</w:t>
            </w:r>
          </w:p>
        </w:tc>
        <w:tc>
          <w:tcPr>
            <w:tcW w:w="1440" w:type="dxa"/>
            <w:tcBorders>
              <w:top w:val="nil"/>
              <w:left w:val="nil"/>
              <w:bottom w:val="nil"/>
              <w:right w:val="nil"/>
            </w:tcBorders>
            <w:tcMar>
              <w:top w:w="100" w:type="dxa"/>
              <w:left w:w="100" w:type="dxa"/>
              <w:bottom w:w="100" w:type="dxa"/>
              <w:right w:w="100" w:type="dxa"/>
            </w:tcMar>
          </w:tcPr>
          <w:p w14:paraId="42BC1276" w14:textId="73E58512"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Monetary</w:t>
            </w:r>
          </w:p>
        </w:tc>
        <w:tc>
          <w:tcPr>
            <w:tcW w:w="1665" w:type="dxa"/>
            <w:tcBorders>
              <w:top w:val="nil"/>
              <w:left w:val="nil"/>
              <w:bottom w:val="nil"/>
              <w:right w:val="nil"/>
            </w:tcBorders>
            <w:tcMar>
              <w:top w:w="100" w:type="dxa"/>
              <w:left w:w="100" w:type="dxa"/>
              <w:bottom w:w="100" w:type="dxa"/>
              <w:right w:w="100" w:type="dxa"/>
            </w:tcMar>
          </w:tcPr>
          <w:p w14:paraId="441D1F98" w14:textId="08B5D65C"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Financially established</w:t>
            </w:r>
          </w:p>
        </w:tc>
        <w:tc>
          <w:tcPr>
            <w:tcW w:w="3060" w:type="dxa"/>
            <w:tcBorders>
              <w:top w:val="nil"/>
              <w:left w:val="nil"/>
              <w:bottom w:val="nil"/>
              <w:right w:val="nil"/>
            </w:tcBorders>
            <w:tcMar>
              <w:top w:w="100" w:type="dxa"/>
              <w:left w:w="100" w:type="dxa"/>
              <w:bottom w:w="100" w:type="dxa"/>
              <w:right w:w="100" w:type="dxa"/>
            </w:tcMar>
          </w:tcPr>
          <w:p w14:paraId="2C51E52F"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assets under management – funds, cash, financial stock</w:t>
            </w:r>
          </w:p>
        </w:tc>
        <w:tc>
          <w:tcPr>
            <w:tcW w:w="3330" w:type="dxa"/>
            <w:tcBorders>
              <w:top w:val="nil"/>
              <w:left w:val="nil"/>
              <w:bottom w:val="nil"/>
              <w:right w:val="nil"/>
            </w:tcBorders>
            <w:tcMar>
              <w:top w:w="100" w:type="dxa"/>
              <w:left w:w="100" w:type="dxa"/>
              <w:bottom w:w="100" w:type="dxa"/>
              <w:right w:w="100" w:type="dxa"/>
            </w:tcMar>
          </w:tcPr>
          <w:p w14:paraId="693760D6" w14:textId="22B712B1" w:rsidR="00FA2C47"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Members that hold a large market share in their sector are considered ‘powerful’ due to their ability to influence the existing system dynamics (Avelino 2017).</w:t>
            </w:r>
          </w:p>
          <w:p w14:paraId="5CD2032E" w14:textId="769DC693" w:rsidR="00FA2C47" w:rsidRPr="00D67367" w:rsidRDefault="00FA2C47" w:rsidP="00A37F99">
            <w:pPr>
              <w:widowControl w:val="0"/>
              <w:spacing w:before="240"/>
              <w:rPr>
                <w:rFonts w:ascii="Calibri" w:eastAsia="Calibri" w:hAnsi="Calibri" w:cs="Calibri"/>
                <w:sz w:val="20"/>
                <w:szCs w:val="20"/>
              </w:rPr>
            </w:pPr>
          </w:p>
        </w:tc>
        <w:tc>
          <w:tcPr>
            <w:tcW w:w="3450" w:type="dxa"/>
            <w:tcBorders>
              <w:top w:val="nil"/>
              <w:left w:val="nil"/>
              <w:bottom w:val="nil"/>
              <w:right w:val="nil"/>
            </w:tcBorders>
            <w:tcMar>
              <w:top w:w="100" w:type="dxa"/>
              <w:left w:w="100" w:type="dxa"/>
              <w:bottom w:w="100" w:type="dxa"/>
              <w:right w:w="100" w:type="dxa"/>
            </w:tcMar>
          </w:tcPr>
          <w:p w14:paraId="7FD0E402"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Financial information may not always be publicly available</w:t>
            </w:r>
          </w:p>
        </w:tc>
      </w:tr>
      <w:tr w:rsidR="00531298" w:rsidRPr="00D67367" w14:paraId="2EB3093D" w14:textId="77777777" w:rsidTr="002F449B">
        <w:trPr>
          <w:trHeight w:val="2310"/>
          <w:jc w:val="center"/>
        </w:trPr>
        <w:tc>
          <w:tcPr>
            <w:tcW w:w="1440" w:type="dxa"/>
            <w:tcBorders>
              <w:top w:val="nil"/>
              <w:left w:val="nil"/>
              <w:bottom w:val="nil"/>
              <w:right w:val="nil"/>
            </w:tcBorders>
          </w:tcPr>
          <w:p w14:paraId="1FDDD62B" w14:textId="26FA41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lastRenderedPageBreak/>
              <w:t>LSA</w:t>
            </w:r>
          </w:p>
        </w:tc>
        <w:tc>
          <w:tcPr>
            <w:tcW w:w="1440" w:type="dxa"/>
            <w:tcBorders>
              <w:top w:val="nil"/>
              <w:left w:val="nil"/>
              <w:bottom w:val="nil"/>
              <w:right w:val="nil"/>
            </w:tcBorders>
            <w:tcMar>
              <w:top w:w="100" w:type="dxa"/>
              <w:left w:w="100" w:type="dxa"/>
              <w:bottom w:w="100" w:type="dxa"/>
              <w:right w:w="100" w:type="dxa"/>
            </w:tcMar>
          </w:tcPr>
          <w:p w14:paraId="16BE268E" w14:textId="6FB5788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Political</w:t>
            </w:r>
          </w:p>
        </w:tc>
        <w:tc>
          <w:tcPr>
            <w:tcW w:w="1665" w:type="dxa"/>
            <w:tcBorders>
              <w:top w:val="nil"/>
              <w:left w:val="nil"/>
              <w:bottom w:val="nil"/>
              <w:right w:val="nil"/>
            </w:tcBorders>
            <w:tcMar>
              <w:top w:w="100" w:type="dxa"/>
              <w:left w:w="100" w:type="dxa"/>
              <w:bottom w:w="100" w:type="dxa"/>
              <w:right w:w="100" w:type="dxa"/>
            </w:tcMar>
          </w:tcPr>
          <w:p w14:paraId="17D9E65D" w14:textId="6454E63E"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Political </w:t>
            </w:r>
            <w:r w:rsidR="00FD5255" w:rsidRPr="00D67367">
              <w:rPr>
                <w:rFonts w:ascii="Calibri" w:eastAsia="Calibri" w:hAnsi="Calibri" w:cs="Calibri"/>
                <w:sz w:val="20"/>
                <w:szCs w:val="20"/>
              </w:rPr>
              <w:t>influence</w:t>
            </w:r>
          </w:p>
        </w:tc>
        <w:tc>
          <w:tcPr>
            <w:tcW w:w="3060" w:type="dxa"/>
            <w:tcBorders>
              <w:top w:val="nil"/>
              <w:left w:val="nil"/>
              <w:bottom w:val="nil"/>
              <w:right w:val="nil"/>
            </w:tcBorders>
            <w:tcMar>
              <w:top w:w="100" w:type="dxa"/>
              <w:left w:w="100" w:type="dxa"/>
              <w:bottom w:w="100" w:type="dxa"/>
              <w:right w:w="100" w:type="dxa"/>
            </w:tcMar>
          </w:tcPr>
          <w:p w14:paraId="1D6729EC" w14:textId="2811BF7A" w:rsidR="00531298" w:rsidRPr="00D67367" w:rsidRDefault="00FD5255"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Actors can access political</w:t>
            </w:r>
            <w:r w:rsidR="000B63DA" w:rsidRPr="00D67367">
              <w:rPr>
                <w:rFonts w:ascii="Calibri" w:eastAsia="Calibri" w:hAnsi="Calibri" w:cs="Calibri"/>
                <w:sz w:val="20"/>
                <w:szCs w:val="20"/>
              </w:rPr>
              <w:t xml:space="preserve"> spheres</w:t>
            </w:r>
            <w:r w:rsidRPr="00D67367">
              <w:rPr>
                <w:rFonts w:ascii="Calibri" w:eastAsia="Calibri" w:hAnsi="Calibri" w:cs="Calibri"/>
                <w:sz w:val="20"/>
                <w:szCs w:val="20"/>
              </w:rPr>
              <w:t xml:space="preserve"> </w:t>
            </w:r>
          </w:p>
        </w:tc>
        <w:tc>
          <w:tcPr>
            <w:tcW w:w="3330" w:type="dxa"/>
            <w:tcBorders>
              <w:top w:val="nil"/>
              <w:left w:val="nil"/>
              <w:bottom w:val="nil"/>
              <w:right w:val="nil"/>
            </w:tcBorders>
            <w:tcMar>
              <w:top w:w="100" w:type="dxa"/>
              <w:left w:w="100" w:type="dxa"/>
              <w:bottom w:w="100" w:type="dxa"/>
              <w:right w:w="100" w:type="dxa"/>
            </w:tcMar>
          </w:tcPr>
          <w:p w14:paraId="19BFF5B0" w14:textId="22EDA3C3"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Political connections allow </w:t>
            </w:r>
            <w:r w:rsidR="00AC53A0" w:rsidRPr="00D67367">
              <w:rPr>
                <w:rFonts w:ascii="Calibri" w:eastAsia="Calibri" w:hAnsi="Calibri" w:cs="Calibri"/>
                <w:sz w:val="20"/>
                <w:szCs w:val="20"/>
              </w:rPr>
              <w:t xml:space="preserve">powerful actors </w:t>
            </w:r>
            <w:r w:rsidRPr="00D67367">
              <w:rPr>
                <w:rFonts w:ascii="Calibri" w:eastAsia="Calibri" w:hAnsi="Calibri" w:cs="Calibri"/>
                <w:sz w:val="20"/>
                <w:szCs w:val="20"/>
              </w:rPr>
              <w:t xml:space="preserve">access to </w:t>
            </w:r>
            <w:r w:rsidR="003D2DB6" w:rsidRPr="00D67367">
              <w:rPr>
                <w:rFonts w:ascii="Calibri" w:eastAsia="Calibri" w:hAnsi="Calibri" w:cs="Calibri"/>
                <w:sz w:val="20"/>
                <w:szCs w:val="20"/>
              </w:rPr>
              <w:t>regim</w:t>
            </w:r>
            <w:r w:rsidRPr="00D67367">
              <w:rPr>
                <w:rFonts w:ascii="Calibri" w:eastAsia="Calibri" w:hAnsi="Calibri" w:cs="Calibri"/>
                <w:sz w:val="20"/>
                <w:szCs w:val="20"/>
              </w:rPr>
              <w:t>e-level institutions, enabling them to influence the system at scale (Moore et al. 2014).</w:t>
            </w:r>
          </w:p>
          <w:p w14:paraId="74412831"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 </w:t>
            </w:r>
          </w:p>
        </w:tc>
        <w:tc>
          <w:tcPr>
            <w:tcW w:w="3450" w:type="dxa"/>
            <w:tcBorders>
              <w:top w:val="nil"/>
              <w:left w:val="nil"/>
              <w:bottom w:val="nil"/>
              <w:right w:val="nil"/>
            </w:tcBorders>
            <w:tcMar>
              <w:top w:w="100" w:type="dxa"/>
              <w:left w:w="100" w:type="dxa"/>
              <w:bottom w:w="100" w:type="dxa"/>
              <w:right w:w="100" w:type="dxa"/>
            </w:tcMar>
          </w:tcPr>
          <w:p w14:paraId="02AFD60B" w14:textId="11B032E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Lobbying and other political activities may not be publicly disclosed.</w:t>
            </w:r>
          </w:p>
        </w:tc>
      </w:tr>
      <w:tr w:rsidR="00531298" w:rsidRPr="00D67367" w14:paraId="56767DE6" w14:textId="77777777" w:rsidTr="002F449B">
        <w:trPr>
          <w:trHeight w:val="1755"/>
          <w:jc w:val="center"/>
        </w:trPr>
        <w:tc>
          <w:tcPr>
            <w:tcW w:w="1440" w:type="dxa"/>
            <w:tcBorders>
              <w:top w:val="nil"/>
              <w:left w:val="nil"/>
              <w:bottom w:val="nil"/>
              <w:right w:val="nil"/>
            </w:tcBorders>
          </w:tcPr>
          <w:p w14:paraId="6040FBAE" w14:textId="4798215D" w:rsidR="00531298" w:rsidRPr="00D67367" w:rsidRDefault="00531298" w:rsidP="005137A8">
            <w:pPr>
              <w:widowControl w:val="0"/>
              <w:spacing w:before="240"/>
              <w:rPr>
                <w:rFonts w:ascii="Calibri" w:eastAsia="Calibri" w:hAnsi="Calibri" w:cs="Calibri"/>
                <w:sz w:val="20"/>
                <w:szCs w:val="20"/>
              </w:rPr>
            </w:pPr>
            <w:r w:rsidRPr="00D67367">
              <w:rPr>
                <w:rFonts w:ascii="Calibri" w:eastAsia="Calibri" w:hAnsi="Calibri" w:cs="Calibri"/>
                <w:sz w:val="20"/>
                <w:szCs w:val="20"/>
              </w:rPr>
              <w:t>LSA</w:t>
            </w:r>
          </w:p>
        </w:tc>
        <w:tc>
          <w:tcPr>
            <w:tcW w:w="1440" w:type="dxa"/>
            <w:tcBorders>
              <w:top w:val="nil"/>
              <w:left w:val="nil"/>
              <w:bottom w:val="nil"/>
              <w:right w:val="nil"/>
            </w:tcBorders>
            <w:tcMar>
              <w:top w:w="100" w:type="dxa"/>
              <w:left w:w="100" w:type="dxa"/>
              <w:bottom w:w="100" w:type="dxa"/>
              <w:right w:w="100" w:type="dxa"/>
            </w:tcMar>
          </w:tcPr>
          <w:p w14:paraId="2D5F5639" w14:textId="564CED85" w:rsidR="00531298" w:rsidRPr="00D67367" w:rsidRDefault="00531298" w:rsidP="005137A8">
            <w:pPr>
              <w:widowControl w:val="0"/>
              <w:spacing w:before="240"/>
              <w:rPr>
                <w:rFonts w:ascii="Calibri" w:eastAsia="Calibri" w:hAnsi="Calibri" w:cs="Calibri"/>
                <w:sz w:val="20"/>
                <w:szCs w:val="20"/>
              </w:rPr>
            </w:pPr>
            <w:r w:rsidRPr="00D67367">
              <w:rPr>
                <w:rFonts w:ascii="Calibri" w:eastAsia="Calibri" w:hAnsi="Calibri" w:cs="Calibri"/>
                <w:sz w:val="20"/>
                <w:szCs w:val="20"/>
              </w:rPr>
              <w:t>Natural</w:t>
            </w:r>
          </w:p>
        </w:tc>
        <w:tc>
          <w:tcPr>
            <w:tcW w:w="1665" w:type="dxa"/>
            <w:tcBorders>
              <w:top w:val="nil"/>
              <w:left w:val="nil"/>
              <w:bottom w:val="nil"/>
              <w:right w:val="nil"/>
            </w:tcBorders>
            <w:tcMar>
              <w:top w:w="100" w:type="dxa"/>
              <w:left w:w="100" w:type="dxa"/>
              <w:bottom w:w="100" w:type="dxa"/>
              <w:right w:w="100" w:type="dxa"/>
            </w:tcMar>
          </w:tcPr>
          <w:p w14:paraId="3D7B816E"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Natural capital</w:t>
            </w:r>
          </w:p>
        </w:tc>
        <w:tc>
          <w:tcPr>
            <w:tcW w:w="3060" w:type="dxa"/>
            <w:tcBorders>
              <w:top w:val="nil"/>
              <w:left w:val="nil"/>
              <w:bottom w:val="nil"/>
              <w:right w:val="nil"/>
            </w:tcBorders>
            <w:tcMar>
              <w:top w:w="100" w:type="dxa"/>
              <w:left w:w="100" w:type="dxa"/>
              <w:bottom w:w="100" w:type="dxa"/>
              <w:right w:w="100" w:type="dxa"/>
            </w:tcMar>
          </w:tcPr>
          <w:p w14:paraId="46211FB1"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Raw materials, physical space, organic life</w:t>
            </w:r>
          </w:p>
        </w:tc>
        <w:tc>
          <w:tcPr>
            <w:tcW w:w="3330" w:type="dxa"/>
            <w:tcBorders>
              <w:top w:val="nil"/>
              <w:left w:val="nil"/>
              <w:bottom w:val="nil"/>
              <w:right w:val="nil"/>
            </w:tcBorders>
            <w:tcMar>
              <w:top w:w="100" w:type="dxa"/>
              <w:left w:w="100" w:type="dxa"/>
              <w:bottom w:w="100" w:type="dxa"/>
              <w:right w:w="100" w:type="dxa"/>
            </w:tcMar>
          </w:tcPr>
          <w:p w14:paraId="7FC9B51E" w14:textId="5FF95E5B" w:rsidR="00531298" w:rsidRPr="00D67367" w:rsidRDefault="00616776"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Actors have d</w:t>
            </w:r>
            <w:r w:rsidR="00531298" w:rsidRPr="00D67367">
              <w:rPr>
                <w:rFonts w:ascii="Calibri" w:eastAsia="Calibri" w:hAnsi="Calibri" w:cs="Calibri"/>
                <w:sz w:val="20"/>
                <w:szCs w:val="20"/>
              </w:rPr>
              <w:t>irect and</w:t>
            </w:r>
            <w:r w:rsidRPr="00D67367">
              <w:rPr>
                <w:rFonts w:ascii="Calibri" w:eastAsia="Calibri" w:hAnsi="Calibri" w:cs="Calibri"/>
                <w:sz w:val="20"/>
                <w:szCs w:val="20"/>
              </w:rPr>
              <w:t>/or</w:t>
            </w:r>
            <w:r w:rsidR="00531298" w:rsidRPr="00D67367">
              <w:rPr>
                <w:rFonts w:ascii="Calibri" w:eastAsia="Calibri" w:hAnsi="Calibri" w:cs="Calibri"/>
                <w:sz w:val="20"/>
                <w:szCs w:val="20"/>
              </w:rPr>
              <w:t xml:space="preserve"> indirect influence of resource flows of natural capital</w:t>
            </w:r>
            <w:r w:rsidRPr="00D67367">
              <w:rPr>
                <w:rFonts w:ascii="Calibri" w:eastAsia="Calibri" w:hAnsi="Calibri" w:cs="Calibri"/>
                <w:sz w:val="20"/>
                <w:szCs w:val="20"/>
              </w:rPr>
              <w:t xml:space="preserve">, their operations have impacts on the “real” economy. </w:t>
            </w:r>
          </w:p>
        </w:tc>
        <w:tc>
          <w:tcPr>
            <w:tcW w:w="3450" w:type="dxa"/>
            <w:tcBorders>
              <w:top w:val="nil"/>
              <w:left w:val="nil"/>
              <w:bottom w:val="nil"/>
              <w:right w:val="nil"/>
            </w:tcBorders>
            <w:tcMar>
              <w:top w:w="100" w:type="dxa"/>
              <w:left w:w="100" w:type="dxa"/>
              <w:bottom w:w="100" w:type="dxa"/>
              <w:right w:w="100" w:type="dxa"/>
            </w:tcMar>
          </w:tcPr>
          <w:p w14:paraId="78364EB5" w14:textId="68A96B48"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Difficult to define </w:t>
            </w:r>
            <w:r w:rsidR="00616776" w:rsidRPr="00D67367">
              <w:rPr>
                <w:rFonts w:ascii="Calibri" w:eastAsia="Calibri" w:hAnsi="Calibri" w:cs="Calibri"/>
                <w:sz w:val="20"/>
                <w:szCs w:val="20"/>
              </w:rPr>
              <w:t xml:space="preserve">“real” impact on the economy. </w:t>
            </w:r>
          </w:p>
        </w:tc>
      </w:tr>
      <w:tr w:rsidR="00531298" w:rsidRPr="00D67367" w14:paraId="20827074" w14:textId="77777777" w:rsidTr="002F449B">
        <w:trPr>
          <w:trHeight w:val="1613"/>
          <w:jc w:val="center"/>
        </w:trPr>
        <w:tc>
          <w:tcPr>
            <w:tcW w:w="1440" w:type="dxa"/>
            <w:tcBorders>
              <w:top w:val="nil"/>
              <w:left w:val="nil"/>
              <w:bottom w:val="nil"/>
              <w:right w:val="nil"/>
            </w:tcBorders>
          </w:tcPr>
          <w:p w14:paraId="11364A94" w14:textId="01C33070" w:rsidR="00531298" w:rsidRPr="00D67367" w:rsidRDefault="009B53D9"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LSA and LSAC</w:t>
            </w:r>
          </w:p>
        </w:tc>
        <w:tc>
          <w:tcPr>
            <w:tcW w:w="1440" w:type="dxa"/>
            <w:tcBorders>
              <w:top w:val="nil"/>
              <w:left w:val="nil"/>
              <w:bottom w:val="nil"/>
              <w:right w:val="nil"/>
            </w:tcBorders>
            <w:tcMar>
              <w:top w:w="100" w:type="dxa"/>
              <w:left w:w="100" w:type="dxa"/>
              <w:bottom w:w="100" w:type="dxa"/>
              <w:right w:w="100" w:type="dxa"/>
            </w:tcMar>
          </w:tcPr>
          <w:p w14:paraId="1AC8BC0B" w14:textId="38041F6C" w:rsidR="00531298" w:rsidRPr="00D67367" w:rsidRDefault="00531298" w:rsidP="00A37F99">
            <w:pPr>
              <w:widowControl w:val="0"/>
              <w:spacing w:before="240"/>
              <w:rPr>
                <w:rFonts w:ascii="Calibri" w:eastAsia="Calibri" w:hAnsi="Calibri" w:cs="Calibri"/>
                <w:sz w:val="20"/>
                <w:szCs w:val="20"/>
                <w:highlight w:val="yellow"/>
              </w:rPr>
            </w:pPr>
            <w:r w:rsidRPr="00D67367">
              <w:rPr>
                <w:rFonts w:ascii="Calibri" w:eastAsia="Calibri" w:hAnsi="Calibri" w:cs="Calibri"/>
                <w:sz w:val="20"/>
                <w:szCs w:val="20"/>
              </w:rPr>
              <w:t>Scale (spatial)</w:t>
            </w:r>
          </w:p>
        </w:tc>
        <w:tc>
          <w:tcPr>
            <w:tcW w:w="1665" w:type="dxa"/>
            <w:tcBorders>
              <w:top w:val="nil"/>
              <w:left w:val="nil"/>
              <w:bottom w:val="nil"/>
              <w:right w:val="nil"/>
            </w:tcBorders>
            <w:tcMar>
              <w:top w:w="100" w:type="dxa"/>
              <w:left w:w="100" w:type="dxa"/>
              <w:bottom w:w="100" w:type="dxa"/>
              <w:right w:w="100" w:type="dxa"/>
            </w:tcMar>
          </w:tcPr>
          <w:p w14:paraId="21E2C385"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Global scale</w:t>
            </w:r>
          </w:p>
        </w:tc>
        <w:tc>
          <w:tcPr>
            <w:tcW w:w="3060" w:type="dxa"/>
            <w:tcBorders>
              <w:top w:val="nil"/>
              <w:left w:val="nil"/>
              <w:bottom w:val="nil"/>
              <w:right w:val="nil"/>
            </w:tcBorders>
            <w:tcMar>
              <w:top w:w="100" w:type="dxa"/>
              <w:left w:w="100" w:type="dxa"/>
              <w:bottom w:w="100" w:type="dxa"/>
              <w:right w:w="100" w:type="dxa"/>
            </w:tcMar>
          </w:tcPr>
          <w:p w14:paraId="0C4887D7" w14:textId="3056BD73" w:rsidR="00C06927" w:rsidRPr="00D67367" w:rsidRDefault="00C06927"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Activities and operations of LSAs are beyond one nation state. </w:t>
            </w:r>
          </w:p>
          <w:p w14:paraId="137390C6" w14:textId="46859221" w:rsidR="00531298" w:rsidRPr="00D67367" w:rsidRDefault="00C06927"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LSAC´s </w:t>
            </w:r>
            <w:r w:rsidR="00531298" w:rsidRPr="00D67367">
              <w:rPr>
                <w:rFonts w:ascii="Calibri" w:eastAsia="Calibri" w:hAnsi="Calibri" w:cs="Calibri"/>
                <w:sz w:val="20"/>
                <w:szCs w:val="20"/>
              </w:rPr>
              <w:t>activities, impact and mission is beyond a specific location</w:t>
            </w:r>
          </w:p>
        </w:tc>
        <w:tc>
          <w:tcPr>
            <w:tcW w:w="3330" w:type="dxa"/>
            <w:tcBorders>
              <w:top w:val="nil"/>
              <w:left w:val="nil"/>
              <w:bottom w:val="nil"/>
              <w:right w:val="nil"/>
            </w:tcBorders>
            <w:tcMar>
              <w:top w:w="100" w:type="dxa"/>
              <w:left w:w="100" w:type="dxa"/>
              <w:bottom w:w="100" w:type="dxa"/>
              <w:right w:w="100" w:type="dxa"/>
            </w:tcMar>
          </w:tcPr>
          <w:p w14:paraId="5385AC08"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Anthropocene challenges are global and actors who can influence social-ecological systems in different regions can enable or hinder large-scale transformations.</w:t>
            </w:r>
          </w:p>
        </w:tc>
        <w:tc>
          <w:tcPr>
            <w:tcW w:w="3450" w:type="dxa"/>
            <w:tcBorders>
              <w:top w:val="nil"/>
              <w:left w:val="nil"/>
              <w:bottom w:val="nil"/>
              <w:right w:val="nil"/>
            </w:tcBorders>
            <w:tcMar>
              <w:top w:w="100" w:type="dxa"/>
              <w:left w:w="100" w:type="dxa"/>
              <w:bottom w:w="100" w:type="dxa"/>
              <w:right w:w="100" w:type="dxa"/>
            </w:tcMar>
          </w:tcPr>
          <w:p w14:paraId="4A25A046" w14:textId="77777777" w:rsidR="00531298" w:rsidRPr="00D67367" w:rsidRDefault="00531298" w:rsidP="00A37F99">
            <w:pPr>
              <w:widowControl w:val="0"/>
              <w:spacing w:before="240"/>
              <w:rPr>
                <w:rFonts w:ascii="Calibri" w:eastAsia="Calibri" w:hAnsi="Calibri" w:cs="Calibri"/>
                <w:sz w:val="20"/>
                <w:szCs w:val="20"/>
              </w:rPr>
            </w:pPr>
          </w:p>
        </w:tc>
      </w:tr>
      <w:tr w:rsidR="00531298" w:rsidRPr="00D67367" w14:paraId="0BF16FEF" w14:textId="77777777" w:rsidTr="002F449B">
        <w:trPr>
          <w:trHeight w:val="1815"/>
          <w:jc w:val="center"/>
        </w:trPr>
        <w:tc>
          <w:tcPr>
            <w:tcW w:w="1440" w:type="dxa"/>
            <w:tcBorders>
              <w:top w:val="nil"/>
              <w:left w:val="nil"/>
              <w:bottom w:val="nil"/>
              <w:right w:val="nil"/>
            </w:tcBorders>
          </w:tcPr>
          <w:p w14:paraId="734D08FA" w14:textId="5EBE79FB" w:rsidR="00531298" w:rsidRPr="00D67367" w:rsidRDefault="00C359EF"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LSAC</w:t>
            </w:r>
          </w:p>
        </w:tc>
        <w:tc>
          <w:tcPr>
            <w:tcW w:w="1440" w:type="dxa"/>
            <w:tcBorders>
              <w:top w:val="nil"/>
              <w:left w:val="nil"/>
              <w:bottom w:val="nil"/>
              <w:right w:val="nil"/>
            </w:tcBorders>
            <w:tcMar>
              <w:top w:w="100" w:type="dxa"/>
              <w:left w:w="100" w:type="dxa"/>
              <w:bottom w:w="100" w:type="dxa"/>
              <w:right w:w="100" w:type="dxa"/>
            </w:tcMar>
          </w:tcPr>
          <w:p w14:paraId="4720CF82" w14:textId="6AD7C929"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Scale (temporal)</w:t>
            </w:r>
          </w:p>
        </w:tc>
        <w:tc>
          <w:tcPr>
            <w:tcW w:w="1665" w:type="dxa"/>
            <w:tcBorders>
              <w:top w:val="nil"/>
              <w:left w:val="nil"/>
              <w:bottom w:val="nil"/>
              <w:right w:val="nil"/>
            </w:tcBorders>
            <w:tcMar>
              <w:top w:w="100" w:type="dxa"/>
              <w:left w:w="100" w:type="dxa"/>
              <w:bottom w:w="100" w:type="dxa"/>
              <w:right w:w="100" w:type="dxa"/>
            </w:tcMar>
          </w:tcPr>
          <w:p w14:paraId="50C57F00"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Initiation year</w:t>
            </w:r>
          </w:p>
        </w:tc>
        <w:tc>
          <w:tcPr>
            <w:tcW w:w="3060" w:type="dxa"/>
            <w:tcBorders>
              <w:top w:val="nil"/>
              <w:left w:val="nil"/>
              <w:bottom w:val="nil"/>
              <w:right w:val="nil"/>
            </w:tcBorders>
            <w:tcMar>
              <w:top w:w="100" w:type="dxa"/>
              <w:left w:w="100" w:type="dxa"/>
              <w:bottom w:w="100" w:type="dxa"/>
              <w:right w:w="100" w:type="dxa"/>
            </w:tcMar>
          </w:tcPr>
          <w:p w14:paraId="43A5F57F"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Since 2000</w:t>
            </w:r>
          </w:p>
        </w:tc>
        <w:tc>
          <w:tcPr>
            <w:tcW w:w="3330" w:type="dxa"/>
            <w:tcBorders>
              <w:top w:val="nil"/>
              <w:left w:val="nil"/>
              <w:bottom w:val="nil"/>
              <w:right w:val="nil"/>
            </w:tcBorders>
            <w:tcMar>
              <w:top w:w="100" w:type="dxa"/>
              <w:left w:w="100" w:type="dxa"/>
              <w:bottom w:w="100" w:type="dxa"/>
              <w:right w:w="100" w:type="dxa"/>
            </w:tcMar>
          </w:tcPr>
          <w:p w14:paraId="50C7E273"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Need to see a demonstration of commitment by actors to work together beyond a singular call/campaign action and mobilization</w:t>
            </w:r>
          </w:p>
        </w:tc>
        <w:tc>
          <w:tcPr>
            <w:tcW w:w="3450" w:type="dxa"/>
            <w:tcBorders>
              <w:top w:val="nil"/>
              <w:left w:val="nil"/>
              <w:bottom w:val="nil"/>
              <w:right w:val="nil"/>
            </w:tcBorders>
            <w:tcMar>
              <w:top w:w="100" w:type="dxa"/>
              <w:left w:w="100" w:type="dxa"/>
              <w:bottom w:w="100" w:type="dxa"/>
              <w:right w:w="100" w:type="dxa"/>
            </w:tcMar>
          </w:tcPr>
          <w:p w14:paraId="1F474366"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Coalitions may take a longer time to become active or take collective action.</w:t>
            </w:r>
          </w:p>
        </w:tc>
      </w:tr>
      <w:tr w:rsidR="00531298" w:rsidRPr="00D67367" w14:paraId="79B8016A" w14:textId="77777777" w:rsidTr="002F449B">
        <w:trPr>
          <w:trHeight w:val="1575"/>
          <w:jc w:val="center"/>
        </w:trPr>
        <w:tc>
          <w:tcPr>
            <w:tcW w:w="1440" w:type="dxa"/>
            <w:tcBorders>
              <w:top w:val="nil"/>
              <w:left w:val="nil"/>
              <w:bottom w:val="nil"/>
              <w:right w:val="nil"/>
            </w:tcBorders>
          </w:tcPr>
          <w:p w14:paraId="55961BC6" w14:textId="1B83A830" w:rsidR="00531298" w:rsidRPr="00D67367" w:rsidRDefault="00C359EF"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lastRenderedPageBreak/>
              <w:t>LSAC</w:t>
            </w:r>
          </w:p>
        </w:tc>
        <w:tc>
          <w:tcPr>
            <w:tcW w:w="1440" w:type="dxa"/>
            <w:tcBorders>
              <w:top w:val="nil"/>
              <w:left w:val="nil"/>
              <w:bottom w:val="nil"/>
              <w:right w:val="nil"/>
            </w:tcBorders>
            <w:tcMar>
              <w:top w:w="100" w:type="dxa"/>
              <w:left w:w="100" w:type="dxa"/>
              <w:bottom w:w="100" w:type="dxa"/>
              <w:right w:w="100" w:type="dxa"/>
            </w:tcMar>
          </w:tcPr>
          <w:p w14:paraId="485FC910" w14:textId="6D5E4BFD"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Issue-based</w:t>
            </w:r>
          </w:p>
        </w:tc>
        <w:tc>
          <w:tcPr>
            <w:tcW w:w="1665" w:type="dxa"/>
            <w:tcBorders>
              <w:top w:val="nil"/>
              <w:left w:val="nil"/>
              <w:bottom w:val="nil"/>
              <w:right w:val="nil"/>
            </w:tcBorders>
            <w:tcMar>
              <w:top w:w="100" w:type="dxa"/>
              <w:left w:w="100" w:type="dxa"/>
              <w:bottom w:w="100" w:type="dxa"/>
              <w:right w:w="100" w:type="dxa"/>
            </w:tcMar>
          </w:tcPr>
          <w:p w14:paraId="1DB14F38"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Ecological or Social-ecological</w:t>
            </w:r>
          </w:p>
        </w:tc>
        <w:tc>
          <w:tcPr>
            <w:tcW w:w="3060" w:type="dxa"/>
            <w:tcBorders>
              <w:top w:val="nil"/>
              <w:left w:val="nil"/>
              <w:bottom w:val="nil"/>
              <w:right w:val="nil"/>
            </w:tcBorders>
            <w:tcMar>
              <w:top w:w="100" w:type="dxa"/>
              <w:left w:w="100" w:type="dxa"/>
              <w:bottom w:w="100" w:type="dxa"/>
              <w:right w:w="100" w:type="dxa"/>
            </w:tcMar>
          </w:tcPr>
          <w:p w14:paraId="3638DA1B" w14:textId="77777777" w:rsidR="00531298" w:rsidRPr="00D67367" w:rsidRDefault="00531298" w:rsidP="00A37F99">
            <w:pPr>
              <w:spacing w:line="259" w:lineRule="auto"/>
              <w:rPr>
                <w:rFonts w:ascii="Calibri" w:eastAsia="Calibri" w:hAnsi="Calibri" w:cs="Calibri"/>
                <w:sz w:val="20"/>
                <w:szCs w:val="20"/>
              </w:rPr>
            </w:pPr>
          </w:p>
          <w:p w14:paraId="3E141194" w14:textId="77777777" w:rsidR="00531298" w:rsidRPr="00D67367" w:rsidRDefault="00531298" w:rsidP="00A37F99">
            <w:pPr>
              <w:spacing w:line="259" w:lineRule="auto"/>
              <w:rPr>
                <w:rFonts w:ascii="Calibri" w:eastAsia="Calibri" w:hAnsi="Calibri" w:cs="Calibri"/>
                <w:sz w:val="20"/>
                <w:szCs w:val="20"/>
              </w:rPr>
            </w:pPr>
            <w:r w:rsidRPr="00D67367">
              <w:rPr>
                <w:rFonts w:ascii="Calibri" w:eastAsia="Calibri" w:hAnsi="Calibri" w:cs="Calibri"/>
                <w:sz w:val="20"/>
                <w:szCs w:val="20"/>
              </w:rPr>
              <w:t xml:space="preserve">Engagement with both social and environmental SDGs. </w:t>
            </w:r>
          </w:p>
        </w:tc>
        <w:tc>
          <w:tcPr>
            <w:tcW w:w="3330" w:type="dxa"/>
            <w:tcBorders>
              <w:top w:val="nil"/>
              <w:left w:val="nil"/>
              <w:bottom w:val="nil"/>
              <w:right w:val="nil"/>
            </w:tcBorders>
            <w:tcMar>
              <w:top w:w="100" w:type="dxa"/>
              <w:left w:w="100" w:type="dxa"/>
              <w:bottom w:w="100" w:type="dxa"/>
              <w:right w:w="100" w:type="dxa"/>
            </w:tcMar>
          </w:tcPr>
          <w:p w14:paraId="22F33774" w14:textId="0D43E830" w:rsidR="00531298" w:rsidRPr="00D67367" w:rsidRDefault="00531298" w:rsidP="00257943">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They respond to a sustainability challenge and use words that indicate </w:t>
            </w:r>
          </w:p>
        </w:tc>
        <w:tc>
          <w:tcPr>
            <w:tcW w:w="3450" w:type="dxa"/>
            <w:tcBorders>
              <w:top w:val="nil"/>
              <w:left w:val="nil"/>
              <w:bottom w:val="nil"/>
              <w:right w:val="nil"/>
            </w:tcBorders>
            <w:tcMar>
              <w:top w:w="100" w:type="dxa"/>
              <w:left w:w="100" w:type="dxa"/>
              <w:bottom w:w="100" w:type="dxa"/>
              <w:right w:w="100" w:type="dxa"/>
            </w:tcMar>
          </w:tcPr>
          <w:p w14:paraId="67A32B10" w14:textId="77777777" w:rsidR="00531298" w:rsidRPr="00D67367" w:rsidRDefault="00531298" w:rsidP="00A37F99">
            <w:pPr>
              <w:widowControl w:val="0"/>
              <w:spacing w:before="240"/>
              <w:rPr>
                <w:rFonts w:ascii="Calibri" w:eastAsia="Calibri" w:hAnsi="Calibri" w:cs="Calibri"/>
                <w:sz w:val="20"/>
                <w:szCs w:val="20"/>
              </w:rPr>
            </w:pPr>
            <w:r w:rsidRPr="00D67367">
              <w:rPr>
                <w:rFonts w:ascii="Calibri" w:eastAsia="Calibri" w:hAnsi="Calibri" w:cs="Calibri"/>
                <w:sz w:val="20"/>
                <w:szCs w:val="20"/>
              </w:rPr>
              <w:t>No clear limitation. Stipulation of SDG may be a narrow definition of the issue a coalition is working towards.</w:t>
            </w:r>
          </w:p>
        </w:tc>
      </w:tr>
      <w:tr w:rsidR="00C359EF" w:rsidRPr="00D67367" w14:paraId="3AC23737" w14:textId="77777777" w:rsidTr="002F449B">
        <w:trPr>
          <w:trHeight w:val="1575"/>
          <w:jc w:val="center"/>
        </w:trPr>
        <w:tc>
          <w:tcPr>
            <w:tcW w:w="1440" w:type="dxa"/>
            <w:tcBorders>
              <w:top w:val="nil"/>
              <w:left w:val="nil"/>
              <w:bottom w:val="single" w:sz="4" w:space="0" w:color="auto"/>
              <w:right w:val="nil"/>
            </w:tcBorders>
          </w:tcPr>
          <w:p w14:paraId="75C57CF9" w14:textId="600FBD22" w:rsidR="00C359EF" w:rsidRPr="00D67367" w:rsidRDefault="00C359EF" w:rsidP="00C359EF">
            <w:pPr>
              <w:widowControl w:val="0"/>
              <w:spacing w:before="240"/>
              <w:rPr>
                <w:rFonts w:ascii="Calibri" w:eastAsia="Calibri" w:hAnsi="Calibri" w:cs="Calibri"/>
                <w:sz w:val="20"/>
                <w:szCs w:val="20"/>
              </w:rPr>
            </w:pPr>
            <w:r w:rsidRPr="00D67367">
              <w:rPr>
                <w:rFonts w:ascii="Calibri" w:eastAsia="Calibri" w:hAnsi="Calibri" w:cs="Calibri"/>
                <w:sz w:val="20"/>
                <w:szCs w:val="20"/>
              </w:rPr>
              <w:t>LSAC</w:t>
            </w:r>
          </w:p>
        </w:tc>
        <w:tc>
          <w:tcPr>
            <w:tcW w:w="1440" w:type="dxa"/>
            <w:tcBorders>
              <w:top w:val="nil"/>
              <w:left w:val="nil"/>
              <w:bottom w:val="single" w:sz="4" w:space="0" w:color="auto"/>
              <w:right w:val="nil"/>
            </w:tcBorders>
            <w:tcMar>
              <w:top w:w="100" w:type="dxa"/>
              <w:left w:w="100" w:type="dxa"/>
              <w:bottom w:w="100" w:type="dxa"/>
              <w:right w:w="100" w:type="dxa"/>
            </w:tcMar>
          </w:tcPr>
          <w:p w14:paraId="7F4157FC" w14:textId="253478B8" w:rsidR="00C359EF" w:rsidRPr="00D67367" w:rsidRDefault="00C359EF" w:rsidP="00C359EF">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Impact at large </w:t>
            </w:r>
          </w:p>
        </w:tc>
        <w:tc>
          <w:tcPr>
            <w:tcW w:w="1665" w:type="dxa"/>
            <w:tcBorders>
              <w:top w:val="nil"/>
              <w:left w:val="nil"/>
              <w:bottom w:val="single" w:sz="4" w:space="0" w:color="auto"/>
              <w:right w:val="nil"/>
            </w:tcBorders>
            <w:tcMar>
              <w:top w:w="100" w:type="dxa"/>
              <w:left w:w="100" w:type="dxa"/>
              <w:bottom w:w="100" w:type="dxa"/>
              <w:right w:w="100" w:type="dxa"/>
            </w:tcMar>
          </w:tcPr>
          <w:p w14:paraId="08D96978" w14:textId="6907E3B6" w:rsidR="00C359EF" w:rsidRPr="00D67367" w:rsidRDefault="00C359EF" w:rsidP="00C359EF">
            <w:pPr>
              <w:widowControl w:val="0"/>
              <w:spacing w:before="240"/>
              <w:rPr>
                <w:rFonts w:ascii="Calibri" w:eastAsia="Calibri" w:hAnsi="Calibri" w:cs="Calibri"/>
                <w:sz w:val="20"/>
                <w:szCs w:val="20"/>
              </w:rPr>
            </w:pPr>
            <w:r w:rsidRPr="00D67367">
              <w:rPr>
                <w:rFonts w:ascii="Calibri" w:eastAsia="Calibri" w:hAnsi="Calibri" w:cs="Calibri"/>
                <w:sz w:val="20"/>
                <w:szCs w:val="20"/>
              </w:rPr>
              <w:t>Sectoral impact aspirations</w:t>
            </w:r>
          </w:p>
        </w:tc>
        <w:tc>
          <w:tcPr>
            <w:tcW w:w="3060" w:type="dxa"/>
            <w:tcBorders>
              <w:top w:val="nil"/>
              <w:left w:val="nil"/>
              <w:bottom w:val="single" w:sz="4" w:space="0" w:color="auto"/>
              <w:right w:val="nil"/>
            </w:tcBorders>
            <w:tcMar>
              <w:top w:w="100" w:type="dxa"/>
              <w:left w:w="100" w:type="dxa"/>
              <w:bottom w:w="100" w:type="dxa"/>
              <w:right w:w="100" w:type="dxa"/>
            </w:tcMar>
          </w:tcPr>
          <w:p w14:paraId="63F62F46" w14:textId="77777777" w:rsidR="002D5C84" w:rsidRPr="00D67367" w:rsidRDefault="002D5C84" w:rsidP="00C359EF">
            <w:pPr>
              <w:spacing w:line="259" w:lineRule="auto"/>
              <w:rPr>
                <w:rFonts w:ascii="Calibri" w:eastAsia="Calibri" w:hAnsi="Calibri" w:cs="Calibri"/>
                <w:sz w:val="20"/>
                <w:szCs w:val="20"/>
              </w:rPr>
            </w:pPr>
          </w:p>
          <w:p w14:paraId="17AFCAEE" w14:textId="70AACFE3" w:rsidR="00C359EF" w:rsidRPr="00D67367" w:rsidRDefault="00C359EF" w:rsidP="00C359EF">
            <w:pPr>
              <w:spacing w:line="259" w:lineRule="auto"/>
              <w:rPr>
                <w:rFonts w:ascii="Calibri" w:eastAsia="Calibri" w:hAnsi="Calibri" w:cs="Calibri"/>
                <w:sz w:val="20"/>
                <w:szCs w:val="20"/>
              </w:rPr>
            </w:pPr>
            <w:r w:rsidRPr="00D67367">
              <w:rPr>
                <w:rFonts w:ascii="Calibri" w:eastAsia="Calibri" w:hAnsi="Calibri" w:cs="Calibri"/>
                <w:sz w:val="20"/>
                <w:szCs w:val="20"/>
              </w:rPr>
              <w:t>The aspiration of the LSAC is to have impact that is beyond their sector.</w:t>
            </w:r>
          </w:p>
        </w:tc>
        <w:tc>
          <w:tcPr>
            <w:tcW w:w="3330" w:type="dxa"/>
            <w:tcBorders>
              <w:top w:val="nil"/>
              <w:left w:val="nil"/>
              <w:bottom w:val="single" w:sz="4" w:space="0" w:color="auto"/>
              <w:right w:val="nil"/>
            </w:tcBorders>
            <w:tcMar>
              <w:top w:w="100" w:type="dxa"/>
              <w:left w:w="100" w:type="dxa"/>
              <w:bottom w:w="100" w:type="dxa"/>
              <w:right w:w="100" w:type="dxa"/>
            </w:tcMar>
          </w:tcPr>
          <w:p w14:paraId="4E08D7FD" w14:textId="19206D63" w:rsidR="00C359EF" w:rsidRPr="00D67367" w:rsidRDefault="00C359EF" w:rsidP="00C359EF">
            <w:pPr>
              <w:widowControl w:val="0"/>
              <w:spacing w:before="240"/>
              <w:rPr>
                <w:rFonts w:ascii="Calibri" w:eastAsia="Calibri" w:hAnsi="Calibri" w:cs="Calibri"/>
                <w:sz w:val="20"/>
                <w:szCs w:val="20"/>
              </w:rPr>
            </w:pPr>
            <w:r w:rsidRPr="00D67367">
              <w:rPr>
                <w:rFonts w:ascii="Calibri" w:eastAsia="Calibri" w:hAnsi="Calibri" w:cs="Calibri"/>
                <w:sz w:val="20"/>
                <w:szCs w:val="20"/>
              </w:rPr>
              <w:t xml:space="preserve">Impact at large </w:t>
            </w:r>
          </w:p>
        </w:tc>
        <w:tc>
          <w:tcPr>
            <w:tcW w:w="3450" w:type="dxa"/>
            <w:tcBorders>
              <w:top w:val="nil"/>
              <w:left w:val="nil"/>
              <w:bottom w:val="single" w:sz="4" w:space="0" w:color="auto"/>
              <w:right w:val="nil"/>
            </w:tcBorders>
            <w:tcMar>
              <w:top w:w="100" w:type="dxa"/>
              <w:left w:w="100" w:type="dxa"/>
              <w:bottom w:w="100" w:type="dxa"/>
              <w:right w:w="100" w:type="dxa"/>
            </w:tcMar>
          </w:tcPr>
          <w:p w14:paraId="4452E259" w14:textId="77777777" w:rsidR="00C359EF" w:rsidRPr="00D67367" w:rsidRDefault="00C359EF" w:rsidP="00C359EF">
            <w:pPr>
              <w:widowControl w:val="0"/>
              <w:spacing w:before="240"/>
              <w:rPr>
                <w:rFonts w:ascii="Calibri" w:eastAsia="Calibri" w:hAnsi="Calibri" w:cs="Calibri"/>
                <w:sz w:val="20"/>
                <w:szCs w:val="20"/>
              </w:rPr>
            </w:pPr>
          </w:p>
        </w:tc>
      </w:tr>
    </w:tbl>
    <w:p w14:paraId="6F8D1A3B" w14:textId="77777777" w:rsidR="00C47DEB" w:rsidRPr="00D67367" w:rsidRDefault="00C47DEB" w:rsidP="00D7648B">
      <w:pPr>
        <w:pStyle w:val="ListParagraph"/>
        <w:numPr>
          <w:ilvl w:val="0"/>
          <w:numId w:val="3"/>
        </w:numPr>
        <w:rPr>
          <w:rFonts w:ascii="Calibri" w:eastAsia="Calibri" w:hAnsi="Calibri" w:cs="Calibri"/>
        </w:rPr>
        <w:sectPr w:rsidR="00C47DEB" w:rsidRPr="00D67367" w:rsidSect="0024740B">
          <w:pgSz w:w="16838" w:h="11906" w:orient="landscape"/>
          <w:pgMar w:top="1440" w:right="1440" w:bottom="1440" w:left="1440" w:header="708" w:footer="708" w:gutter="0"/>
          <w:cols w:space="708"/>
          <w:docGrid w:linePitch="360"/>
        </w:sectPr>
      </w:pPr>
    </w:p>
    <w:p w14:paraId="7AC0D1E1" w14:textId="44E1F6A4" w:rsidR="00C47DEB" w:rsidRPr="00D67367" w:rsidRDefault="00C47DEB" w:rsidP="00D7648B">
      <w:pPr>
        <w:rPr>
          <w:rFonts w:ascii="Calibri" w:eastAsia="Calibri" w:hAnsi="Calibri" w:cs="Calibri"/>
        </w:rPr>
      </w:pPr>
    </w:p>
    <w:p w14:paraId="5AA38F49" w14:textId="012F3802" w:rsidR="00231333" w:rsidRPr="00D82287" w:rsidRDefault="00D7648B" w:rsidP="00D7648B">
      <w:pPr>
        <w:spacing w:before="240"/>
        <w:outlineLvl w:val="1"/>
        <w:rPr>
          <w:rFonts w:eastAsia="Times New Roman" w:cstheme="minorHAnsi"/>
          <w:b/>
          <w:bCs/>
          <w:kern w:val="0"/>
          <w:sz w:val="36"/>
          <w:szCs w:val="36"/>
          <w:lang w:eastAsia="en-GB"/>
          <w14:ligatures w14:val="none"/>
        </w:rPr>
      </w:pPr>
      <w:bookmarkStart w:id="5" w:name="_Toc180411815"/>
      <w:r w:rsidRPr="00D82287">
        <w:rPr>
          <w:rFonts w:eastAsia="Times New Roman" w:cstheme="minorHAnsi"/>
          <w:b/>
          <w:bCs/>
          <w:color w:val="000000"/>
          <w:kern w:val="0"/>
          <w:sz w:val="36"/>
          <w:szCs w:val="36"/>
          <w:lang w:eastAsia="en-GB"/>
          <w14:ligatures w14:val="none"/>
        </w:rPr>
        <w:t xml:space="preserve">1.5. </w:t>
      </w:r>
      <w:r w:rsidR="00D7611E" w:rsidRPr="00D82287">
        <w:rPr>
          <w:rFonts w:eastAsia="Times New Roman" w:cstheme="minorHAnsi"/>
          <w:b/>
          <w:bCs/>
          <w:color w:val="000000"/>
          <w:kern w:val="0"/>
          <w:sz w:val="36"/>
          <w:szCs w:val="36"/>
          <w:lang w:eastAsia="en-GB"/>
          <w14:ligatures w14:val="none"/>
        </w:rPr>
        <w:tab/>
      </w:r>
      <w:r w:rsidR="00231333" w:rsidRPr="00D82287">
        <w:rPr>
          <w:rFonts w:eastAsia="Times New Roman" w:cstheme="minorHAnsi"/>
          <w:b/>
          <w:bCs/>
          <w:color w:val="000000"/>
          <w:kern w:val="0"/>
          <w:sz w:val="36"/>
          <w:szCs w:val="36"/>
          <w:lang w:eastAsia="en-GB"/>
          <w14:ligatures w14:val="none"/>
        </w:rPr>
        <w:t xml:space="preserve">Methodological and analytical </w:t>
      </w:r>
      <w:r w:rsidR="00FB0FBC" w:rsidRPr="00D82287">
        <w:rPr>
          <w:rFonts w:eastAsia="Times New Roman" w:cstheme="minorHAnsi"/>
          <w:b/>
          <w:bCs/>
          <w:color w:val="000000"/>
          <w:kern w:val="0"/>
          <w:sz w:val="36"/>
          <w:szCs w:val="36"/>
          <w:lang w:eastAsia="en-GB"/>
          <w14:ligatures w14:val="none"/>
        </w:rPr>
        <w:t>l</w:t>
      </w:r>
      <w:r w:rsidR="00231333" w:rsidRPr="00D82287">
        <w:rPr>
          <w:rFonts w:eastAsia="Times New Roman" w:cstheme="minorHAnsi"/>
          <w:b/>
          <w:bCs/>
          <w:color w:val="000000"/>
          <w:kern w:val="0"/>
          <w:sz w:val="36"/>
          <w:szCs w:val="36"/>
          <w:lang w:eastAsia="en-GB"/>
          <w14:ligatures w14:val="none"/>
        </w:rPr>
        <w:t>imitations</w:t>
      </w:r>
      <w:bookmarkEnd w:id="5"/>
    </w:p>
    <w:p w14:paraId="4FBCB7E3" w14:textId="010E4F1F" w:rsidR="00231333" w:rsidRPr="00D82287" w:rsidRDefault="00231333" w:rsidP="00231333">
      <w:pPr>
        <w:spacing w:before="240"/>
        <w:rPr>
          <w:rFonts w:eastAsia="Times New Roman" w:cstheme="minorHAnsi"/>
          <w:color w:val="000000"/>
          <w:kern w:val="0"/>
          <w:lang w:eastAsia="en-GB"/>
          <w14:ligatures w14:val="none"/>
        </w:rPr>
      </w:pPr>
      <w:r w:rsidRPr="00D82287">
        <w:rPr>
          <w:rFonts w:eastAsia="Times New Roman" w:cstheme="minorHAnsi"/>
          <w:color w:val="000000"/>
          <w:kern w:val="0"/>
          <w:lang w:eastAsia="en-GB"/>
          <w14:ligatures w14:val="none"/>
        </w:rPr>
        <w:t>Our research design is bound to some limitations. First, since we only use data from the coalition´s websites, the data availability (in terms of quantity and/or quality of information) differs among partnerships for several reasons e.g. due to a later initiation date, or they might not put much emphasis on communicating their work via their website. As a result, partnerships might score low because of less publishing on their website, not because they do</w:t>
      </w:r>
      <w:r w:rsidR="00FA420C" w:rsidRPr="00D82287">
        <w:rPr>
          <w:rFonts w:eastAsia="Times New Roman" w:cstheme="minorHAnsi"/>
          <w:color w:val="000000"/>
          <w:kern w:val="0"/>
          <w:lang w:eastAsia="en-GB"/>
          <w14:ligatures w14:val="none"/>
        </w:rPr>
        <w:t xml:space="preserve"> not</w:t>
      </w:r>
      <w:r w:rsidRPr="00D82287">
        <w:rPr>
          <w:rFonts w:eastAsia="Times New Roman" w:cstheme="minorHAnsi"/>
          <w:color w:val="000000"/>
          <w:kern w:val="0"/>
          <w:lang w:eastAsia="en-GB"/>
          <w14:ligatures w14:val="none"/>
        </w:rPr>
        <w:t xml:space="preserve"> consider some of the framework´s variables. Some other challenges relate to the design of the analytical framework. For example, there were some epistemological challenges of bringing together different theoretical frameworks, conceptualizations and bodies of work, and of organizing them in ordinal categories. Moreover, it is a challenge to balance the inclusion of all relevant features while designing an operational (condensed) framework which is also comprehensive. Another limitation relates to the level of analysis. Since coalitions consist of LSAs, and LSAs consist of several departments/individuals, when we examine the coalition level, we treat each coalition as homogenous, whereas in reality there is diversity within the chosen focal point.</w:t>
      </w:r>
      <w:r w:rsidR="001B7FA4" w:rsidRPr="00D82287">
        <w:rPr>
          <w:rFonts w:eastAsia="Times New Roman" w:cstheme="minorHAnsi"/>
          <w:color w:val="000000"/>
          <w:kern w:val="0"/>
          <w:lang w:eastAsia="en-GB"/>
          <w14:ligatures w14:val="none"/>
        </w:rPr>
        <w:t xml:space="preserve"> </w:t>
      </w:r>
    </w:p>
    <w:p w14:paraId="7A30B084" w14:textId="7C190F69" w:rsidR="00D5685C" w:rsidRPr="00D82287" w:rsidRDefault="00D5685C" w:rsidP="007E4D9D">
      <w:pPr>
        <w:pStyle w:val="Heading2"/>
        <w:rPr>
          <w:rFonts w:asciiTheme="minorHAnsi" w:hAnsiTheme="minorHAnsi" w:cstheme="minorHAnsi"/>
          <w:lang w:val="en-GB"/>
        </w:rPr>
      </w:pPr>
      <w:bookmarkStart w:id="6" w:name="_Toc180411816"/>
      <w:r w:rsidRPr="00D82287">
        <w:rPr>
          <w:rFonts w:asciiTheme="minorHAnsi" w:hAnsiTheme="minorHAnsi" w:cstheme="minorHAnsi"/>
          <w:lang w:val="en-GB"/>
        </w:rPr>
        <w:t xml:space="preserve">1.6. </w:t>
      </w:r>
      <w:r w:rsidR="007E4D9D" w:rsidRPr="00D82287">
        <w:rPr>
          <w:rFonts w:asciiTheme="minorHAnsi" w:hAnsiTheme="minorHAnsi" w:cstheme="minorHAnsi"/>
          <w:lang w:val="en-GB"/>
        </w:rPr>
        <w:tab/>
      </w:r>
      <w:r w:rsidRPr="00D82287">
        <w:rPr>
          <w:rFonts w:asciiTheme="minorHAnsi" w:hAnsiTheme="minorHAnsi" w:cstheme="minorHAnsi"/>
          <w:lang w:val="en-GB"/>
        </w:rPr>
        <w:t xml:space="preserve">Set-up, </w:t>
      </w:r>
      <w:r w:rsidR="00F470EA" w:rsidRPr="00D82287">
        <w:rPr>
          <w:rFonts w:asciiTheme="minorHAnsi" w:hAnsiTheme="minorHAnsi" w:cstheme="minorHAnsi"/>
          <w:lang w:val="en-GB"/>
        </w:rPr>
        <w:t xml:space="preserve">action </w:t>
      </w:r>
      <w:r w:rsidRPr="00D82287">
        <w:rPr>
          <w:rFonts w:asciiTheme="minorHAnsi" w:hAnsiTheme="minorHAnsi" w:cstheme="minorHAnsi"/>
          <w:lang w:val="en-GB"/>
        </w:rPr>
        <w:t>and capacities</w:t>
      </w:r>
      <w:bookmarkEnd w:id="6"/>
    </w:p>
    <w:p w14:paraId="7E0C4821" w14:textId="6007FDF2" w:rsidR="00420069" w:rsidRPr="00D67367" w:rsidRDefault="00420069" w:rsidP="00B148A4">
      <w:pPr>
        <w:pBdr>
          <w:top w:val="nil"/>
          <w:left w:val="nil"/>
          <w:bottom w:val="nil"/>
          <w:right w:val="nil"/>
          <w:between w:val="nil"/>
        </w:pBdr>
        <w:spacing w:before="280" w:after="280" w:line="360" w:lineRule="auto"/>
        <w:jc w:val="center"/>
      </w:pPr>
    </w:p>
    <w:p w14:paraId="6144E430" w14:textId="2DA36CA4" w:rsidR="00B148A4" w:rsidRPr="00D67367" w:rsidRDefault="00B148A4" w:rsidP="00D82287">
      <w:pPr>
        <w:pBdr>
          <w:top w:val="nil"/>
          <w:left w:val="nil"/>
          <w:bottom w:val="nil"/>
          <w:right w:val="nil"/>
          <w:between w:val="nil"/>
        </w:pBdr>
        <w:spacing w:before="280" w:after="280" w:line="360" w:lineRule="auto"/>
        <w:jc w:val="center"/>
      </w:pPr>
      <w:r w:rsidRPr="00572C36">
        <w:rPr>
          <w:noProof/>
        </w:rPr>
        <w:drawing>
          <wp:inline distT="0" distB="0" distL="0" distR="0" wp14:anchorId="718B9B41" wp14:editId="512796B9">
            <wp:extent cx="4388822" cy="2480807"/>
            <wp:effectExtent l="0" t="0" r="5715" b="0"/>
            <wp:docPr id="2092866623" name="Picture 3"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66623" name="Picture 3" descr="A diagram of a proces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1899" cy="2493852"/>
                    </a:xfrm>
                    <a:prstGeom prst="rect">
                      <a:avLst/>
                    </a:prstGeom>
                  </pic:spPr>
                </pic:pic>
              </a:graphicData>
            </a:graphic>
          </wp:inline>
        </w:drawing>
      </w:r>
    </w:p>
    <w:p w14:paraId="38382548" w14:textId="37A65E54" w:rsidR="00420069" w:rsidRPr="00D67367" w:rsidRDefault="00420069" w:rsidP="00420069">
      <w:pPr>
        <w:pBdr>
          <w:top w:val="nil"/>
          <w:left w:val="nil"/>
          <w:bottom w:val="nil"/>
          <w:right w:val="nil"/>
          <w:between w:val="nil"/>
        </w:pBdr>
        <w:spacing w:before="280" w:after="280" w:line="360" w:lineRule="auto"/>
        <w:rPr>
          <w:sz w:val="20"/>
          <w:szCs w:val="20"/>
        </w:rPr>
      </w:pPr>
      <w:r w:rsidRPr="00D67367">
        <w:rPr>
          <w:b/>
          <w:bCs/>
          <w:sz w:val="20"/>
          <w:szCs w:val="20"/>
        </w:rPr>
        <w:t xml:space="preserve">Figure </w:t>
      </w:r>
      <w:r w:rsidR="001B7FA4" w:rsidRPr="00D67367">
        <w:rPr>
          <w:b/>
          <w:bCs/>
          <w:sz w:val="20"/>
          <w:szCs w:val="20"/>
        </w:rPr>
        <w:t>S1</w:t>
      </w:r>
      <w:r w:rsidRPr="00D67367">
        <w:rPr>
          <w:b/>
          <w:bCs/>
          <w:sz w:val="20"/>
          <w:szCs w:val="20"/>
        </w:rPr>
        <w:t>.</w:t>
      </w:r>
      <w:r w:rsidRPr="00D67367">
        <w:rPr>
          <w:sz w:val="20"/>
          <w:szCs w:val="20"/>
        </w:rPr>
        <w:t xml:space="preserve"> </w:t>
      </w:r>
      <w:r w:rsidR="00AD7784" w:rsidRPr="00D67367">
        <w:rPr>
          <w:sz w:val="20"/>
          <w:szCs w:val="20"/>
        </w:rPr>
        <w:t>“</w:t>
      </w:r>
      <w:r w:rsidRPr="00D67367">
        <w:rPr>
          <w:sz w:val="20"/>
          <w:szCs w:val="20"/>
        </w:rPr>
        <w:t>Set-up</w:t>
      </w:r>
      <w:r w:rsidR="00AD7784" w:rsidRPr="00D67367">
        <w:rPr>
          <w:sz w:val="20"/>
          <w:szCs w:val="20"/>
        </w:rPr>
        <w:t>”</w:t>
      </w:r>
      <w:r w:rsidRPr="00D67367">
        <w:rPr>
          <w:sz w:val="20"/>
          <w:szCs w:val="20"/>
        </w:rPr>
        <w:t xml:space="preserve"> refers to </w:t>
      </w:r>
      <w:r w:rsidR="00AD7784" w:rsidRPr="00D67367">
        <w:rPr>
          <w:sz w:val="20"/>
          <w:szCs w:val="20"/>
        </w:rPr>
        <w:t xml:space="preserve">the </w:t>
      </w:r>
      <w:r w:rsidRPr="00D67367">
        <w:rPr>
          <w:sz w:val="20"/>
          <w:szCs w:val="20"/>
        </w:rPr>
        <w:t>R</w:t>
      </w:r>
      <w:r w:rsidR="00AD7784" w:rsidRPr="00D67367">
        <w:rPr>
          <w:sz w:val="20"/>
          <w:szCs w:val="20"/>
        </w:rPr>
        <w:t xml:space="preserve">apid </w:t>
      </w:r>
      <w:r w:rsidRPr="00D67367">
        <w:rPr>
          <w:sz w:val="20"/>
          <w:szCs w:val="20"/>
        </w:rPr>
        <w:t>A</w:t>
      </w:r>
      <w:r w:rsidR="00AD7784" w:rsidRPr="00D67367">
        <w:rPr>
          <w:sz w:val="20"/>
          <w:szCs w:val="20"/>
        </w:rPr>
        <w:t xml:space="preserve">ssessment </w:t>
      </w:r>
      <w:r w:rsidRPr="00D67367">
        <w:rPr>
          <w:sz w:val="20"/>
          <w:szCs w:val="20"/>
        </w:rPr>
        <w:t>F</w:t>
      </w:r>
      <w:r w:rsidR="00AD7784" w:rsidRPr="00D67367">
        <w:rPr>
          <w:sz w:val="20"/>
          <w:szCs w:val="20"/>
        </w:rPr>
        <w:t>ramework</w:t>
      </w:r>
      <w:r w:rsidRPr="00D67367">
        <w:rPr>
          <w:sz w:val="20"/>
          <w:szCs w:val="20"/>
        </w:rPr>
        <w:t xml:space="preserve"> (</w:t>
      </w:r>
      <w:r w:rsidR="00AD7784" w:rsidRPr="00D67367">
        <w:rPr>
          <w:sz w:val="20"/>
          <w:szCs w:val="20"/>
        </w:rPr>
        <w:t>“</w:t>
      </w:r>
      <w:r w:rsidRPr="00D67367">
        <w:rPr>
          <w:i/>
          <w:iCs/>
          <w:sz w:val="20"/>
          <w:szCs w:val="20"/>
        </w:rPr>
        <w:t>What are the key features of the LSAC</w:t>
      </w:r>
      <w:r w:rsidRPr="00D67367">
        <w:rPr>
          <w:sz w:val="20"/>
          <w:szCs w:val="20"/>
        </w:rPr>
        <w:t>?</w:t>
      </w:r>
      <w:r w:rsidR="00AD7784" w:rsidRPr="00D67367">
        <w:rPr>
          <w:sz w:val="20"/>
          <w:szCs w:val="20"/>
        </w:rPr>
        <w:t>”</w:t>
      </w:r>
      <w:r w:rsidRPr="00D67367">
        <w:rPr>
          <w:sz w:val="20"/>
          <w:szCs w:val="20"/>
        </w:rPr>
        <w:t xml:space="preserve">), </w:t>
      </w:r>
      <w:r w:rsidR="00AD7784" w:rsidRPr="00D67367">
        <w:rPr>
          <w:sz w:val="20"/>
          <w:szCs w:val="20"/>
        </w:rPr>
        <w:t>“</w:t>
      </w:r>
      <w:r w:rsidR="00F470EA" w:rsidRPr="00D67367">
        <w:rPr>
          <w:sz w:val="20"/>
          <w:szCs w:val="20"/>
        </w:rPr>
        <w:t>Action</w:t>
      </w:r>
      <w:r w:rsidR="00AD7784" w:rsidRPr="00D67367">
        <w:rPr>
          <w:sz w:val="20"/>
          <w:szCs w:val="20"/>
        </w:rPr>
        <w:t>”</w:t>
      </w:r>
      <w:r w:rsidRPr="00D67367">
        <w:rPr>
          <w:sz w:val="20"/>
          <w:szCs w:val="20"/>
        </w:rPr>
        <w:t xml:space="preserve"> </w:t>
      </w:r>
      <w:r w:rsidR="00AD7784" w:rsidRPr="00D67367">
        <w:rPr>
          <w:sz w:val="20"/>
          <w:szCs w:val="20"/>
        </w:rPr>
        <w:t xml:space="preserve">refers to </w:t>
      </w:r>
      <w:r w:rsidR="003F4EAE" w:rsidRPr="00D67367">
        <w:rPr>
          <w:sz w:val="20"/>
          <w:szCs w:val="20"/>
        </w:rPr>
        <w:t xml:space="preserve">the tactics </w:t>
      </w:r>
      <w:r w:rsidR="00AD7784" w:rsidRPr="00D67367">
        <w:rPr>
          <w:sz w:val="20"/>
          <w:szCs w:val="20"/>
        </w:rPr>
        <w:t>LSAC</w:t>
      </w:r>
      <w:r w:rsidR="00C17DB3" w:rsidRPr="00D67367">
        <w:rPr>
          <w:sz w:val="20"/>
          <w:szCs w:val="20"/>
        </w:rPr>
        <w:t>s</w:t>
      </w:r>
      <w:r w:rsidR="00AD7784" w:rsidRPr="00D67367">
        <w:rPr>
          <w:sz w:val="20"/>
          <w:szCs w:val="20"/>
        </w:rPr>
        <w:t xml:space="preserve"> </w:t>
      </w:r>
      <w:r w:rsidR="003F4EAE" w:rsidRPr="00D67367">
        <w:rPr>
          <w:sz w:val="20"/>
          <w:szCs w:val="20"/>
        </w:rPr>
        <w:t xml:space="preserve">undertake to reach their stated </w:t>
      </w:r>
      <w:r w:rsidR="003F4EAE" w:rsidRPr="008C585D">
        <w:rPr>
          <w:sz w:val="20"/>
          <w:szCs w:val="20"/>
        </w:rPr>
        <w:t>objectives</w:t>
      </w:r>
      <w:r w:rsidRPr="008C585D">
        <w:rPr>
          <w:sz w:val="20"/>
          <w:szCs w:val="20"/>
        </w:rPr>
        <w:t xml:space="preserve"> (</w:t>
      </w:r>
      <w:r w:rsidR="00AD7784" w:rsidRPr="008C585D">
        <w:rPr>
          <w:sz w:val="20"/>
          <w:szCs w:val="20"/>
        </w:rPr>
        <w:t>“</w:t>
      </w:r>
      <w:r w:rsidRPr="008C585D">
        <w:rPr>
          <w:i/>
          <w:iCs/>
          <w:sz w:val="20"/>
          <w:szCs w:val="20"/>
        </w:rPr>
        <w:t>How is change realized/enacted in the system</w:t>
      </w:r>
      <w:r w:rsidRPr="008C585D">
        <w:rPr>
          <w:sz w:val="20"/>
          <w:szCs w:val="20"/>
        </w:rPr>
        <w:t>?</w:t>
      </w:r>
      <w:r w:rsidR="00AD7784" w:rsidRPr="008C585D">
        <w:rPr>
          <w:sz w:val="20"/>
          <w:szCs w:val="20"/>
        </w:rPr>
        <w:t>”</w:t>
      </w:r>
      <w:r w:rsidRPr="008C585D">
        <w:rPr>
          <w:sz w:val="20"/>
          <w:szCs w:val="20"/>
        </w:rPr>
        <w:t xml:space="preserve">), </w:t>
      </w:r>
      <w:r w:rsidR="00AD7784" w:rsidRPr="00D82287">
        <w:rPr>
          <w:sz w:val="20"/>
          <w:szCs w:val="20"/>
        </w:rPr>
        <w:t>“</w:t>
      </w:r>
      <w:r w:rsidRPr="00D82287">
        <w:rPr>
          <w:sz w:val="20"/>
          <w:szCs w:val="20"/>
        </w:rPr>
        <w:t>Capacities</w:t>
      </w:r>
      <w:r w:rsidR="00AD7784" w:rsidRPr="00D82287">
        <w:rPr>
          <w:sz w:val="20"/>
          <w:szCs w:val="20"/>
        </w:rPr>
        <w:t xml:space="preserve">” refer </w:t>
      </w:r>
      <w:r w:rsidR="003F4EAE" w:rsidRPr="00D82287">
        <w:rPr>
          <w:sz w:val="20"/>
          <w:szCs w:val="20"/>
        </w:rPr>
        <w:t xml:space="preserve">to </w:t>
      </w:r>
      <w:r w:rsidR="001C5188" w:rsidRPr="008C585D">
        <w:rPr>
          <w:sz w:val="20"/>
          <w:szCs w:val="20"/>
        </w:rPr>
        <w:t>the knowledge, skills, attitudes and resources necessary to realize transformative change (IPBES 2024)</w:t>
      </w:r>
      <w:r w:rsidR="003F4EAE" w:rsidRPr="00D82287">
        <w:rPr>
          <w:sz w:val="20"/>
          <w:szCs w:val="20"/>
        </w:rPr>
        <w:t xml:space="preserve"> (“</w:t>
      </w:r>
      <w:r w:rsidR="003F4EAE" w:rsidRPr="00D82287">
        <w:rPr>
          <w:i/>
          <w:iCs/>
          <w:sz w:val="20"/>
          <w:szCs w:val="20"/>
        </w:rPr>
        <w:t>What enables impact strategies</w:t>
      </w:r>
      <w:r w:rsidR="003F4EAE" w:rsidRPr="00D82287">
        <w:rPr>
          <w:sz w:val="20"/>
          <w:szCs w:val="20"/>
        </w:rPr>
        <w:t>?”).</w:t>
      </w:r>
      <w:r w:rsidR="00C17DB3" w:rsidRPr="00D67367">
        <w:rPr>
          <w:sz w:val="20"/>
          <w:szCs w:val="20"/>
        </w:rPr>
        <w:t xml:space="preserve"> </w:t>
      </w:r>
    </w:p>
    <w:p w14:paraId="29130874" w14:textId="79AE03A6" w:rsidR="00B322FF" w:rsidRPr="00D67367" w:rsidRDefault="00AD7784">
      <w:pPr>
        <w:pBdr>
          <w:top w:val="nil"/>
          <w:left w:val="nil"/>
          <w:bottom w:val="nil"/>
          <w:right w:val="nil"/>
          <w:between w:val="nil"/>
        </w:pBdr>
        <w:spacing w:before="280" w:after="280" w:line="360" w:lineRule="auto"/>
      </w:pPr>
      <w:r w:rsidRPr="00D67367">
        <w:t>Figure S1 illustrates</w:t>
      </w:r>
      <w:r w:rsidR="00420069" w:rsidRPr="00D67367">
        <w:t xml:space="preserve"> how we conceptualize the link</w:t>
      </w:r>
      <w:r w:rsidR="005103A6">
        <w:t>s</w:t>
      </w:r>
      <w:r w:rsidR="00420069" w:rsidRPr="00D67367">
        <w:t xml:space="preserve"> between the </w:t>
      </w:r>
      <w:r w:rsidR="000D257E" w:rsidRPr="00D67367">
        <w:t xml:space="preserve">set-up actions </w:t>
      </w:r>
      <w:r w:rsidR="00420069" w:rsidRPr="00D67367">
        <w:t xml:space="preserve">and capacities. </w:t>
      </w:r>
      <w:r w:rsidR="00E60982" w:rsidRPr="00D67367">
        <w:t xml:space="preserve">The set-up of a coalition is statically captured by the operationalization of the </w:t>
      </w:r>
      <w:r w:rsidR="000D257E" w:rsidRPr="00D67367">
        <w:lastRenderedPageBreak/>
        <w:t>R</w:t>
      </w:r>
      <w:r w:rsidR="00E60982" w:rsidRPr="00D67367">
        <w:t xml:space="preserve">apid </w:t>
      </w:r>
      <w:r w:rsidR="000D257E" w:rsidRPr="00D67367">
        <w:t>A</w:t>
      </w:r>
      <w:r w:rsidR="00E60982" w:rsidRPr="00D67367">
        <w:t xml:space="preserve">ssessment </w:t>
      </w:r>
      <w:r w:rsidR="000D257E" w:rsidRPr="00D67367">
        <w:t>F</w:t>
      </w:r>
      <w:r w:rsidR="00E60982" w:rsidRPr="00D67367">
        <w:t xml:space="preserve">ramework. A certain set-up enables certain </w:t>
      </w:r>
      <w:r w:rsidR="00BC3B80" w:rsidRPr="00D67367">
        <w:t>actions</w:t>
      </w:r>
      <w:r w:rsidR="00E60982" w:rsidRPr="00D67367">
        <w:t xml:space="preserve">. A set-up does not </w:t>
      </w:r>
      <w:r w:rsidR="008104E5" w:rsidRPr="00D67367">
        <w:t xml:space="preserve">directly imply that </w:t>
      </w:r>
      <w:r w:rsidR="00BC3B80" w:rsidRPr="00D67367">
        <w:t>specific actions</w:t>
      </w:r>
      <w:r w:rsidR="00E60982" w:rsidRPr="00D67367">
        <w:t xml:space="preserve"> </w:t>
      </w:r>
      <w:r w:rsidR="008104E5" w:rsidRPr="00D67367">
        <w:t>will take place.</w:t>
      </w:r>
      <w:r w:rsidR="00567458" w:rsidRPr="00D67367">
        <w:t xml:space="preserve"> Capacities emerge from the interplay between set-up and actions, and are context- and phase specific.  </w:t>
      </w:r>
      <w:r w:rsidR="00E60982" w:rsidRPr="00D67367">
        <w:t>.</w:t>
      </w:r>
      <w:r w:rsidR="00567458" w:rsidRPr="00D67367">
        <w:t xml:space="preserve"> </w:t>
      </w:r>
    </w:p>
    <w:p w14:paraId="173468AB" w14:textId="453444B3" w:rsidR="00420069" w:rsidRPr="00D67367" w:rsidRDefault="00420069" w:rsidP="002F449B">
      <w:pPr>
        <w:pBdr>
          <w:top w:val="nil"/>
          <w:left w:val="nil"/>
          <w:bottom w:val="nil"/>
          <w:right w:val="nil"/>
          <w:between w:val="nil"/>
        </w:pBdr>
        <w:spacing w:before="280" w:after="280" w:line="360" w:lineRule="auto"/>
        <w:sectPr w:rsidR="00420069" w:rsidRPr="00D67367" w:rsidSect="0024740B">
          <w:pgSz w:w="11906" w:h="16838"/>
          <w:pgMar w:top="1440" w:right="1440" w:bottom="1440" w:left="1440" w:header="708" w:footer="708" w:gutter="0"/>
          <w:cols w:space="708"/>
          <w:docGrid w:linePitch="360"/>
        </w:sectPr>
      </w:pPr>
      <w:r w:rsidRPr="00D67367">
        <w:rPr>
          <w:rFonts w:cstheme="minorHAnsi"/>
        </w:rPr>
        <w:t>For example, networking with public actors (</w:t>
      </w:r>
      <w:r w:rsidR="00E60982" w:rsidRPr="00D67367">
        <w:rPr>
          <w:rFonts w:cstheme="minorHAnsi"/>
        </w:rPr>
        <w:t xml:space="preserve">a </w:t>
      </w:r>
      <w:r w:rsidR="00291D05" w:rsidRPr="00D67367">
        <w:rPr>
          <w:rFonts w:cstheme="minorHAnsi"/>
        </w:rPr>
        <w:t>feature</w:t>
      </w:r>
      <w:r w:rsidR="00E60982" w:rsidRPr="00D67367">
        <w:rPr>
          <w:rFonts w:cstheme="minorHAnsi"/>
        </w:rPr>
        <w:t xml:space="preserve"> of the </w:t>
      </w:r>
      <w:r w:rsidRPr="00D67367">
        <w:rPr>
          <w:rFonts w:cstheme="minorHAnsi"/>
        </w:rPr>
        <w:t>set-up</w:t>
      </w:r>
      <w:r w:rsidR="00E60982" w:rsidRPr="00D67367">
        <w:rPr>
          <w:rFonts w:cstheme="minorHAnsi"/>
        </w:rPr>
        <w:t xml:space="preserve"> of a LSAC</w:t>
      </w:r>
      <w:r w:rsidRPr="00D67367">
        <w:rPr>
          <w:rFonts w:cstheme="minorHAnsi"/>
        </w:rPr>
        <w:t>), enables engag</w:t>
      </w:r>
      <w:r w:rsidR="00BC2745" w:rsidRPr="00D67367">
        <w:rPr>
          <w:rFonts w:cstheme="minorHAnsi"/>
        </w:rPr>
        <w:t>ement</w:t>
      </w:r>
      <w:r w:rsidRPr="00D67367">
        <w:rPr>
          <w:rFonts w:cstheme="minorHAnsi"/>
        </w:rPr>
        <w:t xml:space="preserve"> in high level processes (</w:t>
      </w:r>
      <w:r w:rsidR="00097DCF" w:rsidRPr="00D67367">
        <w:rPr>
          <w:rFonts w:cstheme="minorHAnsi"/>
        </w:rPr>
        <w:t>action</w:t>
      </w:r>
      <w:r w:rsidRPr="00D67367">
        <w:rPr>
          <w:rFonts w:cstheme="minorHAnsi"/>
        </w:rPr>
        <w:t xml:space="preserve">), which </w:t>
      </w:r>
      <w:r w:rsidR="00097DCF" w:rsidRPr="00D67367">
        <w:rPr>
          <w:rFonts w:cstheme="minorHAnsi"/>
        </w:rPr>
        <w:t xml:space="preserve">indicates that </w:t>
      </w:r>
      <w:r w:rsidRPr="00D67367">
        <w:rPr>
          <w:rFonts w:cstheme="minorHAnsi"/>
        </w:rPr>
        <w:t xml:space="preserve">a gathering momentum/orchestrating capacity </w:t>
      </w:r>
      <w:r w:rsidR="00BA3F0A">
        <w:rPr>
          <w:rFonts w:cstheme="minorHAnsi"/>
        </w:rPr>
        <w:t>can potentially be enacted</w:t>
      </w:r>
      <w:r w:rsidR="00C674BF" w:rsidRPr="00D67367">
        <w:rPr>
          <w:rFonts w:cstheme="minorHAnsi"/>
        </w:rPr>
        <w:t>. I</w:t>
      </w:r>
      <w:r w:rsidR="000632AE" w:rsidRPr="00D67367">
        <w:rPr>
          <w:rFonts w:cstheme="minorHAnsi"/>
        </w:rPr>
        <w:t xml:space="preserve">f this </w:t>
      </w:r>
      <w:r w:rsidR="00097DCF" w:rsidRPr="00D67367">
        <w:rPr>
          <w:rFonts w:cstheme="minorHAnsi"/>
        </w:rPr>
        <w:t xml:space="preserve">action </w:t>
      </w:r>
      <w:r w:rsidR="000632AE" w:rsidRPr="00D67367">
        <w:rPr>
          <w:rFonts w:cstheme="minorHAnsi"/>
        </w:rPr>
        <w:t>is undertaken</w:t>
      </w:r>
      <w:r w:rsidR="00C674BF" w:rsidRPr="00D67367">
        <w:rPr>
          <w:rFonts w:cstheme="minorHAnsi"/>
        </w:rPr>
        <w:t xml:space="preserve"> (engagement in high level processes)</w:t>
      </w:r>
      <w:r w:rsidR="000632AE" w:rsidRPr="00D67367">
        <w:rPr>
          <w:rFonts w:cstheme="minorHAnsi"/>
        </w:rPr>
        <w:t xml:space="preserve">, then it </w:t>
      </w:r>
      <w:r w:rsidR="00097DCF" w:rsidRPr="00D67367">
        <w:rPr>
          <w:rFonts w:cstheme="minorHAnsi"/>
        </w:rPr>
        <w:t xml:space="preserve">can </w:t>
      </w:r>
      <w:r w:rsidR="000632AE" w:rsidRPr="00D67367">
        <w:rPr>
          <w:rFonts w:cstheme="minorHAnsi"/>
        </w:rPr>
        <w:t>reinforce the capacity of gathering momentum/orchestrating</w:t>
      </w:r>
      <w:r w:rsidRPr="00D67367">
        <w:rPr>
          <w:rFonts w:cstheme="minorHAnsi"/>
        </w:rPr>
        <w:t xml:space="preserve">. This capacity </w:t>
      </w:r>
      <w:r w:rsidR="00097DCF" w:rsidRPr="00D67367">
        <w:rPr>
          <w:rFonts w:cstheme="minorHAnsi"/>
        </w:rPr>
        <w:t>can thus be</w:t>
      </w:r>
      <w:r w:rsidR="00DA5A1D" w:rsidRPr="00D67367">
        <w:rPr>
          <w:rFonts w:cstheme="minorHAnsi"/>
        </w:rPr>
        <w:t xml:space="preserve"> nurtured through th</w:t>
      </w:r>
      <w:r w:rsidR="00F61FCA">
        <w:rPr>
          <w:rFonts w:cstheme="minorHAnsi"/>
        </w:rPr>
        <w:t>e set-up and action</w:t>
      </w:r>
      <w:r w:rsidR="00DA5A1D" w:rsidRPr="00D67367">
        <w:rPr>
          <w:rFonts w:cstheme="minorHAnsi"/>
        </w:rPr>
        <w:t xml:space="preserve"> interaction</w:t>
      </w:r>
      <w:r w:rsidRPr="00D67367">
        <w:rPr>
          <w:rFonts w:cstheme="minorHAnsi"/>
        </w:rPr>
        <w:t>.</w:t>
      </w:r>
    </w:p>
    <w:p w14:paraId="7341E3BC" w14:textId="724131E0" w:rsidR="002920A4" w:rsidRPr="00D82287" w:rsidRDefault="002A28E1" w:rsidP="00512E55">
      <w:pPr>
        <w:pStyle w:val="Heading1"/>
        <w:numPr>
          <w:ilvl w:val="0"/>
          <w:numId w:val="3"/>
        </w:numPr>
        <w:rPr>
          <w:rFonts w:asciiTheme="minorHAnsi" w:hAnsiTheme="minorHAnsi" w:cstheme="minorHAnsi"/>
          <w:lang w:val="en-GB"/>
        </w:rPr>
      </w:pPr>
      <w:bookmarkStart w:id="7" w:name="_Toc180411817"/>
      <w:r w:rsidRPr="00D82287">
        <w:rPr>
          <w:rFonts w:asciiTheme="minorHAnsi" w:hAnsiTheme="minorHAnsi" w:cstheme="minorHAnsi"/>
          <w:lang w:val="en-GB"/>
        </w:rPr>
        <w:lastRenderedPageBreak/>
        <w:t>Appendix</w:t>
      </w:r>
      <w:bookmarkEnd w:id="7"/>
    </w:p>
    <w:p w14:paraId="438B8049" w14:textId="1C3609C0" w:rsidR="00FC49C9" w:rsidRPr="00D82287" w:rsidRDefault="00366315" w:rsidP="001B4FEF">
      <w:pPr>
        <w:pStyle w:val="Heading2"/>
        <w:rPr>
          <w:rFonts w:asciiTheme="minorHAnsi" w:hAnsiTheme="minorHAnsi" w:cstheme="minorHAnsi"/>
          <w:sz w:val="20"/>
          <w:szCs w:val="20"/>
          <w:lang w:val="en-GB"/>
        </w:rPr>
      </w:pPr>
      <w:bookmarkStart w:id="8" w:name="_Toc180411818"/>
      <w:r w:rsidRPr="00D82287">
        <w:rPr>
          <w:rFonts w:asciiTheme="minorHAnsi" w:hAnsiTheme="minorHAnsi" w:cstheme="minorHAnsi"/>
          <w:sz w:val="20"/>
          <w:szCs w:val="20"/>
          <w:lang w:val="en-GB"/>
        </w:rPr>
        <w:t xml:space="preserve">A.1. </w:t>
      </w:r>
      <w:r w:rsidR="00FC49C9" w:rsidRPr="00D82287">
        <w:rPr>
          <w:rFonts w:asciiTheme="minorHAnsi" w:hAnsiTheme="minorHAnsi" w:cstheme="minorHAnsi"/>
          <w:sz w:val="20"/>
          <w:szCs w:val="20"/>
          <w:lang w:val="en-GB"/>
        </w:rPr>
        <w:t>Table S</w:t>
      </w:r>
      <w:r w:rsidR="00E76E18" w:rsidRPr="00D82287">
        <w:rPr>
          <w:rFonts w:asciiTheme="minorHAnsi" w:hAnsiTheme="minorHAnsi" w:cstheme="minorHAnsi"/>
          <w:sz w:val="20"/>
          <w:szCs w:val="20"/>
          <w:lang w:val="en-GB"/>
        </w:rPr>
        <w:t>2</w:t>
      </w:r>
      <w:r w:rsidR="00FC49C9" w:rsidRPr="00D82287">
        <w:rPr>
          <w:rFonts w:asciiTheme="minorHAnsi" w:hAnsiTheme="minorHAnsi" w:cstheme="minorHAnsi"/>
          <w:sz w:val="20"/>
          <w:szCs w:val="20"/>
          <w:lang w:val="en-GB"/>
        </w:rPr>
        <w:t>. Extended analytical framework</w:t>
      </w:r>
      <w:r w:rsidR="001B4FEF" w:rsidRPr="00D82287">
        <w:rPr>
          <w:rFonts w:asciiTheme="minorHAnsi" w:hAnsiTheme="minorHAnsi" w:cstheme="minorHAnsi"/>
          <w:sz w:val="20"/>
          <w:szCs w:val="20"/>
          <w:lang w:val="en-GB"/>
        </w:rPr>
        <w:t xml:space="preserve">, </w:t>
      </w:r>
      <w:r w:rsidR="001B4FEF" w:rsidRPr="00D82287">
        <w:rPr>
          <w:rFonts w:asciiTheme="minorHAnsi" w:hAnsiTheme="minorHAnsi" w:cstheme="minorHAnsi"/>
          <w:b w:val="0"/>
          <w:bCs w:val="0"/>
          <w:sz w:val="20"/>
          <w:szCs w:val="20"/>
          <w:lang w:val="en-GB"/>
        </w:rPr>
        <w:t xml:space="preserve">developed in collaboration with Nadja Naijar and </w:t>
      </w:r>
      <w:r w:rsidR="001B4FEF" w:rsidRPr="00D67367">
        <w:rPr>
          <w:rFonts w:asciiTheme="minorHAnsi" w:hAnsiTheme="minorHAnsi" w:cstheme="minorHAnsi"/>
          <w:b w:val="0"/>
          <w:bCs w:val="0"/>
          <w:sz w:val="20"/>
          <w:szCs w:val="20"/>
          <w:lang w:val="en-GB"/>
        </w:rPr>
        <w:t>Stephen Mejia</w:t>
      </w:r>
      <w:bookmarkEnd w:id="8"/>
    </w:p>
    <w:tbl>
      <w:tblPr>
        <w:tblW w:w="14128" w:type="dxa"/>
        <w:tblLook w:val="04A0" w:firstRow="1" w:lastRow="0" w:firstColumn="1" w:lastColumn="0" w:noHBand="0" w:noVBand="1"/>
      </w:tblPr>
      <w:tblGrid>
        <w:gridCol w:w="646"/>
        <w:gridCol w:w="6220"/>
        <w:gridCol w:w="1620"/>
        <w:gridCol w:w="2320"/>
        <w:gridCol w:w="2514"/>
        <w:gridCol w:w="808"/>
      </w:tblGrid>
      <w:tr w:rsidR="0057040C" w:rsidRPr="00D67367" w14:paraId="1193AB7D" w14:textId="77777777" w:rsidTr="0057040C">
        <w:trPr>
          <w:gridAfter w:val="1"/>
          <w:wAfter w:w="808" w:type="dxa"/>
          <w:trHeight w:val="740"/>
        </w:trPr>
        <w:tc>
          <w:tcPr>
            <w:tcW w:w="646"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F50CC7C"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bookmarkStart w:id="9" w:name="RANGE!A1:F131"/>
            <w:r w:rsidRPr="00D82287">
              <w:rPr>
                <w:rFonts w:ascii="Calibri" w:eastAsia="Times New Roman" w:hAnsi="Calibri" w:cs="Calibri"/>
                <w:b/>
                <w:bCs/>
                <w:color w:val="000000"/>
                <w:kern w:val="0"/>
                <w:sz w:val="20"/>
                <w:szCs w:val="20"/>
                <w:lang w:eastAsia="en-GB"/>
                <w14:ligatures w14:val="none"/>
              </w:rPr>
              <w:t>Level</w:t>
            </w:r>
            <w:bookmarkEnd w:id="9"/>
          </w:p>
        </w:tc>
        <w:tc>
          <w:tcPr>
            <w:tcW w:w="6220" w:type="dxa"/>
            <w:tcBorders>
              <w:top w:val="single" w:sz="4" w:space="0" w:color="auto"/>
              <w:left w:val="single" w:sz="4" w:space="0" w:color="auto"/>
              <w:bottom w:val="nil"/>
              <w:right w:val="single" w:sz="4" w:space="0" w:color="auto"/>
            </w:tcBorders>
            <w:shd w:val="clear" w:color="000000" w:fill="FFD966"/>
            <w:noWrap/>
            <w:vAlign w:val="center"/>
            <w:hideMark/>
          </w:tcPr>
          <w:p w14:paraId="31E5AD88"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Question</w:t>
            </w:r>
          </w:p>
        </w:tc>
        <w:tc>
          <w:tcPr>
            <w:tcW w:w="1620" w:type="dxa"/>
            <w:tcBorders>
              <w:top w:val="single" w:sz="4" w:space="0" w:color="auto"/>
              <w:left w:val="nil"/>
              <w:bottom w:val="single" w:sz="4" w:space="0" w:color="auto"/>
              <w:right w:val="single" w:sz="4" w:space="0" w:color="auto"/>
            </w:tcBorders>
            <w:shd w:val="clear" w:color="000000" w:fill="FFD966"/>
            <w:noWrap/>
            <w:vAlign w:val="center"/>
            <w:hideMark/>
          </w:tcPr>
          <w:p w14:paraId="533F1B23"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Code</w:t>
            </w:r>
          </w:p>
        </w:tc>
        <w:tc>
          <w:tcPr>
            <w:tcW w:w="2320" w:type="dxa"/>
            <w:tcBorders>
              <w:top w:val="single" w:sz="4" w:space="0" w:color="auto"/>
              <w:left w:val="nil"/>
              <w:bottom w:val="single" w:sz="4" w:space="0" w:color="auto"/>
              <w:right w:val="single" w:sz="4" w:space="0" w:color="auto"/>
            </w:tcBorders>
            <w:shd w:val="clear" w:color="000000" w:fill="FFD966"/>
            <w:noWrap/>
            <w:vAlign w:val="center"/>
            <w:hideMark/>
          </w:tcPr>
          <w:p w14:paraId="3700FAA9"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Theme</w:t>
            </w:r>
          </w:p>
        </w:tc>
        <w:tc>
          <w:tcPr>
            <w:tcW w:w="2514" w:type="dxa"/>
            <w:tcBorders>
              <w:top w:val="single" w:sz="4" w:space="0" w:color="auto"/>
              <w:left w:val="nil"/>
              <w:bottom w:val="single" w:sz="4" w:space="0" w:color="auto"/>
              <w:right w:val="single" w:sz="4" w:space="0" w:color="auto"/>
            </w:tcBorders>
            <w:shd w:val="clear" w:color="000000" w:fill="FFD966"/>
            <w:noWrap/>
            <w:vAlign w:val="center"/>
            <w:hideMark/>
          </w:tcPr>
          <w:p w14:paraId="3B9D0348"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Variable categorization</w:t>
            </w:r>
          </w:p>
        </w:tc>
      </w:tr>
      <w:tr w:rsidR="0057040C" w:rsidRPr="00D67367" w14:paraId="084E2E89" w14:textId="77777777" w:rsidTr="0057040C">
        <w:trPr>
          <w:gridAfter w:val="1"/>
          <w:wAfter w:w="808" w:type="dxa"/>
          <w:trHeight w:val="300"/>
        </w:trPr>
        <w:tc>
          <w:tcPr>
            <w:tcW w:w="646" w:type="dxa"/>
            <w:vMerge w:val="restart"/>
            <w:tcBorders>
              <w:top w:val="nil"/>
              <w:left w:val="single" w:sz="4" w:space="0" w:color="auto"/>
              <w:bottom w:val="single" w:sz="4" w:space="0" w:color="000000"/>
              <w:right w:val="single" w:sz="4" w:space="0" w:color="auto"/>
            </w:tcBorders>
            <w:shd w:val="clear" w:color="000000" w:fill="FFD966"/>
            <w:noWrap/>
            <w:hideMark/>
          </w:tcPr>
          <w:p w14:paraId="69269514"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L1</w:t>
            </w:r>
          </w:p>
        </w:tc>
        <w:tc>
          <w:tcPr>
            <w:tcW w:w="6220" w:type="dxa"/>
            <w:tcBorders>
              <w:top w:val="single" w:sz="4" w:space="0" w:color="auto"/>
              <w:left w:val="single" w:sz="4" w:space="0" w:color="auto"/>
              <w:bottom w:val="nil"/>
              <w:right w:val="single" w:sz="4" w:space="0" w:color="auto"/>
            </w:tcBorders>
            <w:shd w:val="clear" w:color="000000" w:fill="D9E1F2"/>
            <w:hideMark/>
          </w:tcPr>
          <w:p w14:paraId="019F409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1.              </w:t>
            </w:r>
            <w:r w:rsidRPr="00D82287">
              <w:rPr>
                <w:rFonts w:ascii="Calibri" w:eastAsia="Times New Roman" w:hAnsi="Calibri" w:cs="Calibri"/>
                <w:b/>
                <w:bCs/>
                <w:color w:val="000000"/>
                <w:kern w:val="0"/>
                <w:sz w:val="20"/>
                <w:szCs w:val="20"/>
                <w:lang w:eastAsia="en-GB"/>
                <w14:ligatures w14:val="none"/>
              </w:rPr>
              <w:t>What are the actions of the coalition?</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9E1F2"/>
            <w:hideMark/>
          </w:tcPr>
          <w:p w14:paraId="557E6C8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Current projects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6E153D7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Actions </w:t>
            </w:r>
          </w:p>
        </w:tc>
        <w:tc>
          <w:tcPr>
            <w:tcW w:w="2514" w:type="dxa"/>
            <w:vMerge w:val="restart"/>
            <w:tcBorders>
              <w:top w:val="single" w:sz="4" w:space="0" w:color="auto"/>
              <w:left w:val="single" w:sz="4" w:space="0" w:color="auto"/>
              <w:bottom w:val="single" w:sz="4" w:space="0" w:color="auto"/>
              <w:right w:val="single" w:sz="4" w:space="0" w:color="auto"/>
            </w:tcBorders>
            <w:shd w:val="clear" w:color="000000" w:fill="D9E1F2"/>
            <w:noWrap/>
            <w:hideMark/>
          </w:tcPr>
          <w:p w14:paraId="3FE326A4" w14:textId="3FF3BD9F"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r>
      <w:tr w:rsidR="0057040C" w:rsidRPr="00D67367" w14:paraId="16A8E36A" w14:textId="77777777" w:rsidTr="0057040C">
        <w:trPr>
          <w:gridAfter w:val="1"/>
          <w:wAfter w:w="808" w:type="dxa"/>
          <w:trHeight w:val="320"/>
        </w:trPr>
        <w:tc>
          <w:tcPr>
            <w:tcW w:w="646" w:type="dxa"/>
            <w:vMerge/>
            <w:tcBorders>
              <w:top w:val="nil"/>
              <w:left w:val="single" w:sz="4" w:space="0" w:color="auto"/>
              <w:bottom w:val="single" w:sz="4" w:space="0" w:color="000000"/>
              <w:right w:val="single" w:sz="4" w:space="0" w:color="auto"/>
            </w:tcBorders>
            <w:vAlign w:val="center"/>
            <w:hideMark/>
          </w:tcPr>
          <w:p w14:paraId="3A5BDFC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640B19D0" w14:textId="47F12FF1" w:rsidR="0057040C" w:rsidRPr="00D82287" w:rsidRDefault="00A50C1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Usually f</w:t>
            </w:r>
            <w:r w:rsidR="0057040C" w:rsidRPr="00D82287">
              <w:rPr>
                <w:rFonts w:ascii="Calibri" w:eastAsia="Times New Roman" w:hAnsi="Calibri" w:cs="Calibri"/>
                <w:color w:val="000000"/>
                <w:kern w:val="0"/>
                <w:sz w:val="20"/>
                <w:szCs w:val="20"/>
                <w:lang w:eastAsia="en-GB"/>
                <w14:ligatures w14:val="none"/>
              </w:rPr>
              <w:t xml:space="preserve">ound under “What do we do” </w:t>
            </w:r>
            <w:r w:rsidRPr="00D82287">
              <w:rPr>
                <w:rFonts w:ascii="Calibri" w:eastAsia="Times New Roman" w:hAnsi="Calibri" w:cs="Calibri"/>
                <w:color w:val="000000"/>
                <w:kern w:val="0"/>
                <w:sz w:val="20"/>
                <w:szCs w:val="20"/>
                <w:lang w:eastAsia="en-GB"/>
                <w14:ligatures w14:val="none"/>
              </w:rPr>
              <w:t xml:space="preserve">- </w:t>
            </w:r>
            <w:r w:rsidR="0057040C" w:rsidRPr="00D82287">
              <w:rPr>
                <w:rFonts w:ascii="Calibri" w:eastAsia="Times New Roman" w:hAnsi="Calibri" w:cs="Calibri"/>
                <w:color w:val="000000"/>
                <w:kern w:val="0"/>
                <w:sz w:val="20"/>
                <w:szCs w:val="20"/>
                <w:lang w:eastAsia="en-GB"/>
                <w14:ligatures w14:val="none"/>
              </w:rPr>
              <w:t xml:space="preserve">might include specific projects </w:t>
            </w:r>
          </w:p>
        </w:tc>
        <w:tc>
          <w:tcPr>
            <w:tcW w:w="1620" w:type="dxa"/>
            <w:vMerge/>
            <w:tcBorders>
              <w:top w:val="nil"/>
              <w:left w:val="nil"/>
              <w:bottom w:val="single" w:sz="4" w:space="0" w:color="auto"/>
              <w:right w:val="single" w:sz="4" w:space="0" w:color="auto"/>
            </w:tcBorders>
            <w:vAlign w:val="center"/>
            <w:hideMark/>
          </w:tcPr>
          <w:p w14:paraId="18EA2A9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A70972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7C63AB2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2D32FD69" w14:textId="77777777" w:rsidTr="0057040C">
        <w:trPr>
          <w:gridAfter w:val="1"/>
          <w:wAfter w:w="808" w:type="dxa"/>
          <w:trHeight w:val="320"/>
        </w:trPr>
        <w:tc>
          <w:tcPr>
            <w:tcW w:w="646" w:type="dxa"/>
            <w:vMerge/>
            <w:tcBorders>
              <w:top w:val="nil"/>
              <w:left w:val="single" w:sz="4" w:space="0" w:color="auto"/>
              <w:bottom w:val="single" w:sz="4" w:space="0" w:color="000000"/>
              <w:right w:val="single" w:sz="4" w:space="0" w:color="auto"/>
            </w:tcBorders>
            <w:vAlign w:val="center"/>
            <w:hideMark/>
          </w:tcPr>
          <w:p w14:paraId="6829057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75286DA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Do they have a single or multiple focus as far as their actions are concerned?   </w:t>
            </w:r>
          </w:p>
        </w:tc>
        <w:tc>
          <w:tcPr>
            <w:tcW w:w="1620" w:type="dxa"/>
            <w:vMerge/>
            <w:tcBorders>
              <w:top w:val="nil"/>
              <w:left w:val="nil"/>
              <w:bottom w:val="single" w:sz="4" w:space="0" w:color="auto"/>
              <w:right w:val="single" w:sz="4" w:space="0" w:color="auto"/>
            </w:tcBorders>
            <w:vAlign w:val="center"/>
            <w:hideMark/>
          </w:tcPr>
          <w:p w14:paraId="2B04083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54BD2B8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783BE7A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10C49C04" w14:textId="77777777" w:rsidTr="0057040C">
        <w:trPr>
          <w:gridAfter w:val="1"/>
          <w:wAfter w:w="808" w:type="dxa"/>
          <w:trHeight w:val="300"/>
        </w:trPr>
        <w:tc>
          <w:tcPr>
            <w:tcW w:w="646" w:type="dxa"/>
            <w:vMerge/>
            <w:tcBorders>
              <w:top w:val="nil"/>
              <w:left w:val="single" w:sz="4" w:space="0" w:color="auto"/>
              <w:bottom w:val="single" w:sz="4" w:space="0" w:color="000000"/>
              <w:right w:val="single" w:sz="4" w:space="0" w:color="auto"/>
            </w:tcBorders>
            <w:vAlign w:val="center"/>
            <w:hideMark/>
          </w:tcPr>
          <w:p w14:paraId="183075D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E1DD61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2.                   </w:t>
            </w:r>
            <w:r w:rsidRPr="00D82287">
              <w:rPr>
                <w:rFonts w:ascii="Calibri" w:eastAsia="Times New Roman" w:hAnsi="Calibri" w:cs="Calibri"/>
                <w:b/>
                <w:bCs/>
                <w:color w:val="000000"/>
                <w:kern w:val="0"/>
                <w:sz w:val="20"/>
                <w:szCs w:val="20"/>
                <w:lang w:eastAsia="en-GB"/>
                <w14:ligatures w14:val="none"/>
              </w:rPr>
              <w:t>Who are the key actors involved in the coalition? </w:t>
            </w:r>
            <w:r w:rsidRPr="00D82287">
              <w:rPr>
                <w:rFonts w:ascii="Calibri" w:eastAsia="Times New Roman" w:hAnsi="Calibri" w:cs="Calibri"/>
                <w:color w:val="000000"/>
                <w:kern w:val="0"/>
                <w:sz w:val="20"/>
                <w:szCs w:val="20"/>
                <w:lang w:eastAsia="en-GB"/>
                <w14:ligatures w14:val="none"/>
              </w:rPr>
              <w:t xml:space="preserve"> (Seeds of Good Anthropocene, 2020) </w:t>
            </w:r>
          </w:p>
        </w:tc>
        <w:tc>
          <w:tcPr>
            <w:tcW w:w="1620" w:type="dxa"/>
            <w:vMerge w:val="restart"/>
            <w:tcBorders>
              <w:top w:val="nil"/>
              <w:left w:val="nil"/>
              <w:bottom w:val="single" w:sz="4" w:space="0" w:color="auto"/>
              <w:right w:val="single" w:sz="4" w:space="0" w:color="auto"/>
            </w:tcBorders>
            <w:shd w:val="clear" w:color="auto" w:fill="auto"/>
            <w:hideMark/>
          </w:tcPr>
          <w:p w14:paraId="19AA5DC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Type of actor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37DCBB6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Actor characteristics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2A0EB1B8" w14:textId="04BE5B53"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r>
      <w:tr w:rsidR="0057040C" w:rsidRPr="00D67367" w14:paraId="33C8D362" w14:textId="77777777" w:rsidTr="0057040C">
        <w:trPr>
          <w:gridAfter w:val="1"/>
          <w:wAfter w:w="808" w:type="dxa"/>
          <w:trHeight w:val="300"/>
        </w:trPr>
        <w:tc>
          <w:tcPr>
            <w:tcW w:w="646" w:type="dxa"/>
            <w:vMerge/>
            <w:tcBorders>
              <w:top w:val="nil"/>
              <w:left w:val="single" w:sz="4" w:space="0" w:color="auto"/>
              <w:bottom w:val="single" w:sz="4" w:space="0" w:color="000000"/>
              <w:right w:val="single" w:sz="4" w:space="0" w:color="auto"/>
            </w:tcBorders>
            <w:vAlign w:val="center"/>
            <w:hideMark/>
          </w:tcPr>
          <w:p w14:paraId="61A1F37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04683B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2C38297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19AE1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DB92B8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370C023C" w14:textId="77777777" w:rsidTr="0057040C">
        <w:trPr>
          <w:gridAfter w:val="1"/>
          <w:wAfter w:w="808" w:type="dxa"/>
          <w:trHeight w:val="960"/>
        </w:trPr>
        <w:tc>
          <w:tcPr>
            <w:tcW w:w="646" w:type="dxa"/>
            <w:vMerge/>
            <w:tcBorders>
              <w:top w:val="nil"/>
              <w:left w:val="single" w:sz="4" w:space="0" w:color="auto"/>
              <w:bottom w:val="single" w:sz="4" w:space="0" w:color="000000"/>
              <w:right w:val="single" w:sz="4" w:space="0" w:color="auto"/>
            </w:tcBorders>
            <w:vAlign w:val="center"/>
            <w:hideMark/>
          </w:tcPr>
          <w:p w14:paraId="3A62320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46E8E74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E.g. for-profit private businesses, non-for-profit businesses, religious groups, multi-national corporations, international organizations (e.g. UN), grassroots organizations, NGOs, national governments, municipal/local governments etc (Cranfield Taxonomy, 2014) </w:t>
            </w:r>
          </w:p>
        </w:tc>
        <w:tc>
          <w:tcPr>
            <w:tcW w:w="1620" w:type="dxa"/>
            <w:vMerge/>
            <w:tcBorders>
              <w:top w:val="nil"/>
              <w:left w:val="nil"/>
              <w:bottom w:val="single" w:sz="4" w:space="0" w:color="auto"/>
              <w:right w:val="single" w:sz="4" w:space="0" w:color="auto"/>
            </w:tcBorders>
            <w:vAlign w:val="center"/>
            <w:hideMark/>
          </w:tcPr>
          <w:p w14:paraId="6FFDA21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0409D5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9E0904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156DF9DF" w14:textId="77777777" w:rsidTr="0057040C">
        <w:trPr>
          <w:gridAfter w:val="1"/>
          <w:wAfter w:w="808" w:type="dxa"/>
          <w:trHeight w:val="300"/>
        </w:trPr>
        <w:tc>
          <w:tcPr>
            <w:tcW w:w="646" w:type="dxa"/>
            <w:vMerge/>
            <w:tcBorders>
              <w:top w:val="nil"/>
              <w:left w:val="single" w:sz="4" w:space="0" w:color="auto"/>
              <w:bottom w:val="single" w:sz="4" w:space="0" w:color="000000"/>
              <w:right w:val="single" w:sz="4" w:space="0" w:color="auto"/>
            </w:tcBorders>
            <w:vAlign w:val="center"/>
            <w:hideMark/>
          </w:tcPr>
          <w:p w14:paraId="62BE76C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301F280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364E433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3749BA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B84EC6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31474D82" w14:textId="77777777" w:rsidTr="0057040C">
        <w:trPr>
          <w:gridAfter w:val="1"/>
          <w:wAfter w:w="808" w:type="dxa"/>
          <w:trHeight w:val="300"/>
        </w:trPr>
        <w:tc>
          <w:tcPr>
            <w:tcW w:w="646" w:type="dxa"/>
            <w:vMerge/>
            <w:tcBorders>
              <w:top w:val="nil"/>
              <w:left w:val="single" w:sz="4" w:space="0" w:color="auto"/>
              <w:bottom w:val="single" w:sz="4" w:space="0" w:color="000000"/>
              <w:right w:val="single" w:sz="4" w:space="0" w:color="auto"/>
            </w:tcBorders>
            <w:vAlign w:val="center"/>
            <w:hideMark/>
          </w:tcPr>
          <w:p w14:paraId="37179A4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2D8547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3.                   </w:t>
            </w:r>
            <w:r w:rsidRPr="00D82287">
              <w:rPr>
                <w:rFonts w:ascii="Calibri" w:eastAsia="Times New Roman" w:hAnsi="Calibri" w:cs="Calibri"/>
                <w:b/>
                <w:bCs/>
                <w:color w:val="000000"/>
                <w:kern w:val="0"/>
                <w:sz w:val="20"/>
                <w:szCs w:val="20"/>
                <w:lang w:eastAsia="en-GB"/>
                <w14:ligatures w14:val="none"/>
              </w:rPr>
              <w:t>How many actors are involved in the suggested coalition?</w:t>
            </w:r>
            <w:r w:rsidRPr="00D82287">
              <w:rPr>
                <w:rFonts w:ascii="Calibri" w:eastAsia="Times New Roman" w:hAnsi="Calibri" w:cs="Calibri"/>
                <w:color w:val="000000"/>
                <w:kern w:val="0"/>
                <w:sz w:val="20"/>
                <w:szCs w:val="20"/>
                <w:lang w:eastAsia="en-GB"/>
                <w14:ligatures w14:val="none"/>
              </w:rPr>
              <w:t xml:space="preserve"> (Seeds of Good Anthropocene, 2020) </w:t>
            </w:r>
          </w:p>
        </w:tc>
        <w:tc>
          <w:tcPr>
            <w:tcW w:w="1620" w:type="dxa"/>
            <w:vMerge w:val="restart"/>
            <w:tcBorders>
              <w:top w:val="nil"/>
              <w:left w:val="nil"/>
              <w:bottom w:val="single" w:sz="4" w:space="0" w:color="auto"/>
              <w:right w:val="single" w:sz="4" w:space="0" w:color="auto"/>
            </w:tcBorders>
            <w:shd w:val="clear" w:color="000000" w:fill="D9E1F2"/>
            <w:hideMark/>
          </w:tcPr>
          <w:p w14:paraId="6D04477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Number of actors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5837915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Actor characteristics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66CF1436" w14:textId="59743FF6"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Numerical (</w:t>
            </w:r>
            <w:r w:rsidR="0057040C" w:rsidRPr="00D82287">
              <w:rPr>
                <w:rFonts w:ascii="Calibri" w:eastAsia="Times New Roman" w:hAnsi="Calibri" w:cs="Calibri"/>
                <w:color w:val="000000"/>
                <w:kern w:val="0"/>
                <w:sz w:val="20"/>
                <w:szCs w:val="20"/>
                <w:lang w:eastAsia="en-GB"/>
                <w14:ligatures w14:val="none"/>
              </w:rPr>
              <w:t># actors</w:t>
            </w:r>
            <w:r w:rsidRPr="00D82287">
              <w:rPr>
                <w:rFonts w:ascii="Calibri" w:eastAsia="Times New Roman" w:hAnsi="Calibri" w:cs="Calibri"/>
                <w:color w:val="000000"/>
                <w:kern w:val="0"/>
                <w:sz w:val="20"/>
                <w:szCs w:val="20"/>
                <w:lang w:eastAsia="en-GB"/>
                <w14:ligatures w14:val="none"/>
              </w:rPr>
              <w:t>)</w:t>
            </w:r>
          </w:p>
        </w:tc>
      </w:tr>
      <w:tr w:rsidR="0057040C" w:rsidRPr="00D67367" w14:paraId="746E7F51" w14:textId="77777777" w:rsidTr="0057040C">
        <w:trPr>
          <w:gridAfter w:val="1"/>
          <w:wAfter w:w="808" w:type="dxa"/>
          <w:trHeight w:val="450"/>
        </w:trPr>
        <w:tc>
          <w:tcPr>
            <w:tcW w:w="646" w:type="dxa"/>
            <w:vMerge/>
            <w:tcBorders>
              <w:top w:val="nil"/>
              <w:left w:val="single" w:sz="4" w:space="0" w:color="auto"/>
              <w:bottom w:val="single" w:sz="4" w:space="0" w:color="000000"/>
              <w:right w:val="single" w:sz="4" w:space="0" w:color="auto"/>
            </w:tcBorders>
            <w:vAlign w:val="center"/>
            <w:hideMark/>
          </w:tcPr>
          <w:p w14:paraId="177551A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1C743FF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Provide a number, if available  </w:t>
            </w:r>
          </w:p>
        </w:tc>
        <w:tc>
          <w:tcPr>
            <w:tcW w:w="1620" w:type="dxa"/>
            <w:vMerge/>
            <w:tcBorders>
              <w:top w:val="nil"/>
              <w:left w:val="nil"/>
              <w:bottom w:val="single" w:sz="4" w:space="0" w:color="auto"/>
              <w:right w:val="single" w:sz="4" w:space="0" w:color="auto"/>
            </w:tcBorders>
            <w:vAlign w:val="center"/>
            <w:hideMark/>
          </w:tcPr>
          <w:p w14:paraId="32C713A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A4A434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E04424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5F137087" w14:textId="77777777" w:rsidTr="0057040C">
        <w:trPr>
          <w:gridAfter w:val="1"/>
          <w:wAfter w:w="808" w:type="dxa"/>
          <w:trHeight w:val="300"/>
        </w:trPr>
        <w:tc>
          <w:tcPr>
            <w:tcW w:w="646" w:type="dxa"/>
            <w:vMerge/>
            <w:tcBorders>
              <w:top w:val="nil"/>
              <w:left w:val="single" w:sz="4" w:space="0" w:color="auto"/>
              <w:bottom w:val="single" w:sz="4" w:space="0" w:color="000000"/>
              <w:right w:val="single" w:sz="4" w:space="0" w:color="auto"/>
            </w:tcBorders>
            <w:vAlign w:val="center"/>
            <w:hideMark/>
          </w:tcPr>
          <w:p w14:paraId="4E17401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270E1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4.              </w:t>
            </w:r>
            <w:r w:rsidRPr="00D82287">
              <w:rPr>
                <w:rFonts w:ascii="Calibri" w:eastAsia="Times New Roman" w:hAnsi="Calibri" w:cs="Calibri"/>
                <w:b/>
                <w:bCs/>
                <w:color w:val="000000"/>
                <w:kern w:val="0"/>
                <w:sz w:val="20"/>
                <w:szCs w:val="20"/>
                <w:lang w:eastAsia="en-GB"/>
                <w14:ligatures w14:val="none"/>
              </w:rPr>
              <w:t>How diverse are these actors?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auto" w:fill="auto"/>
            <w:hideMark/>
          </w:tcPr>
          <w:p w14:paraId="2F93231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Diversity of actors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3AB68E0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Actor characteristics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0873D733" w14:textId="099D1F84"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Numerical (</w:t>
            </w:r>
            <w:r w:rsidR="0057040C" w:rsidRPr="00D82287">
              <w:rPr>
                <w:rFonts w:ascii="Calibri" w:eastAsia="Times New Roman" w:hAnsi="Calibri" w:cs="Calibri"/>
                <w:color w:val="000000"/>
                <w:kern w:val="0"/>
                <w:sz w:val="20"/>
                <w:szCs w:val="20"/>
                <w:lang w:eastAsia="en-GB"/>
                <w14:ligatures w14:val="none"/>
              </w:rPr>
              <w:t># of actor categories</w:t>
            </w:r>
            <w:r w:rsidRPr="00D82287">
              <w:rPr>
                <w:rFonts w:ascii="Calibri" w:eastAsia="Times New Roman" w:hAnsi="Calibri" w:cs="Calibri"/>
                <w:color w:val="000000"/>
                <w:kern w:val="0"/>
                <w:sz w:val="20"/>
                <w:szCs w:val="20"/>
                <w:lang w:eastAsia="en-GB"/>
                <w14:ligatures w14:val="none"/>
              </w:rPr>
              <w:t>)</w:t>
            </w:r>
          </w:p>
        </w:tc>
      </w:tr>
      <w:tr w:rsidR="0057040C" w:rsidRPr="00D67367" w14:paraId="26CCF13B" w14:textId="77777777" w:rsidTr="0057040C">
        <w:trPr>
          <w:gridAfter w:val="1"/>
          <w:wAfter w:w="808" w:type="dxa"/>
          <w:trHeight w:val="770"/>
        </w:trPr>
        <w:tc>
          <w:tcPr>
            <w:tcW w:w="646" w:type="dxa"/>
            <w:vMerge/>
            <w:tcBorders>
              <w:top w:val="nil"/>
              <w:left w:val="single" w:sz="4" w:space="0" w:color="auto"/>
              <w:bottom w:val="single" w:sz="4" w:space="0" w:color="000000"/>
              <w:right w:val="single" w:sz="4" w:space="0" w:color="auto"/>
            </w:tcBorders>
            <w:vAlign w:val="center"/>
            <w:hideMark/>
          </w:tcPr>
          <w:p w14:paraId="07D0E34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4C63EBE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Is it a homogeneous or heterogeneous group?  </w:t>
            </w:r>
          </w:p>
        </w:tc>
        <w:tc>
          <w:tcPr>
            <w:tcW w:w="1620" w:type="dxa"/>
            <w:vMerge/>
            <w:tcBorders>
              <w:top w:val="nil"/>
              <w:left w:val="nil"/>
              <w:bottom w:val="single" w:sz="4" w:space="0" w:color="auto"/>
              <w:right w:val="single" w:sz="4" w:space="0" w:color="auto"/>
            </w:tcBorders>
            <w:vAlign w:val="center"/>
            <w:hideMark/>
          </w:tcPr>
          <w:p w14:paraId="305ED66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15468E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E48B82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6F88CF5C" w14:textId="77777777" w:rsidTr="00FA3963">
        <w:trPr>
          <w:gridAfter w:val="1"/>
          <w:wAfter w:w="808" w:type="dxa"/>
          <w:trHeight w:val="530"/>
        </w:trPr>
        <w:tc>
          <w:tcPr>
            <w:tcW w:w="646" w:type="dxa"/>
            <w:vMerge/>
            <w:tcBorders>
              <w:top w:val="nil"/>
              <w:left w:val="single" w:sz="4" w:space="0" w:color="auto"/>
              <w:bottom w:val="single" w:sz="4" w:space="0" w:color="000000"/>
              <w:right w:val="single" w:sz="4" w:space="0" w:color="auto"/>
            </w:tcBorders>
            <w:vAlign w:val="center"/>
            <w:hideMark/>
          </w:tcPr>
          <w:p w14:paraId="1F4F281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3ED5B03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5.              </w:t>
            </w:r>
            <w:r w:rsidRPr="00D82287">
              <w:rPr>
                <w:rFonts w:ascii="Calibri" w:eastAsia="Times New Roman" w:hAnsi="Calibri" w:cs="Calibri"/>
                <w:b/>
                <w:bCs/>
                <w:color w:val="000000"/>
                <w:kern w:val="0"/>
                <w:sz w:val="20"/>
                <w:szCs w:val="20"/>
                <w:lang w:eastAsia="en-GB"/>
                <w14:ligatures w14:val="none"/>
              </w:rPr>
              <w:t>Which actor initiated the coalition? </w:t>
            </w:r>
            <w:r w:rsidRPr="00D82287">
              <w:rPr>
                <w:rFonts w:ascii="Calibri" w:eastAsia="Times New Roman" w:hAnsi="Calibri" w:cs="Calibri"/>
                <w:color w:val="000000"/>
                <w:kern w:val="0"/>
                <w:sz w:val="20"/>
                <w:szCs w:val="20"/>
                <w:lang w:eastAsia="en-GB"/>
                <w14:ligatures w14:val="none"/>
              </w:rPr>
              <w:t>  </w:t>
            </w:r>
          </w:p>
        </w:tc>
        <w:tc>
          <w:tcPr>
            <w:tcW w:w="1620" w:type="dxa"/>
            <w:tcBorders>
              <w:top w:val="nil"/>
              <w:left w:val="nil"/>
              <w:bottom w:val="single" w:sz="4" w:space="0" w:color="auto"/>
              <w:right w:val="single" w:sz="4" w:space="0" w:color="auto"/>
            </w:tcBorders>
            <w:shd w:val="clear" w:color="000000" w:fill="D9E1F2"/>
            <w:hideMark/>
          </w:tcPr>
          <w:p w14:paraId="26D566F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Initiator of coalition </w:t>
            </w:r>
          </w:p>
        </w:tc>
        <w:tc>
          <w:tcPr>
            <w:tcW w:w="2320" w:type="dxa"/>
            <w:tcBorders>
              <w:top w:val="nil"/>
              <w:left w:val="nil"/>
              <w:bottom w:val="single" w:sz="4" w:space="0" w:color="auto"/>
              <w:right w:val="single" w:sz="4" w:space="0" w:color="auto"/>
            </w:tcBorders>
            <w:shd w:val="clear" w:color="000000" w:fill="D9E1F2"/>
            <w:hideMark/>
          </w:tcPr>
          <w:p w14:paraId="63DB4A9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Actor characteristic </w:t>
            </w:r>
          </w:p>
        </w:tc>
        <w:tc>
          <w:tcPr>
            <w:tcW w:w="2514" w:type="dxa"/>
            <w:tcBorders>
              <w:top w:val="nil"/>
              <w:left w:val="nil"/>
              <w:bottom w:val="single" w:sz="4" w:space="0" w:color="auto"/>
              <w:right w:val="single" w:sz="4" w:space="0" w:color="auto"/>
            </w:tcBorders>
            <w:shd w:val="clear" w:color="000000" w:fill="D9E1F2"/>
            <w:noWrap/>
            <w:hideMark/>
          </w:tcPr>
          <w:p w14:paraId="6ECAA780" w14:textId="15C23B79"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r>
      <w:tr w:rsidR="0057040C" w:rsidRPr="00D67367" w14:paraId="2E93F24F" w14:textId="77777777" w:rsidTr="00FA3963">
        <w:trPr>
          <w:gridAfter w:val="1"/>
          <w:wAfter w:w="808" w:type="dxa"/>
          <w:trHeight w:val="300"/>
        </w:trPr>
        <w:tc>
          <w:tcPr>
            <w:tcW w:w="646" w:type="dxa"/>
            <w:vMerge/>
            <w:tcBorders>
              <w:top w:val="nil"/>
              <w:left w:val="single" w:sz="4" w:space="0" w:color="auto"/>
              <w:bottom w:val="single" w:sz="4" w:space="0" w:color="000000"/>
              <w:right w:val="single" w:sz="4" w:space="0" w:color="auto"/>
            </w:tcBorders>
            <w:vAlign w:val="center"/>
            <w:hideMark/>
          </w:tcPr>
          <w:p w14:paraId="6E87F1F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421A5C3" w14:textId="77777777" w:rsidR="0057040C" w:rsidRPr="00D82287" w:rsidRDefault="0057040C" w:rsidP="0057040C">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6.              </w:t>
            </w:r>
            <w:r w:rsidRPr="00D82287">
              <w:rPr>
                <w:rFonts w:ascii="Calibri" w:eastAsia="Times New Roman" w:hAnsi="Calibri" w:cs="Calibri"/>
                <w:b/>
                <w:bCs/>
                <w:color w:val="000000"/>
                <w:kern w:val="0"/>
                <w:sz w:val="20"/>
                <w:szCs w:val="20"/>
                <w:lang w:eastAsia="en-GB"/>
                <w14:ligatures w14:val="none"/>
              </w:rPr>
              <w:t>Does the coalition disclose financial information? (transparency)</w:t>
            </w:r>
            <w:r w:rsidRPr="00D82287">
              <w:rPr>
                <w:rFonts w:ascii="Calibri" w:eastAsia="Times New Roman" w:hAnsi="Calibri" w:cs="Calibri"/>
                <w:b/>
                <w:bCs/>
                <w:color w:val="000000"/>
                <w:kern w:val="0"/>
                <w:sz w:val="20"/>
                <w:szCs w:val="20"/>
                <w:lang w:eastAsia="en-GB"/>
                <w14:ligatures w14:val="none"/>
              </w:rPr>
              <w:br/>
            </w:r>
            <w:r w:rsidRPr="00D82287">
              <w:rPr>
                <w:rFonts w:ascii="Calibri" w:eastAsia="Times New Roman" w:hAnsi="Calibri" w:cs="Calibri"/>
                <w:color w:val="000000"/>
                <w:kern w:val="0"/>
                <w:sz w:val="20"/>
                <w:szCs w:val="20"/>
                <w:lang w:eastAsia="en-GB"/>
                <w14:ligatures w14:val="none"/>
              </w:rPr>
              <w:t>(anoher question that can be added in the framework regards leverage i.e. info on AUM, market share) </w:t>
            </w:r>
          </w:p>
          <w:p w14:paraId="72BEA7F5" w14:textId="77777777" w:rsidR="0057040C" w:rsidRPr="00D82287" w:rsidRDefault="0057040C" w:rsidP="0057040C">
            <w:pPr>
              <w:ind w:firstLine="720"/>
              <w:rPr>
                <w:rFonts w:ascii="Calibri" w:eastAsia="Times New Roman" w:hAnsi="Calibri" w:cs="Calibri"/>
                <w:color w:val="000000"/>
                <w:kern w:val="0"/>
                <w:sz w:val="20"/>
                <w:szCs w:val="20"/>
                <w:lang w:eastAsia="en-GB"/>
                <w14:ligatures w14:val="none"/>
              </w:rPr>
            </w:pPr>
          </w:p>
          <w:p w14:paraId="747029F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1620" w:type="dxa"/>
            <w:vMerge w:val="restart"/>
            <w:tcBorders>
              <w:top w:val="single" w:sz="4" w:space="0" w:color="auto"/>
              <w:left w:val="nil"/>
              <w:bottom w:val="single" w:sz="4" w:space="0" w:color="auto"/>
              <w:right w:val="nil"/>
            </w:tcBorders>
            <w:shd w:val="clear" w:color="auto" w:fill="auto"/>
            <w:hideMark/>
          </w:tcPr>
          <w:p w14:paraId="0E06F7C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Monetary power (actor) </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3C5C10F7" w14:textId="2D05A300" w:rsidR="0057040C" w:rsidRPr="00D82287" w:rsidRDefault="00240E13"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 </w:t>
            </w:r>
          </w:p>
        </w:tc>
        <w:tc>
          <w:tcPr>
            <w:tcW w:w="25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03A9C0"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  they do not disclose</w:t>
            </w:r>
            <w:r w:rsidRPr="00D82287">
              <w:rPr>
                <w:rFonts w:ascii="Calibri" w:eastAsia="Times New Roman" w:hAnsi="Calibri" w:cs="Calibri"/>
                <w:color w:val="000000"/>
                <w:kern w:val="0"/>
                <w:sz w:val="20"/>
                <w:szCs w:val="20"/>
                <w:lang w:eastAsia="en-GB"/>
                <w14:ligatures w14:val="none"/>
              </w:rPr>
              <w:br/>
              <w:t>1 = they disclose (AUM)</w:t>
            </w:r>
          </w:p>
        </w:tc>
      </w:tr>
      <w:tr w:rsidR="0057040C" w:rsidRPr="00D67367" w14:paraId="52FB7D20" w14:textId="77777777" w:rsidTr="00FA3963">
        <w:trPr>
          <w:gridAfter w:val="1"/>
          <w:wAfter w:w="808" w:type="dxa"/>
          <w:trHeight w:val="1610"/>
        </w:trPr>
        <w:tc>
          <w:tcPr>
            <w:tcW w:w="646" w:type="dxa"/>
            <w:vMerge/>
            <w:tcBorders>
              <w:top w:val="nil"/>
              <w:left w:val="single" w:sz="4" w:space="0" w:color="auto"/>
              <w:bottom w:val="single" w:sz="4" w:space="0" w:color="000000"/>
              <w:right w:val="single" w:sz="4" w:space="0" w:color="auto"/>
            </w:tcBorders>
            <w:vAlign w:val="center"/>
            <w:hideMark/>
          </w:tcPr>
          <w:p w14:paraId="7CC3861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tcBorders>
              <w:top w:val="single" w:sz="4" w:space="0" w:color="000000"/>
              <w:left w:val="single" w:sz="4" w:space="0" w:color="auto"/>
              <w:bottom w:val="single" w:sz="4" w:space="0" w:color="000000"/>
              <w:right w:val="single" w:sz="4" w:space="0" w:color="auto"/>
            </w:tcBorders>
            <w:vAlign w:val="center"/>
            <w:hideMark/>
          </w:tcPr>
          <w:p w14:paraId="1A5FD92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1620" w:type="dxa"/>
            <w:vMerge/>
            <w:tcBorders>
              <w:top w:val="single" w:sz="4" w:space="0" w:color="auto"/>
              <w:left w:val="nil"/>
              <w:bottom w:val="single" w:sz="4" w:space="0" w:color="auto"/>
              <w:right w:val="nil"/>
            </w:tcBorders>
            <w:vAlign w:val="center"/>
            <w:hideMark/>
          </w:tcPr>
          <w:p w14:paraId="6A1A68E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14:paraId="6D452AEE" w14:textId="77777777" w:rsidR="00240E13" w:rsidRPr="00D82287" w:rsidRDefault="00240E13"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Actor characteristics</w:t>
            </w:r>
          </w:p>
          <w:p w14:paraId="12369D64" w14:textId="2C164441"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*Selection criteria </w:t>
            </w: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5440BF6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r>
      <w:tr w:rsidR="0057040C" w:rsidRPr="00D67367" w14:paraId="1839CC31" w14:textId="77777777" w:rsidTr="0057040C">
        <w:trPr>
          <w:gridAfter w:val="1"/>
          <w:wAfter w:w="808" w:type="dxa"/>
          <w:trHeight w:val="1610"/>
        </w:trPr>
        <w:tc>
          <w:tcPr>
            <w:tcW w:w="646" w:type="dxa"/>
            <w:vMerge/>
            <w:tcBorders>
              <w:top w:val="nil"/>
              <w:left w:val="single" w:sz="4" w:space="0" w:color="auto"/>
              <w:bottom w:val="single" w:sz="4" w:space="0" w:color="000000"/>
              <w:right w:val="single" w:sz="4" w:space="0" w:color="auto"/>
            </w:tcBorders>
            <w:vAlign w:val="center"/>
            <w:hideMark/>
          </w:tcPr>
          <w:p w14:paraId="14FC22F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val="restart"/>
            <w:tcBorders>
              <w:top w:val="nil"/>
              <w:left w:val="single" w:sz="4" w:space="0" w:color="auto"/>
              <w:bottom w:val="single" w:sz="4" w:space="0" w:color="000000"/>
              <w:right w:val="single" w:sz="4" w:space="0" w:color="auto"/>
            </w:tcBorders>
            <w:shd w:val="clear" w:color="000000" w:fill="D9E1F2"/>
            <w:hideMark/>
          </w:tcPr>
          <w:p w14:paraId="0B90195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7.              </w:t>
            </w:r>
            <w:r w:rsidRPr="00D82287">
              <w:rPr>
                <w:rFonts w:ascii="Calibri" w:eastAsia="Times New Roman" w:hAnsi="Calibri" w:cs="Calibri"/>
                <w:b/>
                <w:bCs/>
                <w:color w:val="000000"/>
                <w:kern w:val="0"/>
                <w:sz w:val="20"/>
                <w:szCs w:val="20"/>
                <w:lang w:eastAsia="en-GB"/>
                <w14:ligatures w14:val="none"/>
              </w:rPr>
              <w:t>Are the coalition´s agreements voluntary or binding?</w:t>
            </w:r>
            <w:r w:rsidRPr="00D82287">
              <w:rPr>
                <w:rFonts w:ascii="Calibri" w:eastAsia="Times New Roman" w:hAnsi="Calibri" w:cs="Calibri"/>
                <w:color w:val="000000"/>
                <w:kern w:val="0"/>
                <w:sz w:val="20"/>
                <w:szCs w:val="20"/>
                <w:lang w:eastAsia="en-GB"/>
                <w14:ligatures w14:val="none"/>
              </w:rPr>
              <w:t xml:space="preserve"> If binding, in what ways?  </w:t>
            </w:r>
          </w:p>
        </w:tc>
        <w:tc>
          <w:tcPr>
            <w:tcW w:w="1620" w:type="dxa"/>
            <w:vMerge w:val="restart"/>
            <w:tcBorders>
              <w:top w:val="nil"/>
              <w:left w:val="nil"/>
              <w:bottom w:val="single" w:sz="4" w:space="0" w:color="auto"/>
              <w:right w:val="single" w:sz="4" w:space="0" w:color="auto"/>
            </w:tcBorders>
            <w:shd w:val="clear" w:color="000000" w:fill="D9E1F2"/>
            <w:hideMark/>
          </w:tcPr>
          <w:p w14:paraId="3229537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Commitment (actors) </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D9E1F2"/>
            <w:hideMark/>
          </w:tcPr>
          <w:p w14:paraId="767481F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Actor characteristics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6EAA5989"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1 = binding</w:t>
            </w:r>
            <w:r w:rsidRPr="00D82287">
              <w:rPr>
                <w:rFonts w:ascii="Calibri" w:eastAsia="Times New Roman" w:hAnsi="Calibri" w:cs="Calibri"/>
                <w:color w:val="000000"/>
                <w:kern w:val="0"/>
                <w:sz w:val="20"/>
                <w:szCs w:val="20"/>
                <w:lang w:eastAsia="en-GB"/>
                <w14:ligatures w14:val="none"/>
              </w:rPr>
              <w:br/>
              <w:t>0= voluntary or NA</w:t>
            </w:r>
          </w:p>
        </w:tc>
      </w:tr>
      <w:tr w:rsidR="0057040C" w:rsidRPr="00D67367" w14:paraId="70386F3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C5B2B2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tcBorders>
              <w:top w:val="nil"/>
              <w:left w:val="single" w:sz="4" w:space="0" w:color="auto"/>
              <w:bottom w:val="single" w:sz="4" w:space="0" w:color="000000"/>
              <w:right w:val="single" w:sz="4" w:space="0" w:color="auto"/>
            </w:tcBorders>
            <w:vAlign w:val="center"/>
            <w:hideMark/>
          </w:tcPr>
          <w:p w14:paraId="5CAC50E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1620" w:type="dxa"/>
            <w:vMerge/>
            <w:tcBorders>
              <w:top w:val="nil"/>
              <w:left w:val="nil"/>
              <w:bottom w:val="single" w:sz="4" w:space="0" w:color="auto"/>
              <w:right w:val="single" w:sz="4" w:space="0" w:color="auto"/>
            </w:tcBorders>
            <w:vAlign w:val="center"/>
            <w:hideMark/>
          </w:tcPr>
          <w:p w14:paraId="59A9C28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098AFD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C9F0CD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tcBorders>
              <w:top w:val="nil"/>
              <w:left w:val="nil"/>
              <w:bottom w:val="nil"/>
              <w:right w:val="nil"/>
            </w:tcBorders>
            <w:shd w:val="clear" w:color="auto" w:fill="auto"/>
            <w:noWrap/>
            <w:vAlign w:val="bottom"/>
            <w:hideMark/>
          </w:tcPr>
          <w:p w14:paraId="5CBD9636" w14:textId="77777777" w:rsidR="0057040C" w:rsidRPr="00D82287" w:rsidRDefault="0057040C" w:rsidP="00FC49C9">
            <w:pPr>
              <w:jc w:val="center"/>
              <w:rPr>
                <w:rFonts w:ascii="Calibri" w:eastAsia="Times New Roman" w:hAnsi="Calibri" w:cs="Calibri"/>
                <w:color w:val="000000"/>
                <w:kern w:val="0"/>
                <w:sz w:val="22"/>
                <w:szCs w:val="22"/>
                <w:lang w:eastAsia="en-GB"/>
                <w14:ligatures w14:val="none"/>
              </w:rPr>
            </w:pPr>
          </w:p>
        </w:tc>
      </w:tr>
      <w:tr w:rsidR="0057040C" w:rsidRPr="00D67367" w14:paraId="2DD15DDD"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0100D9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6DE7C02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8.              </w:t>
            </w:r>
            <w:r w:rsidRPr="00D82287">
              <w:rPr>
                <w:rFonts w:ascii="Calibri" w:eastAsia="Times New Roman" w:hAnsi="Calibri" w:cs="Calibri"/>
                <w:b/>
                <w:bCs/>
                <w:color w:val="000000"/>
                <w:kern w:val="0"/>
                <w:sz w:val="20"/>
                <w:szCs w:val="20"/>
                <w:lang w:eastAsia="en-GB"/>
                <w14:ligatures w14:val="none"/>
              </w:rPr>
              <w:t>What is the agenda of this initiative? What are the objectives/goals/mission of the coalition?</w:t>
            </w:r>
            <w:r w:rsidRPr="00D82287">
              <w:rPr>
                <w:rFonts w:ascii="Calibri" w:eastAsia="Times New Roman" w:hAnsi="Calibri" w:cs="Calibri"/>
                <w:color w:val="000000"/>
                <w:kern w:val="0"/>
                <w:sz w:val="20"/>
                <w:szCs w:val="20"/>
                <w:lang w:eastAsia="en-GB"/>
                <w14:ligatures w14:val="none"/>
              </w:rPr>
              <w:t xml:space="preserve"> (Cranfield Taxonomy, 2020) </w:t>
            </w:r>
          </w:p>
        </w:tc>
        <w:tc>
          <w:tcPr>
            <w:tcW w:w="1620" w:type="dxa"/>
            <w:vMerge w:val="restart"/>
            <w:tcBorders>
              <w:top w:val="nil"/>
              <w:left w:val="nil"/>
              <w:bottom w:val="single" w:sz="4" w:space="0" w:color="auto"/>
              <w:right w:val="single" w:sz="4" w:space="0" w:color="auto"/>
            </w:tcBorders>
            <w:shd w:val="clear" w:color="auto" w:fill="auto"/>
            <w:hideMark/>
          </w:tcPr>
          <w:p w14:paraId="6EC3440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Objective/goals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541497E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35137186" w14:textId="57704CE6"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45F6F2E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0C841F1"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40AA7D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4F0969D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What does the coalition aspire to do?  </w:t>
            </w:r>
          </w:p>
        </w:tc>
        <w:tc>
          <w:tcPr>
            <w:tcW w:w="1620" w:type="dxa"/>
            <w:vMerge/>
            <w:tcBorders>
              <w:top w:val="nil"/>
              <w:left w:val="nil"/>
              <w:bottom w:val="single" w:sz="4" w:space="0" w:color="auto"/>
              <w:right w:val="single" w:sz="4" w:space="0" w:color="auto"/>
            </w:tcBorders>
            <w:vAlign w:val="center"/>
            <w:hideMark/>
          </w:tcPr>
          <w:p w14:paraId="372E6CE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B14567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6462C2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D18F051"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510C97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D96B7C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690EFFA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9.                   </w:t>
            </w:r>
            <w:r w:rsidRPr="00D82287">
              <w:rPr>
                <w:rFonts w:ascii="Calibri" w:eastAsia="Times New Roman" w:hAnsi="Calibri" w:cs="Calibri"/>
                <w:b/>
                <w:bCs/>
                <w:color w:val="000000"/>
                <w:kern w:val="0"/>
                <w:sz w:val="20"/>
                <w:szCs w:val="20"/>
                <w:lang w:eastAsia="en-GB"/>
                <w14:ligatures w14:val="none"/>
              </w:rPr>
              <w:t xml:space="preserve">What type of challenges does the coalition address in terms of global sustainable development?  </w:t>
            </w:r>
            <w:r w:rsidRPr="00D82287">
              <w:rPr>
                <w:rFonts w:ascii="Calibri" w:eastAsia="Times New Roman" w:hAnsi="Calibri" w:cs="Calibri"/>
                <w:color w:val="000000"/>
                <w:kern w:val="0"/>
                <w:sz w:val="20"/>
                <w:szCs w:val="20"/>
                <w:lang w:eastAsia="en-GB"/>
                <w14:ligatures w14:val="none"/>
              </w:rPr>
              <w:t>(Seeds of Good Anthropocene, 2020) </w:t>
            </w:r>
          </w:p>
        </w:tc>
        <w:tc>
          <w:tcPr>
            <w:tcW w:w="1620" w:type="dxa"/>
            <w:vMerge w:val="restart"/>
            <w:tcBorders>
              <w:top w:val="nil"/>
              <w:left w:val="nil"/>
              <w:bottom w:val="single" w:sz="4" w:space="0" w:color="auto"/>
              <w:right w:val="nil"/>
            </w:tcBorders>
            <w:shd w:val="clear" w:color="000000" w:fill="D9E1F2"/>
            <w:hideMark/>
          </w:tcPr>
          <w:p w14:paraId="7F728B2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Type of challenge </w:t>
            </w:r>
          </w:p>
        </w:tc>
        <w:tc>
          <w:tcPr>
            <w:tcW w:w="2320" w:type="dxa"/>
            <w:tcBorders>
              <w:top w:val="single" w:sz="4" w:space="0" w:color="auto"/>
              <w:left w:val="single" w:sz="4" w:space="0" w:color="auto"/>
              <w:bottom w:val="nil"/>
              <w:right w:val="single" w:sz="4" w:space="0" w:color="auto"/>
            </w:tcBorders>
            <w:shd w:val="clear" w:color="000000" w:fill="D9E1F2"/>
            <w:hideMark/>
          </w:tcPr>
          <w:p w14:paraId="685116B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Challenge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09E0F8CC" w14:textId="0A42F963"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16B551D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266903A"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00DD4D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2028FB3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e.g. challenges related to climate change, global social injustices, biodiversity loss, migration, water, food, etc  </w:t>
            </w:r>
          </w:p>
        </w:tc>
        <w:tc>
          <w:tcPr>
            <w:tcW w:w="1620" w:type="dxa"/>
            <w:vMerge/>
            <w:tcBorders>
              <w:top w:val="nil"/>
              <w:left w:val="nil"/>
              <w:bottom w:val="single" w:sz="4" w:space="0" w:color="auto"/>
              <w:right w:val="nil"/>
            </w:tcBorders>
            <w:vAlign w:val="center"/>
            <w:hideMark/>
          </w:tcPr>
          <w:p w14:paraId="5F3AB88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nil"/>
              <w:right w:val="single" w:sz="4" w:space="0" w:color="auto"/>
            </w:tcBorders>
            <w:shd w:val="clear" w:color="000000" w:fill="D9E1F2"/>
            <w:hideMark/>
          </w:tcPr>
          <w:p w14:paraId="6AC733A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*Selection criteria </w:t>
            </w:r>
          </w:p>
        </w:tc>
        <w:tc>
          <w:tcPr>
            <w:tcW w:w="2514" w:type="dxa"/>
            <w:vMerge/>
            <w:tcBorders>
              <w:top w:val="nil"/>
              <w:left w:val="single" w:sz="4" w:space="0" w:color="auto"/>
              <w:bottom w:val="single" w:sz="4" w:space="0" w:color="auto"/>
              <w:right w:val="single" w:sz="4" w:space="0" w:color="auto"/>
            </w:tcBorders>
            <w:vAlign w:val="center"/>
            <w:hideMark/>
          </w:tcPr>
          <w:p w14:paraId="771517C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F3E419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2B995D3"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03B7C33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3FB9BD5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Relate to SDGS  </w:t>
            </w:r>
          </w:p>
        </w:tc>
        <w:tc>
          <w:tcPr>
            <w:tcW w:w="1620" w:type="dxa"/>
            <w:vMerge/>
            <w:tcBorders>
              <w:top w:val="nil"/>
              <w:left w:val="nil"/>
              <w:bottom w:val="single" w:sz="4" w:space="0" w:color="auto"/>
              <w:right w:val="nil"/>
            </w:tcBorders>
            <w:vAlign w:val="center"/>
            <w:hideMark/>
          </w:tcPr>
          <w:p w14:paraId="53A28A1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nil"/>
              <w:right w:val="single" w:sz="4" w:space="0" w:color="auto"/>
            </w:tcBorders>
            <w:shd w:val="clear" w:color="000000" w:fill="D9E1F2"/>
            <w:hideMark/>
          </w:tcPr>
          <w:p w14:paraId="1D97ED5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tcBorders>
              <w:top w:val="nil"/>
              <w:left w:val="single" w:sz="4" w:space="0" w:color="auto"/>
              <w:bottom w:val="single" w:sz="4" w:space="0" w:color="auto"/>
              <w:right w:val="single" w:sz="4" w:space="0" w:color="auto"/>
            </w:tcBorders>
            <w:vAlign w:val="center"/>
            <w:hideMark/>
          </w:tcPr>
          <w:p w14:paraId="6878244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414883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C8B3926"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24B560D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0DCD787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nil"/>
            </w:tcBorders>
            <w:vAlign w:val="center"/>
            <w:hideMark/>
          </w:tcPr>
          <w:p w14:paraId="1E934A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single" w:sz="4" w:space="0" w:color="auto"/>
              <w:right w:val="single" w:sz="4" w:space="0" w:color="auto"/>
            </w:tcBorders>
            <w:shd w:val="clear" w:color="000000" w:fill="D9E1F2"/>
            <w:hideMark/>
          </w:tcPr>
          <w:p w14:paraId="138D4A0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tcBorders>
              <w:top w:val="nil"/>
              <w:left w:val="single" w:sz="4" w:space="0" w:color="auto"/>
              <w:bottom w:val="single" w:sz="4" w:space="0" w:color="auto"/>
              <w:right w:val="single" w:sz="4" w:space="0" w:color="auto"/>
            </w:tcBorders>
            <w:vAlign w:val="center"/>
            <w:hideMark/>
          </w:tcPr>
          <w:p w14:paraId="2E5E2FA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E56370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7090893" w14:textId="77777777" w:rsidTr="0057040C">
        <w:trPr>
          <w:trHeight w:val="720"/>
        </w:trPr>
        <w:tc>
          <w:tcPr>
            <w:tcW w:w="646" w:type="dxa"/>
            <w:vMerge/>
            <w:tcBorders>
              <w:top w:val="nil"/>
              <w:left w:val="single" w:sz="4" w:space="0" w:color="auto"/>
              <w:bottom w:val="single" w:sz="4" w:space="0" w:color="000000"/>
              <w:right w:val="single" w:sz="4" w:space="0" w:color="auto"/>
            </w:tcBorders>
            <w:vAlign w:val="center"/>
            <w:hideMark/>
          </w:tcPr>
          <w:p w14:paraId="041C6D0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62AFDE9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10.           </w:t>
            </w:r>
            <w:r w:rsidRPr="00D82287">
              <w:rPr>
                <w:rFonts w:ascii="Calibri" w:eastAsia="Times New Roman" w:hAnsi="Calibri" w:cs="Calibri"/>
                <w:b/>
                <w:bCs/>
                <w:color w:val="000000"/>
                <w:kern w:val="0"/>
                <w:sz w:val="20"/>
                <w:szCs w:val="20"/>
                <w:lang w:eastAsia="en-GB"/>
                <w14:ligatures w14:val="none"/>
              </w:rPr>
              <w:t>What is the coalitions´ funding model?</w:t>
            </w:r>
            <w:r w:rsidRPr="00D82287">
              <w:rPr>
                <w:rFonts w:ascii="Calibri" w:eastAsia="Times New Roman" w:hAnsi="Calibri" w:cs="Calibri"/>
                <w:color w:val="000000"/>
                <w:kern w:val="0"/>
                <w:sz w:val="20"/>
                <w:szCs w:val="20"/>
                <w:lang w:eastAsia="en-GB"/>
                <w14:ligatures w14:val="none"/>
              </w:rPr>
              <w:t xml:space="preserve"> Is there a funder(s) that supports the coalition?  (Grayson and Nelson, 2013) </w:t>
            </w:r>
          </w:p>
        </w:tc>
        <w:tc>
          <w:tcPr>
            <w:tcW w:w="1620" w:type="dxa"/>
            <w:tcBorders>
              <w:top w:val="nil"/>
              <w:left w:val="nil"/>
              <w:bottom w:val="single" w:sz="4" w:space="0" w:color="auto"/>
              <w:right w:val="single" w:sz="4" w:space="0" w:color="auto"/>
            </w:tcBorders>
            <w:shd w:val="clear" w:color="auto" w:fill="auto"/>
            <w:hideMark/>
          </w:tcPr>
          <w:p w14:paraId="0FFA48C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Funding model (coalition) </w:t>
            </w:r>
          </w:p>
        </w:tc>
        <w:tc>
          <w:tcPr>
            <w:tcW w:w="2320" w:type="dxa"/>
            <w:tcBorders>
              <w:top w:val="nil"/>
              <w:left w:val="nil"/>
              <w:bottom w:val="single" w:sz="4" w:space="0" w:color="auto"/>
              <w:right w:val="single" w:sz="4" w:space="0" w:color="auto"/>
            </w:tcBorders>
            <w:shd w:val="clear" w:color="auto" w:fill="auto"/>
            <w:hideMark/>
          </w:tcPr>
          <w:p w14:paraId="0FC5D30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Funding </w:t>
            </w:r>
          </w:p>
        </w:tc>
        <w:tc>
          <w:tcPr>
            <w:tcW w:w="2514" w:type="dxa"/>
            <w:tcBorders>
              <w:top w:val="nil"/>
              <w:left w:val="nil"/>
              <w:bottom w:val="single" w:sz="4" w:space="0" w:color="auto"/>
              <w:right w:val="single" w:sz="4" w:space="0" w:color="auto"/>
            </w:tcBorders>
            <w:shd w:val="clear" w:color="auto" w:fill="auto"/>
            <w:noWrap/>
            <w:hideMark/>
          </w:tcPr>
          <w:p w14:paraId="333E89BE" w14:textId="4665F8AC"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013706B5"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16E93AF"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09AB96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6DCE4"/>
            <w:hideMark/>
          </w:tcPr>
          <w:p w14:paraId="7EDFD9D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11.           </w:t>
            </w:r>
            <w:r w:rsidRPr="00D82287">
              <w:rPr>
                <w:rFonts w:ascii="Calibri" w:eastAsia="Times New Roman" w:hAnsi="Calibri" w:cs="Calibri"/>
                <w:b/>
                <w:bCs/>
                <w:color w:val="000000"/>
                <w:kern w:val="0"/>
                <w:sz w:val="20"/>
                <w:szCs w:val="20"/>
                <w:lang w:eastAsia="en-GB"/>
                <w14:ligatures w14:val="none"/>
              </w:rPr>
              <w:t>What type of knowledge does the coalition have?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6DCE4"/>
            <w:hideMark/>
          </w:tcPr>
          <w:p w14:paraId="6CB4C85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Type of knowledge (coalition)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6E77D86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Learning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214E8677" w14:textId="5101B0AE" w:rsidR="00F10132" w:rsidRPr="00D82287" w:rsidRDefault="00F10132" w:rsidP="002F449B">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p w14:paraId="06B6A771" w14:textId="77777777" w:rsidR="00F10132" w:rsidRPr="00D82287" w:rsidRDefault="00F10132" w:rsidP="002F449B">
            <w:pPr>
              <w:rPr>
                <w:rFonts w:ascii="Calibri" w:eastAsia="Times New Roman" w:hAnsi="Calibri" w:cs="Calibri"/>
                <w:sz w:val="20"/>
                <w:szCs w:val="20"/>
                <w:lang w:eastAsia="en-GB"/>
              </w:rPr>
            </w:pPr>
          </w:p>
        </w:tc>
        <w:tc>
          <w:tcPr>
            <w:tcW w:w="808" w:type="dxa"/>
            <w:vAlign w:val="center"/>
            <w:hideMark/>
          </w:tcPr>
          <w:p w14:paraId="2842457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CD91440"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A246AA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6DCE4"/>
            <w:hideMark/>
          </w:tcPr>
          <w:p w14:paraId="7C2C0F0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414AA51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7AC39B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5303EC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36E57C2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90B24FC"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EEAAF8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6DCE4"/>
            <w:hideMark/>
          </w:tcPr>
          <w:p w14:paraId="429D1B0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E.g. Ecological knowledge </w:t>
            </w:r>
          </w:p>
        </w:tc>
        <w:tc>
          <w:tcPr>
            <w:tcW w:w="1620" w:type="dxa"/>
            <w:vMerge/>
            <w:tcBorders>
              <w:top w:val="nil"/>
              <w:left w:val="nil"/>
              <w:bottom w:val="single" w:sz="4" w:space="0" w:color="auto"/>
              <w:right w:val="single" w:sz="4" w:space="0" w:color="auto"/>
            </w:tcBorders>
            <w:vAlign w:val="center"/>
            <w:hideMark/>
          </w:tcPr>
          <w:p w14:paraId="20228E0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8B0262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48B5283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8D4DC0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F4A13D0"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B96A2D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6DCE4"/>
            <w:hideMark/>
          </w:tcPr>
          <w:p w14:paraId="269CABD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Look for “regenerative” keyword </w:t>
            </w:r>
          </w:p>
        </w:tc>
        <w:tc>
          <w:tcPr>
            <w:tcW w:w="1620" w:type="dxa"/>
            <w:vMerge/>
            <w:tcBorders>
              <w:top w:val="nil"/>
              <w:left w:val="nil"/>
              <w:bottom w:val="single" w:sz="4" w:space="0" w:color="auto"/>
              <w:right w:val="single" w:sz="4" w:space="0" w:color="auto"/>
            </w:tcBorders>
            <w:vAlign w:val="center"/>
            <w:hideMark/>
          </w:tcPr>
          <w:p w14:paraId="6378434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7B99FC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473497B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7AC7D2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14B441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7E6F9D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6DCE4"/>
            <w:hideMark/>
          </w:tcPr>
          <w:p w14:paraId="15C13F2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31A165E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7CF56D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8433C9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67929F4"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9D0FDFF" w14:textId="77777777" w:rsidTr="0057040C">
        <w:trPr>
          <w:trHeight w:val="620"/>
        </w:trPr>
        <w:tc>
          <w:tcPr>
            <w:tcW w:w="646" w:type="dxa"/>
            <w:vMerge/>
            <w:tcBorders>
              <w:top w:val="nil"/>
              <w:left w:val="single" w:sz="4" w:space="0" w:color="auto"/>
              <w:bottom w:val="single" w:sz="4" w:space="0" w:color="000000"/>
              <w:right w:val="single" w:sz="4" w:space="0" w:color="auto"/>
            </w:tcBorders>
            <w:vAlign w:val="center"/>
            <w:hideMark/>
          </w:tcPr>
          <w:p w14:paraId="7F80070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43CF424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12.           </w:t>
            </w:r>
            <w:r w:rsidRPr="00D82287">
              <w:rPr>
                <w:rFonts w:ascii="Calibri" w:eastAsia="Times New Roman" w:hAnsi="Calibri" w:cs="Calibri"/>
                <w:b/>
                <w:bCs/>
                <w:color w:val="000000"/>
                <w:kern w:val="0"/>
                <w:sz w:val="20"/>
                <w:szCs w:val="20"/>
                <w:lang w:eastAsia="en-GB"/>
                <w14:ligatures w14:val="none"/>
              </w:rPr>
              <w:t>Who are knowledge partners of the coalition? </w:t>
            </w:r>
            <w:r w:rsidRPr="00D82287">
              <w:rPr>
                <w:rFonts w:ascii="Calibri" w:eastAsia="Times New Roman" w:hAnsi="Calibri" w:cs="Calibri"/>
                <w:color w:val="000000"/>
                <w:kern w:val="0"/>
                <w:sz w:val="20"/>
                <w:szCs w:val="20"/>
                <w:lang w:eastAsia="en-GB"/>
                <w14:ligatures w14:val="none"/>
              </w:rPr>
              <w:t> </w:t>
            </w:r>
          </w:p>
        </w:tc>
        <w:tc>
          <w:tcPr>
            <w:tcW w:w="1620" w:type="dxa"/>
            <w:tcBorders>
              <w:top w:val="nil"/>
              <w:left w:val="nil"/>
              <w:bottom w:val="single" w:sz="4" w:space="0" w:color="auto"/>
              <w:right w:val="single" w:sz="4" w:space="0" w:color="auto"/>
            </w:tcBorders>
            <w:shd w:val="clear" w:color="000000" w:fill="FFFFFF"/>
            <w:hideMark/>
          </w:tcPr>
          <w:p w14:paraId="012DAEF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Knowledge partners (coalition) </w:t>
            </w:r>
          </w:p>
        </w:tc>
        <w:tc>
          <w:tcPr>
            <w:tcW w:w="2320" w:type="dxa"/>
            <w:tcBorders>
              <w:top w:val="nil"/>
              <w:left w:val="nil"/>
              <w:bottom w:val="single" w:sz="4" w:space="0" w:color="auto"/>
              <w:right w:val="single" w:sz="4" w:space="0" w:color="auto"/>
            </w:tcBorders>
            <w:shd w:val="clear" w:color="000000" w:fill="FFFFFF"/>
            <w:hideMark/>
          </w:tcPr>
          <w:p w14:paraId="509E6DD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Learning </w:t>
            </w:r>
          </w:p>
        </w:tc>
        <w:tc>
          <w:tcPr>
            <w:tcW w:w="2514" w:type="dxa"/>
            <w:tcBorders>
              <w:top w:val="nil"/>
              <w:left w:val="nil"/>
              <w:bottom w:val="single" w:sz="4" w:space="0" w:color="auto"/>
              <w:right w:val="single" w:sz="4" w:space="0" w:color="auto"/>
            </w:tcBorders>
            <w:shd w:val="clear" w:color="000000" w:fill="FFFFFF"/>
            <w:noWrap/>
            <w:hideMark/>
          </w:tcPr>
          <w:p w14:paraId="68E95DDF" w14:textId="48E3E704"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5BC32E3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3A2FF64"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1AD0FC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val="restart"/>
            <w:tcBorders>
              <w:top w:val="nil"/>
              <w:left w:val="single" w:sz="4" w:space="0" w:color="auto"/>
              <w:bottom w:val="single" w:sz="4" w:space="0" w:color="000000"/>
              <w:right w:val="single" w:sz="4" w:space="0" w:color="auto"/>
            </w:tcBorders>
            <w:shd w:val="clear" w:color="000000" w:fill="D9E1F2"/>
            <w:hideMark/>
          </w:tcPr>
          <w:p w14:paraId="4CD0C31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13.           </w:t>
            </w:r>
            <w:r w:rsidRPr="00D82287">
              <w:rPr>
                <w:rFonts w:ascii="Calibri" w:eastAsia="Times New Roman" w:hAnsi="Calibri" w:cs="Calibri"/>
                <w:b/>
                <w:bCs/>
                <w:color w:val="000000"/>
                <w:kern w:val="0"/>
                <w:sz w:val="20"/>
                <w:szCs w:val="20"/>
                <w:lang w:eastAsia="en-GB"/>
                <w14:ligatures w14:val="none"/>
              </w:rPr>
              <w:t>What kind of knowledge does each actor bring?</w:t>
            </w:r>
            <w:r w:rsidRPr="00D82287">
              <w:rPr>
                <w:rFonts w:ascii="Calibri" w:eastAsia="Times New Roman" w:hAnsi="Calibri" w:cs="Calibri"/>
                <w:color w:val="000000"/>
                <w:kern w:val="0"/>
                <w:sz w:val="20"/>
                <w:szCs w:val="20"/>
                <w:lang w:eastAsia="en-GB"/>
                <w14:ligatures w14:val="none"/>
              </w:rPr>
              <w:t xml:space="preserve"> (identify knowledge that comes into the project)  </w:t>
            </w:r>
          </w:p>
        </w:tc>
        <w:tc>
          <w:tcPr>
            <w:tcW w:w="1620" w:type="dxa"/>
            <w:vMerge w:val="restart"/>
            <w:tcBorders>
              <w:top w:val="nil"/>
              <w:left w:val="nil"/>
              <w:bottom w:val="single" w:sz="4" w:space="0" w:color="auto"/>
              <w:right w:val="single" w:sz="4" w:space="0" w:color="auto"/>
            </w:tcBorders>
            <w:shd w:val="clear" w:color="000000" w:fill="D9E1F2"/>
            <w:hideMark/>
          </w:tcPr>
          <w:p w14:paraId="7FD8C76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Types of knowledge (actors)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3A66C54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Learning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13AA6526" w14:textId="6A225C31"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0AF7131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B2B9D63"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F2C6A1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tcBorders>
              <w:top w:val="nil"/>
              <w:left w:val="single" w:sz="4" w:space="0" w:color="auto"/>
              <w:bottom w:val="single" w:sz="4" w:space="0" w:color="000000"/>
              <w:right w:val="single" w:sz="4" w:space="0" w:color="auto"/>
            </w:tcBorders>
            <w:vAlign w:val="center"/>
            <w:hideMark/>
          </w:tcPr>
          <w:p w14:paraId="0E004A9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1620" w:type="dxa"/>
            <w:vMerge/>
            <w:tcBorders>
              <w:top w:val="nil"/>
              <w:left w:val="nil"/>
              <w:bottom w:val="single" w:sz="4" w:space="0" w:color="auto"/>
              <w:right w:val="single" w:sz="4" w:space="0" w:color="auto"/>
            </w:tcBorders>
            <w:vAlign w:val="center"/>
            <w:hideMark/>
          </w:tcPr>
          <w:p w14:paraId="3C3B38A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6FA6EA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10732D9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tcBorders>
              <w:top w:val="nil"/>
              <w:left w:val="nil"/>
              <w:bottom w:val="nil"/>
              <w:right w:val="nil"/>
            </w:tcBorders>
            <w:shd w:val="clear" w:color="auto" w:fill="auto"/>
            <w:noWrap/>
            <w:vAlign w:val="bottom"/>
            <w:hideMark/>
          </w:tcPr>
          <w:p w14:paraId="2DA9EE66" w14:textId="77777777" w:rsidR="0057040C" w:rsidRPr="00D82287" w:rsidRDefault="0057040C" w:rsidP="00FC49C9">
            <w:pPr>
              <w:jc w:val="center"/>
              <w:rPr>
                <w:rFonts w:ascii="Calibri" w:eastAsia="Times New Roman" w:hAnsi="Calibri" w:cs="Calibri"/>
                <w:color w:val="000000"/>
                <w:kern w:val="0"/>
                <w:sz w:val="22"/>
                <w:szCs w:val="22"/>
                <w:lang w:eastAsia="en-GB"/>
                <w14:ligatures w14:val="none"/>
              </w:rPr>
            </w:pPr>
          </w:p>
        </w:tc>
      </w:tr>
      <w:tr w:rsidR="0057040C" w:rsidRPr="00D67367" w14:paraId="28BC4699"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0341D31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val="restart"/>
            <w:tcBorders>
              <w:top w:val="nil"/>
              <w:left w:val="single" w:sz="4" w:space="0" w:color="auto"/>
              <w:bottom w:val="single" w:sz="4" w:space="0" w:color="000000"/>
              <w:right w:val="single" w:sz="4" w:space="0" w:color="auto"/>
            </w:tcBorders>
            <w:shd w:val="clear" w:color="000000" w:fill="FFFFFF"/>
            <w:hideMark/>
          </w:tcPr>
          <w:p w14:paraId="041BEC3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14.           </w:t>
            </w:r>
            <w:r w:rsidRPr="00D82287">
              <w:rPr>
                <w:rFonts w:ascii="Calibri" w:eastAsia="Times New Roman" w:hAnsi="Calibri" w:cs="Calibri"/>
                <w:b/>
                <w:bCs/>
                <w:color w:val="000000"/>
                <w:kern w:val="0"/>
                <w:sz w:val="20"/>
                <w:szCs w:val="20"/>
                <w:lang w:eastAsia="en-GB"/>
                <w14:ligatures w14:val="none"/>
              </w:rPr>
              <w:t>Who are knowledge partners of the actors?</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auto" w:fill="auto"/>
            <w:hideMark/>
          </w:tcPr>
          <w:p w14:paraId="3E42D5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Knowledge partners (actors)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2510D3B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Learning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11960C50" w14:textId="4337B88A"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446318D4"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CCB3966"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9ED1D4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tcBorders>
              <w:top w:val="nil"/>
              <w:left w:val="single" w:sz="4" w:space="0" w:color="auto"/>
              <w:bottom w:val="single" w:sz="4" w:space="0" w:color="000000"/>
              <w:right w:val="single" w:sz="4" w:space="0" w:color="auto"/>
            </w:tcBorders>
            <w:vAlign w:val="center"/>
            <w:hideMark/>
          </w:tcPr>
          <w:p w14:paraId="548709E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1620" w:type="dxa"/>
            <w:vMerge/>
            <w:tcBorders>
              <w:top w:val="nil"/>
              <w:left w:val="nil"/>
              <w:bottom w:val="single" w:sz="4" w:space="0" w:color="auto"/>
              <w:right w:val="single" w:sz="4" w:space="0" w:color="auto"/>
            </w:tcBorders>
            <w:vAlign w:val="center"/>
            <w:hideMark/>
          </w:tcPr>
          <w:p w14:paraId="5B92C57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8AF5AE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6A3FFC0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tcBorders>
              <w:top w:val="nil"/>
              <w:left w:val="nil"/>
              <w:bottom w:val="nil"/>
              <w:right w:val="nil"/>
            </w:tcBorders>
            <w:shd w:val="clear" w:color="auto" w:fill="auto"/>
            <w:noWrap/>
            <w:vAlign w:val="bottom"/>
            <w:hideMark/>
          </w:tcPr>
          <w:p w14:paraId="33B39E43" w14:textId="77777777" w:rsidR="0057040C" w:rsidRPr="00D82287" w:rsidRDefault="0057040C" w:rsidP="00FC49C9">
            <w:pPr>
              <w:jc w:val="center"/>
              <w:rPr>
                <w:rFonts w:ascii="Calibri" w:eastAsia="Times New Roman" w:hAnsi="Calibri" w:cs="Calibri"/>
                <w:color w:val="000000"/>
                <w:kern w:val="0"/>
                <w:sz w:val="22"/>
                <w:szCs w:val="22"/>
                <w:lang w:eastAsia="en-GB"/>
                <w14:ligatures w14:val="none"/>
              </w:rPr>
            </w:pPr>
          </w:p>
        </w:tc>
      </w:tr>
      <w:tr w:rsidR="0057040C" w:rsidRPr="00D67367" w14:paraId="53966B8C" w14:textId="77777777" w:rsidTr="0057040C">
        <w:trPr>
          <w:trHeight w:val="590"/>
        </w:trPr>
        <w:tc>
          <w:tcPr>
            <w:tcW w:w="646" w:type="dxa"/>
            <w:vMerge/>
            <w:tcBorders>
              <w:top w:val="nil"/>
              <w:left w:val="single" w:sz="4" w:space="0" w:color="auto"/>
              <w:bottom w:val="single" w:sz="4" w:space="0" w:color="000000"/>
              <w:right w:val="single" w:sz="4" w:space="0" w:color="auto"/>
            </w:tcBorders>
            <w:vAlign w:val="center"/>
            <w:hideMark/>
          </w:tcPr>
          <w:p w14:paraId="6B65B55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513D712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15.           </w:t>
            </w:r>
            <w:r w:rsidRPr="00D82287">
              <w:rPr>
                <w:rFonts w:ascii="Calibri" w:eastAsia="Times New Roman" w:hAnsi="Calibri" w:cs="Calibri"/>
                <w:b/>
                <w:bCs/>
                <w:color w:val="000000"/>
                <w:kern w:val="0"/>
                <w:sz w:val="20"/>
                <w:szCs w:val="20"/>
                <w:lang w:eastAsia="en-GB"/>
                <w14:ligatures w14:val="none"/>
              </w:rPr>
              <w:t>What is the motivation of the initiator? </w:t>
            </w:r>
            <w:r w:rsidRPr="00D82287">
              <w:rPr>
                <w:rFonts w:ascii="Calibri" w:eastAsia="Times New Roman" w:hAnsi="Calibri" w:cs="Calibri"/>
                <w:color w:val="000000"/>
                <w:kern w:val="0"/>
                <w:sz w:val="20"/>
                <w:szCs w:val="20"/>
                <w:lang w:eastAsia="en-GB"/>
                <w14:ligatures w14:val="none"/>
              </w:rPr>
              <w:t> </w:t>
            </w:r>
          </w:p>
        </w:tc>
        <w:tc>
          <w:tcPr>
            <w:tcW w:w="1620" w:type="dxa"/>
            <w:tcBorders>
              <w:top w:val="nil"/>
              <w:left w:val="nil"/>
              <w:bottom w:val="single" w:sz="4" w:space="0" w:color="auto"/>
              <w:right w:val="single" w:sz="4" w:space="0" w:color="auto"/>
            </w:tcBorders>
            <w:shd w:val="clear" w:color="000000" w:fill="D9E1F2"/>
            <w:hideMark/>
          </w:tcPr>
          <w:p w14:paraId="3D2ACD7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Initiator motivation </w:t>
            </w:r>
          </w:p>
        </w:tc>
        <w:tc>
          <w:tcPr>
            <w:tcW w:w="2320" w:type="dxa"/>
            <w:tcBorders>
              <w:top w:val="nil"/>
              <w:left w:val="nil"/>
              <w:bottom w:val="single" w:sz="4" w:space="0" w:color="auto"/>
              <w:right w:val="single" w:sz="4" w:space="0" w:color="auto"/>
            </w:tcBorders>
            <w:shd w:val="clear" w:color="000000" w:fill="D9E1F2"/>
            <w:hideMark/>
          </w:tcPr>
          <w:p w14:paraId="2E19487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Motivation </w:t>
            </w:r>
          </w:p>
        </w:tc>
        <w:tc>
          <w:tcPr>
            <w:tcW w:w="2514" w:type="dxa"/>
            <w:tcBorders>
              <w:top w:val="nil"/>
              <w:left w:val="nil"/>
              <w:bottom w:val="single" w:sz="4" w:space="0" w:color="auto"/>
              <w:right w:val="single" w:sz="4" w:space="0" w:color="auto"/>
            </w:tcBorders>
            <w:shd w:val="clear" w:color="000000" w:fill="D9E1F2"/>
            <w:noWrap/>
            <w:hideMark/>
          </w:tcPr>
          <w:p w14:paraId="1AFCD458" w14:textId="4BAF5FD2"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706AFDC5"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B329E7A"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CA8B2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7934D4BA" w14:textId="1542987B"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16.           </w:t>
            </w:r>
            <w:r w:rsidRPr="00D82287">
              <w:rPr>
                <w:rFonts w:ascii="Calibri" w:eastAsia="Times New Roman" w:hAnsi="Calibri" w:cs="Calibri"/>
                <w:b/>
                <w:bCs/>
                <w:color w:val="000000"/>
                <w:kern w:val="0"/>
                <w:sz w:val="20"/>
                <w:szCs w:val="20"/>
                <w:lang w:eastAsia="en-GB"/>
                <w14:ligatures w14:val="none"/>
              </w:rPr>
              <w:t xml:space="preserve">What brings this coalition together?  </w:t>
            </w:r>
            <w:r w:rsidRPr="00D82287">
              <w:rPr>
                <w:rFonts w:ascii="Calibri" w:eastAsia="Times New Roman" w:hAnsi="Calibri" w:cs="Calibri"/>
                <w:color w:val="000000"/>
                <w:kern w:val="0"/>
                <w:sz w:val="20"/>
                <w:szCs w:val="20"/>
                <w:lang w:eastAsia="en-GB"/>
                <w14:ligatures w14:val="none"/>
              </w:rPr>
              <w:t>(Grayson</w:t>
            </w:r>
            <w:r w:rsidR="00DA7334" w:rsidRPr="00D82287">
              <w:rPr>
                <w:rFonts w:ascii="Calibri" w:eastAsia="Times New Roman" w:hAnsi="Calibri" w:cs="Calibri"/>
                <w:color w:val="000000"/>
                <w:kern w:val="0"/>
                <w:sz w:val="20"/>
                <w:szCs w:val="20"/>
                <w:lang w:eastAsia="en-GB"/>
                <w14:ligatures w14:val="none"/>
              </w:rPr>
              <w:t xml:space="preserve"> and Nelson</w:t>
            </w:r>
            <w:r w:rsidRPr="00D82287">
              <w:rPr>
                <w:rFonts w:ascii="Calibri" w:eastAsia="Times New Roman" w:hAnsi="Calibri" w:cs="Calibri"/>
                <w:color w:val="000000"/>
                <w:kern w:val="0"/>
                <w:sz w:val="20"/>
                <w:szCs w:val="20"/>
                <w:lang w:eastAsia="en-GB"/>
                <w14:ligatures w14:val="none"/>
              </w:rPr>
              <w:t xml:space="preserve"> 2013) </w:t>
            </w:r>
          </w:p>
        </w:tc>
        <w:tc>
          <w:tcPr>
            <w:tcW w:w="1620" w:type="dxa"/>
            <w:vMerge w:val="restart"/>
            <w:tcBorders>
              <w:top w:val="nil"/>
              <w:left w:val="nil"/>
              <w:bottom w:val="single" w:sz="4" w:space="0" w:color="auto"/>
              <w:right w:val="single" w:sz="4" w:space="0" w:color="auto"/>
            </w:tcBorders>
            <w:shd w:val="clear" w:color="auto" w:fill="auto"/>
            <w:hideMark/>
          </w:tcPr>
          <w:p w14:paraId="7AD1D3B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Reasons for cooperation (coalition)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5EB4D05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Motivation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59A9ECAD" w14:textId="21FBE564"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66E99CD6"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7F16688" w14:textId="77777777" w:rsidTr="00DA7334">
        <w:trPr>
          <w:trHeight w:val="206"/>
        </w:trPr>
        <w:tc>
          <w:tcPr>
            <w:tcW w:w="646" w:type="dxa"/>
            <w:vMerge/>
            <w:tcBorders>
              <w:top w:val="nil"/>
              <w:left w:val="single" w:sz="4" w:space="0" w:color="auto"/>
              <w:bottom w:val="single" w:sz="4" w:space="0" w:color="000000"/>
              <w:right w:val="single" w:sz="4" w:space="0" w:color="auto"/>
            </w:tcBorders>
            <w:vAlign w:val="center"/>
            <w:hideMark/>
          </w:tcPr>
          <w:p w14:paraId="4FF674E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4FD26C2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568C684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389C15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36CAF40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22FFBC8E"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10348C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2F74C2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78CBB412" w14:textId="08F6EDCB"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E</w:t>
            </w:r>
            <w:r w:rsidR="000C4B4C" w:rsidRPr="00D82287">
              <w:rPr>
                <w:rFonts w:ascii="Calibri" w:eastAsia="Times New Roman" w:hAnsi="Calibri" w:cs="Calibri"/>
                <w:color w:val="000000"/>
                <w:kern w:val="0"/>
                <w:sz w:val="20"/>
                <w:szCs w:val="20"/>
                <w:lang w:eastAsia="en-GB"/>
                <w14:ligatures w14:val="none"/>
              </w:rPr>
              <w:t>.</w:t>
            </w:r>
            <w:r w:rsidRPr="00D82287">
              <w:rPr>
                <w:rFonts w:ascii="Calibri" w:eastAsia="Times New Roman" w:hAnsi="Calibri" w:cs="Calibri"/>
                <w:color w:val="000000"/>
                <w:kern w:val="0"/>
                <w:sz w:val="20"/>
                <w:szCs w:val="20"/>
                <w:lang w:eastAsia="en-GB"/>
                <w14:ligatures w14:val="none"/>
              </w:rPr>
              <w:t xml:space="preserve">g. “Fashion pact” coalition </w:t>
            </w:r>
            <w:r w:rsidRPr="00D82287">
              <w:rPr>
                <w:rFonts w:ascii="Calibri" w:eastAsia="Times New Roman" w:hAnsi="Calibri" w:cs="Calibri"/>
                <w:b/>
                <w:bCs/>
                <w:color w:val="000000"/>
                <w:kern w:val="0"/>
                <w:sz w:val="20"/>
                <w:szCs w:val="20"/>
                <w:lang w:eastAsia="en-GB"/>
                <w14:ligatures w14:val="none"/>
              </w:rPr>
              <w:t>share the same challenge</w:t>
            </w:r>
            <w:r w:rsidRPr="00D82287">
              <w:rPr>
                <w:rFonts w:ascii="Calibri" w:eastAsia="Times New Roman" w:hAnsi="Calibri" w:cs="Calibri"/>
                <w:color w:val="000000"/>
                <w:kern w:val="0"/>
                <w:sz w:val="20"/>
                <w:szCs w:val="20"/>
                <w:lang w:eastAsia="en-GB"/>
                <w14:ligatures w14:val="none"/>
              </w:rPr>
              <w:t xml:space="preserve"> ( the companies are actually competitors) VS the “Global alliance for the future of food” philanthropic organization coalition´s members </w:t>
            </w:r>
            <w:r w:rsidRPr="00D82287">
              <w:rPr>
                <w:rFonts w:ascii="Calibri" w:eastAsia="Times New Roman" w:hAnsi="Calibri" w:cs="Calibri"/>
                <w:b/>
                <w:bCs/>
                <w:color w:val="000000"/>
                <w:kern w:val="0"/>
                <w:sz w:val="20"/>
                <w:szCs w:val="20"/>
                <w:lang w:eastAsia="en-GB"/>
                <w14:ligatures w14:val="none"/>
              </w:rPr>
              <w:t>share values</w:t>
            </w:r>
            <w:r w:rsidRPr="00D82287">
              <w:rPr>
                <w:rFonts w:ascii="Calibri" w:eastAsia="Times New Roman" w:hAnsi="Calibri" w:cs="Calibri"/>
                <w:color w:val="000000"/>
                <w:kern w:val="0"/>
                <w:sz w:val="20"/>
                <w:szCs w:val="20"/>
                <w:lang w:eastAsia="en-GB"/>
                <w14:ligatures w14:val="none"/>
              </w:rPr>
              <w:t xml:space="preserve"> VS the “SOS - investing in Ocean futures” members that </w:t>
            </w:r>
            <w:r w:rsidRPr="00D82287">
              <w:rPr>
                <w:rFonts w:ascii="Calibri" w:eastAsia="Times New Roman" w:hAnsi="Calibri" w:cs="Calibri"/>
                <w:b/>
                <w:bCs/>
                <w:color w:val="000000"/>
                <w:kern w:val="0"/>
                <w:sz w:val="20"/>
                <w:szCs w:val="20"/>
                <w:lang w:eastAsia="en-GB"/>
                <w14:ligatures w14:val="none"/>
              </w:rPr>
              <w:t>share an interest</w:t>
            </w:r>
            <w:r w:rsidRPr="00D82287">
              <w:rPr>
                <w:rFonts w:ascii="Calibri" w:eastAsia="Times New Roman" w:hAnsi="Calibri" w:cs="Calibri"/>
                <w:color w:val="000000"/>
                <w:kern w:val="0"/>
                <w:sz w:val="20"/>
                <w:szCs w:val="20"/>
                <w:lang w:eastAsia="en-GB"/>
                <w14:ligatures w14:val="none"/>
              </w:rPr>
              <w:t xml:space="preserve"> in the ocean and its resources.  </w:t>
            </w:r>
          </w:p>
        </w:tc>
        <w:tc>
          <w:tcPr>
            <w:tcW w:w="1620" w:type="dxa"/>
            <w:vMerge/>
            <w:tcBorders>
              <w:top w:val="nil"/>
              <w:left w:val="nil"/>
              <w:bottom w:val="single" w:sz="4" w:space="0" w:color="auto"/>
              <w:right w:val="single" w:sz="4" w:space="0" w:color="auto"/>
            </w:tcBorders>
            <w:vAlign w:val="center"/>
            <w:hideMark/>
          </w:tcPr>
          <w:p w14:paraId="39C819B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C90439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57E198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1A70F5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454AFB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60BD68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58E672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17.           </w:t>
            </w:r>
            <w:r w:rsidRPr="00D82287">
              <w:rPr>
                <w:rFonts w:ascii="Calibri" w:eastAsia="Times New Roman" w:hAnsi="Calibri" w:cs="Calibri"/>
                <w:b/>
                <w:bCs/>
                <w:color w:val="000000"/>
                <w:kern w:val="0"/>
                <w:sz w:val="20"/>
                <w:szCs w:val="20"/>
                <w:lang w:eastAsia="en-GB"/>
                <w14:ligatures w14:val="none"/>
              </w:rPr>
              <w:t> Why now? What are the reasons behind their recent mobilization? </w:t>
            </w:r>
            <w:r w:rsidRPr="00D82287">
              <w:rPr>
                <w:rFonts w:ascii="Calibri" w:eastAsia="Times New Roman" w:hAnsi="Calibri" w:cs="Calibri"/>
                <w:color w:val="000000"/>
                <w:kern w:val="0"/>
                <w:sz w:val="20"/>
                <w:szCs w:val="20"/>
                <w:lang w:eastAsia="en-GB"/>
                <w14:ligatures w14:val="none"/>
              </w:rPr>
              <w:t xml:space="preserve"> (Grayson and Nelson, 2013) </w:t>
            </w:r>
          </w:p>
        </w:tc>
        <w:tc>
          <w:tcPr>
            <w:tcW w:w="1620" w:type="dxa"/>
            <w:tcBorders>
              <w:top w:val="nil"/>
              <w:left w:val="nil"/>
              <w:bottom w:val="single" w:sz="4" w:space="0" w:color="auto"/>
              <w:right w:val="single" w:sz="4" w:space="0" w:color="auto"/>
            </w:tcBorders>
            <w:shd w:val="clear" w:color="000000" w:fill="D9E1F2"/>
            <w:hideMark/>
          </w:tcPr>
          <w:p w14:paraId="1BB2F6C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Reasons for mobilization </w:t>
            </w:r>
          </w:p>
        </w:tc>
        <w:tc>
          <w:tcPr>
            <w:tcW w:w="2320" w:type="dxa"/>
            <w:tcBorders>
              <w:top w:val="nil"/>
              <w:left w:val="nil"/>
              <w:bottom w:val="single" w:sz="4" w:space="0" w:color="auto"/>
              <w:right w:val="single" w:sz="4" w:space="0" w:color="auto"/>
            </w:tcBorders>
            <w:shd w:val="clear" w:color="000000" w:fill="D9E1F2"/>
            <w:hideMark/>
          </w:tcPr>
          <w:p w14:paraId="3BB1184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Motivation  </w:t>
            </w:r>
          </w:p>
        </w:tc>
        <w:tc>
          <w:tcPr>
            <w:tcW w:w="2514" w:type="dxa"/>
            <w:tcBorders>
              <w:top w:val="nil"/>
              <w:left w:val="nil"/>
              <w:bottom w:val="single" w:sz="4" w:space="0" w:color="auto"/>
              <w:right w:val="single" w:sz="4" w:space="0" w:color="auto"/>
            </w:tcBorders>
            <w:shd w:val="clear" w:color="000000" w:fill="D9E1F2"/>
            <w:noWrap/>
            <w:hideMark/>
          </w:tcPr>
          <w:p w14:paraId="13FCAD7E" w14:textId="579BE898"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5F986482"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E402E8E"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FE6975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A7792E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18.           </w:t>
            </w:r>
            <w:r w:rsidRPr="00D82287">
              <w:rPr>
                <w:rFonts w:ascii="Calibri" w:eastAsia="Times New Roman" w:hAnsi="Calibri" w:cs="Calibri"/>
                <w:b/>
                <w:bCs/>
                <w:color w:val="000000"/>
                <w:kern w:val="0"/>
                <w:sz w:val="20"/>
                <w:szCs w:val="20"/>
                <w:lang w:eastAsia="en-GB"/>
                <w14:ligatures w14:val="none"/>
              </w:rPr>
              <w:t>Does the coalition publically report on their progress?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auto" w:fill="auto"/>
            <w:hideMark/>
          </w:tcPr>
          <w:p w14:paraId="284C564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Progress reporting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1395D26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Monitoring  </w:t>
            </w:r>
          </w:p>
        </w:tc>
        <w:tc>
          <w:tcPr>
            <w:tcW w:w="2514" w:type="dxa"/>
            <w:vMerge w:val="restart"/>
            <w:tcBorders>
              <w:top w:val="nil"/>
              <w:left w:val="single" w:sz="4" w:space="0" w:color="auto"/>
              <w:bottom w:val="single" w:sz="4" w:space="0" w:color="000000"/>
              <w:right w:val="single" w:sz="4" w:space="0" w:color="auto"/>
            </w:tcBorders>
            <w:shd w:val="clear" w:color="auto" w:fill="auto"/>
            <w:hideMark/>
          </w:tcPr>
          <w:p w14:paraId="75B4BA1D"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1= Yes</w:t>
            </w:r>
            <w:r w:rsidRPr="00D82287">
              <w:rPr>
                <w:rFonts w:ascii="Calibri" w:eastAsia="Times New Roman" w:hAnsi="Calibri" w:cs="Calibri"/>
                <w:color w:val="000000"/>
                <w:kern w:val="0"/>
                <w:sz w:val="20"/>
                <w:szCs w:val="20"/>
                <w:lang w:eastAsia="en-GB"/>
                <w14:ligatures w14:val="none"/>
              </w:rPr>
              <w:br/>
              <w:t>0= No or NA</w:t>
            </w:r>
          </w:p>
        </w:tc>
        <w:tc>
          <w:tcPr>
            <w:tcW w:w="808" w:type="dxa"/>
            <w:vAlign w:val="center"/>
            <w:hideMark/>
          </w:tcPr>
          <w:p w14:paraId="3154D37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A617D34" w14:textId="77777777" w:rsidTr="0057040C">
        <w:trPr>
          <w:trHeight w:val="450"/>
        </w:trPr>
        <w:tc>
          <w:tcPr>
            <w:tcW w:w="646" w:type="dxa"/>
            <w:vMerge/>
            <w:tcBorders>
              <w:top w:val="nil"/>
              <w:left w:val="single" w:sz="4" w:space="0" w:color="auto"/>
              <w:bottom w:val="single" w:sz="4" w:space="0" w:color="000000"/>
              <w:right w:val="single" w:sz="4" w:space="0" w:color="auto"/>
            </w:tcBorders>
            <w:vAlign w:val="center"/>
            <w:hideMark/>
          </w:tcPr>
          <w:p w14:paraId="1F46C04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71D45A3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Check for annual reports, progress/impact reports </w:t>
            </w:r>
          </w:p>
        </w:tc>
        <w:tc>
          <w:tcPr>
            <w:tcW w:w="1620" w:type="dxa"/>
            <w:vMerge/>
            <w:tcBorders>
              <w:top w:val="nil"/>
              <w:left w:val="nil"/>
              <w:bottom w:val="single" w:sz="4" w:space="0" w:color="auto"/>
              <w:right w:val="single" w:sz="4" w:space="0" w:color="auto"/>
            </w:tcBorders>
            <w:vAlign w:val="center"/>
            <w:hideMark/>
          </w:tcPr>
          <w:p w14:paraId="7A96CA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5D314B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000000"/>
              <w:right w:val="single" w:sz="4" w:space="0" w:color="auto"/>
            </w:tcBorders>
            <w:vAlign w:val="center"/>
            <w:hideMark/>
          </w:tcPr>
          <w:p w14:paraId="0DCF8EC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EA4FBEC"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29A12D0" w14:textId="77777777" w:rsidTr="0057040C">
        <w:trPr>
          <w:trHeight w:val="830"/>
        </w:trPr>
        <w:tc>
          <w:tcPr>
            <w:tcW w:w="646" w:type="dxa"/>
            <w:vMerge/>
            <w:tcBorders>
              <w:top w:val="nil"/>
              <w:left w:val="single" w:sz="4" w:space="0" w:color="auto"/>
              <w:bottom w:val="single" w:sz="4" w:space="0" w:color="000000"/>
              <w:right w:val="single" w:sz="4" w:space="0" w:color="auto"/>
            </w:tcBorders>
            <w:vAlign w:val="center"/>
            <w:hideMark/>
          </w:tcPr>
          <w:p w14:paraId="190D001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23AD1B9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19.           </w:t>
            </w:r>
            <w:r w:rsidRPr="00D82287">
              <w:rPr>
                <w:rFonts w:ascii="Calibri" w:eastAsia="Times New Roman" w:hAnsi="Calibri" w:cs="Calibri"/>
                <w:b/>
                <w:bCs/>
                <w:color w:val="000000"/>
                <w:kern w:val="0"/>
                <w:sz w:val="20"/>
                <w:szCs w:val="20"/>
                <w:lang w:eastAsia="en-GB"/>
                <w14:ligatures w14:val="none"/>
              </w:rPr>
              <w:t>Who is monitoring the progress of the coalition? </w:t>
            </w:r>
            <w:r w:rsidRPr="00D82287">
              <w:rPr>
                <w:rFonts w:ascii="Calibri" w:eastAsia="Times New Roman" w:hAnsi="Calibri" w:cs="Calibri"/>
                <w:color w:val="000000"/>
                <w:kern w:val="0"/>
                <w:sz w:val="20"/>
                <w:szCs w:val="20"/>
                <w:lang w:eastAsia="en-GB"/>
                <w14:ligatures w14:val="none"/>
              </w:rPr>
              <w:t xml:space="preserve"> (third party, coalition member, coalition leaders?)  </w:t>
            </w:r>
          </w:p>
        </w:tc>
        <w:tc>
          <w:tcPr>
            <w:tcW w:w="1620" w:type="dxa"/>
            <w:tcBorders>
              <w:top w:val="nil"/>
              <w:left w:val="nil"/>
              <w:bottom w:val="single" w:sz="4" w:space="0" w:color="auto"/>
              <w:right w:val="single" w:sz="4" w:space="0" w:color="auto"/>
            </w:tcBorders>
            <w:shd w:val="clear" w:color="000000" w:fill="D9E1F2"/>
            <w:hideMark/>
          </w:tcPr>
          <w:p w14:paraId="4308935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Progress Monitoring </w:t>
            </w:r>
          </w:p>
        </w:tc>
        <w:tc>
          <w:tcPr>
            <w:tcW w:w="2320" w:type="dxa"/>
            <w:tcBorders>
              <w:top w:val="nil"/>
              <w:left w:val="nil"/>
              <w:bottom w:val="single" w:sz="4" w:space="0" w:color="auto"/>
              <w:right w:val="single" w:sz="4" w:space="0" w:color="auto"/>
            </w:tcBorders>
            <w:shd w:val="clear" w:color="000000" w:fill="D9E1F2"/>
            <w:hideMark/>
          </w:tcPr>
          <w:p w14:paraId="3B09A43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Monitoring  </w:t>
            </w:r>
          </w:p>
        </w:tc>
        <w:tc>
          <w:tcPr>
            <w:tcW w:w="2514" w:type="dxa"/>
            <w:tcBorders>
              <w:top w:val="nil"/>
              <w:left w:val="nil"/>
              <w:bottom w:val="single" w:sz="4" w:space="0" w:color="auto"/>
              <w:right w:val="single" w:sz="4" w:space="0" w:color="auto"/>
            </w:tcBorders>
            <w:shd w:val="clear" w:color="000000" w:fill="D9E1F2"/>
            <w:noWrap/>
            <w:hideMark/>
          </w:tcPr>
          <w:p w14:paraId="7BED6E26" w14:textId="13370310"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5EA7B365"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37D2BE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BD0AFB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7FD9769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20.           </w:t>
            </w:r>
            <w:r w:rsidRPr="00D82287">
              <w:rPr>
                <w:rFonts w:ascii="Calibri" w:eastAsia="Times New Roman" w:hAnsi="Calibri" w:cs="Calibri"/>
                <w:b/>
                <w:bCs/>
                <w:color w:val="000000"/>
                <w:kern w:val="0"/>
                <w:sz w:val="20"/>
                <w:szCs w:val="20"/>
                <w:lang w:eastAsia="en-GB"/>
                <w14:ligatures w14:val="none"/>
              </w:rPr>
              <w:t>What is the current development of the coalition, when did it start (year)?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nil"/>
            </w:tcBorders>
            <w:shd w:val="clear" w:color="auto" w:fill="auto"/>
            <w:hideMark/>
          </w:tcPr>
          <w:p w14:paraId="54A8880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Scale (temporal)  </w:t>
            </w:r>
          </w:p>
        </w:tc>
        <w:tc>
          <w:tcPr>
            <w:tcW w:w="2320" w:type="dxa"/>
            <w:tcBorders>
              <w:top w:val="nil"/>
              <w:left w:val="single" w:sz="4" w:space="0" w:color="auto"/>
              <w:bottom w:val="nil"/>
              <w:right w:val="single" w:sz="4" w:space="0" w:color="auto"/>
            </w:tcBorders>
            <w:shd w:val="clear" w:color="auto" w:fill="auto"/>
            <w:hideMark/>
          </w:tcPr>
          <w:p w14:paraId="60766AE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Scale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39EFDFE8" w14:textId="407D293F" w:rsidR="0057040C" w:rsidRPr="00D82287" w:rsidRDefault="00F10132"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numerical</w:t>
            </w:r>
          </w:p>
        </w:tc>
        <w:tc>
          <w:tcPr>
            <w:tcW w:w="808" w:type="dxa"/>
            <w:vAlign w:val="center"/>
            <w:hideMark/>
          </w:tcPr>
          <w:p w14:paraId="426DA5C4"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F20EE4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40A966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2DFC7AE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Aim to understand how well-established the coalition is, find starting year </w:t>
            </w:r>
          </w:p>
        </w:tc>
        <w:tc>
          <w:tcPr>
            <w:tcW w:w="1620" w:type="dxa"/>
            <w:vMerge/>
            <w:tcBorders>
              <w:top w:val="nil"/>
              <w:left w:val="nil"/>
              <w:bottom w:val="single" w:sz="4" w:space="0" w:color="auto"/>
              <w:right w:val="nil"/>
            </w:tcBorders>
            <w:vAlign w:val="center"/>
            <w:hideMark/>
          </w:tcPr>
          <w:p w14:paraId="4A0316E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nil"/>
              <w:right w:val="single" w:sz="4" w:space="0" w:color="auto"/>
            </w:tcBorders>
            <w:shd w:val="clear" w:color="auto" w:fill="auto"/>
            <w:hideMark/>
          </w:tcPr>
          <w:p w14:paraId="73927DD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*Selection criteria </w:t>
            </w:r>
          </w:p>
        </w:tc>
        <w:tc>
          <w:tcPr>
            <w:tcW w:w="2514" w:type="dxa"/>
            <w:vMerge/>
            <w:tcBorders>
              <w:top w:val="nil"/>
              <w:left w:val="single" w:sz="4" w:space="0" w:color="auto"/>
              <w:bottom w:val="single" w:sz="4" w:space="0" w:color="auto"/>
              <w:right w:val="single" w:sz="4" w:space="0" w:color="auto"/>
            </w:tcBorders>
            <w:vAlign w:val="center"/>
            <w:hideMark/>
          </w:tcPr>
          <w:p w14:paraId="55F2D72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035E862"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5646CA8" w14:textId="77777777" w:rsidTr="000C4B4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D625BE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275938E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nil"/>
            </w:tcBorders>
            <w:vAlign w:val="center"/>
            <w:hideMark/>
          </w:tcPr>
          <w:p w14:paraId="24E7A80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single" w:sz="4" w:space="0" w:color="auto"/>
              <w:right w:val="single" w:sz="4" w:space="0" w:color="auto"/>
            </w:tcBorders>
            <w:shd w:val="clear" w:color="auto" w:fill="auto"/>
            <w:hideMark/>
          </w:tcPr>
          <w:p w14:paraId="6625759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tcBorders>
              <w:top w:val="nil"/>
              <w:left w:val="single" w:sz="4" w:space="0" w:color="auto"/>
              <w:bottom w:val="single" w:sz="4" w:space="0" w:color="auto"/>
              <w:right w:val="single" w:sz="4" w:space="0" w:color="auto"/>
            </w:tcBorders>
            <w:vAlign w:val="center"/>
            <w:hideMark/>
          </w:tcPr>
          <w:p w14:paraId="461D47B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C564A11"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DB67915" w14:textId="77777777" w:rsidTr="000C4B4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8A933E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6176F6D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21.           </w:t>
            </w:r>
            <w:r w:rsidRPr="00D82287">
              <w:rPr>
                <w:rFonts w:ascii="Calibri" w:eastAsia="Times New Roman" w:hAnsi="Calibri" w:cs="Calibri"/>
                <w:b/>
                <w:bCs/>
                <w:color w:val="000000"/>
                <w:kern w:val="0"/>
                <w:sz w:val="20"/>
                <w:szCs w:val="20"/>
                <w:lang w:eastAsia="en-GB"/>
                <w14:ligatures w14:val="none"/>
              </w:rPr>
              <w:t>Is the coalition acting on the local or international level?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single" w:sz="4" w:space="0" w:color="auto"/>
              <w:left w:val="nil"/>
              <w:right w:val="nil"/>
            </w:tcBorders>
            <w:shd w:val="clear" w:color="000000" w:fill="D9E1F2"/>
            <w:hideMark/>
          </w:tcPr>
          <w:p w14:paraId="2BE8196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Scale (geographical) </w:t>
            </w:r>
          </w:p>
        </w:tc>
        <w:tc>
          <w:tcPr>
            <w:tcW w:w="2320" w:type="dxa"/>
            <w:tcBorders>
              <w:top w:val="nil"/>
              <w:left w:val="single" w:sz="4" w:space="0" w:color="auto"/>
              <w:bottom w:val="nil"/>
              <w:right w:val="single" w:sz="4" w:space="0" w:color="auto"/>
            </w:tcBorders>
            <w:shd w:val="clear" w:color="000000" w:fill="D9E1F2"/>
            <w:hideMark/>
          </w:tcPr>
          <w:p w14:paraId="02235DF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Scale  </w:t>
            </w:r>
          </w:p>
        </w:tc>
        <w:tc>
          <w:tcPr>
            <w:tcW w:w="2514" w:type="dxa"/>
            <w:vMerge w:val="restart"/>
            <w:tcBorders>
              <w:top w:val="single" w:sz="4" w:space="0" w:color="auto"/>
              <w:left w:val="single" w:sz="4" w:space="0" w:color="auto"/>
              <w:bottom w:val="single" w:sz="4" w:space="0" w:color="auto"/>
              <w:right w:val="single" w:sz="4" w:space="0" w:color="auto"/>
            </w:tcBorders>
            <w:shd w:val="clear" w:color="000000" w:fill="D9E1F2"/>
            <w:hideMark/>
          </w:tcPr>
          <w:p w14:paraId="21D85C2B" w14:textId="0DFD81F4"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 = cross-level (all levels) </w:t>
            </w:r>
            <w:r w:rsidRPr="00D82287">
              <w:rPr>
                <w:rFonts w:ascii="Calibri" w:eastAsia="Times New Roman" w:hAnsi="Calibri" w:cs="Calibri"/>
                <w:color w:val="000000"/>
                <w:kern w:val="0"/>
                <w:sz w:val="20"/>
                <w:szCs w:val="20"/>
                <w:lang w:eastAsia="en-GB"/>
                <w14:ligatures w14:val="none"/>
              </w:rPr>
              <w:br/>
              <w:t xml:space="preserve">1 = international / </w:t>
            </w:r>
            <w:r w:rsidR="000C4B4C" w:rsidRPr="00D82287">
              <w:rPr>
                <w:rFonts w:ascii="Calibri" w:eastAsia="Times New Roman" w:hAnsi="Calibri" w:cs="Calibri"/>
                <w:color w:val="000000"/>
                <w:kern w:val="0"/>
                <w:sz w:val="20"/>
                <w:szCs w:val="20"/>
                <w:lang w:eastAsia="en-GB"/>
                <w14:ligatures w14:val="none"/>
              </w:rPr>
              <w:lastRenderedPageBreak/>
              <w:t>supranational</w:t>
            </w:r>
            <w:r w:rsidR="000C4B4C" w:rsidRPr="00D82287">
              <w:rPr>
                <w:rFonts w:ascii="Calibri" w:eastAsia="Times New Roman" w:hAnsi="Calibri" w:cs="Calibri"/>
                <w:color w:val="000000"/>
                <w:kern w:val="0"/>
                <w:sz w:val="20"/>
                <w:szCs w:val="20"/>
                <w:lang w:eastAsia="en-GB"/>
                <w14:ligatures w14:val="none"/>
              </w:rPr>
              <w:br/>
              <w:t>0 = Local</w:t>
            </w:r>
          </w:p>
        </w:tc>
        <w:tc>
          <w:tcPr>
            <w:tcW w:w="808" w:type="dxa"/>
            <w:vAlign w:val="center"/>
            <w:hideMark/>
          </w:tcPr>
          <w:p w14:paraId="0454A12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287878E" w14:textId="77777777" w:rsidTr="000C4B4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C4FEB6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right w:val="single" w:sz="4" w:space="0" w:color="auto"/>
            </w:tcBorders>
            <w:shd w:val="clear" w:color="000000" w:fill="D9E1F2"/>
            <w:hideMark/>
          </w:tcPr>
          <w:p w14:paraId="36580A5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Geographic spread – generic, regional, global?   </w:t>
            </w:r>
          </w:p>
        </w:tc>
        <w:tc>
          <w:tcPr>
            <w:tcW w:w="1620" w:type="dxa"/>
            <w:vMerge/>
            <w:tcBorders>
              <w:top w:val="single" w:sz="4" w:space="0" w:color="auto"/>
              <w:left w:val="nil"/>
              <w:right w:val="nil"/>
            </w:tcBorders>
            <w:vAlign w:val="center"/>
            <w:hideMark/>
          </w:tcPr>
          <w:p w14:paraId="6A90D96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right w:val="single" w:sz="4" w:space="0" w:color="auto"/>
            </w:tcBorders>
            <w:shd w:val="clear" w:color="000000" w:fill="D9E1F2"/>
            <w:hideMark/>
          </w:tcPr>
          <w:p w14:paraId="51F1610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*Selection criteria </w:t>
            </w: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3423C86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5BCC9546"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7BBBE94" w14:textId="77777777" w:rsidTr="000C4B4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468265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right w:val="single" w:sz="4" w:space="0" w:color="auto"/>
            </w:tcBorders>
            <w:shd w:val="clear" w:color="000000" w:fill="D9E1F2"/>
            <w:hideMark/>
          </w:tcPr>
          <w:p w14:paraId="4677665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Mainly acting in Global North or Global South? </w:t>
            </w:r>
          </w:p>
        </w:tc>
        <w:tc>
          <w:tcPr>
            <w:tcW w:w="1620" w:type="dxa"/>
            <w:vMerge/>
            <w:tcBorders>
              <w:top w:val="single" w:sz="4" w:space="0" w:color="auto"/>
              <w:left w:val="nil"/>
              <w:right w:val="nil"/>
            </w:tcBorders>
            <w:vAlign w:val="center"/>
            <w:hideMark/>
          </w:tcPr>
          <w:p w14:paraId="6D9CE14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right w:val="single" w:sz="4" w:space="0" w:color="auto"/>
            </w:tcBorders>
            <w:shd w:val="clear" w:color="000000" w:fill="D9E1F2"/>
            <w:hideMark/>
          </w:tcPr>
          <w:p w14:paraId="367C49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5927F67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D28226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CEB2EE2" w14:textId="77777777" w:rsidTr="00D74E73">
        <w:trPr>
          <w:trHeight w:val="1170"/>
        </w:trPr>
        <w:tc>
          <w:tcPr>
            <w:tcW w:w="646" w:type="dxa"/>
            <w:vMerge/>
            <w:tcBorders>
              <w:top w:val="nil"/>
              <w:left w:val="single" w:sz="4" w:space="0" w:color="auto"/>
              <w:bottom w:val="single" w:sz="4" w:space="0" w:color="000000"/>
              <w:right w:val="single" w:sz="4" w:space="0" w:color="auto"/>
            </w:tcBorders>
            <w:vAlign w:val="center"/>
            <w:hideMark/>
          </w:tcPr>
          <w:p w14:paraId="388AF76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left w:val="single" w:sz="4" w:space="0" w:color="auto"/>
              <w:bottom w:val="single" w:sz="4" w:space="0" w:color="auto"/>
              <w:right w:val="single" w:sz="4" w:space="0" w:color="auto"/>
            </w:tcBorders>
            <w:shd w:val="clear" w:color="000000" w:fill="D9E1F2"/>
            <w:hideMark/>
          </w:tcPr>
          <w:p w14:paraId="10483AF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single" w:sz="4" w:space="0" w:color="auto"/>
              <w:left w:val="nil"/>
              <w:bottom w:val="single" w:sz="4" w:space="0" w:color="auto"/>
              <w:right w:val="nil"/>
            </w:tcBorders>
            <w:vAlign w:val="center"/>
            <w:hideMark/>
          </w:tcPr>
          <w:p w14:paraId="3E09DB9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left w:val="single" w:sz="4" w:space="0" w:color="auto"/>
              <w:bottom w:val="single" w:sz="4" w:space="0" w:color="auto"/>
              <w:right w:val="single" w:sz="4" w:space="0" w:color="auto"/>
            </w:tcBorders>
            <w:shd w:val="clear" w:color="000000" w:fill="D9E1F2"/>
            <w:hideMark/>
          </w:tcPr>
          <w:p w14:paraId="1B3AC20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3832053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1FE1EA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7DFB88F" w14:textId="77777777" w:rsidTr="00D74E73">
        <w:trPr>
          <w:trHeight w:val="570"/>
        </w:trPr>
        <w:tc>
          <w:tcPr>
            <w:tcW w:w="646" w:type="dxa"/>
            <w:vMerge/>
            <w:tcBorders>
              <w:top w:val="nil"/>
              <w:left w:val="single" w:sz="4" w:space="0" w:color="auto"/>
              <w:bottom w:val="single" w:sz="4" w:space="0" w:color="000000"/>
              <w:right w:val="single" w:sz="4" w:space="0" w:color="auto"/>
            </w:tcBorders>
            <w:vAlign w:val="center"/>
            <w:hideMark/>
          </w:tcPr>
          <w:p w14:paraId="257266C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193F169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22.           </w:t>
            </w:r>
            <w:r w:rsidRPr="00D82287">
              <w:rPr>
                <w:rFonts w:ascii="Calibri" w:eastAsia="Times New Roman" w:hAnsi="Calibri" w:cs="Calibri"/>
                <w:b/>
                <w:bCs/>
                <w:color w:val="000000"/>
                <w:kern w:val="0"/>
                <w:sz w:val="20"/>
                <w:szCs w:val="20"/>
                <w:lang w:eastAsia="en-GB"/>
                <w14:ligatures w14:val="none"/>
              </w:rPr>
              <w:t xml:space="preserve">Who is included in the coalitions board? </w:t>
            </w:r>
            <w:r w:rsidRPr="00D82287">
              <w:rPr>
                <w:rFonts w:ascii="Calibri" w:eastAsia="Times New Roman" w:hAnsi="Calibri" w:cs="Calibri"/>
                <w:color w:val="000000"/>
                <w:kern w:val="0"/>
                <w:sz w:val="20"/>
                <w:szCs w:val="20"/>
                <w:lang w:eastAsia="en-GB"/>
                <w14:ligatures w14:val="none"/>
              </w:rPr>
              <w:t>(Grayson and Nelson, 2013) </w:t>
            </w:r>
          </w:p>
        </w:tc>
        <w:tc>
          <w:tcPr>
            <w:tcW w:w="1620" w:type="dxa"/>
            <w:tcBorders>
              <w:top w:val="single" w:sz="4" w:space="0" w:color="auto"/>
              <w:left w:val="nil"/>
              <w:bottom w:val="single" w:sz="4" w:space="0" w:color="auto"/>
              <w:right w:val="single" w:sz="4" w:space="0" w:color="auto"/>
            </w:tcBorders>
            <w:shd w:val="clear" w:color="auto" w:fill="auto"/>
            <w:hideMark/>
          </w:tcPr>
          <w:p w14:paraId="245295D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Coalition board </w:t>
            </w:r>
          </w:p>
        </w:tc>
        <w:tc>
          <w:tcPr>
            <w:tcW w:w="2320" w:type="dxa"/>
            <w:tcBorders>
              <w:top w:val="nil"/>
              <w:left w:val="nil"/>
              <w:bottom w:val="single" w:sz="4" w:space="0" w:color="auto"/>
              <w:right w:val="single" w:sz="4" w:space="0" w:color="auto"/>
            </w:tcBorders>
            <w:shd w:val="clear" w:color="auto" w:fill="auto"/>
            <w:hideMark/>
          </w:tcPr>
          <w:p w14:paraId="0F4B440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Organization characteristics </w:t>
            </w:r>
          </w:p>
        </w:tc>
        <w:tc>
          <w:tcPr>
            <w:tcW w:w="2514" w:type="dxa"/>
            <w:tcBorders>
              <w:top w:val="single" w:sz="4" w:space="0" w:color="auto"/>
              <w:left w:val="nil"/>
              <w:bottom w:val="single" w:sz="4" w:space="0" w:color="auto"/>
              <w:right w:val="single" w:sz="4" w:space="0" w:color="auto"/>
            </w:tcBorders>
            <w:shd w:val="clear" w:color="auto" w:fill="auto"/>
            <w:noWrap/>
            <w:hideMark/>
          </w:tcPr>
          <w:p w14:paraId="557DA219" w14:textId="1CA424B7"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4FC085F4"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48B72A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CB8146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31C4C51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23.           </w:t>
            </w:r>
            <w:r w:rsidRPr="00D82287">
              <w:rPr>
                <w:rFonts w:ascii="Calibri" w:eastAsia="Times New Roman" w:hAnsi="Calibri" w:cs="Calibri"/>
                <w:b/>
                <w:bCs/>
                <w:color w:val="000000"/>
                <w:kern w:val="0"/>
                <w:sz w:val="20"/>
                <w:szCs w:val="20"/>
                <w:lang w:eastAsia="en-GB"/>
                <w14:ligatures w14:val="none"/>
              </w:rPr>
              <w:t>In which country are the headquarters? </w:t>
            </w:r>
            <w:r w:rsidRPr="00D82287">
              <w:rPr>
                <w:rFonts w:ascii="Calibri" w:eastAsia="Times New Roman" w:hAnsi="Calibri" w:cs="Calibri"/>
                <w:color w:val="000000"/>
                <w:kern w:val="0"/>
                <w:sz w:val="20"/>
                <w:szCs w:val="20"/>
                <w:lang w:eastAsia="en-GB"/>
                <w14:ligatures w14:val="none"/>
              </w:rPr>
              <w:t> </w:t>
            </w:r>
          </w:p>
        </w:tc>
        <w:tc>
          <w:tcPr>
            <w:tcW w:w="1620" w:type="dxa"/>
            <w:tcBorders>
              <w:top w:val="nil"/>
              <w:left w:val="nil"/>
              <w:bottom w:val="single" w:sz="4" w:space="0" w:color="auto"/>
              <w:right w:val="single" w:sz="4" w:space="0" w:color="auto"/>
            </w:tcBorders>
            <w:shd w:val="clear" w:color="000000" w:fill="D9E1F2"/>
            <w:hideMark/>
          </w:tcPr>
          <w:p w14:paraId="64CA0BB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Headquarter location </w:t>
            </w:r>
          </w:p>
        </w:tc>
        <w:tc>
          <w:tcPr>
            <w:tcW w:w="2320" w:type="dxa"/>
            <w:tcBorders>
              <w:top w:val="nil"/>
              <w:left w:val="nil"/>
              <w:bottom w:val="single" w:sz="4" w:space="0" w:color="auto"/>
              <w:right w:val="single" w:sz="4" w:space="0" w:color="auto"/>
            </w:tcBorders>
            <w:shd w:val="clear" w:color="000000" w:fill="D9E1F2"/>
            <w:hideMark/>
          </w:tcPr>
          <w:p w14:paraId="3630A88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Organization characteristics </w:t>
            </w:r>
          </w:p>
        </w:tc>
        <w:tc>
          <w:tcPr>
            <w:tcW w:w="2514" w:type="dxa"/>
            <w:tcBorders>
              <w:top w:val="nil"/>
              <w:left w:val="nil"/>
              <w:bottom w:val="single" w:sz="4" w:space="0" w:color="auto"/>
              <w:right w:val="single" w:sz="4" w:space="0" w:color="auto"/>
            </w:tcBorders>
            <w:shd w:val="clear" w:color="000000" w:fill="D9E1F2"/>
            <w:noWrap/>
            <w:hideMark/>
          </w:tcPr>
          <w:p w14:paraId="03BE013D" w14:textId="60213740"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2B422B7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E345E58" w14:textId="77777777" w:rsidTr="0057040C">
        <w:trPr>
          <w:trHeight w:val="600"/>
        </w:trPr>
        <w:tc>
          <w:tcPr>
            <w:tcW w:w="646" w:type="dxa"/>
            <w:vMerge/>
            <w:tcBorders>
              <w:top w:val="nil"/>
              <w:left w:val="single" w:sz="4" w:space="0" w:color="auto"/>
              <w:bottom w:val="single" w:sz="4" w:space="0" w:color="000000"/>
              <w:right w:val="single" w:sz="4" w:space="0" w:color="auto"/>
            </w:tcBorders>
            <w:vAlign w:val="center"/>
            <w:hideMark/>
          </w:tcPr>
          <w:p w14:paraId="14BAC13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19C839C2"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24.   What are membership standards?  (effort beyond what government regulations require)</w:t>
            </w:r>
          </w:p>
        </w:tc>
        <w:tc>
          <w:tcPr>
            <w:tcW w:w="1620" w:type="dxa"/>
            <w:vMerge w:val="restart"/>
            <w:tcBorders>
              <w:top w:val="nil"/>
              <w:left w:val="nil"/>
              <w:bottom w:val="single" w:sz="4" w:space="0" w:color="auto"/>
              <w:right w:val="single" w:sz="4" w:space="0" w:color="auto"/>
            </w:tcBorders>
            <w:shd w:val="clear" w:color="auto" w:fill="auto"/>
            <w:hideMark/>
          </w:tcPr>
          <w:p w14:paraId="315C8153" w14:textId="40F292CA"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Membership standards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44DA095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Organization characteristics </w:t>
            </w:r>
          </w:p>
        </w:tc>
        <w:tc>
          <w:tcPr>
            <w:tcW w:w="2514" w:type="dxa"/>
            <w:vMerge w:val="restart"/>
            <w:tcBorders>
              <w:top w:val="nil"/>
              <w:left w:val="single" w:sz="4" w:space="0" w:color="auto"/>
              <w:bottom w:val="single" w:sz="4" w:space="0" w:color="auto"/>
              <w:right w:val="single" w:sz="4" w:space="0" w:color="auto"/>
            </w:tcBorders>
            <w:shd w:val="clear" w:color="auto" w:fill="auto"/>
            <w:hideMark/>
          </w:tcPr>
          <w:p w14:paraId="11AC049F"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Categorical </w:t>
            </w:r>
          </w:p>
          <w:p w14:paraId="001AAB81"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7BA46328" w14:textId="485F039E"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2= strong </w:t>
            </w:r>
            <w:r w:rsidRPr="00D82287">
              <w:rPr>
                <w:rFonts w:ascii="Calibri" w:eastAsia="Times New Roman" w:hAnsi="Calibri" w:cs="Calibri"/>
                <w:color w:val="000000"/>
                <w:kern w:val="0"/>
                <w:sz w:val="20"/>
                <w:szCs w:val="20"/>
                <w:lang w:eastAsia="en-GB"/>
                <w14:ligatures w14:val="none"/>
              </w:rPr>
              <w:br/>
              <w:t>1= lenient</w:t>
            </w:r>
            <w:r w:rsidRPr="00D82287">
              <w:rPr>
                <w:rFonts w:ascii="Calibri" w:eastAsia="Times New Roman" w:hAnsi="Calibri" w:cs="Calibri"/>
                <w:color w:val="000000"/>
                <w:kern w:val="0"/>
                <w:sz w:val="20"/>
                <w:szCs w:val="20"/>
                <w:lang w:eastAsia="en-GB"/>
                <w14:ligatures w14:val="none"/>
              </w:rPr>
              <w:br/>
              <w:t>0 = no requirements</w:t>
            </w:r>
          </w:p>
        </w:tc>
        <w:tc>
          <w:tcPr>
            <w:tcW w:w="808" w:type="dxa"/>
            <w:vAlign w:val="center"/>
            <w:hideMark/>
          </w:tcPr>
          <w:p w14:paraId="6C7CE39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D09A30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0A140FE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5C3EB3F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6C8B6C4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BC53C8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18AEE59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08AA018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BB80935" w14:textId="77777777" w:rsidTr="0057040C">
        <w:trPr>
          <w:trHeight w:val="600"/>
        </w:trPr>
        <w:tc>
          <w:tcPr>
            <w:tcW w:w="646" w:type="dxa"/>
            <w:vMerge/>
            <w:tcBorders>
              <w:top w:val="nil"/>
              <w:left w:val="single" w:sz="4" w:space="0" w:color="auto"/>
              <w:bottom w:val="single" w:sz="4" w:space="0" w:color="000000"/>
              <w:right w:val="single" w:sz="4" w:space="0" w:color="auto"/>
            </w:tcBorders>
            <w:vAlign w:val="center"/>
            <w:hideMark/>
          </w:tcPr>
          <w:p w14:paraId="75C067E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11288A1B" w14:textId="19C7B0D8"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Strong or lenient membership</w:t>
            </w:r>
            <w:r w:rsidR="00DA7334" w:rsidRPr="00D82287">
              <w:rPr>
                <w:rFonts w:ascii="Calibri" w:eastAsia="Times New Roman" w:hAnsi="Calibri" w:cs="Calibri"/>
                <w:color w:val="000000"/>
                <w:kern w:val="0"/>
                <w:sz w:val="20"/>
                <w:szCs w:val="20"/>
                <w:lang w:eastAsia="en-GB"/>
                <w14:ligatures w14:val="none"/>
              </w:rPr>
              <w:t xml:space="preserve"> (Prakash &amp; Potoski, 2007)</w:t>
            </w:r>
          </w:p>
        </w:tc>
        <w:tc>
          <w:tcPr>
            <w:tcW w:w="1620" w:type="dxa"/>
            <w:vMerge/>
            <w:tcBorders>
              <w:top w:val="nil"/>
              <w:left w:val="nil"/>
              <w:bottom w:val="single" w:sz="4" w:space="0" w:color="auto"/>
              <w:right w:val="single" w:sz="4" w:space="0" w:color="auto"/>
            </w:tcBorders>
            <w:vAlign w:val="center"/>
            <w:hideMark/>
          </w:tcPr>
          <w:p w14:paraId="5B46F83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CAD179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76FE6B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0AF3881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F52715D"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E461AF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val="restart"/>
            <w:tcBorders>
              <w:top w:val="nil"/>
              <w:left w:val="single" w:sz="4" w:space="0" w:color="auto"/>
              <w:bottom w:val="single" w:sz="4" w:space="0" w:color="000000"/>
              <w:right w:val="single" w:sz="4" w:space="0" w:color="auto"/>
            </w:tcBorders>
            <w:shd w:val="clear" w:color="000000" w:fill="D9E1F2"/>
            <w:hideMark/>
          </w:tcPr>
          <w:p w14:paraId="4482E1DD"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25.   Which sector do the members of the coalition belong to? </w:t>
            </w:r>
            <w:r w:rsidRPr="00D82287">
              <w:rPr>
                <w:rFonts w:ascii="Calibri" w:eastAsia="Times New Roman" w:hAnsi="Calibri" w:cs="Calibri"/>
                <w:color w:val="000000"/>
                <w:kern w:val="0"/>
                <w:sz w:val="20"/>
                <w:szCs w:val="20"/>
                <w:lang w:eastAsia="en-GB"/>
                <w14:ligatures w14:val="none"/>
              </w:rPr>
              <w:t xml:space="preserve"> Single industry, single issue – industry and issue specific coalition (Grayson and Nelson, 2013)  </w:t>
            </w:r>
          </w:p>
        </w:tc>
        <w:tc>
          <w:tcPr>
            <w:tcW w:w="1620" w:type="dxa"/>
            <w:vMerge w:val="restart"/>
            <w:tcBorders>
              <w:top w:val="nil"/>
              <w:left w:val="nil"/>
              <w:bottom w:val="single" w:sz="4" w:space="0" w:color="auto"/>
              <w:right w:val="single" w:sz="4" w:space="0" w:color="auto"/>
            </w:tcBorders>
            <w:shd w:val="clear" w:color="000000" w:fill="D9E1F2"/>
            <w:hideMark/>
          </w:tcPr>
          <w:p w14:paraId="6C1FB97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Sector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181B2DC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Organization characteristics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65B8D907" w14:textId="755189FC"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7F6ACD4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2779625" w14:textId="77777777" w:rsidTr="0057040C">
        <w:trPr>
          <w:trHeight w:val="620"/>
        </w:trPr>
        <w:tc>
          <w:tcPr>
            <w:tcW w:w="646" w:type="dxa"/>
            <w:vMerge/>
            <w:tcBorders>
              <w:top w:val="nil"/>
              <w:left w:val="single" w:sz="4" w:space="0" w:color="auto"/>
              <w:bottom w:val="single" w:sz="4" w:space="0" w:color="000000"/>
              <w:right w:val="single" w:sz="4" w:space="0" w:color="auto"/>
            </w:tcBorders>
            <w:vAlign w:val="center"/>
            <w:hideMark/>
          </w:tcPr>
          <w:p w14:paraId="58D3E2C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tcBorders>
              <w:top w:val="nil"/>
              <w:left w:val="single" w:sz="4" w:space="0" w:color="auto"/>
              <w:bottom w:val="single" w:sz="4" w:space="0" w:color="000000"/>
              <w:right w:val="single" w:sz="4" w:space="0" w:color="auto"/>
            </w:tcBorders>
            <w:vAlign w:val="center"/>
            <w:hideMark/>
          </w:tcPr>
          <w:p w14:paraId="038B32CA"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p>
        </w:tc>
        <w:tc>
          <w:tcPr>
            <w:tcW w:w="1620" w:type="dxa"/>
            <w:vMerge/>
            <w:tcBorders>
              <w:top w:val="nil"/>
              <w:left w:val="nil"/>
              <w:bottom w:val="single" w:sz="4" w:space="0" w:color="auto"/>
              <w:right w:val="single" w:sz="4" w:space="0" w:color="auto"/>
            </w:tcBorders>
            <w:vAlign w:val="center"/>
            <w:hideMark/>
          </w:tcPr>
          <w:p w14:paraId="0E282D9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669311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C8D7DF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tcBorders>
              <w:top w:val="nil"/>
              <w:left w:val="nil"/>
              <w:bottom w:val="nil"/>
              <w:right w:val="nil"/>
            </w:tcBorders>
            <w:shd w:val="clear" w:color="auto" w:fill="auto"/>
            <w:noWrap/>
            <w:vAlign w:val="bottom"/>
            <w:hideMark/>
          </w:tcPr>
          <w:p w14:paraId="5B2696E4" w14:textId="77777777" w:rsidR="0057040C" w:rsidRPr="00D82287" w:rsidRDefault="0057040C" w:rsidP="00FC49C9">
            <w:pPr>
              <w:jc w:val="center"/>
              <w:rPr>
                <w:rFonts w:ascii="Calibri" w:eastAsia="Times New Roman" w:hAnsi="Calibri" w:cs="Calibri"/>
                <w:color w:val="000000"/>
                <w:kern w:val="0"/>
                <w:sz w:val="22"/>
                <w:szCs w:val="22"/>
                <w:lang w:eastAsia="en-GB"/>
                <w14:ligatures w14:val="none"/>
              </w:rPr>
            </w:pPr>
          </w:p>
        </w:tc>
      </w:tr>
      <w:tr w:rsidR="0057040C" w:rsidRPr="00D67367" w14:paraId="09E0CE7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0C80A2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10AD5BD"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26.   Who are the coalitions partnering with? </w:t>
            </w:r>
          </w:p>
        </w:tc>
        <w:tc>
          <w:tcPr>
            <w:tcW w:w="1620" w:type="dxa"/>
            <w:vMerge w:val="restart"/>
            <w:tcBorders>
              <w:top w:val="nil"/>
              <w:left w:val="nil"/>
              <w:bottom w:val="single" w:sz="4" w:space="0" w:color="auto"/>
              <w:right w:val="single" w:sz="4" w:space="0" w:color="auto"/>
            </w:tcBorders>
            <w:shd w:val="clear" w:color="auto" w:fill="auto"/>
            <w:hideMark/>
          </w:tcPr>
          <w:p w14:paraId="17B6651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Coalition partners</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4B51DEE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Organization characteristics</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1EE03ECF" w14:textId="54276C6D"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1BD65DF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00485DF"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05D620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4434BD2D"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Where are they situated geographically? </w:t>
            </w:r>
          </w:p>
        </w:tc>
        <w:tc>
          <w:tcPr>
            <w:tcW w:w="1620" w:type="dxa"/>
            <w:vMerge/>
            <w:tcBorders>
              <w:top w:val="nil"/>
              <w:left w:val="nil"/>
              <w:bottom w:val="single" w:sz="4" w:space="0" w:color="auto"/>
              <w:right w:val="single" w:sz="4" w:space="0" w:color="auto"/>
            </w:tcBorders>
            <w:vAlign w:val="center"/>
            <w:hideMark/>
          </w:tcPr>
          <w:p w14:paraId="364A460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5A6E77B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AF30E7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397E5EB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6782D0D" w14:textId="77777777" w:rsidTr="0057040C">
        <w:trPr>
          <w:trHeight w:val="640"/>
        </w:trPr>
        <w:tc>
          <w:tcPr>
            <w:tcW w:w="646" w:type="dxa"/>
            <w:vMerge/>
            <w:tcBorders>
              <w:top w:val="nil"/>
              <w:left w:val="single" w:sz="4" w:space="0" w:color="auto"/>
              <w:bottom w:val="single" w:sz="4" w:space="0" w:color="000000"/>
              <w:right w:val="single" w:sz="4" w:space="0" w:color="auto"/>
            </w:tcBorders>
            <w:vAlign w:val="center"/>
            <w:hideMark/>
          </w:tcPr>
          <w:p w14:paraId="08908B5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0F203E59"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27.   Are there any good popular or scientific articles on this coalition? </w:t>
            </w:r>
            <w:r w:rsidRPr="00D82287">
              <w:rPr>
                <w:rFonts w:ascii="Calibri" w:eastAsia="Times New Roman" w:hAnsi="Calibri" w:cs="Calibri"/>
                <w:color w:val="000000"/>
                <w:kern w:val="0"/>
                <w:sz w:val="20"/>
                <w:szCs w:val="20"/>
                <w:lang w:eastAsia="en-GB"/>
                <w14:ligatures w14:val="none"/>
              </w:rPr>
              <w:t>(Seeds of Good Anthropocene, 2020) </w:t>
            </w:r>
          </w:p>
        </w:tc>
        <w:tc>
          <w:tcPr>
            <w:tcW w:w="1620" w:type="dxa"/>
            <w:vMerge w:val="restart"/>
            <w:tcBorders>
              <w:top w:val="nil"/>
              <w:left w:val="nil"/>
              <w:bottom w:val="single" w:sz="4" w:space="0" w:color="auto"/>
              <w:right w:val="single" w:sz="4" w:space="0" w:color="auto"/>
            </w:tcBorders>
            <w:shd w:val="clear" w:color="000000" w:fill="D9E1F2"/>
            <w:hideMark/>
          </w:tcPr>
          <w:p w14:paraId="63049C7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Publications</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42F3940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158230ED"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NA</w:t>
            </w:r>
          </w:p>
        </w:tc>
        <w:tc>
          <w:tcPr>
            <w:tcW w:w="808" w:type="dxa"/>
            <w:vAlign w:val="center"/>
            <w:hideMark/>
          </w:tcPr>
          <w:p w14:paraId="3E9BB4E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46BC6B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B6546D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7D8CE25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Search the coalition name in Google scholar / scopus   </w:t>
            </w:r>
          </w:p>
        </w:tc>
        <w:tc>
          <w:tcPr>
            <w:tcW w:w="1620" w:type="dxa"/>
            <w:vMerge/>
            <w:tcBorders>
              <w:top w:val="nil"/>
              <w:left w:val="nil"/>
              <w:bottom w:val="single" w:sz="4" w:space="0" w:color="auto"/>
              <w:right w:val="single" w:sz="4" w:space="0" w:color="auto"/>
            </w:tcBorders>
            <w:vAlign w:val="center"/>
            <w:hideMark/>
          </w:tcPr>
          <w:p w14:paraId="20D3DB4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A900B2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307F71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39FCC41"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0DFE205"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5B3109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7723DD6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If yes, provide the link/save the document </w:t>
            </w:r>
          </w:p>
        </w:tc>
        <w:tc>
          <w:tcPr>
            <w:tcW w:w="1620" w:type="dxa"/>
            <w:vMerge/>
            <w:tcBorders>
              <w:top w:val="nil"/>
              <w:left w:val="nil"/>
              <w:bottom w:val="single" w:sz="4" w:space="0" w:color="auto"/>
              <w:right w:val="single" w:sz="4" w:space="0" w:color="auto"/>
            </w:tcBorders>
            <w:vAlign w:val="center"/>
            <w:hideMark/>
          </w:tcPr>
          <w:p w14:paraId="35F1E07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B3DB8B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9E3D26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240C247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DCD7B62"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27EE85C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1CE58A3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2CF37DF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433334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B41CBE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638D84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3B702C3" w14:textId="77777777" w:rsidTr="0057040C">
        <w:trPr>
          <w:trHeight w:val="800"/>
        </w:trPr>
        <w:tc>
          <w:tcPr>
            <w:tcW w:w="646" w:type="dxa"/>
            <w:vMerge w:val="restart"/>
            <w:tcBorders>
              <w:top w:val="nil"/>
              <w:left w:val="single" w:sz="4" w:space="0" w:color="auto"/>
              <w:bottom w:val="single" w:sz="4" w:space="0" w:color="000000"/>
              <w:right w:val="single" w:sz="4" w:space="0" w:color="auto"/>
            </w:tcBorders>
            <w:shd w:val="clear" w:color="000000" w:fill="B4C6E7"/>
            <w:noWrap/>
            <w:hideMark/>
          </w:tcPr>
          <w:p w14:paraId="4F035C8E"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L2</w:t>
            </w:r>
          </w:p>
        </w:tc>
        <w:tc>
          <w:tcPr>
            <w:tcW w:w="6220" w:type="dxa"/>
            <w:tcBorders>
              <w:top w:val="nil"/>
              <w:left w:val="single" w:sz="4" w:space="0" w:color="auto"/>
              <w:bottom w:val="single" w:sz="4" w:space="0" w:color="auto"/>
              <w:right w:val="single" w:sz="4" w:space="0" w:color="auto"/>
            </w:tcBorders>
            <w:shd w:val="clear" w:color="000000" w:fill="FFFFFF"/>
            <w:hideMark/>
          </w:tcPr>
          <w:p w14:paraId="31EC89C5"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28.   What is viewed as a successfully implemented project by the coalition?  </w:t>
            </w:r>
            <w:r w:rsidRPr="00D82287">
              <w:rPr>
                <w:rFonts w:ascii="Calibri" w:eastAsia="Times New Roman" w:hAnsi="Calibri" w:cs="Calibri"/>
                <w:color w:val="000000"/>
                <w:kern w:val="0"/>
                <w:sz w:val="20"/>
                <w:szCs w:val="20"/>
                <w:lang w:eastAsia="en-GB"/>
                <w14:ligatures w14:val="none"/>
              </w:rPr>
              <w:t> </w:t>
            </w:r>
          </w:p>
        </w:tc>
        <w:tc>
          <w:tcPr>
            <w:tcW w:w="1620" w:type="dxa"/>
            <w:tcBorders>
              <w:top w:val="nil"/>
              <w:left w:val="nil"/>
              <w:bottom w:val="single" w:sz="4" w:space="0" w:color="auto"/>
              <w:right w:val="single" w:sz="4" w:space="0" w:color="auto"/>
            </w:tcBorders>
            <w:shd w:val="clear" w:color="auto" w:fill="auto"/>
            <w:hideMark/>
          </w:tcPr>
          <w:p w14:paraId="5A6E096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Successful projects </w:t>
            </w:r>
          </w:p>
        </w:tc>
        <w:tc>
          <w:tcPr>
            <w:tcW w:w="2320" w:type="dxa"/>
            <w:tcBorders>
              <w:top w:val="nil"/>
              <w:left w:val="nil"/>
              <w:bottom w:val="single" w:sz="4" w:space="0" w:color="auto"/>
              <w:right w:val="single" w:sz="4" w:space="0" w:color="auto"/>
            </w:tcBorders>
            <w:shd w:val="clear" w:color="auto" w:fill="auto"/>
            <w:hideMark/>
          </w:tcPr>
          <w:p w14:paraId="4A6CAA0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Actions </w:t>
            </w:r>
          </w:p>
        </w:tc>
        <w:tc>
          <w:tcPr>
            <w:tcW w:w="2514" w:type="dxa"/>
            <w:tcBorders>
              <w:top w:val="nil"/>
              <w:left w:val="nil"/>
              <w:bottom w:val="single" w:sz="4" w:space="0" w:color="auto"/>
              <w:right w:val="single" w:sz="4" w:space="0" w:color="auto"/>
            </w:tcBorders>
            <w:shd w:val="clear" w:color="auto" w:fill="auto"/>
            <w:noWrap/>
            <w:hideMark/>
          </w:tcPr>
          <w:p w14:paraId="45C301E4" w14:textId="07777063"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652C68A2"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B39D562"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EF1F2F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102A15A0"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29.   What type of solutions does the coalition propose?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9E1F2"/>
            <w:hideMark/>
          </w:tcPr>
          <w:p w14:paraId="398C429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Type of solution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54E4504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7E81CAF3"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Categorical </w:t>
            </w:r>
          </w:p>
          <w:p w14:paraId="55E9C748" w14:textId="4EADD99A"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lastRenderedPageBreak/>
              <w:t>1 = bricolage</w:t>
            </w:r>
            <w:r w:rsidRPr="00D82287">
              <w:rPr>
                <w:rFonts w:ascii="Calibri" w:eastAsia="Times New Roman" w:hAnsi="Calibri" w:cs="Calibri"/>
                <w:color w:val="000000"/>
                <w:kern w:val="0"/>
                <w:sz w:val="20"/>
                <w:szCs w:val="20"/>
                <w:lang w:eastAsia="en-GB"/>
                <w14:ligatures w14:val="none"/>
              </w:rPr>
              <w:br/>
              <w:t>0 = one size fits all</w:t>
            </w:r>
          </w:p>
        </w:tc>
        <w:tc>
          <w:tcPr>
            <w:tcW w:w="808" w:type="dxa"/>
            <w:vAlign w:val="center"/>
            <w:hideMark/>
          </w:tcPr>
          <w:p w14:paraId="048EF42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D96F679" w14:textId="77777777" w:rsidTr="0057040C">
        <w:trPr>
          <w:trHeight w:val="830"/>
        </w:trPr>
        <w:tc>
          <w:tcPr>
            <w:tcW w:w="646" w:type="dxa"/>
            <w:vMerge/>
            <w:tcBorders>
              <w:top w:val="nil"/>
              <w:left w:val="single" w:sz="4" w:space="0" w:color="auto"/>
              <w:bottom w:val="single" w:sz="4" w:space="0" w:color="000000"/>
              <w:right w:val="single" w:sz="4" w:space="0" w:color="auto"/>
            </w:tcBorders>
            <w:vAlign w:val="center"/>
            <w:hideMark/>
          </w:tcPr>
          <w:p w14:paraId="74BC008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6BE8126A" w14:textId="2AF8E861"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   bricolage solutions VS single variable solutions (one-size fits all solutions) </w:t>
            </w:r>
            <w:r w:rsidR="00DA7334" w:rsidRPr="00D82287">
              <w:rPr>
                <w:rFonts w:ascii="Calibri" w:eastAsia="Times New Roman" w:hAnsi="Calibri" w:cs="Calibri"/>
                <w:color w:val="000000"/>
                <w:kern w:val="0"/>
                <w:sz w:val="20"/>
                <w:szCs w:val="20"/>
                <w:lang w:eastAsia="en-GB"/>
                <w14:ligatures w14:val="none"/>
              </w:rPr>
              <w:t>(Olsson, Moore, Westley, &amp; McCarthy, 2017)</w:t>
            </w:r>
          </w:p>
        </w:tc>
        <w:tc>
          <w:tcPr>
            <w:tcW w:w="1620" w:type="dxa"/>
            <w:vMerge/>
            <w:tcBorders>
              <w:top w:val="nil"/>
              <w:left w:val="nil"/>
              <w:bottom w:val="single" w:sz="4" w:space="0" w:color="auto"/>
              <w:right w:val="single" w:sz="4" w:space="0" w:color="auto"/>
            </w:tcBorders>
            <w:vAlign w:val="center"/>
            <w:hideMark/>
          </w:tcPr>
          <w:p w14:paraId="4117639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953A3A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8B9AEF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67ABC4E"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BA9519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37A364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220499E0"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30.   How has the coalition developed? Has it changed throughout the years?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auto" w:fill="auto"/>
            <w:hideMark/>
          </w:tcPr>
          <w:p w14:paraId="258FDC7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through time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1B09ED5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66E30536" w14:textId="0C1F30D4"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2E4BC3F5"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B71E0E2"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9ABE18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6D1BF69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Understand the history of the coalition, the dynamic nature of initiative </w:t>
            </w:r>
          </w:p>
        </w:tc>
        <w:tc>
          <w:tcPr>
            <w:tcW w:w="1620" w:type="dxa"/>
            <w:vMerge/>
            <w:tcBorders>
              <w:top w:val="nil"/>
              <w:left w:val="nil"/>
              <w:bottom w:val="single" w:sz="4" w:space="0" w:color="auto"/>
              <w:right w:val="single" w:sz="4" w:space="0" w:color="auto"/>
            </w:tcBorders>
            <w:vAlign w:val="center"/>
            <w:hideMark/>
          </w:tcPr>
          <w:p w14:paraId="64D0218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FA2F8B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4A2C083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644760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A382BC9" w14:textId="77777777" w:rsidTr="0057040C">
        <w:trPr>
          <w:trHeight w:val="410"/>
        </w:trPr>
        <w:tc>
          <w:tcPr>
            <w:tcW w:w="646" w:type="dxa"/>
            <w:vMerge/>
            <w:tcBorders>
              <w:top w:val="nil"/>
              <w:left w:val="single" w:sz="4" w:space="0" w:color="auto"/>
              <w:bottom w:val="single" w:sz="4" w:space="0" w:color="000000"/>
              <w:right w:val="single" w:sz="4" w:space="0" w:color="auto"/>
            </w:tcBorders>
            <w:vAlign w:val="center"/>
            <w:hideMark/>
          </w:tcPr>
          <w:p w14:paraId="3ACD2A3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FFFFFF"/>
            <w:hideMark/>
          </w:tcPr>
          <w:p w14:paraId="1875336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Include interactions, changes, evolution  </w:t>
            </w:r>
          </w:p>
        </w:tc>
        <w:tc>
          <w:tcPr>
            <w:tcW w:w="1620" w:type="dxa"/>
            <w:vMerge/>
            <w:tcBorders>
              <w:top w:val="nil"/>
              <w:left w:val="nil"/>
              <w:bottom w:val="single" w:sz="4" w:space="0" w:color="auto"/>
              <w:right w:val="single" w:sz="4" w:space="0" w:color="auto"/>
            </w:tcBorders>
            <w:vAlign w:val="center"/>
            <w:hideMark/>
          </w:tcPr>
          <w:p w14:paraId="63426CD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656F75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15C4A2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5C96A4A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B0D79F3" w14:textId="77777777" w:rsidTr="0057040C">
        <w:trPr>
          <w:trHeight w:val="570"/>
        </w:trPr>
        <w:tc>
          <w:tcPr>
            <w:tcW w:w="646" w:type="dxa"/>
            <w:vMerge/>
            <w:tcBorders>
              <w:top w:val="nil"/>
              <w:left w:val="single" w:sz="4" w:space="0" w:color="auto"/>
              <w:bottom w:val="single" w:sz="4" w:space="0" w:color="000000"/>
              <w:right w:val="single" w:sz="4" w:space="0" w:color="auto"/>
            </w:tcBorders>
            <w:vAlign w:val="center"/>
            <w:hideMark/>
          </w:tcPr>
          <w:p w14:paraId="77F4749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E94622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31. What sort of change is envisaged? What is their theory of change?</w:t>
            </w:r>
            <w:r w:rsidRPr="00D82287">
              <w:rPr>
                <w:rFonts w:ascii="Calibri" w:eastAsia="Times New Roman" w:hAnsi="Calibri" w:cs="Calibri"/>
                <w:color w:val="000000"/>
                <w:kern w:val="0"/>
                <w:sz w:val="20"/>
                <w:szCs w:val="20"/>
                <w:lang w:eastAsia="en-GB"/>
                <w14:ligatures w14:val="none"/>
              </w:rPr>
              <w:t xml:space="preserve"> </w:t>
            </w:r>
          </w:p>
        </w:tc>
        <w:tc>
          <w:tcPr>
            <w:tcW w:w="1620" w:type="dxa"/>
            <w:vMerge w:val="restart"/>
            <w:tcBorders>
              <w:top w:val="nil"/>
              <w:left w:val="nil"/>
              <w:bottom w:val="single" w:sz="4" w:space="0" w:color="auto"/>
              <w:right w:val="single" w:sz="4" w:space="0" w:color="auto"/>
            </w:tcBorders>
            <w:shd w:val="clear" w:color="000000" w:fill="D9E1F2"/>
            <w:hideMark/>
          </w:tcPr>
          <w:p w14:paraId="2D87635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Theory of change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3DFAD84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484929CF"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7EC6E564" w14:textId="75AE8DED"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Categorical </w:t>
            </w:r>
          </w:p>
          <w:p w14:paraId="3CC581AA"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5B47BCD6" w14:textId="135A0036"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 incremental change</w:t>
            </w:r>
            <w:r w:rsidRPr="00D82287">
              <w:rPr>
                <w:rFonts w:ascii="Calibri" w:eastAsia="Times New Roman" w:hAnsi="Calibri" w:cs="Calibri"/>
                <w:color w:val="000000"/>
                <w:kern w:val="0"/>
                <w:sz w:val="20"/>
                <w:szCs w:val="20"/>
                <w:lang w:eastAsia="en-GB"/>
                <w14:ligatures w14:val="none"/>
              </w:rPr>
              <w:br/>
              <w:t>1 = reformist change</w:t>
            </w:r>
            <w:r w:rsidRPr="00D82287">
              <w:rPr>
                <w:rFonts w:ascii="Calibri" w:eastAsia="Times New Roman" w:hAnsi="Calibri" w:cs="Calibri"/>
                <w:color w:val="000000"/>
                <w:kern w:val="0"/>
                <w:sz w:val="20"/>
                <w:szCs w:val="20"/>
                <w:lang w:eastAsia="en-GB"/>
                <w14:ligatures w14:val="none"/>
              </w:rPr>
              <w:br/>
              <w:t>2 = transformational</w:t>
            </w:r>
          </w:p>
        </w:tc>
        <w:tc>
          <w:tcPr>
            <w:tcW w:w="808" w:type="dxa"/>
            <w:vAlign w:val="center"/>
            <w:hideMark/>
          </w:tcPr>
          <w:p w14:paraId="6A243B8D"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2C295E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F0C1E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6EAF38E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5326AFF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E3A4E1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6DD1646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5066E4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ACAED00"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DFDAA8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5A6BF5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Is the objective of the coalition transformative or adaptive? Incremental vs radical change  </w:t>
            </w:r>
          </w:p>
        </w:tc>
        <w:tc>
          <w:tcPr>
            <w:tcW w:w="1620" w:type="dxa"/>
            <w:vMerge/>
            <w:tcBorders>
              <w:top w:val="nil"/>
              <w:left w:val="nil"/>
              <w:bottom w:val="single" w:sz="4" w:space="0" w:color="auto"/>
              <w:right w:val="single" w:sz="4" w:space="0" w:color="auto"/>
            </w:tcBorders>
            <w:vAlign w:val="center"/>
            <w:hideMark/>
          </w:tcPr>
          <w:p w14:paraId="2907E75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F41DF6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D2519A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3554F2A"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127B6A2" w14:textId="77777777" w:rsidTr="0057040C">
        <w:trPr>
          <w:trHeight w:val="1290"/>
        </w:trPr>
        <w:tc>
          <w:tcPr>
            <w:tcW w:w="646" w:type="dxa"/>
            <w:vMerge/>
            <w:tcBorders>
              <w:top w:val="nil"/>
              <w:left w:val="single" w:sz="4" w:space="0" w:color="auto"/>
              <w:bottom w:val="single" w:sz="4" w:space="0" w:color="000000"/>
              <w:right w:val="single" w:sz="4" w:space="0" w:color="auto"/>
            </w:tcBorders>
            <w:vAlign w:val="center"/>
            <w:hideMark/>
          </w:tcPr>
          <w:p w14:paraId="35F304A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75BD64A8" w14:textId="3AEBC8EB"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incremental change (adjustments to maintain BAU), reformist change (changing features that cause problems but not systemic structures), transformational (changing system dynamics, world views, socio-ecological interactions) </w:t>
            </w:r>
            <w:r w:rsidR="00DA7334" w:rsidRPr="00D67367">
              <w:rPr>
                <w:rFonts w:ascii="Calibri" w:hAnsi="Calibri" w:cs="Calibri"/>
                <w:color w:val="000000"/>
                <w:kern w:val="0"/>
                <w:sz w:val="20"/>
              </w:rPr>
              <w:t>(Heikkinen, Ylä-Anttila, &amp; Juhola, 2019)</w:t>
            </w:r>
          </w:p>
        </w:tc>
        <w:tc>
          <w:tcPr>
            <w:tcW w:w="1620" w:type="dxa"/>
            <w:vMerge/>
            <w:tcBorders>
              <w:top w:val="nil"/>
              <w:left w:val="nil"/>
              <w:bottom w:val="single" w:sz="4" w:space="0" w:color="auto"/>
              <w:right w:val="single" w:sz="4" w:space="0" w:color="auto"/>
            </w:tcBorders>
            <w:vAlign w:val="center"/>
            <w:hideMark/>
          </w:tcPr>
          <w:p w14:paraId="7DCB820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3494B0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DD0DDD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0DBF3E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03180DA" w14:textId="77777777" w:rsidTr="0057040C">
        <w:trPr>
          <w:trHeight w:val="470"/>
        </w:trPr>
        <w:tc>
          <w:tcPr>
            <w:tcW w:w="646" w:type="dxa"/>
            <w:vMerge/>
            <w:tcBorders>
              <w:top w:val="nil"/>
              <w:left w:val="single" w:sz="4" w:space="0" w:color="auto"/>
              <w:bottom w:val="single" w:sz="4" w:space="0" w:color="000000"/>
              <w:right w:val="single" w:sz="4" w:space="0" w:color="auto"/>
            </w:tcBorders>
            <w:vAlign w:val="center"/>
            <w:hideMark/>
          </w:tcPr>
          <w:p w14:paraId="7B96520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291A2AA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6BE2915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DEFC16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1DB68C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9507F5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F8E809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2628DBA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BA3D24B"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32.    How does the coalition envision the role of legislation to promote transformation?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auto" w:fill="auto"/>
            <w:hideMark/>
          </w:tcPr>
          <w:p w14:paraId="16C76CD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Role of legislation change</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7BA7A65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w:t>
            </w:r>
          </w:p>
        </w:tc>
        <w:tc>
          <w:tcPr>
            <w:tcW w:w="2514" w:type="dxa"/>
            <w:vMerge w:val="restart"/>
            <w:tcBorders>
              <w:top w:val="nil"/>
              <w:left w:val="single" w:sz="4" w:space="0" w:color="auto"/>
              <w:bottom w:val="single" w:sz="4" w:space="0" w:color="auto"/>
              <w:right w:val="single" w:sz="4" w:space="0" w:color="auto"/>
            </w:tcBorders>
            <w:shd w:val="clear" w:color="auto" w:fill="auto"/>
            <w:hideMark/>
          </w:tcPr>
          <w:p w14:paraId="7AED32B2"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21900C46" w14:textId="3B3EA99A"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Categorical </w:t>
            </w:r>
          </w:p>
          <w:p w14:paraId="69A5F5FB" w14:textId="28B0CC08"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2= laissez-faire</w:t>
            </w:r>
            <w:r w:rsidRPr="00D82287">
              <w:rPr>
                <w:rFonts w:ascii="Calibri" w:eastAsia="Times New Roman" w:hAnsi="Calibri" w:cs="Calibri"/>
                <w:color w:val="000000"/>
                <w:kern w:val="0"/>
                <w:sz w:val="20"/>
                <w:szCs w:val="20"/>
                <w:lang w:eastAsia="en-GB"/>
                <w14:ligatures w14:val="none"/>
              </w:rPr>
              <w:br/>
              <w:t>1 = little regulation</w:t>
            </w:r>
            <w:r w:rsidRPr="00D82287">
              <w:rPr>
                <w:rFonts w:ascii="Calibri" w:eastAsia="Times New Roman" w:hAnsi="Calibri" w:cs="Calibri"/>
                <w:color w:val="000000"/>
                <w:kern w:val="0"/>
                <w:sz w:val="20"/>
                <w:szCs w:val="20"/>
                <w:lang w:eastAsia="en-GB"/>
                <w14:ligatures w14:val="none"/>
              </w:rPr>
              <w:br/>
              <w:t xml:space="preserve">0=strong regulation </w:t>
            </w:r>
          </w:p>
        </w:tc>
        <w:tc>
          <w:tcPr>
            <w:tcW w:w="808" w:type="dxa"/>
            <w:vAlign w:val="center"/>
            <w:hideMark/>
          </w:tcPr>
          <w:p w14:paraId="1EDA80DE"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020BFB5"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8E806A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58DDFB23"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Is self-regulation the dominant theme?</w:t>
            </w:r>
          </w:p>
        </w:tc>
        <w:tc>
          <w:tcPr>
            <w:tcW w:w="1620" w:type="dxa"/>
            <w:vMerge/>
            <w:tcBorders>
              <w:top w:val="nil"/>
              <w:left w:val="nil"/>
              <w:bottom w:val="single" w:sz="4" w:space="0" w:color="auto"/>
              <w:right w:val="single" w:sz="4" w:space="0" w:color="auto"/>
            </w:tcBorders>
            <w:vAlign w:val="center"/>
            <w:hideMark/>
          </w:tcPr>
          <w:p w14:paraId="56F8518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F5C331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F1F94D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599D3C5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FDA3E39" w14:textId="77777777" w:rsidTr="0057040C">
        <w:trPr>
          <w:trHeight w:val="2120"/>
        </w:trPr>
        <w:tc>
          <w:tcPr>
            <w:tcW w:w="646" w:type="dxa"/>
            <w:vMerge/>
            <w:tcBorders>
              <w:top w:val="nil"/>
              <w:left w:val="single" w:sz="4" w:space="0" w:color="auto"/>
              <w:bottom w:val="single" w:sz="4" w:space="0" w:color="000000"/>
              <w:right w:val="single" w:sz="4" w:space="0" w:color="auto"/>
            </w:tcBorders>
            <w:vAlign w:val="center"/>
            <w:hideMark/>
          </w:tcPr>
          <w:p w14:paraId="03673E0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auto" w:fill="auto"/>
            <w:hideMark/>
          </w:tcPr>
          <w:p w14:paraId="1E87C33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If not, what changes in legislation, trade agreements, and business regulations are envisioned? Does the coalition welcome such changes, i.e. will not resist them? </w:t>
            </w:r>
            <w:r w:rsidRPr="00D82287">
              <w:rPr>
                <w:rFonts w:ascii="Calibri" w:eastAsia="Times New Roman" w:hAnsi="Calibri" w:cs="Calibri"/>
                <w:color w:val="000000"/>
                <w:kern w:val="0"/>
                <w:sz w:val="20"/>
                <w:szCs w:val="20"/>
                <w:lang w:eastAsia="en-GB"/>
                <w14:ligatures w14:val="none"/>
              </w:rPr>
              <w:br/>
            </w:r>
            <w:r w:rsidRPr="00D82287">
              <w:rPr>
                <w:rFonts w:ascii="Calibri" w:eastAsia="Times New Roman" w:hAnsi="Calibri" w:cs="Calibri"/>
                <w:color w:val="000000"/>
                <w:kern w:val="0"/>
                <w:sz w:val="20"/>
                <w:szCs w:val="20"/>
                <w:lang w:eastAsia="en-GB"/>
                <w14:ligatures w14:val="none"/>
              </w:rPr>
              <w:br/>
              <w:t>Or does the coalition believe that voluntary agreements including business codes are better strategies? (see Q50)</w:t>
            </w:r>
          </w:p>
        </w:tc>
        <w:tc>
          <w:tcPr>
            <w:tcW w:w="1620" w:type="dxa"/>
            <w:vMerge/>
            <w:tcBorders>
              <w:top w:val="nil"/>
              <w:left w:val="nil"/>
              <w:bottom w:val="single" w:sz="4" w:space="0" w:color="auto"/>
              <w:right w:val="single" w:sz="4" w:space="0" w:color="auto"/>
            </w:tcBorders>
            <w:vAlign w:val="center"/>
            <w:hideMark/>
          </w:tcPr>
          <w:p w14:paraId="5958550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CC2D96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4A1B1D3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0D3C5D76"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FDC7BD1"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292000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9E1F2"/>
            <w:hideMark/>
          </w:tcPr>
          <w:p w14:paraId="3FF3C76B"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33.   What is attempted to be transformed?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9E1F2"/>
            <w:hideMark/>
          </w:tcPr>
          <w:p w14:paraId="06361A8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Transformation of what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64A491E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187DEAC4" w14:textId="23A0E499"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31A41C3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13569A8" w14:textId="77777777" w:rsidTr="0057040C">
        <w:trPr>
          <w:trHeight w:val="1150"/>
        </w:trPr>
        <w:tc>
          <w:tcPr>
            <w:tcW w:w="646" w:type="dxa"/>
            <w:vMerge/>
            <w:tcBorders>
              <w:top w:val="nil"/>
              <w:left w:val="single" w:sz="4" w:space="0" w:color="auto"/>
              <w:bottom w:val="single" w:sz="4" w:space="0" w:color="000000"/>
              <w:right w:val="single" w:sz="4" w:space="0" w:color="auto"/>
            </w:tcBorders>
            <w:vAlign w:val="center"/>
            <w:hideMark/>
          </w:tcPr>
          <w:p w14:paraId="4887067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05D02B06" w14:textId="21436643"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Natural capital, ecosystem service, authority and power, roles and routines, resource flows, norms/beliefs/values/mindsets (Moore et al</w:t>
            </w:r>
            <w:r w:rsidR="00A73B2F" w:rsidRPr="00D82287">
              <w:rPr>
                <w:rFonts w:ascii="Calibri" w:eastAsia="Times New Roman" w:hAnsi="Calibri" w:cs="Calibri"/>
                <w:color w:val="000000"/>
                <w:kern w:val="0"/>
                <w:sz w:val="20"/>
                <w:szCs w:val="20"/>
                <w:lang w:eastAsia="en-GB"/>
                <w14:ligatures w14:val="none"/>
              </w:rPr>
              <w:t>.</w:t>
            </w:r>
            <w:r w:rsidRPr="00D82287">
              <w:rPr>
                <w:rFonts w:ascii="Calibri" w:eastAsia="Times New Roman" w:hAnsi="Calibri" w:cs="Calibri"/>
                <w:color w:val="000000"/>
                <w:kern w:val="0"/>
                <w:sz w:val="20"/>
                <w:szCs w:val="20"/>
                <w:lang w:eastAsia="en-GB"/>
                <w14:ligatures w14:val="none"/>
              </w:rPr>
              <w:t xml:space="preserve"> 2014)   </w:t>
            </w:r>
          </w:p>
        </w:tc>
        <w:tc>
          <w:tcPr>
            <w:tcW w:w="1620" w:type="dxa"/>
            <w:vMerge/>
            <w:tcBorders>
              <w:top w:val="nil"/>
              <w:left w:val="nil"/>
              <w:bottom w:val="single" w:sz="4" w:space="0" w:color="auto"/>
              <w:right w:val="single" w:sz="4" w:space="0" w:color="auto"/>
            </w:tcBorders>
            <w:vAlign w:val="center"/>
            <w:hideMark/>
          </w:tcPr>
          <w:p w14:paraId="1E0F47A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B3C3CD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60F6CAE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6D33F6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8FF3DD4" w14:textId="77777777" w:rsidTr="0057040C">
        <w:trPr>
          <w:trHeight w:val="890"/>
        </w:trPr>
        <w:tc>
          <w:tcPr>
            <w:tcW w:w="646" w:type="dxa"/>
            <w:vMerge/>
            <w:tcBorders>
              <w:top w:val="nil"/>
              <w:left w:val="single" w:sz="4" w:space="0" w:color="auto"/>
              <w:bottom w:val="single" w:sz="4" w:space="0" w:color="000000"/>
              <w:right w:val="single" w:sz="4" w:space="0" w:color="auto"/>
            </w:tcBorders>
            <w:vAlign w:val="center"/>
            <w:hideMark/>
          </w:tcPr>
          <w:p w14:paraId="19230DE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52312DB3"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34.   What legislation and regulation are they working towards? What kinds of regulations or policy do they want to  enable or constrain?  </w:t>
            </w:r>
          </w:p>
        </w:tc>
        <w:tc>
          <w:tcPr>
            <w:tcW w:w="1620" w:type="dxa"/>
            <w:tcBorders>
              <w:top w:val="nil"/>
              <w:left w:val="nil"/>
              <w:bottom w:val="single" w:sz="4" w:space="0" w:color="auto"/>
              <w:right w:val="single" w:sz="4" w:space="0" w:color="auto"/>
            </w:tcBorders>
            <w:shd w:val="clear" w:color="auto" w:fill="auto"/>
            <w:hideMark/>
          </w:tcPr>
          <w:p w14:paraId="43B2FDE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in legislation</w:t>
            </w:r>
          </w:p>
        </w:tc>
        <w:tc>
          <w:tcPr>
            <w:tcW w:w="2320" w:type="dxa"/>
            <w:tcBorders>
              <w:top w:val="nil"/>
              <w:left w:val="nil"/>
              <w:bottom w:val="single" w:sz="4" w:space="0" w:color="auto"/>
              <w:right w:val="single" w:sz="4" w:space="0" w:color="auto"/>
            </w:tcBorders>
            <w:shd w:val="clear" w:color="auto" w:fill="auto"/>
            <w:hideMark/>
          </w:tcPr>
          <w:p w14:paraId="44C4350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Change process </w:t>
            </w:r>
          </w:p>
        </w:tc>
        <w:tc>
          <w:tcPr>
            <w:tcW w:w="2514" w:type="dxa"/>
            <w:tcBorders>
              <w:top w:val="nil"/>
              <w:left w:val="nil"/>
              <w:bottom w:val="single" w:sz="4" w:space="0" w:color="auto"/>
              <w:right w:val="single" w:sz="4" w:space="0" w:color="auto"/>
            </w:tcBorders>
            <w:shd w:val="clear" w:color="auto" w:fill="auto"/>
            <w:noWrap/>
            <w:hideMark/>
          </w:tcPr>
          <w:p w14:paraId="363335C5"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808" w:type="dxa"/>
            <w:vAlign w:val="center"/>
            <w:hideMark/>
          </w:tcPr>
          <w:p w14:paraId="65A29371"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CB33936" w14:textId="77777777" w:rsidTr="0057040C">
        <w:trPr>
          <w:trHeight w:val="680"/>
        </w:trPr>
        <w:tc>
          <w:tcPr>
            <w:tcW w:w="646" w:type="dxa"/>
            <w:vMerge/>
            <w:tcBorders>
              <w:top w:val="nil"/>
              <w:left w:val="single" w:sz="4" w:space="0" w:color="auto"/>
              <w:bottom w:val="single" w:sz="4" w:space="0" w:color="000000"/>
              <w:right w:val="single" w:sz="4" w:space="0" w:color="auto"/>
            </w:tcBorders>
            <w:vAlign w:val="center"/>
            <w:hideMark/>
          </w:tcPr>
          <w:p w14:paraId="62F3B77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9E1F2"/>
            <w:hideMark/>
          </w:tcPr>
          <w:p w14:paraId="0EF190C5"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35.   What role does economic growth play for the coalition to achieve a transformation?</w:t>
            </w:r>
          </w:p>
        </w:tc>
        <w:tc>
          <w:tcPr>
            <w:tcW w:w="1620" w:type="dxa"/>
            <w:vMerge w:val="restart"/>
            <w:tcBorders>
              <w:top w:val="nil"/>
              <w:left w:val="nil"/>
              <w:bottom w:val="single" w:sz="4" w:space="0" w:color="auto"/>
              <w:right w:val="single" w:sz="4" w:space="0" w:color="auto"/>
            </w:tcBorders>
            <w:shd w:val="clear" w:color="000000" w:fill="D9E1F2"/>
            <w:hideMark/>
          </w:tcPr>
          <w:p w14:paraId="644B9E7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Role of Economic growth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440B57A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289373CB" w14:textId="58643AAC"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categorical</w:t>
            </w:r>
          </w:p>
          <w:p w14:paraId="6640AF2C"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022F923F" w14:textId="0DCC00A0"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 pro-growth (incl. green growth)</w:t>
            </w:r>
            <w:r w:rsidRPr="00D82287">
              <w:rPr>
                <w:rFonts w:ascii="Calibri" w:eastAsia="Times New Roman" w:hAnsi="Calibri" w:cs="Calibri"/>
                <w:color w:val="000000"/>
                <w:kern w:val="0"/>
                <w:sz w:val="20"/>
                <w:szCs w:val="20"/>
                <w:lang w:eastAsia="en-GB"/>
                <w14:ligatures w14:val="none"/>
              </w:rPr>
              <w:br/>
              <w:t xml:space="preserve">1 = a-growth </w:t>
            </w:r>
            <w:r w:rsidRPr="00D82287">
              <w:rPr>
                <w:rFonts w:ascii="Calibri" w:eastAsia="Times New Roman" w:hAnsi="Calibri" w:cs="Calibri"/>
                <w:color w:val="000000"/>
                <w:kern w:val="0"/>
                <w:sz w:val="20"/>
                <w:szCs w:val="20"/>
                <w:lang w:eastAsia="en-GB"/>
                <w14:ligatures w14:val="none"/>
              </w:rPr>
              <w:br/>
              <w:t>2 = degrowth</w:t>
            </w:r>
          </w:p>
        </w:tc>
        <w:tc>
          <w:tcPr>
            <w:tcW w:w="808" w:type="dxa"/>
            <w:vAlign w:val="center"/>
            <w:hideMark/>
          </w:tcPr>
          <w:p w14:paraId="760A1ACE"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8091DD5" w14:textId="77777777" w:rsidTr="0057040C">
        <w:trPr>
          <w:trHeight w:val="540"/>
        </w:trPr>
        <w:tc>
          <w:tcPr>
            <w:tcW w:w="646" w:type="dxa"/>
            <w:vMerge/>
            <w:tcBorders>
              <w:top w:val="nil"/>
              <w:left w:val="single" w:sz="4" w:space="0" w:color="auto"/>
              <w:bottom w:val="single" w:sz="4" w:space="0" w:color="000000"/>
              <w:right w:val="single" w:sz="4" w:space="0" w:color="auto"/>
            </w:tcBorders>
            <w:vAlign w:val="center"/>
            <w:hideMark/>
          </w:tcPr>
          <w:p w14:paraId="02A6BE7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5E3DC9F" w14:textId="2F6511C3"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    pro-growth, a-growth, green growth, degrowth strategies </w:t>
            </w:r>
            <w:r w:rsidR="00A73B2F" w:rsidRPr="00D82287">
              <w:rPr>
                <w:rFonts w:ascii="Calibri" w:eastAsia="Times New Roman" w:hAnsi="Calibri" w:cs="Calibri"/>
                <w:color w:val="000000"/>
                <w:kern w:val="0"/>
                <w:sz w:val="20"/>
                <w:szCs w:val="20"/>
                <w:lang w:eastAsia="en-GB"/>
                <w14:ligatures w14:val="none"/>
              </w:rPr>
              <w:t>(Van Den Bergh &amp; Kallis, 2012)</w:t>
            </w:r>
          </w:p>
        </w:tc>
        <w:tc>
          <w:tcPr>
            <w:tcW w:w="1620" w:type="dxa"/>
            <w:vMerge/>
            <w:tcBorders>
              <w:top w:val="nil"/>
              <w:left w:val="nil"/>
              <w:bottom w:val="single" w:sz="4" w:space="0" w:color="auto"/>
              <w:right w:val="single" w:sz="4" w:space="0" w:color="auto"/>
            </w:tcBorders>
            <w:vAlign w:val="center"/>
            <w:hideMark/>
          </w:tcPr>
          <w:p w14:paraId="5193A5A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84745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14D712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22FBFC41"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47174E9" w14:textId="77777777" w:rsidTr="0057040C">
        <w:trPr>
          <w:trHeight w:val="680"/>
        </w:trPr>
        <w:tc>
          <w:tcPr>
            <w:tcW w:w="646" w:type="dxa"/>
            <w:vMerge/>
            <w:tcBorders>
              <w:top w:val="nil"/>
              <w:left w:val="single" w:sz="4" w:space="0" w:color="auto"/>
              <w:bottom w:val="single" w:sz="4" w:space="0" w:color="000000"/>
              <w:right w:val="single" w:sz="4" w:space="0" w:color="auto"/>
            </w:tcBorders>
            <w:vAlign w:val="center"/>
            <w:hideMark/>
          </w:tcPr>
          <w:p w14:paraId="50CA548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434E0DA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246ED3C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AC03D4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4BFBDCE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85588E5"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16E21BC"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2F9EDF9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2905693F"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36.   What is the dominant scaling strategy of the coalition? </w:t>
            </w:r>
          </w:p>
        </w:tc>
        <w:tc>
          <w:tcPr>
            <w:tcW w:w="1620" w:type="dxa"/>
            <w:vMerge w:val="restart"/>
            <w:tcBorders>
              <w:top w:val="nil"/>
              <w:left w:val="nil"/>
              <w:bottom w:val="single" w:sz="4" w:space="0" w:color="auto"/>
              <w:right w:val="single" w:sz="4" w:space="0" w:color="auto"/>
            </w:tcBorders>
            <w:shd w:val="clear" w:color="auto" w:fill="auto"/>
            <w:hideMark/>
          </w:tcPr>
          <w:p w14:paraId="4FA35DE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Scaling strategy</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4955E30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w:t>
            </w:r>
          </w:p>
        </w:tc>
        <w:tc>
          <w:tcPr>
            <w:tcW w:w="2514" w:type="dxa"/>
            <w:vMerge w:val="restart"/>
            <w:tcBorders>
              <w:top w:val="nil"/>
              <w:left w:val="single" w:sz="4" w:space="0" w:color="auto"/>
              <w:bottom w:val="single" w:sz="4" w:space="0" w:color="auto"/>
              <w:right w:val="single" w:sz="4" w:space="0" w:color="auto"/>
            </w:tcBorders>
            <w:shd w:val="clear" w:color="auto" w:fill="auto"/>
            <w:hideMark/>
          </w:tcPr>
          <w:p w14:paraId="7EF325EE"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 scale up</w:t>
            </w:r>
            <w:r w:rsidRPr="00D82287">
              <w:rPr>
                <w:rFonts w:ascii="Calibri" w:eastAsia="Times New Roman" w:hAnsi="Calibri" w:cs="Calibri"/>
                <w:color w:val="000000"/>
                <w:kern w:val="0"/>
                <w:sz w:val="20"/>
                <w:szCs w:val="20"/>
                <w:lang w:eastAsia="en-GB"/>
                <w14:ligatures w14:val="none"/>
              </w:rPr>
              <w:br/>
              <w:t>1 = scale out</w:t>
            </w:r>
            <w:r w:rsidRPr="00D82287">
              <w:rPr>
                <w:rFonts w:ascii="Calibri" w:eastAsia="Times New Roman" w:hAnsi="Calibri" w:cs="Calibri"/>
                <w:color w:val="000000"/>
                <w:kern w:val="0"/>
                <w:sz w:val="20"/>
                <w:szCs w:val="20"/>
                <w:lang w:eastAsia="en-GB"/>
                <w14:ligatures w14:val="none"/>
              </w:rPr>
              <w:br/>
              <w:t xml:space="preserve">2 = scale deep </w:t>
            </w:r>
            <w:r w:rsidRPr="00D82287">
              <w:rPr>
                <w:rFonts w:ascii="Calibri" w:eastAsia="Times New Roman" w:hAnsi="Calibri" w:cs="Calibri"/>
                <w:color w:val="000000"/>
                <w:kern w:val="0"/>
                <w:sz w:val="20"/>
                <w:szCs w:val="20"/>
                <w:lang w:eastAsia="en-GB"/>
                <w14:ligatures w14:val="none"/>
              </w:rPr>
              <w:br/>
              <w:t>3 = cross-cutting</w:t>
            </w:r>
          </w:p>
        </w:tc>
        <w:tc>
          <w:tcPr>
            <w:tcW w:w="808" w:type="dxa"/>
            <w:vAlign w:val="center"/>
            <w:hideMark/>
          </w:tcPr>
          <w:p w14:paraId="510329F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4F9523F"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910C87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040056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231D20B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F7D829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D08DBA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57E0C52E"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20CF4B1" w14:textId="77777777" w:rsidTr="0057040C">
        <w:trPr>
          <w:trHeight w:val="710"/>
        </w:trPr>
        <w:tc>
          <w:tcPr>
            <w:tcW w:w="646" w:type="dxa"/>
            <w:vMerge/>
            <w:tcBorders>
              <w:top w:val="nil"/>
              <w:left w:val="single" w:sz="4" w:space="0" w:color="auto"/>
              <w:bottom w:val="single" w:sz="4" w:space="0" w:color="000000"/>
              <w:right w:val="single" w:sz="4" w:space="0" w:color="auto"/>
            </w:tcBorders>
            <w:vAlign w:val="center"/>
            <w:hideMark/>
          </w:tcPr>
          <w:p w14:paraId="4BD5213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92438A8" w14:textId="4C727F53"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   Scaling deep, out and up </w:t>
            </w:r>
            <w:r w:rsidR="00A73B2F" w:rsidRPr="00D82287">
              <w:rPr>
                <w:rFonts w:ascii="Calibri" w:eastAsia="Times New Roman" w:hAnsi="Calibri" w:cs="Calibri"/>
                <w:color w:val="000000"/>
                <w:kern w:val="0"/>
                <w:sz w:val="20"/>
                <w:szCs w:val="20"/>
                <w:lang w:eastAsia="en-GB"/>
                <w14:ligatures w14:val="none"/>
              </w:rPr>
              <w:t>(Moore, Riddell, &amp; Vocisano, 2015; Olsson et al., 2017; Westley et al., 2013)</w:t>
            </w:r>
          </w:p>
        </w:tc>
        <w:tc>
          <w:tcPr>
            <w:tcW w:w="1620" w:type="dxa"/>
            <w:vMerge/>
            <w:tcBorders>
              <w:top w:val="nil"/>
              <w:left w:val="nil"/>
              <w:bottom w:val="single" w:sz="4" w:space="0" w:color="auto"/>
              <w:right w:val="single" w:sz="4" w:space="0" w:color="auto"/>
            </w:tcBorders>
            <w:vAlign w:val="center"/>
            <w:hideMark/>
          </w:tcPr>
          <w:p w14:paraId="3D9E451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BCD8F2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17FA629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BA4884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84906F8" w14:textId="77777777" w:rsidTr="0057040C">
        <w:trPr>
          <w:trHeight w:val="940"/>
        </w:trPr>
        <w:tc>
          <w:tcPr>
            <w:tcW w:w="646" w:type="dxa"/>
            <w:vMerge/>
            <w:tcBorders>
              <w:top w:val="nil"/>
              <w:left w:val="single" w:sz="4" w:space="0" w:color="auto"/>
              <w:bottom w:val="single" w:sz="4" w:space="0" w:color="000000"/>
              <w:right w:val="single" w:sz="4" w:space="0" w:color="auto"/>
            </w:tcBorders>
            <w:vAlign w:val="center"/>
            <w:hideMark/>
          </w:tcPr>
          <w:p w14:paraId="76140F8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single" w:sz="4" w:space="0" w:color="auto"/>
              <w:right w:val="single" w:sz="4" w:space="0" w:color="auto"/>
            </w:tcBorders>
            <w:shd w:val="clear" w:color="000000" w:fill="D9E1F2"/>
            <w:hideMark/>
          </w:tcPr>
          <w:p w14:paraId="17482078"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37.   What is the innovative aspect of the coalition? Is the problem they are addressing (or with their approach) to the problem unique? </w:t>
            </w:r>
            <w:r w:rsidRPr="00D82287">
              <w:rPr>
                <w:rFonts w:ascii="Calibri" w:eastAsia="Times New Roman" w:hAnsi="Calibri" w:cs="Calibri"/>
                <w:color w:val="000000"/>
                <w:kern w:val="0"/>
                <w:sz w:val="20"/>
                <w:szCs w:val="20"/>
                <w:lang w:eastAsia="en-GB"/>
                <w14:ligatures w14:val="none"/>
              </w:rPr>
              <w:t>(Seeds of Good Anthropocene, 2020) </w:t>
            </w:r>
          </w:p>
        </w:tc>
        <w:tc>
          <w:tcPr>
            <w:tcW w:w="1620" w:type="dxa"/>
            <w:tcBorders>
              <w:top w:val="nil"/>
              <w:left w:val="nil"/>
              <w:bottom w:val="single" w:sz="4" w:space="0" w:color="auto"/>
              <w:right w:val="single" w:sz="4" w:space="0" w:color="auto"/>
            </w:tcBorders>
            <w:shd w:val="clear" w:color="000000" w:fill="D9E1F2"/>
            <w:hideMark/>
          </w:tcPr>
          <w:p w14:paraId="451258F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Innovation (coalition) </w:t>
            </w:r>
          </w:p>
        </w:tc>
        <w:tc>
          <w:tcPr>
            <w:tcW w:w="2320" w:type="dxa"/>
            <w:tcBorders>
              <w:top w:val="nil"/>
              <w:left w:val="nil"/>
              <w:bottom w:val="single" w:sz="4" w:space="0" w:color="auto"/>
              <w:right w:val="single" w:sz="4" w:space="0" w:color="auto"/>
            </w:tcBorders>
            <w:shd w:val="clear" w:color="000000" w:fill="D9E1F2"/>
            <w:hideMark/>
          </w:tcPr>
          <w:p w14:paraId="6BEBA62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Challenge </w:t>
            </w:r>
          </w:p>
        </w:tc>
        <w:tc>
          <w:tcPr>
            <w:tcW w:w="2514" w:type="dxa"/>
            <w:tcBorders>
              <w:top w:val="nil"/>
              <w:left w:val="nil"/>
              <w:bottom w:val="single" w:sz="4" w:space="0" w:color="auto"/>
              <w:right w:val="single" w:sz="4" w:space="0" w:color="auto"/>
            </w:tcBorders>
            <w:shd w:val="clear" w:color="000000" w:fill="D9E1F2"/>
            <w:noWrap/>
            <w:hideMark/>
          </w:tcPr>
          <w:p w14:paraId="4A518593" w14:textId="6E6E822B"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347E31C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B94E21A"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49D4A3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508D391A"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38.   Does the coalition address challenges from a social, environmental or integrated approach? </w:t>
            </w:r>
            <w:r w:rsidRPr="00D82287">
              <w:rPr>
                <w:rFonts w:ascii="Calibri" w:eastAsia="Times New Roman" w:hAnsi="Calibri" w:cs="Calibri"/>
                <w:color w:val="000000"/>
                <w:kern w:val="0"/>
                <w:sz w:val="20"/>
                <w:szCs w:val="20"/>
                <w:lang w:eastAsia="en-GB"/>
                <w14:ligatures w14:val="none"/>
              </w:rPr>
              <w:t>(Seeds of Good Anthropocene, 2020) </w:t>
            </w:r>
          </w:p>
        </w:tc>
        <w:tc>
          <w:tcPr>
            <w:tcW w:w="1620" w:type="dxa"/>
            <w:vMerge w:val="restart"/>
            <w:tcBorders>
              <w:top w:val="nil"/>
              <w:left w:val="nil"/>
              <w:bottom w:val="single" w:sz="4" w:space="0" w:color="auto"/>
              <w:right w:val="single" w:sz="4" w:space="0" w:color="auto"/>
            </w:tcBorders>
            <w:shd w:val="clear" w:color="auto" w:fill="auto"/>
            <w:hideMark/>
          </w:tcPr>
          <w:p w14:paraId="54D46EF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Socio-ecological challenge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74B1CF5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Challenge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646D60F4" w14:textId="20849B7E"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532D4AA1"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9B553AF"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9B2AA3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636748D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Triple bottom line thinking and trade-offs between ecological, social and economic VS economic and social elements nested in ecosystem (Olsson et al. 2017)  </w:t>
            </w:r>
          </w:p>
        </w:tc>
        <w:tc>
          <w:tcPr>
            <w:tcW w:w="1620" w:type="dxa"/>
            <w:vMerge/>
            <w:tcBorders>
              <w:top w:val="nil"/>
              <w:left w:val="nil"/>
              <w:bottom w:val="single" w:sz="4" w:space="0" w:color="auto"/>
              <w:right w:val="single" w:sz="4" w:space="0" w:color="auto"/>
            </w:tcBorders>
            <w:vAlign w:val="center"/>
            <w:hideMark/>
          </w:tcPr>
          <w:p w14:paraId="0C62C2B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3D3BE9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D42985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EDB2F5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F2EF8C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C584A4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3A05CE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3A199AA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34EFF7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8AB494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2E27FD5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34FA97B"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80B5A8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9E1F2"/>
            <w:hideMark/>
          </w:tcPr>
          <w:p w14:paraId="29A07503"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39.   How does the coalition define and conceptualize sustainability?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9E1F2"/>
            <w:hideMark/>
          </w:tcPr>
          <w:p w14:paraId="0BB5C44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Definition sustainability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573725D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3E044E52"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3F785E89" w14:textId="5ABEC1A4"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lastRenderedPageBreak/>
              <w:t xml:space="preserve">Categorical </w:t>
            </w:r>
          </w:p>
          <w:p w14:paraId="098CAAD2"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79B296D8" w14:textId="7341D43F"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 do not define</w:t>
            </w:r>
            <w:r w:rsidRPr="00D82287">
              <w:rPr>
                <w:rFonts w:ascii="Calibri" w:eastAsia="Times New Roman" w:hAnsi="Calibri" w:cs="Calibri"/>
                <w:color w:val="000000"/>
                <w:kern w:val="0"/>
                <w:sz w:val="20"/>
                <w:szCs w:val="20"/>
                <w:lang w:eastAsia="en-GB"/>
                <w14:ligatures w14:val="none"/>
              </w:rPr>
              <w:br/>
              <w:t>1 = weak sustainability</w:t>
            </w:r>
            <w:r w:rsidRPr="00D82287">
              <w:rPr>
                <w:rFonts w:ascii="Calibri" w:eastAsia="Times New Roman" w:hAnsi="Calibri" w:cs="Calibri"/>
                <w:color w:val="000000"/>
                <w:kern w:val="0"/>
                <w:sz w:val="20"/>
                <w:szCs w:val="20"/>
                <w:lang w:eastAsia="en-GB"/>
                <w14:ligatures w14:val="none"/>
              </w:rPr>
              <w:br/>
              <w:t>2 = strong sustainability</w:t>
            </w:r>
          </w:p>
        </w:tc>
        <w:tc>
          <w:tcPr>
            <w:tcW w:w="808" w:type="dxa"/>
            <w:vAlign w:val="center"/>
            <w:hideMark/>
          </w:tcPr>
          <w:p w14:paraId="5351C71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43A4DD1" w14:textId="77777777" w:rsidTr="0057040C">
        <w:trPr>
          <w:trHeight w:val="1630"/>
        </w:trPr>
        <w:tc>
          <w:tcPr>
            <w:tcW w:w="646" w:type="dxa"/>
            <w:vMerge/>
            <w:tcBorders>
              <w:top w:val="nil"/>
              <w:left w:val="single" w:sz="4" w:space="0" w:color="auto"/>
              <w:bottom w:val="single" w:sz="4" w:space="0" w:color="000000"/>
              <w:right w:val="single" w:sz="4" w:space="0" w:color="auto"/>
            </w:tcBorders>
            <w:vAlign w:val="center"/>
            <w:hideMark/>
          </w:tcPr>
          <w:p w14:paraId="22258B4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2FCCC80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strong or weak sustainability, substitutability of natural capital, Brundtland etc. </w:t>
            </w:r>
          </w:p>
        </w:tc>
        <w:tc>
          <w:tcPr>
            <w:tcW w:w="1620" w:type="dxa"/>
            <w:vMerge/>
            <w:tcBorders>
              <w:top w:val="nil"/>
              <w:left w:val="nil"/>
              <w:bottom w:val="single" w:sz="4" w:space="0" w:color="auto"/>
              <w:right w:val="single" w:sz="4" w:space="0" w:color="auto"/>
            </w:tcBorders>
            <w:vAlign w:val="center"/>
            <w:hideMark/>
          </w:tcPr>
          <w:p w14:paraId="5E239AD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6F867E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2B6C01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7F31A0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E367890" w14:textId="77777777" w:rsidTr="0057040C">
        <w:trPr>
          <w:trHeight w:val="2210"/>
        </w:trPr>
        <w:tc>
          <w:tcPr>
            <w:tcW w:w="646" w:type="dxa"/>
            <w:vMerge/>
            <w:tcBorders>
              <w:top w:val="nil"/>
              <w:left w:val="single" w:sz="4" w:space="0" w:color="auto"/>
              <w:bottom w:val="single" w:sz="4" w:space="0" w:color="000000"/>
              <w:right w:val="single" w:sz="4" w:space="0" w:color="auto"/>
            </w:tcBorders>
            <w:vAlign w:val="center"/>
            <w:hideMark/>
          </w:tcPr>
          <w:p w14:paraId="5BC82B8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01B58ED"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40.   Does the coalition aknowledge complexity and/or interconnectedness? How does the coalition conceptualize, “complexity”?  </w:t>
            </w:r>
            <w:r w:rsidRPr="00D82287">
              <w:rPr>
                <w:rFonts w:ascii="Calibri" w:eastAsia="Times New Roman" w:hAnsi="Calibri" w:cs="Calibri"/>
                <w:color w:val="000000"/>
                <w:kern w:val="0"/>
                <w:sz w:val="20"/>
                <w:szCs w:val="20"/>
                <w:lang w:eastAsia="en-GB"/>
                <w14:ligatures w14:val="none"/>
              </w:rPr>
              <w:t>(Blue Marble Evaluation, 2020) </w:t>
            </w:r>
          </w:p>
        </w:tc>
        <w:tc>
          <w:tcPr>
            <w:tcW w:w="1620" w:type="dxa"/>
            <w:tcBorders>
              <w:top w:val="nil"/>
              <w:left w:val="nil"/>
              <w:bottom w:val="single" w:sz="4" w:space="0" w:color="auto"/>
              <w:right w:val="single" w:sz="4" w:space="0" w:color="auto"/>
            </w:tcBorders>
            <w:shd w:val="clear" w:color="000000" w:fill="FFFFFF"/>
            <w:hideMark/>
          </w:tcPr>
          <w:p w14:paraId="242F45A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Definitions complexity </w:t>
            </w:r>
          </w:p>
        </w:tc>
        <w:tc>
          <w:tcPr>
            <w:tcW w:w="2320" w:type="dxa"/>
            <w:tcBorders>
              <w:top w:val="nil"/>
              <w:left w:val="nil"/>
              <w:bottom w:val="single" w:sz="4" w:space="0" w:color="auto"/>
              <w:right w:val="single" w:sz="4" w:space="0" w:color="auto"/>
            </w:tcBorders>
            <w:shd w:val="clear" w:color="000000" w:fill="FFFFFF"/>
            <w:hideMark/>
          </w:tcPr>
          <w:p w14:paraId="4490E5E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 </w:t>
            </w:r>
          </w:p>
        </w:tc>
        <w:tc>
          <w:tcPr>
            <w:tcW w:w="2514" w:type="dxa"/>
            <w:tcBorders>
              <w:top w:val="nil"/>
              <w:left w:val="nil"/>
              <w:bottom w:val="single" w:sz="4" w:space="0" w:color="auto"/>
              <w:right w:val="single" w:sz="4" w:space="0" w:color="auto"/>
            </w:tcBorders>
            <w:shd w:val="clear" w:color="000000" w:fill="FFFFFF"/>
            <w:hideMark/>
          </w:tcPr>
          <w:p w14:paraId="5809BB1C" w14:textId="04311CD0" w:rsidR="00052021" w:rsidRPr="00D82287" w:rsidRDefault="00052021" w:rsidP="00052021">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Categorical/binary </w:t>
            </w:r>
          </w:p>
          <w:p w14:paraId="05D1740B" w14:textId="661FDE3F"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1 = yes</w:t>
            </w:r>
            <w:r w:rsidRPr="00D82287">
              <w:rPr>
                <w:rFonts w:ascii="Calibri" w:eastAsia="Times New Roman" w:hAnsi="Calibri" w:cs="Calibri"/>
                <w:color w:val="000000"/>
                <w:kern w:val="0"/>
                <w:sz w:val="20"/>
                <w:szCs w:val="20"/>
                <w:lang w:eastAsia="en-GB"/>
                <w14:ligatures w14:val="none"/>
              </w:rPr>
              <w:br w:type="page"/>
              <w:t xml:space="preserve">, 0 = no </w:t>
            </w:r>
          </w:p>
        </w:tc>
        <w:tc>
          <w:tcPr>
            <w:tcW w:w="808" w:type="dxa"/>
            <w:vAlign w:val="center"/>
            <w:hideMark/>
          </w:tcPr>
          <w:p w14:paraId="4F5D6D4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FC2EA25"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ABC0D7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9E1F2"/>
            <w:hideMark/>
          </w:tcPr>
          <w:p w14:paraId="350DB5C8"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41.   Which (scientific) frameworks and concepts are (mainly) used to describe and conceptualize sustainability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9E1F2"/>
            <w:hideMark/>
          </w:tcPr>
          <w:p w14:paraId="6A03863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Scientific framework for sustainability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244177B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7E99E7F0" w14:textId="1A4DEB98"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7163E13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7917483"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39D631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8FBA28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7896F4A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52347BD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427ECFF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5FD758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FD10BCE"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22F843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5126C9E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e.g. planetary boundaries, ecosystem services, green growth, nature-based solutions, resilience, nature’s rights, ecological modernization, regime shifts/tipping points </w:t>
            </w:r>
          </w:p>
        </w:tc>
        <w:tc>
          <w:tcPr>
            <w:tcW w:w="1620" w:type="dxa"/>
            <w:vMerge/>
            <w:tcBorders>
              <w:top w:val="nil"/>
              <w:left w:val="nil"/>
              <w:bottom w:val="single" w:sz="4" w:space="0" w:color="auto"/>
              <w:right w:val="single" w:sz="4" w:space="0" w:color="auto"/>
            </w:tcBorders>
            <w:vAlign w:val="center"/>
            <w:hideMark/>
          </w:tcPr>
          <w:p w14:paraId="581D8F2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0109569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E4A76C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9BC81E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6A2568E" w14:textId="77777777" w:rsidTr="0057040C">
        <w:trPr>
          <w:trHeight w:val="450"/>
        </w:trPr>
        <w:tc>
          <w:tcPr>
            <w:tcW w:w="646" w:type="dxa"/>
            <w:vMerge/>
            <w:tcBorders>
              <w:top w:val="nil"/>
              <w:left w:val="single" w:sz="4" w:space="0" w:color="auto"/>
              <w:bottom w:val="single" w:sz="4" w:space="0" w:color="000000"/>
              <w:right w:val="single" w:sz="4" w:space="0" w:color="auto"/>
            </w:tcBorders>
            <w:vAlign w:val="center"/>
            <w:hideMark/>
          </w:tcPr>
          <w:p w14:paraId="11BECC3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04A0B29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Looking for scientific references/referencing a scientific framework </w:t>
            </w:r>
          </w:p>
        </w:tc>
        <w:tc>
          <w:tcPr>
            <w:tcW w:w="1620" w:type="dxa"/>
            <w:vMerge/>
            <w:tcBorders>
              <w:top w:val="nil"/>
              <w:left w:val="nil"/>
              <w:bottom w:val="single" w:sz="4" w:space="0" w:color="auto"/>
              <w:right w:val="single" w:sz="4" w:space="0" w:color="auto"/>
            </w:tcBorders>
            <w:vAlign w:val="center"/>
            <w:hideMark/>
          </w:tcPr>
          <w:p w14:paraId="23F13B6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881B13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2797FE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2A2C7572"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A0B50A6"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CDF4BA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55FBF53"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42.   How are they conceptualizing ecological sustainability?</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auto" w:fill="auto"/>
            <w:hideMark/>
          </w:tcPr>
          <w:p w14:paraId="453B8B3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Resilience Ecological Sustainability </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1857F84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 </w:t>
            </w:r>
          </w:p>
        </w:tc>
        <w:tc>
          <w:tcPr>
            <w:tcW w:w="2514" w:type="dxa"/>
            <w:vMerge w:val="restart"/>
            <w:tcBorders>
              <w:top w:val="nil"/>
              <w:left w:val="single" w:sz="4" w:space="0" w:color="auto"/>
              <w:bottom w:val="single" w:sz="4" w:space="0" w:color="auto"/>
              <w:right w:val="single" w:sz="4" w:space="0" w:color="auto"/>
            </w:tcBorders>
            <w:shd w:val="clear" w:color="auto" w:fill="auto"/>
            <w:noWrap/>
            <w:hideMark/>
          </w:tcPr>
          <w:p w14:paraId="01DC599E" w14:textId="3A53F040" w:rsidR="0057040C"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7D66C11C"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968A4D5" w14:textId="77777777" w:rsidTr="0057040C">
        <w:trPr>
          <w:trHeight w:val="680"/>
        </w:trPr>
        <w:tc>
          <w:tcPr>
            <w:tcW w:w="646" w:type="dxa"/>
            <w:vMerge/>
            <w:tcBorders>
              <w:top w:val="nil"/>
              <w:left w:val="single" w:sz="4" w:space="0" w:color="auto"/>
              <w:bottom w:val="single" w:sz="4" w:space="0" w:color="000000"/>
              <w:right w:val="single" w:sz="4" w:space="0" w:color="auto"/>
            </w:tcBorders>
            <w:vAlign w:val="center"/>
            <w:hideMark/>
          </w:tcPr>
          <w:p w14:paraId="4F21DC4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2C4AE7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Dynamic vs static/linear view of ecosystems (Blue Marble Evaluation, 2020) </w:t>
            </w:r>
          </w:p>
        </w:tc>
        <w:tc>
          <w:tcPr>
            <w:tcW w:w="1620" w:type="dxa"/>
            <w:vMerge/>
            <w:tcBorders>
              <w:top w:val="nil"/>
              <w:left w:val="nil"/>
              <w:bottom w:val="single" w:sz="4" w:space="0" w:color="auto"/>
              <w:right w:val="single" w:sz="4" w:space="0" w:color="auto"/>
            </w:tcBorders>
            <w:vAlign w:val="center"/>
            <w:hideMark/>
          </w:tcPr>
          <w:p w14:paraId="3E65E76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66AD13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AE8849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35347B3D"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049B977"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7E8858C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9E1F2"/>
            <w:hideMark/>
          </w:tcPr>
          <w:p w14:paraId="6BE2767F"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43.   How does the coalition talk about inequality and equity?</w:t>
            </w:r>
          </w:p>
        </w:tc>
        <w:tc>
          <w:tcPr>
            <w:tcW w:w="1620" w:type="dxa"/>
            <w:vMerge w:val="restart"/>
            <w:tcBorders>
              <w:top w:val="nil"/>
              <w:left w:val="nil"/>
              <w:bottom w:val="single" w:sz="4" w:space="0" w:color="auto"/>
              <w:right w:val="single" w:sz="4" w:space="0" w:color="auto"/>
            </w:tcBorders>
            <w:shd w:val="clear" w:color="000000" w:fill="D9E1F2"/>
            <w:hideMark/>
          </w:tcPr>
          <w:p w14:paraId="69E8D87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Definition equity</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24C5A13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52644859" w14:textId="12307955" w:rsidR="00052021" w:rsidRPr="00D82287" w:rsidRDefault="00052021"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categorical</w:t>
            </w:r>
          </w:p>
          <w:p w14:paraId="4AC90891" w14:textId="77777777" w:rsidR="00052021" w:rsidRPr="00D82287" w:rsidRDefault="00052021" w:rsidP="00FC49C9">
            <w:pPr>
              <w:jc w:val="center"/>
              <w:rPr>
                <w:rFonts w:ascii="Calibri" w:eastAsia="Times New Roman" w:hAnsi="Calibri" w:cs="Calibri"/>
                <w:color w:val="000000"/>
                <w:kern w:val="0"/>
                <w:sz w:val="20"/>
                <w:szCs w:val="20"/>
                <w:lang w:eastAsia="en-GB"/>
                <w14:ligatures w14:val="none"/>
              </w:rPr>
            </w:pPr>
          </w:p>
          <w:p w14:paraId="4CC61C69" w14:textId="6C3866B4"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distributional </w:t>
            </w:r>
            <w:r w:rsidRPr="00D82287">
              <w:rPr>
                <w:rFonts w:ascii="Calibri" w:eastAsia="Times New Roman" w:hAnsi="Calibri" w:cs="Calibri"/>
                <w:color w:val="000000"/>
                <w:kern w:val="0"/>
                <w:sz w:val="20"/>
                <w:szCs w:val="20"/>
                <w:lang w:eastAsia="en-GB"/>
                <w14:ligatures w14:val="none"/>
              </w:rPr>
              <w:br/>
              <w:t xml:space="preserve">procedural </w:t>
            </w:r>
            <w:r w:rsidRPr="00D82287">
              <w:rPr>
                <w:rFonts w:ascii="Calibri" w:eastAsia="Times New Roman" w:hAnsi="Calibri" w:cs="Calibri"/>
                <w:color w:val="000000"/>
                <w:kern w:val="0"/>
                <w:sz w:val="20"/>
                <w:szCs w:val="20"/>
                <w:lang w:eastAsia="en-GB"/>
                <w14:ligatures w14:val="none"/>
              </w:rPr>
              <w:br/>
              <w:t xml:space="preserve">recognitional </w:t>
            </w:r>
          </w:p>
        </w:tc>
        <w:tc>
          <w:tcPr>
            <w:tcW w:w="808" w:type="dxa"/>
            <w:vAlign w:val="center"/>
            <w:hideMark/>
          </w:tcPr>
          <w:p w14:paraId="673CBDC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0B5F21A"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75CBDD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54BF4C5"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0DF9F88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9C0B13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05B076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3F371F3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6261D8D"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F15A53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336E061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   Equity of what </w:t>
            </w:r>
          </w:p>
        </w:tc>
        <w:tc>
          <w:tcPr>
            <w:tcW w:w="1620" w:type="dxa"/>
            <w:vMerge/>
            <w:tcBorders>
              <w:top w:val="nil"/>
              <w:left w:val="nil"/>
              <w:bottom w:val="single" w:sz="4" w:space="0" w:color="auto"/>
              <w:right w:val="single" w:sz="4" w:space="0" w:color="auto"/>
            </w:tcBorders>
            <w:vAlign w:val="center"/>
            <w:hideMark/>
          </w:tcPr>
          <w:p w14:paraId="1EECA71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7D2745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5FC72CA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708580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25BF7185"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F485A4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19B93E7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   Equity between whom </w:t>
            </w:r>
          </w:p>
        </w:tc>
        <w:tc>
          <w:tcPr>
            <w:tcW w:w="1620" w:type="dxa"/>
            <w:vMerge/>
            <w:tcBorders>
              <w:top w:val="nil"/>
              <w:left w:val="nil"/>
              <w:bottom w:val="single" w:sz="4" w:space="0" w:color="auto"/>
              <w:right w:val="single" w:sz="4" w:space="0" w:color="auto"/>
            </w:tcBorders>
            <w:vAlign w:val="center"/>
            <w:hideMark/>
          </w:tcPr>
          <w:p w14:paraId="729D7EC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F151FD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874221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A4CF77D"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E70CAE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C72BF8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66B6E6E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11C41AC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B444AB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5F323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0B956C84"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34A540A" w14:textId="77777777" w:rsidTr="0057040C">
        <w:trPr>
          <w:trHeight w:val="930"/>
        </w:trPr>
        <w:tc>
          <w:tcPr>
            <w:tcW w:w="646" w:type="dxa"/>
            <w:vMerge/>
            <w:tcBorders>
              <w:top w:val="nil"/>
              <w:left w:val="single" w:sz="4" w:space="0" w:color="auto"/>
              <w:bottom w:val="single" w:sz="4" w:space="0" w:color="000000"/>
              <w:right w:val="single" w:sz="4" w:space="0" w:color="auto"/>
            </w:tcBorders>
            <w:vAlign w:val="center"/>
            <w:hideMark/>
          </w:tcPr>
          <w:p w14:paraId="4825270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0EDA357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Equitable recognition, rights and access expressed as inputs (to economic conditions, physical conditions, such as water, sanitation, energy, infrastructure and land, and processes such as education and justice)</w:t>
            </w:r>
          </w:p>
        </w:tc>
        <w:tc>
          <w:tcPr>
            <w:tcW w:w="1620" w:type="dxa"/>
            <w:vMerge/>
            <w:tcBorders>
              <w:top w:val="nil"/>
              <w:left w:val="nil"/>
              <w:bottom w:val="single" w:sz="4" w:space="0" w:color="auto"/>
              <w:right w:val="single" w:sz="4" w:space="0" w:color="auto"/>
            </w:tcBorders>
            <w:vAlign w:val="center"/>
            <w:hideMark/>
          </w:tcPr>
          <w:p w14:paraId="64420D7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550A818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F177A2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2B5CB7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1B96EB8" w14:textId="77777777" w:rsidTr="0057040C">
        <w:trPr>
          <w:trHeight w:val="830"/>
        </w:trPr>
        <w:tc>
          <w:tcPr>
            <w:tcW w:w="646" w:type="dxa"/>
            <w:vMerge/>
            <w:tcBorders>
              <w:top w:val="nil"/>
              <w:left w:val="single" w:sz="4" w:space="0" w:color="auto"/>
              <w:bottom w:val="single" w:sz="4" w:space="0" w:color="000000"/>
              <w:right w:val="single" w:sz="4" w:space="0" w:color="auto"/>
            </w:tcBorders>
            <w:vAlign w:val="center"/>
            <w:hideMark/>
          </w:tcPr>
          <w:p w14:paraId="3586E0F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76F36B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Procedural aspects of equitable participation and opportunity (across gender, in law and policy, and the international trading system)</w:t>
            </w:r>
          </w:p>
        </w:tc>
        <w:tc>
          <w:tcPr>
            <w:tcW w:w="1620" w:type="dxa"/>
            <w:vMerge/>
            <w:tcBorders>
              <w:top w:val="nil"/>
              <w:left w:val="nil"/>
              <w:bottom w:val="single" w:sz="4" w:space="0" w:color="auto"/>
              <w:right w:val="single" w:sz="4" w:space="0" w:color="auto"/>
            </w:tcBorders>
            <w:vAlign w:val="center"/>
            <w:hideMark/>
          </w:tcPr>
          <w:p w14:paraId="1093D07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1B257D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1E022A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0E9D405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BFE0B70" w14:textId="77777777" w:rsidTr="0057040C">
        <w:trPr>
          <w:trHeight w:val="710"/>
        </w:trPr>
        <w:tc>
          <w:tcPr>
            <w:tcW w:w="646" w:type="dxa"/>
            <w:vMerge/>
            <w:tcBorders>
              <w:top w:val="nil"/>
              <w:left w:val="single" w:sz="4" w:space="0" w:color="auto"/>
              <w:bottom w:val="single" w:sz="4" w:space="0" w:color="000000"/>
              <w:right w:val="single" w:sz="4" w:space="0" w:color="auto"/>
            </w:tcBorders>
            <w:vAlign w:val="center"/>
            <w:hideMark/>
          </w:tcPr>
          <w:p w14:paraId="01D96D0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44E4503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As distributional outcomes expressed as fair sharing of benefits (of use of genetic resources, and in wages or pay)</w:t>
            </w:r>
          </w:p>
        </w:tc>
        <w:tc>
          <w:tcPr>
            <w:tcW w:w="1620" w:type="dxa"/>
            <w:vMerge/>
            <w:tcBorders>
              <w:top w:val="nil"/>
              <w:left w:val="nil"/>
              <w:bottom w:val="single" w:sz="4" w:space="0" w:color="auto"/>
              <w:right w:val="single" w:sz="4" w:space="0" w:color="auto"/>
            </w:tcBorders>
            <w:vAlign w:val="center"/>
            <w:hideMark/>
          </w:tcPr>
          <w:p w14:paraId="05E533F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5087DC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1CE015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0716AD2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575722A"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2C097FB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66517E2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5F628FC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333137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397FC42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595F8C4"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4C1DDCC"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5A96B9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58E24C54" w14:textId="0DF70BA2"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 </w:t>
            </w:r>
            <w:r w:rsidR="005B45D0" w:rsidRPr="00D82287">
              <w:rPr>
                <w:rFonts w:ascii="Calibri" w:eastAsia="Times New Roman" w:hAnsi="Calibri" w:cs="Calibri"/>
                <w:color w:val="000000"/>
                <w:kern w:val="0"/>
                <w:sz w:val="20"/>
                <w:szCs w:val="20"/>
                <w:lang w:eastAsia="en-GB"/>
                <w14:ligatures w14:val="none"/>
              </w:rPr>
              <w:t>(Leach et al., 2018)</w:t>
            </w:r>
          </w:p>
        </w:tc>
        <w:tc>
          <w:tcPr>
            <w:tcW w:w="1620" w:type="dxa"/>
            <w:vMerge/>
            <w:tcBorders>
              <w:top w:val="nil"/>
              <w:left w:val="nil"/>
              <w:bottom w:val="single" w:sz="4" w:space="0" w:color="auto"/>
              <w:right w:val="single" w:sz="4" w:space="0" w:color="auto"/>
            </w:tcBorders>
            <w:vAlign w:val="center"/>
            <w:hideMark/>
          </w:tcPr>
          <w:p w14:paraId="7C970EF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4A266C3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3F11E99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2D3A685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4494F76"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0C66AF2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7B2F2D15"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44.   Does the coalition acknowledge there are biophysical limits to our global economy? </w:t>
            </w:r>
          </w:p>
        </w:tc>
        <w:tc>
          <w:tcPr>
            <w:tcW w:w="1620" w:type="dxa"/>
            <w:vMerge w:val="restart"/>
            <w:tcBorders>
              <w:top w:val="nil"/>
              <w:left w:val="nil"/>
              <w:bottom w:val="single" w:sz="4" w:space="0" w:color="auto"/>
              <w:right w:val="single" w:sz="4" w:space="0" w:color="auto"/>
            </w:tcBorders>
            <w:shd w:val="clear" w:color="auto" w:fill="auto"/>
            <w:hideMark/>
          </w:tcPr>
          <w:p w14:paraId="5BE17CB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Biophysical limits</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747B06B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w:t>
            </w:r>
          </w:p>
        </w:tc>
        <w:tc>
          <w:tcPr>
            <w:tcW w:w="2514" w:type="dxa"/>
            <w:vMerge w:val="restart"/>
            <w:tcBorders>
              <w:top w:val="nil"/>
              <w:left w:val="single" w:sz="4" w:space="0" w:color="auto"/>
              <w:bottom w:val="single" w:sz="4" w:space="0" w:color="auto"/>
              <w:right w:val="single" w:sz="4" w:space="0" w:color="auto"/>
            </w:tcBorders>
            <w:shd w:val="clear" w:color="auto" w:fill="auto"/>
            <w:hideMark/>
          </w:tcPr>
          <w:p w14:paraId="2EBEAE0C"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1 = Yes</w:t>
            </w:r>
            <w:r w:rsidRPr="00D82287">
              <w:rPr>
                <w:rFonts w:ascii="Calibri" w:eastAsia="Times New Roman" w:hAnsi="Calibri" w:cs="Calibri"/>
                <w:color w:val="000000"/>
                <w:kern w:val="0"/>
                <w:sz w:val="20"/>
                <w:szCs w:val="20"/>
                <w:lang w:eastAsia="en-GB"/>
                <w14:ligatures w14:val="none"/>
              </w:rPr>
              <w:br/>
              <w:t>0 = No, or NA</w:t>
            </w:r>
          </w:p>
        </w:tc>
        <w:tc>
          <w:tcPr>
            <w:tcW w:w="808" w:type="dxa"/>
            <w:vAlign w:val="center"/>
            <w:hideMark/>
          </w:tcPr>
          <w:p w14:paraId="6427C1F9"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F88FD14"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B7A522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46712630"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7DD2CAF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1AC1432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33A8F9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8A2FB2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BD78874" w14:textId="77777777" w:rsidTr="0057040C">
        <w:trPr>
          <w:trHeight w:val="1150"/>
        </w:trPr>
        <w:tc>
          <w:tcPr>
            <w:tcW w:w="646" w:type="dxa"/>
            <w:vMerge/>
            <w:tcBorders>
              <w:top w:val="nil"/>
              <w:left w:val="single" w:sz="4" w:space="0" w:color="auto"/>
              <w:bottom w:val="single" w:sz="4" w:space="0" w:color="000000"/>
              <w:right w:val="single" w:sz="4" w:space="0" w:color="auto"/>
            </w:tcBorders>
            <w:vAlign w:val="center"/>
            <w:hideMark/>
          </w:tcPr>
          <w:p w14:paraId="6561BBC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45EE2442" w14:textId="0D249564" w:rsidR="0057040C" w:rsidRPr="00D82287" w:rsidRDefault="0057040C" w:rsidP="00FC49C9">
            <w:pPr>
              <w:rPr>
                <w:rFonts w:ascii="Calibri" w:eastAsia="Times New Roman" w:hAnsi="Calibri" w:cs="Calibri"/>
                <w:kern w:val="0"/>
                <w:sz w:val="20"/>
                <w:szCs w:val="20"/>
                <w:lang w:eastAsia="en-GB"/>
                <w14:ligatures w14:val="none"/>
              </w:rPr>
            </w:pPr>
            <w:r w:rsidRPr="00D82287">
              <w:rPr>
                <w:rFonts w:ascii="Calibri" w:eastAsia="Times New Roman" w:hAnsi="Calibri" w:cs="Calibri"/>
                <w:kern w:val="0"/>
                <w:sz w:val="20"/>
                <w:szCs w:val="20"/>
                <w:lang w:eastAsia="en-GB"/>
                <w14:ligatures w14:val="none"/>
              </w:rPr>
              <w:t xml:space="preserve">o   Accepting doughnut economy </w:t>
            </w:r>
            <w:r w:rsidR="005B45D0" w:rsidRPr="00D82287">
              <w:rPr>
                <w:rFonts w:ascii="Calibri" w:eastAsia="Times New Roman" w:hAnsi="Calibri" w:cs="Calibri"/>
                <w:kern w:val="0"/>
                <w:sz w:val="20"/>
                <w:szCs w:val="20"/>
                <w:lang w:eastAsia="en-GB"/>
                <w14:ligatures w14:val="none"/>
              </w:rPr>
              <w:t>(Raworth, 2017)</w:t>
            </w:r>
            <w:r w:rsidRPr="00D82287">
              <w:rPr>
                <w:rFonts w:ascii="Calibri" w:eastAsia="Times New Roman" w:hAnsi="Calibri" w:cs="Calibri"/>
                <w:kern w:val="0"/>
                <w:sz w:val="20"/>
                <w:szCs w:val="20"/>
                <w:lang w:eastAsia="en-GB"/>
                <w14:ligatures w14:val="none"/>
              </w:rPr>
              <w:t xml:space="preserve"> or the Planetary Boundaries (which inspired Raworth) – PB as an indicator of recognizing biophysical limits</w:t>
            </w:r>
          </w:p>
        </w:tc>
        <w:tc>
          <w:tcPr>
            <w:tcW w:w="1620" w:type="dxa"/>
            <w:vMerge/>
            <w:tcBorders>
              <w:top w:val="nil"/>
              <w:left w:val="nil"/>
              <w:bottom w:val="single" w:sz="4" w:space="0" w:color="auto"/>
              <w:right w:val="single" w:sz="4" w:space="0" w:color="auto"/>
            </w:tcBorders>
            <w:vAlign w:val="center"/>
            <w:hideMark/>
          </w:tcPr>
          <w:p w14:paraId="5BF1CD2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658D89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97AF1B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7C99301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289F9AC"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69A7B5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26806B3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279DB99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8E6319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620A711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5A1280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4469A3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23C26D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single" w:sz="4" w:space="0" w:color="auto"/>
              <w:left w:val="single" w:sz="4" w:space="0" w:color="auto"/>
              <w:bottom w:val="nil"/>
              <w:right w:val="single" w:sz="4" w:space="0" w:color="auto"/>
            </w:tcBorders>
            <w:shd w:val="clear" w:color="000000" w:fill="D9E1F2"/>
            <w:hideMark/>
          </w:tcPr>
          <w:p w14:paraId="57095C75" w14:textId="77777777" w:rsidR="0057040C" w:rsidRPr="00D82287" w:rsidRDefault="0057040C" w:rsidP="00FC49C9">
            <w:pPr>
              <w:rPr>
                <w:rFonts w:ascii="Calibri" w:eastAsia="Times New Roman" w:hAnsi="Calibri" w:cs="Calibri"/>
                <w:b/>
                <w:bCs/>
                <w:kern w:val="0"/>
                <w:sz w:val="20"/>
                <w:szCs w:val="20"/>
                <w:lang w:eastAsia="en-GB"/>
                <w14:ligatures w14:val="none"/>
              </w:rPr>
            </w:pPr>
            <w:r w:rsidRPr="00D82287">
              <w:rPr>
                <w:rFonts w:ascii="Calibri" w:eastAsia="Times New Roman" w:hAnsi="Calibri" w:cs="Calibri"/>
                <w:b/>
                <w:bCs/>
                <w:kern w:val="0"/>
                <w:sz w:val="20"/>
                <w:szCs w:val="20"/>
                <w:lang w:eastAsia="en-GB"/>
                <w14:ligatures w14:val="none"/>
              </w:rPr>
              <w:t xml:space="preserve">45.    How is scientific language used? (Is it used as legitimator for coalitions actions?) </w:t>
            </w:r>
          </w:p>
        </w:tc>
        <w:tc>
          <w:tcPr>
            <w:tcW w:w="1620" w:type="dxa"/>
            <w:vMerge w:val="restart"/>
            <w:tcBorders>
              <w:top w:val="nil"/>
              <w:left w:val="nil"/>
              <w:bottom w:val="single" w:sz="4" w:space="0" w:color="auto"/>
              <w:right w:val="nil"/>
            </w:tcBorders>
            <w:shd w:val="clear" w:color="000000" w:fill="D9E1F2"/>
            <w:hideMark/>
          </w:tcPr>
          <w:p w14:paraId="1D2CCDA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Scientific language </w:t>
            </w:r>
          </w:p>
        </w:tc>
        <w:tc>
          <w:tcPr>
            <w:tcW w:w="2320" w:type="dxa"/>
            <w:tcBorders>
              <w:top w:val="single" w:sz="4" w:space="0" w:color="auto"/>
              <w:left w:val="single" w:sz="4" w:space="0" w:color="auto"/>
              <w:bottom w:val="nil"/>
              <w:right w:val="single" w:sz="4" w:space="0" w:color="auto"/>
            </w:tcBorders>
            <w:shd w:val="clear" w:color="000000" w:fill="D9E1F2"/>
            <w:hideMark/>
          </w:tcPr>
          <w:p w14:paraId="5ADAF8C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Sustainability</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1D87CEF4" w14:textId="41348C69" w:rsidR="0057040C" w:rsidRPr="00D82287" w:rsidRDefault="00506056"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7E1B317E"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B9EB9C0"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397425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D9E1F2"/>
            <w:hideMark/>
          </w:tcPr>
          <w:p w14:paraId="32C00E30"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w:t>
            </w:r>
          </w:p>
        </w:tc>
        <w:tc>
          <w:tcPr>
            <w:tcW w:w="1620" w:type="dxa"/>
            <w:vMerge/>
            <w:tcBorders>
              <w:top w:val="nil"/>
              <w:left w:val="nil"/>
              <w:bottom w:val="single" w:sz="4" w:space="0" w:color="auto"/>
              <w:right w:val="nil"/>
            </w:tcBorders>
            <w:vAlign w:val="center"/>
            <w:hideMark/>
          </w:tcPr>
          <w:p w14:paraId="0CED1F7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nil"/>
              <w:right w:val="single" w:sz="4" w:space="0" w:color="auto"/>
            </w:tcBorders>
            <w:shd w:val="clear" w:color="000000" w:fill="D9E1F2"/>
            <w:hideMark/>
          </w:tcPr>
          <w:p w14:paraId="7FDD759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*selection criteria?</w:t>
            </w:r>
          </w:p>
        </w:tc>
        <w:tc>
          <w:tcPr>
            <w:tcW w:w="2514" w:type="dxa"/>
            <w:vMerge/>
            <w:tcBorders>
              <w:top w:val="nil"/>
              <w:left w:val="single" w:sz="4" w:space="0" w:color="auto"/>
              <w:bottom w:val="single" w:sz="4" w:space="0" w:color="auto"/>
              <w:right w:val="single" w:sz="4" w:space="0" w:color="auto"/>
            </w:tcBorders>
            <w:vAlign w:val="center"/>
            <w:hideMark/>
          </w:tcPr>
          <w:p w14:paraId="6DF42B3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B2BD532"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6CEFF007" w14:textId="77777777" w:rsidTr="0057040C">
        <w:trPr>
          <w:trHeight w:val="910"/>
        </w:trPr>
        <w:tc>
          <w:tcPr>
            <w:tcW w:w="646" w:type="dxa"/>
            <w:vMerge/>
            <w:tcBorders>
              <w:top w:val="nil"/>
              <w:left w:val="single" w:sz="4" w:space="0" w:color="auto"/>
              <w:bottom w:val="single" w:sz="4" w:space="0" w:color="000000"/>
              <w:right w:val="single" w:sz="4" w:space="0" w:color="auto"/>
            </w:tcBorders>
            <w:vAlign w:val="center"/>
            <w:hideMark/>
          </w:tcPr>
          <w:p w14:paraId="4348EBB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single" w:sz="4" w:space="0" w:color="auto"/>
              <w:right w:val="single" w:sz="4" w:space="0" w:color="auto"/>
            </w:tcBorders>
            <w:shd w:val="clear" w:color="000000" w:fill="D9E1F2"/>
            <w:hideMark/>
          </w:tcPr>
          <w:p w14:paraId="199DC2A6" w14:textId="31CFEAC9"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o   business associations use technocratic rationality to legitimate their policy input and to avoid environmental accountability </w:t>
            </w:r>
            <w:r w:rsidR="00242D44" w:rsidRPr="00D82287">
              <w:rPr>
                <w:rFonts w:ascii="Calibri" w:eastAsia="Times New Roman" w:hAnsi="Calibri" w:cs="Calibri"/>
                <w:color w:val="000000"/>
                <w:kern w:val="0"/>
                <w:sz w:val="20"/>
                <w:szCs w:val="20"/>
                <w:lang w:eastAsia="en-GB"/>
                <w14:ligatures w14:val="none"/>
              </w:rPr>
              <w:t>(Eden, 1999)</w:t>
            </w:r>
          </w:p>
        </w:tc>
        <w:tc>
          <w:tcPr>
            <w:tcW w:w="1620" w:type="dxa"/>
            <w:vMerge/>
            <w:tcBorders>
              <w:top w:val="nil"/>
              <w:left w:val="nil"/>
              <w:bottom w:val="single" w:sz="4" w:space="0" w:color="auto"/>
              <w:right w:val="nil"/>
            </w:tcBorders>
            <w:vAlign w:val="center"/>
            <w:hideMark/>
          </w:tcPr>
          <w:p w14:paraId="5441293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tcBorders>
              <w:top w:val="nil"/>
              <w:left w:val="single" w:sz="4" w:space="0" w:color="auto"/>
              <w:bottom w:val="single" w:sz="4" w:space="0" w:color="auto"/>
              <w:right w:val="single" w:sz="4" w:space="0" w:color="auto"/>
            </w:tcBorders>
            <w:shd w:val="clear" w:color="000000" w:fill="D9E1F2"/>
            <w:hideMark/>
          </w:tcPr>
          <w:p w14:paraId="62D693F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2514" w:type="dxa"/>
            <w:vMerge/>
            <w:tcBorders>
              <w:top w:val="nil"/>
              <w:left w:val="single" w:sz="4" w:space="0" w:color="auto"/>
              <w:bottom w:val="single" w:sz="4" w:space="0" w:color="auto"/>
              <w:right w:val="single" w:sz="4" w:space="0" w:color="auto"/>
            </w:tcBorders>
            <w:vAlign w:val="center"/>
            <w:hideMark/>
          </w:tcPr>
          <w:p w14:paraId="5CF86AE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1296AB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4B2B0D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4BD83EE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12F040AC"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46.   How are the sanctioning mechanisms designed and (en)forced?</w:t>
            </w:r>
          </w:p>
        </w:tc>
        <w:tc>
          <w:tcPr>
            <w:tcW w:w="1620" w:type="dxa"/>
            <w:vMerge w:val="restart"/>
            <w:tcBorders>
              <w:top w:val="nil"/>
              <w:left w:val="nil"/>
              <w:bottom w:val="single" w:sz="4" w:space="0" w:color="auto"/>
              <w:right w:val="single" w:sz="4" w:space="0" w:color="auto"/>
            </w:tcBorders>
            <w:shd w:val="clear" w:color="auto" w:fill="auto"/>
            <w:hideMark/>
          </w:tcPr>
          <w:p w14:paraId="25EDB93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Sanctioning mechanisms</w:t>
            </w:r>
          </w:p>
        </w:tc>
        <w:tc>
          <w:tcPr>
            <w:tcW w:w="2320" w:type="dxa"/>
            <w:vMerge w:val="restart"/>
            <w:tcBorders>
              <w:top w:val="nil"/>
              <w:left w:val="single" w:sz="4" w:space="0" w:color="auto"/>
              <w:bottom w:val="single" w:sz="4" w:space="0" w:color="auto"/>
              <w:right w:val="single" w:sz="4" w:space="0" w:color="auto"/>
            </w:tcBorders>
            <w:shd w:val="clear" w:color="auto" w:fill="auto"/>
            <w:hideMark/>
          </w:tcPr>
          <w:p w14:paraId="2BE7255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Monitoring </w:t>
            </w:r>
          </w:p>
        </w:tc>
        <w:tc>
          <w:tcPr>
            <w:tcW w:w="2514" w:type="dxa"/>
            <w:vMerge w:val="restart"/>
            <w:tcBorders>
              <w:top w:val="nil"/>
              <w:left w:val="single" w:sz="4" w:space="0" w:color="auto"/>
              <w:bottom w:val="single" w:sz="4" w:space="0" w:color="auto"/>
              <w:right w:val="single" w:sz="4" w:space="0" w:color="auto"/>
            </w:tcBorders>
            <w:shd w:val="clear" w:color="auto" w:fill="auto"/>
            <w:hideMark/>
          </w:tcPr>
          <w:p w14:paraId="5D900A1D"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mechanisms (out of 3)</w:t>
            </w:r>
            <w:r w:rsidRPr="00D82287">
              <w:rPr>
                <w:rFonts w:ascii="Calibri" w:eastAsia="Times New Roman" w:hAnsi="Calibri" w:cs="Calibri"/>
                <w:color w:val="000000"/>
                <w:kern w:val="0"/>
                <w:sz w:val="20"/>
                <w:szCs w:val="20"/>
                <w:lang w:eastAsia="en-GB"/>
                <w14:ligatures w14:val="none"/>
              </w:rPr>
              <w:br/>
              <w:t>0 = NA</w:t>
            </w:r>
            <w:r w:rsidRPr="00D82287">
              <w:rPr>
                <w:rFonts w:ascii="Calibri" w:eastAsia="Times New Roman" w:hAnsi="Calibri" w:cs="Calibri"/>
                <w:color w:val="000000"/>
                <w:kern w:val="0"/>
                <w:sz w:val="20"/>
                <w:szCs w:val="20"/>
                <w:lang w:eastAsia="en-GB"/>
                <w14:ligatures w14:val="none"/>
              </w:rPr>
              <w:br/>
              <w:t>1 = weak sword (only audits)</w:t>
            </w:r>
            <w:r w:rsidRPr="00D82287">
              <w:rPr>
                <w:rFonts w:ascii="Calibri" w:eastAsia="Times New Roman" w:hAnsi="Calibri" w:cs="Calibri"/>
                <w:color w:val="000000"/>
                <w:kern w:val="0"/>
                <w:sz w:val="20"/>
                <w:szCs w:val="20"/>
                <w:lang w:eastAsia="en-GB"/>
                <w14:ligatures w14:val="none"/>
              </w:rPr>
              <w:br/>
              <w:t>2 = medium sword (audits and disclosure)</w:t>
            </w:r>
            <w:r w:rsidRPr="00D82287">
              <w:rPr>
                <w:rFonts w:ascii="Calibri" w:eastAsia="Times New Roman" w:hAnsi="Calibri" w:cs="Calibri"/>
                <w:color w:val="000000"/>
                <w:kern w:val="0"/>
                <w:sz w:val="20"/>
                <w:szCs w:val="20"/>
                <w:lang w:eastAsia="en-GB"/>
                <w14:ligatures w14:val="none"/>
              </w:rPr>
              <w:br/>
            </w:r>
            <w:r w:rsidRPr="00D82287">
              <w:rPr>
                <w:rFonts w:ascii="Calibri" w:eastAsia="Times New Roman" w:hAnsi="Calibri" w:cs="Calibri"/>
                <w:color w:val="000000"/>
                <w:kern w:val="0"/>
                <w:sz w:val="20"/>
                <w:szCs w:val="20"/>
                <w:lang w:eastAsia="en-GB"/>
                <w14:ligatures w14:val="none"/>
              </w:rPr>
              <w:lastRenderedPageBreak/>
              <w:t>3 = strong sword (audits, disclosure, sanctioning mechanisms)</w:t>
            </w:r>
          </w:p>
        </w:tc>
        <w:tc>
          <w:tcPr>
            <w:tcW w:w="808" w:type="dxa"/>
            <w:vAlign w:val="center"/>
            <w:hideMark/>
          </w:tcPr>
          <w:p w14:paraId="79E0EB60"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2C4EA6D"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63728C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337D013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nil"/>
              <w:bottom w:val="single" w:sz="4" w:space="0" w:color="auto"/>
              <w:right w:val="single" w:sz="4" w:space="0" w:color="auto"/>
            </w:tcBorders>
            <w:vAlign w:val="center"/>
            <w:hideMark/>
          </w:tcPr>
          <w:p w14:paraId="5DA59E5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5B90C6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171DDB9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6F7DA8E2"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D44CA6F"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76228E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27A1E647" w14:textId="33FD5BE3"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Sanctioning mechanisms </w:t>
            </w:r>
            <w:r w:rsidR="007A4A07" w:rsidRPr="00D82287">
              <w:rPr>
                <w:rFonts w:ascii="Calibri" w:eastAsia="Times New Roman" w:hAnsi="Calibri" w:cs="Calibri"/>
                <w:color w:val="000000"/>
                <w:kern w:val="0"/>
                <w:sz w:val="20"/>
                <w:szCs w:val="20"/>
                <w:lang w:eastAsia="en-GB"/>
                <w14:ligatures w14:val="none"/>
              </w:rPr>
              <w:t>(Prakash &amp; Potoski, 2007)</w:t>
            </w:r>
            <w:r w:rsidRPr="00D82287">
              <w:rPr>
                <w:rFonts w:ascii="Calibri" w:eastAsia="Times New Roman" w:hAnsi="Calibri" w:cs="Calibri"/>
                <w:color w:val="000000"/>
                <w:kern w:val="0"/>
                <w:sz w:val="20"/>
                <w:szCs w:val="20"/>
                <w:lang w:eastAsia="en-GB"/>
                <w14:ligatures w14:val="none"/>
              </w:rPr>
              <w:t xml:space="preserve"> </w:t>
            </w:r>
          </w:p>
        </w:tc>
        <w:tc>
          <w:tcPr>
            <w:tcW w:w="1620" w:type="dxa"/>
            <w:vMerge/>
            <w:tcBorders>
              <w:top w:val="nil"/>
              <w:left w:val="nil"/>
              <w:bottom w:val="single" w:sz="4" w:space="0" w:color="auto"/>
              <w:right w:val="single" w:sz="4" w:space="0" w:color="auto"/>
            </w:tcBorders>
            <w:vAlign w:val="center"/>
            <w:hideMark/>
          </w:tcPr>
          <w:p w14:paraId="090BFBA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2BC2D31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6C282E5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5C874A9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AAAB232"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6316E6C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21C58F4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weak sword</w:t>
            </w:r>
          </w:p>
        </w:tc>
        <w:tc>
          <w:tcPr>
            <w:tcW w:w="1620" w:type="dxa"/>
            <w:vMerge/>
            <w:tcBorders>
              <w:top w:val="nil"/>
              <w:left w:val="nil"/>
              <w:bottom w:val="single" w:sz="4" w:space="0" w:color="auto"/>
              <w:right w:val="single" w:sz="4" w:space="0" w:color="auto"/>
            </w:tcBorders>
            <w:vAlign w:val="center"/>
            <w:hideMark/>
          </w:tcPr>
          <w:p w14:paraId="331669B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DE35FE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16E3C44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3AEDAA4A"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4F98D18E"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118315C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A880F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medium sword</w:t>
            </w:r>
          </w:p>
        </w:tc>
        <w:tc>
          <w:tcPr>
            <w:tcW w:w="1620" w:type="dxa"/>
            <w:vMerge/>
            <w:tcBorders>
              <w:top w:val="nil"/>
              <w:left w:val="nil"/>
              <w:bottom w:val="single" w:sz="4" w:space="0" w:color="auto"/>
              <w:right w:val="single" w:sz="4" w:space="0" w:color="auto"/>
            </w:tcBorders>
            <w:vAlign w:val="center"/>
            <w:hideMark/>
          </w:tcPr>
          <w:p w14:paraId="20D2C33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509851C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7E86F51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A768353"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A9689AF" w14:textId="77777777" w:rsidTr="0057040C">
        <w:trPr>
          <w:trHeight w:val="1290"/>
        </w:trPr>
        <w:tc>
          <w:tcPr>
            <w:tcW w:w="646" w:type="dxa"/>
            <w:vMerge/>
            <w:tcBorders>
              <w:top w:val="nil"/>
              <w:left w:val="single" w:sz="4" w:space="0" w:color="auto"/>
              <w:bottom w:val="single" w:sz="4" w:space="0" w:color="000000"/>
              <w:right w:val="single" w:sz="4" w:space="0" w:color="auto"/>
            </w:tcBorders>
            <w:vAlign w:val="center"/>
            <w:hideMark/>
          </w:tcPr>
          <w:p w14:paraId="34AC1C9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5E186C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   strong sword</w:t>
            </w:r>
          </w:p>
        </w:tc>
        <w:tc>
          <w:tcPr>
            <w:tcW w:w="1620" w:type="dxa"/>
            <w:vMerge/>
            <w:tcBorders>
              <w:top w:val="nil"/>
              <w:left w:val="nil"/>
              <w:bottom w:val="single" w:sz="4" w:space="0" w:color="auto"/>
              <w:right w:val="single" w:sz="4" w:space="0" w:color="auto"/>
            </w:tcBorders>
            <w:vAlign w:val="center"/>
            <w:hideMark/>
          </w:tcPr>
          <w:p w14:paraId="37FCE20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7B78F16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69D2C13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554BDE2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E6C3B68"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5C2CE0A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val="restart"/>
            <w:tcBorders>
              <w:top w:val="single" w:sz="4" w:space="0" w:color="auto"/>
              <w:left w:val="single" w:sz="4" w:space="0" w:color="auto"/>
              <w:bottom w:val="single" w:sz="4" w:space="0" w:color="000000"/>
              <w:right w:val="single" w:sz="4" w:space="0" w:color="auto"/>
            </w:tcBorders>
            <w:shd w:val="clear" w:color="000000" w:fill="D9E1F2"/>
            <w:hideMark/>
          </w:tcPr>
          <w:p w14:paraId="3C283A13"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47.   What are the decision-making structures and processes of the coalition? </w:t>
            </w:r>
            <w:r w:rsidRPr="00D82287">
              <w:rPr>
                <w:rFonts w:ascii="Calibri" w:eastAsia="Times New Roman" w:hAnsi="Calibri" w:cs="Calibri"/>
                <w:color w:val="000000"/>
                <w:kern w:val="0"/>
                <w:sz w:val="20"/>
                <w:szCs w:val="20"/>
                <w:lang w:eastAsia="en-GB"/>
                <w14:ligatures w14:val="none"/>
              </w:rPr>
              <w:t> </w:t>
            </w:r>
          </w:p>
        </w:tc>
        <w:tc>
          <w:tcPr>
            <w:tcW w:w="1620" w:type="dxa"/>
            <w:vMerge w:val="restart"/>
            <w:tcBorders>
              <w:top w:val="nil"/>
              <w:left w:val="nil"/>
              <w:bottom w:val="single" w:sz="4" w:space="0" w:color="auto"/>
              <w:right w:val="single" w:sz="4" w:space="0" w:color="auto"/>
            </w:tcBorders>
            <w:shd w:val="clear" w:color="000000" w:fill="D9E1F2"/>
            <w:hideMark/>
          </w:tcPr>
          <w:p w14:paraId="6E48BBF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Decision-making structure </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77602DD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Organization characteristics </w:t>
            </w:r>
          </w:p>
        </w:tc>
        <w:tc>
          <w:tcPr>
            <w:tcW w:w="2514" w:type="dxa"/>
            <w:vMerge w:val="restart"/>
            <w:tcBorders>
              <w:top w:val="nil"/>
              <w:left w:val="single" w:sz="4" w:space="0" w:color="auto"/>
              <w:bottom w:val="single" w:sz="4" w:space="0" w:color="auto"/>
              <w:right w:val="single" w:sz="4" w:space="0" w:color="auto"/>
            </w:tcBorders>
            <w:shd w:val="clear" w:color="000000" w:fill="D9E1F2"/>
            <w:noWrap/>
            <w:hideMark/>
          </w:tcPr>
          <w:p w14:paraId="3FCAE6EC" w14:textId="17FB64B9" w:rsidR="0057040C" w:rsidRPr="00D82287" w:rsidRDefault="00506056"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String</w:t>
            </w:r>
          </w:p>
        </w:tc>
        <w:tc>
          <w:tcPr>
            <w:tcW w:w="808" w:type="dxa"/>
            <w:vAlign w:val="center"/>
            <w:hideMark/>
          </w:tcPr>
          <w:p w14:paraId="6609BB88"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65AC4FC" w14:textId="77777777" w:rsidTr="0057040C">
        <w:trPr>
          <w:trHeight w:val="300"/>
        </w:trPr>
        <w:tc>
          <w:tcPr>
            <w:tcW w:w="646" w:type="dxa"/>
            <w:vMerge/>
            <w:tcBorders>
              <w:top w:val="nil"/>
              <w:left w:val="single" w:sz="4" w:space="0" w:color="auto"/>
              <w:bottom w:val="single" w:sz="4" w:space="0" w:color="000000"/>
              <w:right w:val="single" w:sz="4" w:space="0" w:color="auto"/>
            </w:tcBorders>
            <w:vAlign w:val="center"/>
            <w:hideMark/>
          </w:tcPr>
          <w:p w14:paraId="392FC6F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vMerge/>
            <w:tcBorders>
              <w:top w:val="single" w:sz="4" w:space="0" w:color="auto"/>
              <w:left w:val="single" w:sz="4" w:space="0" w:color="auto"/>
              <w:bottom w:val="single" w:sz="4" w:space="0" w:color="000000"/>
              <w:right w:val="single" w:sz="4" w:space="0" w:color="auto"/>
            </w:tcBorders>
            <w:vAlign w:val="center"/>
            <w:hideMark/>
          </w:tcPr>
          <w:p w14:paraId="287C0544"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p>
        </w:tc>
        <w:tc>
          <w:tcPr>
            <w:tcW w:w="1620" w:type="dxa"/>
            <w:vMerge/>
            <w:tcBorders>
              <w:top w:val="nil"/>
              <w:left w:val="nil"/>
              <w:bottom w:val="single" w:sz="4" w:space="0" w:color="auto"/>
              <w:right w:val="single" w:sz="4" w:space="0" w:color="auto"/>
            </w:tcBorders>
            <w:vAlign w:val="center"/>
            <w:hideMark/>
          </w:tcPr>
          <w:p w14:paraId="38E2CCB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6FD40EC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3547A5A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tcBorders>
              <w:top w:val="nil"/>
              <w:left w:val="nil"/>
              <w:bottom w:val="nil"/>
              <w:right w:val="nil"/>
            </w:tcBorders>
            <w:shd w:val="clear" w:color="auto" w:fill="auto"/>
            <w:noWrap/>
            <w:vAlign w:val="bottom"/>
            <w:hideMark/>
          </w:tcPr>
          <w:p w14:paraId="18AB153F" w14:textId="77777777" w:rsidR="0057040C" w:rsidRPr="00D82287" w:rsidRDefault="0057040C" w:rsidP="00FC49C9">
            <w:pPr>
              <w:jc w:val="center"/>
              <w:rPr>
                <w:rFonts w:ascii="Calibri" w:eastAsia="Times New Roman" w:hAnsi="Calibri" w:cs="Calibri"/>
                <w:color w:val="000000"/>
                <w:kern w:val="0"/>
                <w:sz w:val="22"/>
                <w:szCs w:val="22"/>
                <w:lang w:eastAsia="en-GB"/>
                <w14:ligatures w14:val="none"/>
              </w:rPr>
            </w:pPr>
          </w:p>
        </w:tc>
      </w:tr>
      <w:tr w:rsidR="0057040C" w:rsidRPr="00D67367" w14:paraId="55437EF3" w14:textId="77777777" w:rsidTr="0057040C">
        <w:trPr>
          <w:trHeight w:val="1960"/>
        </w:trPr>
        <w:tc>
          <w:tcPr>
            <w:tcW w:w="646" w:type="dxa"/>
            <w:vMerge/>
            <w:tcBorders>
              <w:top w:val="nil"/>
              <w:left w:val="single" w:sz="4" w:space="0" w:color="auto"/>
              <w:bottom w:val="single" w:sz="4" w:space="0" w:color="000000"/>
              <w:right w:val="single" w:sz="4" w:space="0" w:color="auto"/>
            </w:tcBorders>
            <w:vAlign w:val="center"/>
            <w:hideMark/>
          </w:tcPr>
          <w:p w14:paraId="1343F31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single" w:sz="4" w:space="0" w:color="auto"/>
              <w:bottom w:val="nil"/>
              <w:right w:val="single" w:sz="4" w:space="0" w:color="auto"/>
            </w:tcBorders>
            <w:shd w:val="clear" w:color="000000" w:fill="FFFFFF"/>
            <w:hideMark/>
          </w:tcPr>
          <w:p w14:paraId="07500D47" w14:textId="7777777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48.   Does the coalition partner with governments and if yes, at which scale (local, national, international or cross-scale)? </w:t>
            </w:r>
          </w:p>
        </w:tc>
        <w:tc>
          <w:tcPr>
            <w:tcW w:w="1620" w:type="dxa"/>
            <w:tcBorders>
              <w:top w:val="nil"/>
              <w:left w:val="nil"/>
              <w:bottom w:val="single" w:sz="4" w:space="0" w:color="auto"/>
              <w:right w:val="single" w:sz="4" w:space="0" w:color="auto"/>
            </w:tcBorders>
            <w:shd w:val="clear" w:color="auto" w:fill="auto"/>
            <w:hideMark/>
          </w:tcPr>
          <w:p w14:paraId="251A0FAC"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Government partners</w:t>
            </w:r>
          </w:p>
        </w:tc>
        <w:tc>
          <w:tcPr>
            <w:tcW w:w="2320" w:type="dxa"/>
            <w:tcBorders>
              <w:top w:val="nil"/>
              <w:left w:val="nil"/>
              <w:bottom w:val="single" w:sz="4" w:space="0" w:color="auto"/>
              <w:right w:val="single" w:sz="4" w:space="0" w:color="auto"/>
            </w:tcBorders>
            <w:shd w:val="clear" w:color="auto" w:fill="auto"/>
            <w:hideMark/>
          </w:tcPr>
          <w:p w14:paraId="73D7F9C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Networking </w:t>
            </w:r>
          </w:p>
        </w:tc>
        <w:tc>
          <w:tcPr>
            <w:tcW w:w="2514" w:type="dxa"/>
            <w:tcBorders>
              <w:top w:val="nil"/>
              <w:left w:val="nil"/>
              <w:bottom w:val="single" w:sz="4" w:space="0" w:color="auto"/>
              <w:right w:val="single" w:sz="4" w:space="0" w:color="auto"/>
            </w:tcBorders>
            <w:shd w:val="clear" w:color="auto" w:fill="auto"/>
            <w:hideMark/>
          </w:tcPr>
          <w:p w14:paraId="3F95F4ED"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 No, or NA (# out of 3)</w:t>
            </w:r>
            <w:r w:rsidRPr="00D82287">
              <w:rPr>
                <w:rFonts w:ascii="Calibri" w:eastAsia="Times New Roman" w:hAnsi="Calibri" w:cs="Calibri"/>
                <w:color w:val="000000"/>
                <w:kern w:val="0"/>
                <w:sz w:val="20"/>
                <w:szCs w:val="20"/>
                <w:lang w:eastAsia="en-GB"/>
                <w14:ligatures w14:val="none"/>
              </w:rPr>
              <w:br/>
              <w:t xml:space="preserve"># Local </w:t>
            </w:r>
            <w:r w:rsidRPr="00D82287">
              <w:rPr>
                <w:rFonts w:ascii="Calibri" w:eastAsia="Times New Roman" w:hAnsi="Calibri" w:cs="Calibri"/>
                <w:color w:val="000000"/>
                <w:kern w:val="0"/>
                <w:sz w:val="20"/>
                <w:szCs w:val="20"/>
                <w:lang w:eastAsia="en-GB"/>
                <w14:ligatures w14:val="none"/>
              </w:rPr>
              <w:br/>
              <w:t># national</w:t>
            </w:r>
            <w:r w:rsidRPr="00D82287">
              <w:rPr>
                <w:rFonts w:ascii="Calibri" w:eastAsia="Times New Roman" w:hAnsi="Calibri" w:cs="Calibri"/>
                <w:color w:val="000000"/>
                <w:kern w:val="0"/>
                <w:sz w:val="20"/>
                <w:szCs w:val="20"/>
                <w:lang w:eastAsia="en-GB"/>
                <w14:ligatures w14:val="none"/>
              </w:rPr>
              <w:br/>
              <w:t># international / supranational</w:t>
            </w:r>
          </w:p>
        </w:tc>
        <w:tc>
          <w:tcPr>
            <w:tcW w:w="808" w:type="dxa"/>
            <w:vAlign w:val="center"/>
            <w:hideMark/>
          </w:tcPr>
          <w:p w14:paraId="76E1F366"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385ED2A2" w14:textId="77777777" w:rsidTr="0057040C">
        <w:trPr>
          <w:trHeight w:val="2000"/>
        </w:trPr>
        <w:tc>
          <w:tcPr>
            <w:tcW w:w="646" w:type="dxa"/>
            <w:vMerge w:val="restart"/>
            <w:tcBorders>
              <w:top w:val="nil"/>
              <w:left w:val="single" w:sz="4" w:space="0" w:color="auto"/>
              <w:bottom w:val="single" w:sz="4" w:space="0" w:color="auto"/>
              <w:right w:val="single" w:sz="4" w:space="0" w:color="auto"/>
            </w:tcBorders>
            <w:shd w:val="clear" w:color="000000" w:fill="B4C6E7"/>
            <w:noWrap/>
            <w:hideMark/>
          </w:tcPr>
          <w:p w14:paraId="196A0386"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6220" w:type="dxa"/>
            <w:tcBorders>
              <w:top w:val="single" w:sz="4" w:space="0" w:color="auto"/>
              <w:left w:val="nil"/>
              <w:bottom w:val="nil"/>
              <w:right w:val="single" w:sz="4" w:space="0" w:color="auto"/>
            </w:tcBorders>
            <w:shd w:val="clear" w:color="000000" w:fill="D9E1F2"/>
            <w:hideMark/>
          </w:tcPr>
          <w:p w14:paraId="50A237C7" w14:textId="2043D8A9" w:rsidR="009E12BF" w:rsidRPr="00D82287" w:rsidRDefault="008300B8"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49. </w:t>
            </w:r>
            <w:r w:rsidR="0057040C" w:rsidRPr="00D82287">
              <w:rPr>
                <w:rFonts w:ascii="Calibri" w:eastAsia="Times New Roman" w:hAnsi="Calibri" w:cs="Calibri"/>
                <w:b/>
                <w:bCs/>
                <w:color w:val="000000"/>
                <w:kern w:val="0"/>
                <w:sz w:val="20"/>
                <w:szCs w:val="20"/>
                <w:lang w:eastAsia="en-GB"/>
                <w14:ligatures w14:val="none"/>
              </w:rPr>
              <w:t xml:space="preserve">In how many phases are mechanisms in place to strengthen the link between sector monitoring and better and more structured learning in the sector? </w:t>
            </w:r>
            <w:r w:rsidR="0057040C" w:rsidRPr="00D82287">
              <w:rPr>
                <w:rFonts w:ascii="Calibri" w:eastAsia="Times New Roman" w:hAnsi="Calibri" w:cs="Calibri"/>
                <w:color w:val="000000"/>
                <w:kern w:val="0"/>
                <w:sz w:val="20"/>
                <w:szCs w:val="20"/>
                <w:lang w:eastAsia="en-GB"/>
                <w14:ligatures w14:val="none"/>
              </w:rPr>
              <w:t>(close the monitoring–learning loop)</w:t>
            </w:r>
            <w:r w:rsidR="0057040C" w:rsidRPr="00D82287">
              <w:rPr>
                <w:rFonts w:ascii="Calibri" w:eastAsia="Times New Roman" w:hAnsi="Calibri" w:cs="Calibri"/>
                <w:color w:val="000000"/>
                <w:kern w:val="0"/>
                <w:sz w:val="20"/>
                <w:szCs w:val="20"/>
                <w:lang w:eastAsia="en-GB"/>
                <w14:ligatures w14:val="none"/>
              </w:rPr>
              <w:br/>
            </w:r>
            <w:r w:rsidR="009E12BF" w:rsidRPr="00D82287">
              <w:rPr>
                <w:rFonts w:ascii="Calibri" w:eastAsia="Times New Roman" w:hAnsi="Calibri" w:cs="Calibri"/>
                <w:color w:val="000000"/>
                <w:kern w:val="0"/>
                <w:sz w:val="20"/>
                <w:szCs w:val="20"/>
                <w:lang w:eastAsia="en-GB"/>
                <w14:ligatures w14:val="none"/>
              </w:rPr>
              <w:t>(Da Silva Wells, Van Lieshout, &amp; Uytewaal, 2013)</w:t>
            </w:r>
          </w:p>
          <w:p w14:paraId="4DBC3E0D" w14:textId="3FDB06D7" w:rsidR="0057040C" w:rsidRPr="00D82287" w:rsidRDefault="0057040C"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Social learning through monitoring, evaluation and benchmarking</w:t>
            </w:r>
            <w:r w:rsidRPr="00D82287">
              <w:rPr>
                <w:rFonts w:ascii="Calibri" w:eastAsia="Times New Roman" w:hAnsi="Calibri" w:cs="Calibri"/>
                <w:color w:val="000000"/>
                <w:kern w:val="0"/>
                <w:sz w:val="20"/>
                <w:szCs w:val="20"/>
                <w:lang w:eastAsia="en-GB"/>
                <w14:ligatures w14:val="none"/>
              </w:rPr>
              <w:br/>
              <w:t>against sustainability vision in diverse formal and informal reflexivity</w:t>
            </w:r>
            <w:r w:rsidRPr="00D82287">
              <w:rPr>
                <w:rFonts w:ascii="Calibri" w:eastAsia="Times New Roman" w:hAnsi="Calibri" w:cs="Calibri"/>
                <w:color w:val="000000"/>
                <w:kern w:val="0"/>
                <w:sz w:val="20"/>
                <w:szCs w:val="20"/>
                <w:lang w:eastAsia="en-GB"/>
                <w14:ligatures w14:val="none"/>
              </w:rPr>
              <w:br/>
              <w:t>formats</w:t>
            </w:r>
          </w:p>
        </w:tc>
        <w:tc>
          <w:tcPr>
            <w:tcW w:w="1620" w:type="dxa"/>
            <w:vMerge w:val="restart"/>
            <w:tcBorders>
              <w:top w:val="nil"/>
              <w:left w:val="single" w:sz="4" w:space="0" w:color="auto"/>
              <w:bottom w:val="single" w:sz="4" w:space="0" w:color="auto"/>
              <w:right w:val="single" w:sz="4" w:space="0" w:color="auto"/>
            </w:tcBorders>
            <w:shd w:val="clear" w:color="000000" w:fill="D9E1F2"/>
            <w:hideMark/>
          </w:tcPr>
          <w:p w14:paraId="49A54C58"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Learning mechanisms</w:t>
            </w:r>
          </w:p>
        </w:tc>
        <w:tc>
          <w:tcPr>
            <w:tcW w:w="2320" w:type="dxa"/>
            <w:vMerge w:val="restart"/>
            <w:tcBorders>
              <w:top w:val="nil"/>
              <w:left w:val="single" w:sz="4" w:space="0" w:color="auto"/>
              <w:bottom w:val="single" w:sz="4" w:space="0" w:color="auto"/>
              <w:right w:val="single" w:sz="4" w:space="0" w:color="auto"/>
            </w:tcBorders>
            <w:shd w:val="clear" w:color="000000" w:fill="D9E1F2"/>
            <w:hideMark/>
          </w:tcPr>
          <w:p w14:paraId="656E9AB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Learning and Self-reflexiveness </w:t>
            </w:r>
          </w:p>
        </w:tc>
        <w:tc>
          <w:tcPr>
            <w:tcW w:w="2514" w:type="dxa"/>
            <w:vMerge w:val="restart"/>
            <w:tcBorders>
              <w:top w:val="nil"/>
              <w:left w:val="single" w:sz="4" w:space="0" w:color="auto"/>
              <w:bottom w:val="single" w:sz="4" w:space="0" w:color="auto"/>
              <w:right w:val="single" w:sz="4" w:space="0" w:color="auto"/>
            </w:tcBorders>
            <w:shd w:val="clear" w:color="000000" w:fill="D9E1F2"/>
            <w:hideMark/>
          </w:tcPr>
          <w:p w14:paraId="5F325B02"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tools for monitoring, assessment, evaluation</w:t>
            </w:r>
            <w:r w:rsidRPr="00D82287">
              <w:rPr>
                <w:rFonts w:ascii="Calibri" w:eastAsia="Times New Roman" w:hAnsi="Calibri" w:cs="Calibri"/>
                <w:color w:val="000000"/>
                <w:kern w:val="0"/>
                <w:sz w:val="20"/>
                <w:szCs w:val="20"/>
                <w:lang w:eastAsia="en-GB"/>
                <w14:ligatures w14:val="none"/>
              </w:rPr>
              <w:br/>
            </w:r>
            <w:r w:rsidRPr="00D82287">
              <w:rPr>
                <w:rFonts w:ascii="Calibri" w:eastAsia="Times New Roman" w:hAnsi="Calibri" w:cs="Calibri"/>
                <w:color w:val="000000"/>
                <w:kern w:val="0"/>
                <w:sz w:val="20"/>
                <w:szCs w:val="20"/>
                <w:lang w:eastAsia="en-GB"/>
                <w14:ligatures w14:val="none"/>
              </w:rPr>
              <w:br/>
              <w:t xml:space="preserve">1= planning, </w:t>
            </w:r>
            <w:r w:rsidRPr="00D82287">
              <w:rPr>
                <w:rFonts w:ascii="Calibri" w:eastAsia="Times New Roman" w:hAnsi="Calibri" w:cs="Calibri"/>
                <w:color w:val="000000"/>
                <w:kern w:val="0"/>
                <w:sz w:val="20"/>
                <w:szCs w:val="20"/>
                <w:lang w:eastAsia="en-GB"/>
                <w14:ligatures w14:val="none"/>
              </w:rPr>
              <w:br/>
              <w:t xml:space="preserve">2 = implementation, </w:t>
            </w:r>
            <w:r w:rsidRPr="00D82287">
              <w:rPr>
                <w:rFonts w:ascii="Calibri" w:eastAsia="Times New Roman" w:hAnsi="Calibri" w:cs="Calibri"/>
                <w:color w:val="000000"/>
                <w:kern w:val="0"/>
                <w:sz w:val="20"/>
                <w:szCs w:val="20"/>
                <w:lang w:eastAsia="en-GB"/>
                <w14:ligatures w14:val="none"/>
              </w:rPr>
              <w:br/>
              <w:t xml:space="preserve">3 = monitoring </w:t>
            </w:r>
            <w:r w:rsidRPr="00D82287">
              <w:rPr>
                <w:rFonts w:ascii="Calibri" w:eastAsia="Times New Roman" w:hAnsi="Calibri" w:cs="Calibri"/>
                <w:color w:val="000000"/>
                <w:kern w:val="0"/>
                <w:sz w:val="20"/>
                <w:szCs w:val="20"/>
                <w:lang w:eastAsia="en-GB"/>
                <w14:ligatures w14:val="none"/>
              </w:rPr>
              <w:br/>
              <w:t>4= cross-cutting</w:t>
            </w:r>
          </w:p>
        </w:tc>
        <w:tc>
          <w:tcPr>
            <w:tcW w:w="808" w:type="dxa"/>
            <w:vAlign w:val="center"/>
            <w:hideMark/>
          </w:tcPr>
          <w:p w14:paraId="29DA5796"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0073C5C8" w14:textId="77777777" w:rsidTr="0057040C">
        <w:trPr>
          <w:trHeight w:val="530"/>
        </w:trPr>
        <w:tc>
          <w:tcPr>
            <w:tcW w:w="646" w:type="dxa"/>
            <w:vMerge/>
            <w:tcBorders>
              <w:top w:val="nil"/>
              <w:left w:val="single" w:sz="4" w:space="0" w:color="auto"/>
              <w:bottom w:val="single" w:sz="4" w:space="0" w:color="auto"/>
              <w:right w:val="single" w:sz="4" w:space="0" w:color="auto"/>
            </w:tcBorders>
            <w:vAlign w:val="center"/>
            <w:hideMark/>
          </w:tcPr>
          <w:p w14:paraId="28C37316"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nil"/>
              <w:bottom w:val="nil"/>
              <w:right w:val="single" w:sz="4" w:space="0" w:color="auto"/>
            </w:tcBorders>
            <w:shd w:val="clear" w:color="000000" w:fill="D9E1F2"/>
            <w:hideMark/>
          </w:tcPr>
          <w:p w14:paraId="6AE55299" w14:textId="4BB79EAD"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Indicators</w:t>
            </w:r>
            <w:r w:rsidR="009E12BF" w:rsidRPr="00D82287">
              <w:rPr>
                <w:rFonts w:ascii="Calibri" w:eastAsia="Times New Roman" w:hAnsi="Calibri" w:cs="Calibri"/>
                <w:color w:val="000000"/>
                <w:kern w:val="0"/>
                <w:sz w:val="20"/>
                <w:szCs w:val="20"/>
                <w:lang w:eastAsia="en-GB"/>
                <w14:ligatures w14:val="none"/>
              </w:rPr>
              <w:t xml:space="preserve"> (Brodnik &amp; Brown, 2018; Wolfram, 2016)</w:t>
            </w:r>
            <w:r w:rsidRPr="00D82287">
              <w:rPr>
                <w:rFonts w:ascii="Calibri" w:eastAsia="Times New Roman" w:hAnsi="Calibri" w:cs="Calibri"/>
                <w:color w:val="000000"/>
                <w:kern w:val="0"/>
                <w:sz w:val="20"/>
                <w:szCs w:val="20"/>
                <w:lang w:eastAsia="en-GB"/>
                <w14:ligatures w14:val="none"/>
              </w:rPr>
              <w:t xml:space="preserve"> </w:t>
            </w:r>
          </w:p>
        </w:tc>
        <w:tc>
          <w:tcPr>
            <w:tcW w:w="1620" w:type="dxa"/>
            <w:vMerge/>
            <w:tcBorders>
              <w:top w:val="nil"/>
              <w:left w:val="single" w:sz="4" w:space="0" w:color="auto"/>
              <w:bottom w:val="single" w:sz="4" w:space="0" w:color="auto"/>
              <w:right w:val="single" w:sz="4" w:space="0" w:color="auto"/>
            </w:tcBorders>
            <w:vAlign w:val="center"/>
            <w:hideMark/>
          </w:tcPr>
          <w:p w14:paraId="7A9EAFD7"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4CCB97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2CF4463A"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3236EECC"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4B85EF3" w14:textId="77777777" w:rsidTr="0057040C">
        <w:trPr>
          <w:trHeight w:val="300"/>
        </w:trPr>
        <w:tc>
          <w:tcPr>
            <w:tcW w:w="646" w:type="dxa"/>
            <w:vMerge/>
            <w:tcBorders>
              <w:top w:val="nil"/>
              <w:left w:val="single" w:sz="4" w:space="0" w:color="auto"/>
              <w:bottom w:val="single" w:sz="4" w:space="0" w:color="auto"/>
              <w:right w:val="single" w:sz="4" w:space="0" w:color="auto"/>
            </w:tcBorders>
            <w:vAlign w:val="center"/>
            <w:hideMark/>
          </w:tcPr>
          <w:p w14:paraId="74772993"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nil"/>
              <w:bottom w:val="nil"/>
              <w:right w:val="single" w:sz="4" w:space="0" w:color="auto"/>
            </w:tcBorders>
            <w:shd w:val="clear" w:color="000000" w:fill="D9E1F2"/>
            <w:hideMark/>
          </w:tcPr>
          <w:p w14:paraId="2829BC9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1620" w:type="dxa"/>
            <w:vMerge/>
            <w:tcBorders>
              <w:top w:val="nil"/>
              <w:left w:val="single" w:sz="4" w:space="0" w:color="auto"/>
              <w:bottom w:val="single" w:sz="4" w:space="0" w:color="auto"/>
              <w:right w:val="single" w:sz="4" w:space="0" w:color="auto"/>
            </w:tcBorders>
            <w:vAlign w:val="center"/>
            <w:hideMark/>
          </w:tcPr>
          <w:p w14:paraId="6434048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A9F9B6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181A3DED"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41C66FB6"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7B926F2E" w14:textId="77777777" w:rsidTr="0057040C">
        <w:trPr>
          <w:trHeight w:val="1830"/>
        </w:trPr>
        <w:tc>
          <w:tcPr>
            <w:tcW w:w="646" w:type="dxa"/>
            <w:vMerge/>
            <w:tcBorders>
              <w:top w:val="nil"/>
              <w:left w:val="single" w:sz="4" w:space="0" w:color="auto"/>
              <w:bottom w:val="single" w:sz="4" w:space="0" w:color="auto"/>
              <w:right w:val="single" w:sz="4" w:space="0" w:color="auto"/>
            </w:tcBorders>
            <w:vAlign w:val="center"/>
            <w:hideMark/>
          </w:tcPr>
          <w:p w14:paraId="601F753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6220" w:type="dxa"/>
            <w:tcBorders>
              <w:top w:val="nil"/>
              <w:left w:val="nil"/>
              <w:bottom w:val="single" w:sz="4" w:space="0" w:color="auto"/>
              <w:right w:val="nil"/>
            </w:tcBorders>
            <w:shd w:val="clear" w:color="000000" w:fill="D9E1F2"/>
            <w:hideMark/>
          </w:tcPr>
          <w:p w14:paraId="02F11C1F"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Availability of tools and processes that allow monitoring and assessment of old and new practices </w:t>
            </w:r>
          </w:p>
        </w:tc>
        <w:tc>
          <w:tcPr>
            <w:tcW w:w="1620" w:type="dxa"/>
            <w:vMerge/>
            <w:tcBorders>
              <w:top w:val="nil"/>
              <w:left w:val="single" w:sz="4" w:space="0" w:color="auto"/>
              <w:bottom w:val="single" w:sz="4" w:space="0" w:color="auto"/>
              <w:right w:val="single" w:sz="4" w:space="0" w:color="auto"/>
            </w:tcBorders>
            <w:vAlign w:val="center"/>
            <w:hideMark/>
          </w:tcPr>
          <w:p w14:paraId="76D0861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320" w:type="dxa"/>
            <w:vMerge/>
            <w:tcBorders>
              <w:top w:val="nil"/>
              <w:left w:val="single" w:sz="4" w:space="0" w:color="auto"/>
              <w:bottom w:val="single" w:sz="4" w:space="0" w:color="auto"/>
              <w:right w:val="single" w:sz="4" w:space="0" w:color="auto"/>
            </w:tcBorders>
            <w:vAlign w:val="center"/>
            <w:hideMark/>
          </w:tcPr>
          <w:p w14:paraId="38B4D602"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2514" w:type="dxa"/>
            <w:vMerge/>
            <w:tcBorders>
              <w:top w:val="nil"/>
              <w:left w:val="single" w:sz="4" w:space="0" w:color="auto"/>
              <w:bottom w:val="single" w:sz="4" w:space="0" w:color="auto"/>
              <w:right w:val="single" w:sz="4" w:space="0" w:color="auto"/>
            </w:tcBorders>
            <w:vAlign w:val="center"/>
            <w:hideMark/>
          </w:tcPr>
          <w:p w14:paraId="0C82D73B" w14:textId="77777777" w:rsidR="0057040C" w:rsidRPr="00D82287" w:rsidRDefault="0057040C" w:rsidP="00FC49C9">
            <w:pPr>
              <w:rPr>
                <w:rFonts w:ascii="Calibri" w:eastAsia="Times New Roman" w:hAnsi="Calibri" w:cs="Calibri"/>
                <w:color w:val="000000"/>
                <w:kern w:val="0"/>
                <w:sz w:val="20"/>
                <w:szCs w:val="20"/>
                <w:lang w:eastAsia="en-GB"/>
                <w14:ligatures w14:val="none"/>
              </w:rPr>
            </w:pPr>
          </w:p>
        </w:tc>
        <w:tc>
          <w:tcPr>
            <w:tcW w:w="808" w:type="dxa"/>
            <w:vAlign w:val="center"/>
            <w:hideMark/>
          </w:tcPr>
          <w:p w14:paraId="1287B75F"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8ACCA37" w14:textId="77777777" w:rsidTr="0057040C">
        <w:trPr>
          <w:trHeight w:val="2470"/>
        </w:trPr>
        <w:tc>
          <w:tcPr>
            <w:tcW w:w="646" w:type="dxa"/>
            <w:tcBorders>
              <w:top w:val="nil"/>
              <w:left w:val="single" w:sz="4" w:space="0" w:color="auto"/>
              <w:bottom w:val="single" w:sz="4" w:space="0" w:color="auto"/>
              <w:right w:val="single" w:sz="4" w:space="0" w:color="auto"/>
            </w:tcBorders>
            <w:shd w:val="clear" w:color="000000" w:fill="B4C6E7"/>
            <w:noWrap/>
            <w:hideMark/>
          </w:tcPr>
          <w:p w14:paraId="3BC03657"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lastRenderedPageBreak/>
              <w:t> </w:t>
            </w:r>
          </w:p>
        </w:tc>
        <w:tc>
          <w:tcPr>
            <w:tcW w:w="6220" w:type="dxa"/>
            <w:tcBorders>
              <w:top w:val="nil"/>
              <w:left w:val="nil"/>
              <w:bottom w:val="single" w:sz="4" w:space="0" w:color="auto"/>
              <w:right w:val="single" w:sz="4" w:space="0" w:color="auto"/>
            </w:tcBorders>
            <w:shd w:val="clear" w:color="auto" w:fill="auto"/>
            <w:hideMark/>
          </w:tcPr>
          <w:p w14:paraId="66D785E5" w14:textId="2B0775B9" w:rsidR="0057040C" w:rsidRPr="00D82287" w:rsidRDefault="008300B8"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50. </w:t>
            </w:r>
            <w:r w:rsidR="0057040C" w:rsidRPr="00D82287">
              <w:rPr>
                <w:rFonts w:ascii="Calibri" w:eastAsia="Times New Roman" w:hAnsi="Calibri" w:cs="Calibri"/>
                <w:b/>
                <w:bCs/>
                <w:color w:val="000000"/>
                <w:kern w:val="0"/>
                <w:sz w:val="20"/>
                <w:szCs w:val="20"/>
                <w:lang w:eastAsia="en-GB"/>
                <w14:ligatures w14:val="none"/>
              </w:rPr>
              <w:t xml:space="preserve">Which type of (co)regulation is reflected in the coalition?" (focused on actors and tools used) </w:t>
            </w:r>
          </w:p>
        </w:tc>
        <w:tc>
          <w:tcPr>
            <w:tcW w:w="1620" w:type="dxa"/>
            <w:tcBorders>
              <w:top w:val="nil"/>
              <w:left w:val="nil"/>
              <w:bottom w:val="single" w:sz="4" w:space="0" w:color="auto"/>
              <w:right w:val="single" w:sz="4" w:space="0" w:color="auto"/>
            </w:tcBorders>
            <w:shd w:val="clear" w:color="auto" w:fill="auto"/>
            <w:hideMark/>
          </w:tcPr>
          <w:p w14:paraId="75388EE9"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Regulation type</w:t>
            </w:r>
          </w:p>
        </w:tc>
        <w:tc>
          <w:tcPr>
            <w:tcW w:w="2320" w:type="dxa"/>
            <w:tcBorders>
              <w:top w:val="nil"/>
              <w:left w:val="nil"/>
              <w:bottom w:val="single" w:sz="4" w:space="0" w:color="auto"/>
              <w:right w:val="single" w:sz="4" w:space="0" w:color="auto"/>
            </w:tcBorders>
            <w:shd w:val="clear" w:color="auto" w:fill="auto"/>
            <w:hideMark/>
          </w:tcPr>
          <w:p w14:paraId="15CF6FFE"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Change process / Actors</w:t>
            </w:r>
          </w:p>
        </w:tc>
        <w:tc>
          <w:tcPr>
            <w:tcW w:w="2514" w:type="dxa"/>
            <w:tcBorders>
              <w:top w:val="nil"/>
              <w:left w:val="nil"/>
              <w:bottom w:val="single" w:sz="4" w:space="0" w:color="auto"/>
              <w:right w:val="single" w:sz="4" w:space="0" w:color="auto"/>
            </w:tcBorders>
            <w:shd w:val="clear" w:color="auto" w:fill="auto"/>
            <w:hideMark/>
          </w:tcPr>
          <w:p w14:paraId="5208139A"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0= firm self-regulation</w:t>
            </w:r>
            <w:r w:rsidRPr="00D82287">
              <w:rPr>
                <w:rFonts w:ascii="Calibri" w:eastAsia="Times New Roman" w:hAnsi="Calibri" w:cs="Calibri"/>
                <w:color w:val="000000"/>
                <w:kern w:val="0"/>
                <w:sz w:val="20"/>
                <w:szCs w:val="20"/>
                <w:lang w:eastAsia="en-GB"/>
                <w14:ligatures w14:val="none"/>
              </w:rPr>
              <w:br/>
              <w:t xml:space="preserve">1 = industry self-regulation </w:t>
            </w:r>
            <w:r w:rsidRPr="00D82287">
              <w:rPr>
                <w:rFonts w:ascii="Calibri" w:eastAsia="Times New Roman" w:hAnsi="Calibri" w:cs="Calibri"/>
                <w:color w:val="000000"/>
                <w:kern w:val="0"/>
                <w:sz w:val="20"/>
                <w:szCs w:val="20"/>
                <w:lang w:eastAsia="en-GB"/>
                <w14:ligatures w14:val="none"/>
              </w:rPr>
              <w:br/>
              <w:t xml:space="preserve">2 = private co-regulation </w:t>
            </w:r>
            <w:r w:rsidRPr="00D82287">
              <w:rPr>
                <w:rFonts w:ascii="Calibri" w:eastAsia="Times New Roman" w:hAnsi="Calibri" w:cs="Calibri"/>
                <w:color w:val="000000"/>
                <w:kern w:val="0"/>
                <w:sz w:val="20"/>
                <w:szCs w:val="20"/>
                <w:lang w:eastAsia="en-GB"/>
                <w14:ligatures w14:val="none"/>
              </w:rPr>
              <w:br/>
              <w:t xml:space="preserve">3 = public co-regulation </w:t>
            </w:r>
            <w:r w:rsidRPr="00D82287">
              <w:rPr>
                <w:rFonts w:ascii="Calibri" w:eastAsia="Times New Roman" w:hAnsi="Calibri" w:cs="Calibri"/>
                <w:color w:val="000000"/>
                <w:kern w:val="0"/>
                <w:sz w:val="20"/>
                <w:szCs w:val="20"/>
                <w:lang w:eastAsia="en-GB"/>
                <w14:ligatures w14:val="none"/>
              </w:rPr>
              <w:br/>
              <w:t xml:space="preserve">4 = tripartite co-regulation </w:t>
            </w:r>
            <w:r w:rsidRPr="00D82287">
              <w:rPr>
                <w:rFonts w:ascii="Calibri" w:eastAsia="Times New Roman" w:hAnsi="Calibri" w:cs="Calibri"/>
                <w:color w:val="000000"/>
                <w:kern w:val="0"/>
                <w:sz w:val="20"/>
                <w:szCs w:val="20"/>
                <w:lang w:eastAsia="en-GB"/>
                <w14:ligatures w14:val="none"/>
              </w:rPr>
              <w:br/>
              <w:t xml:space="preserve">5 = government soft regulation  </w:t>
            </w:r>
            <w:r w:rsidRPr="00D82287">
              <w:rPr>
                <w:rFonts w:ascii="Calibri" w:eastAsia="Times New Roman" w:hAnsi="Calibri" w:cs="Calibri"/>
                <w:color w:val="000000"/>
                <w:kern w:val="0"/>
                <w:sz w:val="20"/>
                <w:szCs w:val="20"/>
                <w:lang w:eastAsia="en-GB"/>
                <w14:ligatures w14:val="none"/>
              </w:rPr>
              <w:br/>
              <w:t xml:space="preserve">6 = government hard regulation </w:t>
            </w:r>
          </w:p>
        </w:tc>
        <w:tc>
          <w:tcPr>
            <w:tcW w:w="808" w:type="dxa"/>
            <w:vAlign w:val="center"/>
            <w:hideMark/>
          </w:tcPr>
          <w:p w14:paraId="1AE4DAD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52275F9A" w14:textId="77777777" w:rsidTr="0057040C">
        <w:trPr>
          <w:trHeight w:val="1940"/>
        </w:trPr>
        <w:tc>
          <w:tcPr>
            <w:tcW w:w="646" w:type="dxa"/>
            <w:tcBorders>
              <w:top w:val="nil"/>
              <w:left w:val="single" w:sz="4" w:space="0" w:color="auto"/>
              <w:bottom w:val="single" w:sz="4" w:space="0" w:color="auto"/>
              <w:right w:val="single" w:sz="4" w:space="0" w:color="auto"/>
            </w:tcBorders>
            <w:shd w:val="clear" w:color="000000" w:fill="B4C6E7"/>
            <w:noWrap/>
            <w:hideMark/>
          </w:tcPr>
          <w:p w14:paraId="77D684D5"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6220" w:type="dxa"/>
            <w:tcBorders>
              <w:top w:val="nil"/>
              <w:left w:val="nil"/>
              <w:bottom w:val="single" w:sz="4" w:space="0" w:color="auto"/>
              <w:right w:val="single" w:sz="4" w:space="0" w:color="auto"/>
            </w:tcBorders>
            <w:shd w:val="clear" w:color="000000" w:fill="D9E1F2"/>
            <w:noWrap/>
            <w:hideMark/>
          </w:tcPr>
          <w:p w14:paraId="15470AC3" w14:textId="076BF872" w:rsidR="0057040C" w:rsidRPr="00D82287" w:rsidRDefault="008300B8" w:rsidP="00FC49C9">
            <w:pPr>
              <w:rPr>
                <w:rFonts w:ascii="Calibri" w:eastAsia="Times New Roman" w:hAnsi="Calibri" w:cs="Calibri"/>
                <w:b/>
                <w:bCs/>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51. </w:t>
            </w:r>
            <w:r w:rsidR="0057040C" w:rsidRPr="00D82287">
              <w:rPr>
                <w:rFonts w:ascii="Calibri" w:eastAsia="Times New Roman" w:hAnsi="Calibri" w:cs="Calibri"/>
                <w:b/>
                <w:bCs/>
                <w:color w:val="000000"/>
                <w:kern w:val="0"/>
                <w:sz w:val="20"/>
                <w:szCs w:val="20"/>
                <w:lang w:eastAsia="en-GB"/>
                <w14:ligatures w14:val="none"/>
              </w:rPr>
              <w:t xml:space="preserve">Is civil society involved in the coalition´s projects? </w:t>
            </w:r>
          </w:p>
        </w:tc>
        <w:tc>
          <w:tcPr>
            <w:tcW w:w="1620" w:type="dxa"/>
            <w:tcBorders>
              <w:top w:val="nil"/>
              <w:left w:val="nil"/>
              <w:bottom w:val="single" w:sz="4" w:space="0" w:color="auto"/>
              <w:right w:val="single" w:sz="4" w:space="0" w:color="auto"/>
            </w:tcBorders>
            <w:shd w:val="clear" w:color="000000" w:fill="D9E1F2"/>
            <w:noWrap/>
            <w:hideMark/>
          </w:tcPr>
          <w:p w14:paraId="61749A74"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Civil society</w:t>
            </w:r>
          </w:p>
        </w:tc>
        <w:tc>
          <w:tcPr>
            <w:tcW w:w="2320" w:type="dxa"/>
            <w:tcBorders>
              <w:top w:val="nil"/>
              <w:left w:val="nil"/>
              <w:bottom w:val="single" w:sz="4" w:space="0" w:color="auto"/>
              <w:right w:val="single" w:sz="4" w:space="0" w:color="auto"/>
            </w:tcBorders>
            <w:shd w:val="clear" w:color="000000" w:fill="D9E1F2"/>
            <w:noWrap/>
            <w:hideMark/>
          </w:tcPr>
          <w:p w14:paraId="51563625"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Networking </w:t>
            </w:r>
          </w:p>
        </w:tc>
        <w:tc>
          <w:tcPr>
            <w:tcW w:w="2514" w:type="dxa"/>
            <w:tcBorders>
              <w:top w:val="nil"/>
              <w:left w:val="nil"/>
              <w:bottom w:val="single" w:sz="4" w:space="0" w:color="auto"/>
              <w:right w:val="single" w:sz="4" w:space="0" w:color="auto"/>
            </w:tcBorders>
            <w:shd w:val="clear" w:color="000000" w:fill="D9E1F2"/>
            <w:hideMark/>
          </w:tcPr>
          <w:p w14:paraId="736819C2"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xml:space="preserve">yes = 1 </w:t>
            </w:r>
            <w:r w:rsidRPr="00D82287">
              <w:rPr>
                <w:rFonts w:ascii="Calibri" w:eastAsia="Times New Roman" w:hAnsi="Calibri" w:cs="Calibri"/>
                <w:color w:val="000000"/>
                <w:kern w:val="0"/>
                <w:sz w:val="20"/>
                <w:szCs w:val="20"/>
                <w:lang w:eastAsia="en-GB"/>
                <w14:ligatures w14:val="none"/>
              </w:rPr>
              <w:br/>
              <w:t xml:space="preserve">no= 0 </w:t>
            </w:r>
          </w:p>
        </w:tc>
        <w:tc>
          <w:tcPr>
            <w:tcW w:w="808" w:type="dxa"/>
            <w:vAlign w:val="center"/>
            <w:hideMark/>
          </w:tcPr>
          <w:p w14:paraId="7BB10C07"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r w:rsidR="0057040C" w:rsidRPr="00D67367" w14:paraId="1365F636" w14:textId="77777777" w:rsidTr="0057040C">
        <w:trPr>
          <w:trHeight w:val="300"/>
        </w:trPr>
        <w:tc>
          <w:tcPr>
            <w:tcW w:w="646" w:type="dxa"/>
            <w:tcBorders>
              <w:top w:val="nil"/>
              <w:left w:val="single" w:sz="4" w:space="0" w:color="auto"/>
              <w:bottom w:val="single" w:sz="4" w:space="0" w:color="auto"/>
              <w:right w:val="single" w:sz="4" w:space="0" w:color="auto"/>
            </w:tcBorders>
            <w:shd w:val="clear" w:color="000000" w:fill="B4C6E7"/>
            <w:noWrap/>
            <w:hideMark/>
          </w:tcPr>
          <w:p w14:paraId="4B8B88E9"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6220" w:type="dxa"/>
            <w:tcBorders>
              <w:top w:val="nil"/>
              <w:left w:val="nil"/>
              <w:bottom w:val="single" w:sz="4" w:space="0" w:color="auto"/>
              <w:right w:val="single" w:sz="4" w:space="0" w:color="auto"/>
            </w:tcBorders>
            <w:shd w:val="clear" w:color="auto" w:fill="auto"/>
            <w:noWrap/>
            <w:hideMark/>
          </w:tcPr>
          <w:p w14:paraId="601CB07B" w14:textId="517103D7" w:rsidR="0057040C" w:rsidRPr="00D82287" w:rsidRDefault="008300B8"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b/>
                <w:bCs/>
                <w:color w:val="000000"/>
                <w:kern w:val="0"/>
                <w:sz w:val="20"/>
                <w:szCs w:val="20"/>
                <w:lang w:eastAsia="en-GB"/>
                <w14:ligatures w14:val="none"/>
              </w:rPr>
              <w:t xml:space="preserve">52. </w:t>
            </w:r>
            <w:r w:rsidR="0057040C" w:rsidRPr="00D82287">
              <w:rPr>
                <w:rFonts w:ascii="Calibri" w:eastAsia="Times New Roman" w:hAnsi="Calibri" w:cs="Calibri"/>
                <w:b/>
                <w:bCs/>
                <w:color w:val="000000"/>
                <w:kern w:val="0"/>
                <w:sz w:val="20"/>
                <w:szCs w:val="20"/>
                <w:lang w:eastAsia="en-GB"/>
                <w14:ligatures w14:val="none"/>
              </w:rPr>
              <w:t>How does the coalition conceptualize "uncertainty"?</w:t>
            </w:r>
            <w:r w:rsidR="0057040C" w:rsidRPr="00D82287">
              <w:rPr>
                <w:rFonts w:ascii="Calibri" w:eastAsia="Times New Roman" w:hAnsi="Calibri" w:cs="Calibri"/>
                <w:color w:val="000000"/>
                <w:kern w:val="0"/>
                <w:sz w:val="20"/>
                <w:szCs w:val="20"/>
                <w:lang w:eastAsia="en-GB"/>
                <w14:ligatures w14:val="none"/>
              </w:rPr>
              <w:t xml:space="preserve"> </w:t>
            </w:r>
            <w:r w:rsidR="0074190C" w:rsidRPr="00D82287">
              <w:rPr>
                <w:rFonts w:ascii="Calibri" w:eastAsia="Times New Roman" w:hAnsi="Calibri" w:cs="Calibri"/>
                <w:color w:val="000000"/>
                <w:kern w:val="0"/>
                <w:sz w:val="20"/>
                <w:szCs w:val="20"/>
                <w:lang w:eastAsia="en-GB"/>
                <w14:ligatures w14:val="none"/>
              </w:rPr>
              <w:t>(Pahl-Wostl, 2009)</w:t>
            </w:r>
          </w:p>
        </w:tc>
        <w:tc>
          <w:tcPr>
            <w:tcW w:w="1620" w:type="dxa"/>
            <w:tcBorders>
              <w:top w:val="nil"/>
              <w:left w:val="nil"/>
              <w:bottom w:val="single" w:sz="4" w:space="0" w:color="auto"/>
              <w:right w:val="single" w:sz="4" w:space="0" w:color="auto"/>
            </w:tcBorders>
            <w:shd w:val="clear" w:color="auto" w:fill="auto"/>
            <w:noWrap/>
            <w:hideMark/>
          </w:tcPr>
          <w:p w14:paraId="47AB58D1" w14:textId="77777777"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Uncertainty</w:t>
            </w:r>
          </w:p>
        </w:tc>
        <w:tc>
          <w:tcPr>
            <w:tcW w:w="2320" w:type="dxa"/>
            <w:tcBorders>
              <w:top w:val="nil"/>
              <w:left w:val="nil"/>
              <w:bottom w:val="single" w:sz="4" w:space="0" w:color="auto"/>
              <w:right w:val="single" w:sz="4" w:space="0" w:color="auto"/>
            </w:tcBorders>
            <w:shd w:val="clear" w:color="auto" w:fill="auto"/>
            <w:noWrap/>
            <w:hideMark/>
          </w:tcPr>
          <w:p w14:paraId="137B269D" w14:textId="4E8CBDFA" w:rsidR="0057040C" w:rsidRPr="00D82287" w:rsidRDefault="0057040C" w:rsidP="00FC49C9">
            <w:pP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Uncertainty</w:t>
            </w:r>
          </w:p>
        </w:tc>
        <w:tc>
          <w:tcPr>
            <w:tcW w:w="2514" w:type="dxa"/>
            <w:tcBorders>
              <w:top w:val="nil"/>
              <w:left w:val="nil"/>
              <w:bottom w:val="single" w:sz="4" w:space="0" w:color="auto"/>
              <w:right w:val="single" w:sz="4" w:space="0" w:color="auto"/>
            </w:tcBorders>
            <w:shd w:val="clear" w:color="auto" w:fill="auto"/>
            <w:hideMark/>
          </w:tcPr>
          <w:p w14:paraId="768522F5" w14:textId="77777777" w:rsidR="0057040C" w:rsidRPr="00D82287" w:rsidRDefault="0057040C" w:rsidP="00FC49C9">
            <w:pPr>
              <w:jc w:val="center"/>
              <w:rPr>
                <w:rFonts w:ascii="Calibri" w:eastAsia="Times New Roman" w:hAnsi="Calibri" w:cs="Calibri"/>
                <w:color w:val="000000"/>
                <w:kern w:val="0"/>
                <w:sz w:val="20"/>
                <w:szCs w:val="20"/>
                <w:lang w:eastAsia="en-GB"/>
                <w14:ligatures w14:val="none"/>
              </w:rPr>
            </w:pPr>
            <w:r w:rsidRPr="00D82287">
              <w:rPr>
                <w:rFonts w:ascii="Calibri" w:eastAsia="Times New Roman" w:hAnsi="Calibri" w:cs="Calibri"/>
                <w:color w:val="000000"/>
                <w:kern w:val="0"/>
                <w:sz w:val="20"/>
                <w:szCs w:val="20"/>
                <w:lang w:eastAsia="en-GB"/>
                <w14:ligatures w14:val="none"/>
              </w:rPr>
              <w:t> </w:t>
            </w:r>
          </w:p>
        </w:tc>
        <w:tc>
          <w:tcPr>
            <w:tcW w:w="808" w:type="dxa"/>
            <w:vAlign w:val="center"/>
            <w:hideMark/>
          </w:tcPr>
          <w:p w14:paraId="6C9B0D9B" w14:textId="77777777" w:rsidR="0057040C" w:rsidRPr="00D82287" w:rsidRDefault="0057040C" w:rsidP="00FC49C9">
            <w:pPr>
              <w:rPr>
                <w:rFonts w:ascii="Times New Roman" w:eastAsia="Times New Roman" w:hAnsi="Times New Roman" w:cs="Times New Roman"/>
                <w:kern w:val="0"/>
                <w:sz w:val="20"/>
                <w:szCs w:val="20"/>
                <w:lang w:eastAsia="en-GB"/>
                <w14:ligatures w14:val="none"/>
              </w:rPr>
            </w:pPr>
          </w:p>
        </w:tc>
      </w:tr>
    </w:tbl>
    <w:p w14:paraId="7A6C18C9" w14:textId="77777777" w:rsidR="00FC49C9" w:rsidRPr="00D67367" w:rsidRDefault="00FC49C9" w:rsidP="00FC49C9"/>
    <w:p w14:paraId="16A72EF9" w14:textId="77777777" w:rsidR="002920A4" w:rsidRPr="00D67367" w:rsidRDefault="002920A4">
      <w:pPr>
        <w:rPr>
          <w:rFonts w:cstheme="minorHAnsi"/>
        </w:rPr>
      </w:pPr>
    </w:p>
    <w:p w14:paraId="7901D53F" w14:textId="77777777" w:rsidR="00CF76CF" w:rsidRPr="00D67367" w:rsidRDefault="00CF76CF" w:rsidP="002A28E1">
      <w:pPr>
        <w:jc w:val="center"/>
        <w:rPr>
          <w:rFonts w:cstheme="minorHAnsi"/>
        </w:rPr>
      </w:pPr>
      <w:r w:rsidRPr="00572C36">
        <w:rPr>
          <w:rFonts w:cstheme="minorHAnsi"/>
          <w:noProof/>
        </w:rPr>
        <w:lastRenderedPageBreak/>
        <w:drawing>
          <wp:inline distT="114300" distB="114300" distL="114300" distR="114300" wp14:anchorId="0BEB6DEB" wp14:editId="24A5F407">
            <wp:extent cx="8767233" cy="5465233"/>
            <wp:effectExtent l="12700" t="12700" r="8890" b="8890"/>
            <wp:docPr id="218" name="image4.jpg" descr="A mind map with colorful lines&#10;&#10;Description automatically generated"/>
            <wp:cNvGraphicFramePr/>
            <a:graphic xmlns:a="http://schemas.openxmlformats.org/drawingml/2006/main">
              <a:graphicData uri="http://schemas.openxmlformats.org/drawingml/2006/picture">
                <pic:pic xmlns:pic="http://schemas.openxmlformats.org/drawingml/2006/picture">
                  <pic:nvPicPr>
                    <pic:cNvPr id="218" name="image4.jpg" descr="A mind map with colorful lines&#10;&#10;Description automatically generated"/>
                    <pic:cNvPicPr preferRelativeResize="0"/>
                  </pic:nvPicPr>
                  <pic:blipFill>
                    <a:blip r:embed="rId11"/>
                    <a:srcRect/>
                    <a:stretch>
                      <a:fillRect/>
                    </a:stretch>
                  </pic:blipFill>
                  <pic:spPr>
                    <a:xfrm>
                      <a:off x="0" y="0"/>
                      <a:ext cx="8971627" cy="5592646"/>
                    </a:xfrm>
                    <a:prstGeom prst="rect">
                      <a:avLst/>
                    </a:prstGeom>
                    <a:ln w="12700">
                      <a:solidFill>
                        <a:srgbClr val="000000"/>
                      </a:solidFill>
                      <a:prstDash val="solid"/>
                    </a:ln>
                  </pic:spPr>
                </pic:pic>
              </a:graphicData>
            </a:graphic>
          </wp:inline>
        </w:drawing>
      </w:r>
    </w:p>
    <w:p w14:paraId="011AA50D" w14:textId="4C1C1038" w:rsidR="00231333" w:rsidRPr="00D67367" w:rsidRDefault="005878F4">
      <w:pPr>
        <w:rPr>
          <w:rFonts w:cstheme="minorHAnsi"/>
          <w:sz w:val="20"/>
          <w:szCs w:val="20"/>
        </w:rPr>
      </w:pPr>
      <w:bookmarkStart w:id="10" w:name="_Toc180411819"/>
      <w:r w:rsidRPr="00D67367">
        <w:rPr>
          <w:rStyle w:val="Heading2Char"/>
          <w:rFonts w:asciiTheme="minorHAnsi" w:eastAsiaTheme="minorHAnsi" w:hAnsiTheme="minorHAnsi" w:cstheme="minorHAnsi"/>
          <w:sz w:val="20"/>
          <w:szCs w:val="20"/>
        </w:rPr>
        <w:t>A.</w:t>
      </w:r>
      <w:r w:rsidR="00411DB4" w:rsidRPr="00D67367">
        <w:rPr>
          <w:rStyle w:val="Heading2Char"/>
          <w:rFonts w:asciiTheme="minorHAnsi" w:eastAsiaTheme="minorHAnsi" w:hAnsiTheme="minorHAnsi" w:cstheme="minorHAnsi"/>
          <w:sz w:val="20"/>
          <w:szCs w:val="20"/>
        </w:rPr>
        <w:t>2</w:t>
      </w:r>
      <w:r w:rsidR="00E61FBD" w:rsidRPr="00D67367">
        <w:rPr>
          <w:rStyle w:val="Heading2Char"/>
          <w:rFonts w:asciiTheme="minorHAnsi" w:eastAsiaTheme="minorHAnsi" w:hAnsiTheme="minorHAnsi" w:cstheme="minorHAnsi"/>
          <w:sz w:val="20"/>
          <w:szCs w:val="20"/>
        </w:rPr>
        <w:t>.</w:t>
      </w:r>
      <w:r w:rsidRPr="00D67367">
        <w:rPr>
          <w:rStyle w:val="Heading2Char"/>
          <w:rFonts w:asciiTheme="minorHAnsi" w:eastAsiaTheme="minorHAnsi" w:hAnsiTheme="minorHAnsi" w:cstheme="minorHAnsi"/>
          <w:sz w:val="20"/>
          <w:szCs w:val="20"/>
        </w:rPr>
        <w:t xml:space="preserve"> </w:t>
      </w:r>
      <w:r w:rsidR="00CF76CF" w:rsidRPr="00D67367">
        <w:rPr>
          <w:rStyle w:val="Heading2Char"/>
          <w:rFonts w:asciiTheme="minorHAnsi" w:eastAsiaTheme="minorHAnsi" w:hAnsiTheme="minorHAnsi" w:cstheme="minorHAnsi"/>
          <w:sz w:val="20"/>
          <w:szCs w:val="20"/>
        </w:rPr>
        <w:t xml:space="preserve">Figure </w:t>
      </w:r>
      <w:r w:rsidR="002A28E1" w:rsidRPr="00D67367">
        <w:rPr>
          <w:rStyle w:val="Heading2Char"/>
          <w:rFonts w:asciiTheme="minorHAnsi" w:eastAsiaTheme="minorHAnsi" w:hAnsiTheme="minorHAnsi" w:cstheme="minorHAnsi"/>
          <w:sz w:val="20"/>
          <w:szCs w:val="20"/>
        </w:rPr>
        <w:t>S</w:t>
      </w:r>
      <w:r w:rsidR="006251E7" w:rsidRPr="00D67367">
        <w:rPr>
          <w:rStyle w:val="Heading2Char"/>
          <w:rFonts w:asciiTheme="minorHAnsi" w:eastAsiaTheme="minorHAnsi" w:hAnsiTheme="minorHAnsi" w:cstheme="minorHAnsi"/>
          <w:sz w:val="20"/>
          <w:szCs w:val="20"/>
        </w:rPr>
        <w:t>1</w:t>
      </w:r>
      <w:r w:rsidR="00CF76CF" w:rsidRPr="00D67367">
        <w:rPr>
          <w:rStyle w:val="Heading2Char"/>
          <w:rFonts w:asciiTheme="minorHAnsi" w:eastAsiaTheme="minorHAnsi" w:hAnsiTheme="minorHAnsi" w:cstheme="minorHAnsi"/>
          <w:sz w:val="20"/>
          <w:szCs w:val="20"/>
        </w:rPr>
        <w:t>. Thematic map</w:t>
      </w:r>
      <w:bookmarkEnd w:id="10"/>
      <w:r w:rsidR="00CF76CF" w:rsidRPr="00D67367">
        <w:rPr>
          <w:rFonts w:cstheme="minorHAnsi"/>
          <w:sz w:val="20"/>
          <w:szCs w:val="20"/>
        </w:rPr>
        <w:t xml:space="preserve"> showing themes and subthemes of features included in the extended framework </w:t>
      </w:r>
      <w:r w:rsidR="00C256E8" w:rsidRPr="00D67367">
        <w:rPr>
          <w:rFonts w:cstheme="minorHAnsi"/>
          <w:sz w:val="20"/>
          <w:szCs w:val="20"/>
        </w:rPr>
        <w:t>(</w:t>
      </w:r>
      <w:r w:rsidR="00411DB4" w:rsidRPr="00D67367">
        <w:rPr>
          <w:rFonts w:cstheme="minorHAnsi"/>
          <w:sz w:val="20"/>
          <w:szCs w:val="20"/>
        </w:rPr>
        <w:t>Table S</w:t>
      </w:r>
      <w:r w:rsidR="00E25BD6" w:rsidRPr="00D67367">
        <w:rPr>
          <w:rFonts w:cstheme="minorHAnsi"/>
          <w:sz w:val="20"/>
          <w:szCs w:val="20"/>
        </w:rPr>
        <w:t>2</w:t>
      </w:r>
      <w:r w:rsidR="00C256E8" w:rsidRPr="00D67367">
        <w:rPr>
          <w:rFonts w:cstheme="minorHAnsi"/>
          <w:sz w:val="20"/>
          <w:szCs w:val="20"/>
        </w:rPr>
        <w:t>)</w:t>
      </w:r>
      <w:r w:rsidR="00285EBA" w:rsidRPr="00D67367">
        <w:rPr>
          <w:rFonts w:cstheme="minorHAnsi"/>
          <w:sz w:val="20"/>
          <w:szCs w:val="20"/>
        </w:rPr>
        <w:t xml:space="preserve">. Figure designed by Nadja Naijar. </w:t>
      </w:r>
      <w:r w:rsidR="00214E6C" w:rsidRPr="00D67367">
        <w:rPr>
          <w:rFonts w:cstheme="minorHAnsi"/>
        </w:rPr>
        <w:t xml:space="preserve"> </w:t>
      </w:r>
    </w:p>
    <w:p w14:paraId="23FC70FD" w14:textId="720BD7FD" w:rsidR="002920A4" w:rsidRPr="00D67367" w:rsidRDefault="00E61FBD" w:rsidP="008E65B8">
      <w:pPr>
        <w:rPr>
          <w:rFonts w:cstheme="minorHAnsi"/>
          <w:b/>
          <w:bCs/>
          <w:kern w:val="0"/>
          <w:sz w:val="20"/>
          <w:szCs w:val="20"/>
          <w:lang w:eastAsia="en-GB"/>
          <w14:ligatures w14:val="none"/>
        </w:rPr>
      </w:pPr>
      <w:bookmarkStart w:id="11" w:name="_Toc180411820"/>
      <w:r w:rsidRPr="00D67367">
        <w:rPr>
          <w:rStyle w:val="Heading2Char"/>
          <w:rFonts w:asciiTheme="minorHAnsi" w:eastAsiaTheme="minorHAnsi" w:hAnsiTheme="minorHAnsi" w:cstheme="minorHAnsi"/>
          <w:sz w:val="20"/>
          <w:szCs w:val="20"/>
        </w:rPr>
        <w:lastRenderedPageBreak/>
        <w:t>A.</w:t>
      </w:r>
      <w:r w:rsidR="00411DB4" w:rsidRPr="00D67367">
        <w:rPr>
          <w:rStyle w:val="Heading2Char"/>
          <w:rFonts w:asciiTheme="minorHAnsi" w:eastAsiaTheme="minorHAnsi" w:hAnsiTheme="minorHAnsi" w:cstheme="minorHAnsi"/>
          <w:sz w:val="20"/>
          <w:szCs w:val="20"/>
        </w:rPr>
        <w:t>3</w:t>
      </w:r>
      <w:r w:rsidRPr="00D67367">
        <w:rPr>
          <w:rStyle w:val="Heading2Char"/>
          <w:rFonts w:asciiTheme="minorHAnsi" w:eastAsiaTheme="minorHAnsi" w:hAnsiTheme="minorHAnsi" w:cstheme="minorHAnsi"/>
          <w:sz w:val="20"/>
          <w:szCs w:val="20"/>
        </w:rPr>
        <w:t xml:space="preserve">. </w:t>
      </w:r>
      <w:r w:rsidR="002920A4" w:rsidRPr="00D67367">
        <w:rPr>
          <w:rStyle w:val="Heading2Char"/>
          <w:rFonts w:asciiTheme="minorHAnsi" w:eastAsiaTheme="minorHAnsi" w:hAnsiTheme="minorHAnsi" w:cstheme="minorHAnsi"/>
          <w:sz w:val="20"/>
          <w:szCs w:val="20"/>
        </w:rPr>
        <w:t xml:space="preserve">Table </w:t>
      </w:r>
      <w:r w:rsidR="00B36A75" w:rsidRPr="00D67367">
        <w:rPr>
          <w:rStyle w:val="Heading2Char"/>
          <w:rFonts w:asciiTheme="minorHAnsi" w:eastAsiaTheme="minorHAnsi" w:hAnsiTheme="minorHAnsi" w:cstheme="minorHAnsi"/>
          <w:sz w:val="20"/>
          <w:szCs w:val="20"/>
        </w:rPr>
        <w:t>S</w:t>
      </w:r>
      <w:r w:rsidR="00E76E18" w:rsidRPr="00D67367">
        <w:rPr>
          <w:rStyle w:val="Heading2Char"/>
          <w:rFonts w:asciiTheme="minorHAnsi" w:eastAsiaTheme="minorHAnsi" w:hAnsiTheme="minorHAnsi" w:cstheme="minorHAnsi"/>
          <w:sz w:val="20"/>
          <w:szCs w:val="20"/>
        </w:rPr>
        <w:t>3</w:t>
      </w:r>
      <w:r w:rsidR="002920A4" w:rsidRPr="00D67367">
        <w:rPr>
          <w:rStyle w:val="Heading2Char"/>
          <w:rFonts w:asciiTheme="minorHAnsi" w:eastAsiaTheme="minorHAnsi" w:hAnsiTheme="minorHAnsi" w:cstheme="minorHAnsi"/>
          <w:sz w:val="20"/>
          <w:szCs w:val="20"/>
        </w:rPr>
        <w:t>. Analytical framework categories and definitions</w:t>
      </w:r>
      <w:bookmarkEnd w:id="11"/>
      <w:r w:rsidR="002920A4" w:rsidRPr="00D67367">
        <w:rPr>
          <w:sz w:val="20"/>
          <w:szCs w:val="20"/>
        </w:rPr>
        <w:t xml:space="preserve">. For </w:t>
      </w:r>
      <w:r w:rsidR="00D26A3D" w:rsidRPr="00D67367">
        <w:rPr>
          <w:sz w:val="20"/>
          <w:szCs w:val="20"/>
        </w:rPr>
        <w:t xml:space="preserve">binary </w:t>
      </w:r>
      <w:r w:rsidR="002B5D39" w:rsidRPr="00D67367">
        <w:rPr>
          <w:sz w:val="20"/>
          <w:szCs w:val="20"/>
        </w:rPr>
        <w:t>data (</w:t>
      </w:r>
      <w:r w:rsidR="002920A4" w:rsidRPr="00D67367">
        <w:rPr>
          <w:sz w:val="20"/>
          <w:szCs w:val="20"/>
        </w:rPr>
        <w:t>yes/no questions</w:t>
      </w:r>
      <w:r w:rsidR="002B5D39" w:rsidRPr="00D67367">
        <w:rPr>
          <w:sz w:val="20"/>
          <w:szCs w:val="20"/>
        </w:rPr>
        <w:t>)</w:t>
      </w:r>
      <w:r w:rsidR="002920A4" w:rsidRPr="00D67367">
        <w:rPr>
          <w:sz w:val="20"/>
          <w:szCs w:val="20"/>
        </w:rPr>
        <w:t xml:space="preserve">, </w:t>
      </w:r>
      <w:r w:rsidR="002B5D39" w:rsidRPr="00D67367">
        <w:rPr>
          <w:sz w:val="20"/>
          <w:szCs w:val="20"/>
        </w:rPr>
        <w:t>“</w:t>
      </w:r>
      <w:r w:rsidR="002920A4" w:rsidRPr="00D67367">
        <w:rPr>
          <w:sz w:val="20"/>
          <w:szCs w:val="20"/>
        </w:rPr>
        <w:t>yes</w:t>
      </w:r>
      <w:r w:rsidR="002B5D39" w:rsidRPr="00D67367">
        <w:rPr>
          <w:sz w:val="20"/>
          <w:szCs w:val="20"/>
        </w:rPr>
        <w:t>”</w:t>
      </w:r>
      <w:r w:rsidR="002920A4" w:rsidRPr="00D67367">
        <w:rPr>
          <w:sz w:val="20"/>
          <w:szCs w:val="20"/>
        </w:rPr>
        <w:t xml:space="preserve"> is annotated with 1 and </w:t>
      </w:r>
      <w:r w:rsidR="002B5D39" w:rsidRPr="00D67367">
        <w:rPr>
          <w:sz w:val="20"/>
          <w:szCs w:val="20"/>
        </w:rPr>
        <w:t>“</w:t>
      </w:r>
      <w:r w:rsidR="002920A4" w:rsidRPr="00D67367">
        <w:rPr>
          <w:sz w:val="20"/>
          <w:szCs w:val="20"/>
        </w:rPr>
        <w:t>no</w:t>
      </w:r>
      <w:r w:rsidR="002B5D39" w:rsidRPr="00D67367">
        <w:rPr>
          <w:sz w:val="20"/>
          <w:szCs w:val="20"/>
        </w:rPr>
        <w:t>”</w:t>
      </w:r>
      <w:r w:rsidR="002920A4" w:rsidRPr="00D67367">
        <w:rPr>
          <w:sz w:val="20"/>
          <w:szCs w:val="20"/>
        </w:rPr>
        <w:t xml:space="preserve"> with 0</w:t>
      </w:r>
      <w:r w:rsidR="00B75AF8" w:rsidRPr="00D67367">
        <w:rPr>
          <w:sz w:val="20"/>
          <w:szCs w:val="20"/>
        </w:rPr>
        <w:t xml:space="preserve">. The scale is from 0 to max number, where 0 means the greatest distance from the transformations definition employed in this paper (by Moore and Milkoreit 2020) and max number means the closest proximity to the definition, as explained in the “motivation” column. </w:t>
      </w:r>
    </w:p>
    <w:tbl>
      <w:tblPr>
        <w:tblW w:w="0" w:type="auto"/>
        <w:tblBorders>
          <w:top w:val="nil"/>
          <w:left w:val="nil"/>
          <w:bottom w:val="nil"/>
          <w:right w:val="nil"/>
          <w:insideH w:val="nil"/>
          <w:insideV w:val="nil"/>
        </w:tblBorders>
        <w:tblLook w:val="0600" w:firstRow="0" w:lastRow="0" w:firstColumn="0" w:lastColumn="0" w:noHBand="1" w:noVBand="1"/>
      </w:tblPr>
      <w:tblGrid>
        <w:gridCol w:w="1441"/>
        <w:gridCol w:w="1964"/>
        <w:gridCol w:w="2575"/>
        <w:gridCol w:w="840"/>
        <w:gridCol w:w="1601"/>
        <w:gridCol w:w="2369"/>
        <w:gridCol w:w="3148"/>
      </w:tblGrid>
      <w:tr w:rsidR="00BB1B10" w:rsidRPr="00D67367" w14:paraId="6D7A2B5D" w14:textId="77777777" w:rsidTr="00B75AF8">
        <w:tc>
          <w:tcPr>
            <w:tcW w:w="0" w:type="auto"/>
            <w:tcBorders>
              <w:top w:val="single" w:sz="12" w:space="0" w:color="000000"/>
              <w:left w:val="single" w:sz="8" w:space="0" w:color="FFFFFF"/>
              <w:bottom w:val="single" w:sz="12" w:space="0" w:color="000000"/>
              <w:right w:val="single" w:sz="8" w:space="0" w:color="FFFFFF"/>
            </w:tcBorders>
            <w:tcMar>
              <w:top w:w="100" w:type="dxa"/>
              <w:left w:w="100" w:type="dxa"/>
              <w:bottom w:w="100" w:type="dxa"/>
              <w:right w:w="100" w:type="dxa"/>
            </w:tcMar>
          </w:tcPr>
          <w:p w14:paraId="26875F12" w14:textId="77777777" w:rsidR="00B75AF8" w:rsidRPr="00D67367" w:rsidRDefault="00B75AF8" w:rsidP="00FB73A5">
            <w:pPr>
              <w:keepLines/>
              <w:rPr>
                <w:rFonts w:cstheme="minorHAnsi"/>
                <w:b/>
                <w:sz w:val="20"/>
                <w:szCs w:val="20"/>
              </w:rPr>
            </w:pPr>
            <w:r w:rsidRPr="00D67367">
              <w:rPr>
                <w:rFonts w:cstheme="minorHAnsi"/>
                <w:b/>
                <w:sz w:val="20"/>
                <w:szCs w:val="20"/>
              </w:rPr>
              <w:t>Code</w:t>
            </w:r>
          </w:p>
        </w:tc>
        <w:tc>
          <w:tcPr>
            <w:tcW w:w="0" w:type="auto"/>
            <w:tcBorders>
              <w:top w:val="single" w:sz="12" w:space="0" w:color="000000"/>
              <w:left w:val="single" w:sz="8" w:space="0" w:color="FFFFFF"/>
              <w:bottom w:val="single" w:sz="12" w:space="0" w:color="000000"/>
              <w:right w:val="single" w:sz="8" w:space="0" w:color="FFFFFF"/>
            </w:tcBorders>
            <w:tcMar>
              <w:top w:w="100" w:type="dxa"/>
              <w:left w:w="100" w:type="dxa"/>
              <w:bottom w:w="100" w:type="dxa"/>
              <w:right w:w="100" w:type="dxa"/>
            </w:tcMar>
          </w:tcPr>
          <w:p w14:paraId="3257021E" w14:textId="77777777" w:rsidR="00B75AF8" w:rsidRPr="00D67367" w:rsidRDefault="00B75AF8" w:rsidP="00FB73A5">
            <w:pPr>
              <w:keepLines/>
              <w:rPr>
                <w:rFonts w:cstheme="minorHAnsi"/>
                <w:b/>
                <w:sz w:val="20"/>
                <w:szCs w:val="20"/>
              </w:rPr>
            </w:pPr>
            <w:r w:rsidRPr="00D67367">
              <w:rPr>
                <w:rFonts w:cstheme="minorHAnsi"/>
                <w:b/>
                <w:sz w:val="20"/>
                <w:szCs w:val="20"/>
              </w:rPr>
              <w:t>Framework - reference</w:t>
            </w:r>
          </w:p>
        </w:tc>
        <w:tc>
          <w:tcPr>
            <w:tcW w:w="0" w:type="auto"/>
            <w:tcBorders>
              <w:top w:val="single" w:sz="12" w:space="0" w:color="000000"/>
              <w:left w:val="single" w:sz="8" w:space="0" w:color="FFFFFF"/>
              <w:bottom w:val="single" w:sz="12" w:space="0" w:color="000000"/>
              <w:right w:val="single" w:sz="8" w:space="0" w:color="FFFFFF"/>
            </w:tcBorders>
          </w:tcPr>
          <w:p w14:paraId="09151286" w14:textId="78FF3E0E" w:rsidR="00B75AF8" w:rsidRPr="00D67367" w:rsidRDefault="00B75AF8" w:rsidP="00B75AF8">
            <w:pPr>
              <w:keepLines/>
              <w:rPr>
                <w:rFonts w:cstheme="minorHAnsi"/>
                <w:b/>
                <w:sz w:val="20"/>
                <w:szCs w:val="20"/>
              </w:rPr>
            </w:pPr>
            <w:r w:rsidRPr="00D67367">
              <w:rPr>
                <w:rFonts w:cstheme="minorHAnsi"/>
                <w:b/>
                <w:sz w:val="20"/>
                <w:szCs w:val="20"/>
              </w:rPr>
              <w:t>Motivation</w:t>
            </w:r>
          </w:p>
        </w:tc>
        <w:tc>
          <w:tcPr>
            <w:tcW w:w="0" w:type="auto"/>
            <w:tcBorders>
              <w:top w:val="single" w:sz="12" w:space="0" w:color="000000"/>
              <w:left w:val="single" w:sz="8" w:space="0" w:color="FFFFFF"/>
              <w:bottom w:val="single" w:sz="12" w:space="0" w:color="000000"/>
              <w:right w:val="single" w:sz="8" w:space="0" w:color="FFFFFF"/>
            </w:tcBorders>
            <w:tcMar>
              <w:top w:w="100" w:type="dxa"/>
              <w:left w:w="100" w:type="dxa"/>
              <w:bottom w:w="100" w:type="dxa"/>
              <w:right w:w="100" w:type="dxa"/>
            </w:tcMar>
          </w:tcPr>
          <w:p w14:paraId="4EF904CD" w14:textId="5E33ECEC" w:rsidR="00B75AF8" w:rsidRPr="00D67367" w:rsidRDefault="00B75AF8" w:rsidP="00FB73A5">
            <w:pPr>
              <w:keepLines/>
              <w:rPr>
                <w:rFonts w:cstheme="minorHAnsi"/>
                <w:b/>
                <w:sz w:val="20"/>
                <w:szCs w:val="20"/>
              </w:rPr>
            </w:pPr>
            <w:r w:rsidRPr="00D67367">
              <w:rPr>
                <w:rFonts w:cstheme="minorHAnsi"/>
                <w:b/>
                <w:sz w:val="20"/>
                <w:szCs w:val="20"/>
              </w:rPr>
              <w:t>Ordinal scale</w:t>
            </w:r>
          </w:p>
        </w:tc>
        <w:tc>
          <w:tcPr>
            <w:tcW w:w="0" w:type="auto"/>
            <w:tcBorders>
              <w:top w:val="single" w:sz="12" w:space="0" w:color="000000"/>
              <w:left w:val="single" w:sz="8" w:space="0" w:color="FFFFFF"/>
              <w:bottom w:val="single" w:sz="12" w:space="0" w:color="000000"/>
              <w:right w:val="single" w:sz="8" w:space="0" w:color="FFFFFF"/>
            </w:tcBorders>
            <w:tcMar>
              <w:top w:w="100" w:type="dxa"/>
              <w:left w:w="100" w:type="dxa"/>
              <w:bottom w:w="100" w:type="dxa"/>
              <w:right w:w="100" w:type="dxa"/>
            </w:tcMar>
          </w:tcPr>
          <w:p w14:paraId="423A0663" w14:textId="77777777" w:rsidR="00B75AF8" w:rsidRPr="00D67367" w:rsidRDefault="00B75AF8" w:rsidP="00FB73A5">
            <w:pPr>
              <w:keepLines/>
              <w:rPr>
                <w:rFonts w:cstheme="minorHAnsi"/>
                <w:b/>
                <w:sz w:val="20"/>
                <w:szCs w:val="20"/>
              </w:rPr>
            </w:pPr>
            <w:r w:rsidRPr="00D67367">
              <w:rPr>
                <w:rFonts w:cstheme="minorHAnsi"/>
                <w:b/>
                <w:sz w:val="20"/>
                <w:szCs w:val="20"/>
              </w:rPr>
              <w:t>Variable</w:t>
            </w:r>
          </w:p>
        </w:tc>
        <w:tc>
          <w:tcPr>
            <w:tcW w:w="0" w:type="auto"/>
            <w:tcBorders>
              <w:top w:val="single" w:sz="12" w:space="0" w:color="000000"/>
              <w:left w:val="single" w:sz="8" w:space="0" w:color="FFFFFF"/>
              <w:bottom w:val="single" w:sz="12" w:space="0" w:color="000000"/>
              <w:right w:val="single" w:sz="8" w:space="0" w:color="FFFFFF"/>
            </w:tcBorders>
            <w:shd w:val="clear" w:color="auto" w:fill="EFEFEF"/>
            <w:tcMar>
              <w:top w:w="100" w:type="dxa"/>
              <w:left w:w="100" w:type="dxa"/>
              <w:bottom w:w="100" w:type="dxa"/>
              <w:right w:w="100" w:type="dxa"/>
            </w:tcMar>
          </w:tcPr>
          <w:p w14:paraId="4713DC9B" w14:textId="77777777" w:rsidR="00B75AF8" w:rsidRPr="00D67367" w:rsidRDefault="00B75AF8" w:rsidP="00FB73A5">
            <w:pPr>
              <w:keepLines/>
              <w:rPr>
                <w:rFonts w:cstheme="minorHAnsi"/>
                <w:b/>
                <w:sz w:val="20"/>
                <w:szCs w:val="20"/>
              </w:rPr>
            </w:pPr>
            <w:r w:rsidRPr="00D67367">
              <w:rPr>
                <w:rFonts w:cstheme="minorHAnsi"/>
                <w:b/>
                <w:sz w:val="20"/>
                <w:szCs w:val="20"/>
              </w:rPr>
              <w:t>Short definition</w:t>
            </w:r>
          </w:p>
        </w:tc>
        <w:tc>
          <w:tcPr>
            <w:tcW w:w="0" w:type="auto"/>
            <w:tcBorders>
              <w:top w:val="single" w:sz="12" w:space="0" w:color="000000"/>
              <w:left w:val="single" w:sz="8" w:space="0" w:color="FFFFFF"/>
              <w:bottom w:val="single" w:sz="12" w:space="0" w:color="000000"/>
              <w:right w:val="single" w:sz="8" w:space="0" w:color="FFFFFF"/>
            </w:tcBorders>
            <w:shd w:val="clear" w:color="auto" w:fill="B7B7B7"/>
            <w:tcMar>
              <w:top w:w="100" w:type="dxa"/>
              <w:left w:w="100" w:type="dxa"/>
              <w:bottom w:w="100" w:type="dxa"/>
              <w:right w:w="100" w:type="dxa"/>
            </w:tcMar>
          </w:tcPr>
          <w:p w14:paraId="6002FB93" w14:textId="77777777" w:rsidR="00B75AF8" w:rsidRPr="00D67367" w:rsidRDefault="00B75AF8" w:rsidP="00FB73A5">
            <w:pPr>
              <w:keepLines/>
              <w:rPr>
                <w:rFonts w:cstheme="minorHAnsi"/>
                <w:b/>
                <w:sz w:val="20"/>
                <w:szCs w:val="20"/>
              </w:rPr>
            </w:pPr>
            <w:r w:rsidRPr="00D67367">
              <w:rPr>
                <w:rFonts w:cstheme="minorHAnsi"/>
                <w:b/>
                <w:sz w:val="20"/>
                <w:szCs w:val="20"/>
              </w:rPr>
              <w:t>Long definition</w:t>
            </w:r>
          </w:p>
        </w:tc>
      </w:tr>
      <w:tr w:rsidR="00BB1B10" w:rsidRPr="00D67367" w14:paraId="25A838C7" w14:textId="77777777" w:rsidTr="00B75AF8">
        <w:trPr>
          <w:trHeight w:val="2685"/>
        </w:trPr>
        <w:tc>
          <w:tcPr>
            <w:tcW w:w="0" w:type="auto"/>
            <w:tcBorders>
              <w:top w:val="single" w:sz="12" w:space="0" w:color="000000"/>
              <w:left w:val="single" w:sz="8" w:space="0" w:color="FFFFFF"/>
              <w:bottom w:val="single" w:sz="8" w:space="0" w:color="FFFFFF"/>
              <w:right w:val="single" w:sz="8" w:space="0" w:color="FFFFFF"/>
            </w:tcBorders>
            <w:tcMar>
              <w:top w:w="100" w:type="dxa"/>
              <w:left w:w="100" w:type="dxa"/>
              <w:bottom w:w="100" w:type="dxa"/>
              <w:right w:w="100" w:type="dxa"/>
            </w:tcMar>
          </w:tcPr>
          <w:p w14:paraId="02DE7D62" w14:textId="77777777" w:rsidR="00B75AF8" w:rsidRPr="00D67367" w:rsidRDefault="00B75AF8" w:rsidP="00FB73A5">
            <w:pPr>
              <w:keepLines/>
              <w:rPr>
                <w:rFonts w:cstheme="minorHAnsi"/>
                <w:b/>
                <w:sz w:val="20"/>
                <w:szCs w:val="20"/>
              </w:rPr>
            </w:pPr>
            <w:r w:rsidRPr="00D67367">
              <w:rPr>
                <w:rFonts w:cstheme="minorHAnsi"/>
                <w:b/>
                <w:sz w:val="20"/>
                <w:szCs w:val="20"/>
              </w:rPr>
              <w:t>Scaling strategy</w:t>
            </w:r>
          </w:p>
        </w:tc>
        <w:tc>
          <w:tcPr>
            <w:tcW w:w="0" w:type="auto"/>
            <w:tcBorders>
              <w:top w:val="single" w:sz="12" w:space="0" w:color="000000"/>
              <w:left w:val="single" w:sz="8" w:space="0" w:color="FFFFFF"/>
              <w:bottom w:val="single" w:sz="8" w:space="0" w:color="FFFFFF"/>
              <w:right w:val="single" w:sz="8" w:space="0" w:color="FFFFFF"/>
            </w:tcBorders>
            <w:tcMar>
              <w:top w:w="100" w:type="dxa"/>
              <w:left w:w="100" w:type="dxa"/>
              <w:bottom w:w="100" w:type="dxa"/>
              <w:right w:w="100" w:type="dxa"/>
            </w:tcMar>
          </w:tcPr>
          <w:p w14:paraId="2C7CCFFA" w14:textId="05BCE117" w:rsidR="00B75AF8" w:rsidRPr="00D82287" w:rsidRDefault="00B75AF8" w:rsidP="00FB73A5">
            <w:pPr>
              <w:keepLines/>
              <w:rPr>
                <w:rFonts w:cstheme="minorHAnsi"/>
                <w:sz w:val="20"/>
                <w:szCs w:val="20"/>
                <w:lang w:val="sv-SE"/>
              </w:rPr>
            </w:pPr>
            <w:r w:rsidRPr="00D82287">
              <w:rPr>
                <w:rFonts w:cstheme="minorHAnsi"/>
                <w:sz w:val="20"/>
                <w:szCs w:val="20"/>
                <w:lang w:val="sv-SE"/>
              </w:rPr>
              <w:t>Lam et al., 2020; Moore et al., 2015</w:t>
            </w:r>
          </w:p>
        </w:tc>
        <w:tc>
          <w:tcPr>
            <w:tcW w:w="0" w:type="auto"/>
            <w:tcBorders>
              <w:top w:val="single" w:sz="12" w:space="0" w:color="000000"/>
              <w:left w:val="single" w:sz="8" w:space="0" w:color="FFFFFF"/>
              <w:bottom w:val="single" w:sz="8" w:space="0" w:color="FFFFFF"/>
              <w:right w:val="single" w:sz="8" w:space="0" w:color="FFFFFF"/>
            </w:tcBorders>
          </w:tcPr>
          <w:p w14:paraId="70612722" w14:textId="46A6C1A9" w:rsidR="00B75AF8" w:rsidRPr="00D67367" w:rsidRDefault="00B75AF8" w:rsidP="002F449B">
            <w:pPr>
              <w:keepLines/>
              <w:rPr>
                <w:rFonts w:cstheme="minorHAnsi"/>
                <w:sz w:val="20"/>
                <w:szCs w:val="20"/>
              </w:rPr>
            </w:pPr>
            <w:r w:rsidRPr="00D67367">
              <w:rPr>
                <w:rFonts w:cstheme="minorHAnsi"/>
                <w:sz w:val="20"/>
                <w:szCs w:val="20"/>
              </w:rPr>
              <w:t xml:space="preserve">Scaling strategies that are cross-cutting are most effective in achieving fundamental systems changes </w:t>
            </w:r>
          </w:p>
        </w:tc>
        <w:tc>
          <w:tcPr>
            <w:tcW w:w="0" w:type="auto"/>
            <w:tcBorders>
              <w:top w:val="single" w:sz="12" w:space="0" w:color="000000"/>
              <w:left w:val="single" w:sz="8" w:space="0" w:color="FFFFFF"/>
              <w:bottom w:val="single" w:sz="8" w:space="0" w:color="FFFFFF"/>
              <w:right w:val="single" w:sz="8" w:space="0" w:color="FFFFFF"/>
            </w:tcBorders>
            <w:tcMar>
              <w:top w:w="100" w:type="dxa"/>
              <w:left w:w="100" w:type="dxa"/>
              <w:bottom w:w="100" w:type="dxa"/>
              <w:right w:w="100" w:type="dxa"/>
            </w:tcMar>
          </w:tcPr>
          <w:p w14:paraId="4B436637" w14:textId="08744AAB"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12" w:space="0" w:color="000000"/>
              <w:left w:val="single" w:sz="8" w:space="0" w:color="FFFFFF"/>
              <w:bottom w:val="single" w:sz="8" w:space="0" w:color="FFFFFF"/>
              <w:right w:val="single" w:sz="8" w:space="0" w:color="FFFFFF"/>
            </w:tcBorders>
            <w:tcMar>
              <w:top w:w="100" w:type="dxa"/>
              <w:left w:w="100" w:type="dxa"/>
              <w:bottom w:w="100" w:type="dxa"/>
              <w:right w:w="100" w:type="dxa"/>
            </w:tcMar>
          </w:tcPr>
          <w:p w14:paraId="73B525E4" w14:textId="77777777" w:rsidR="00B75AF8" w:rsidRPr="00D67367" w:rsidRDefault="00B75AF8" w:rsidP="00FB73A5">
            <w:pPr>
              <w:widowControl w:val="0"/>
              <w:rPr>
                <w:rFonts w:cstheme="minorHAnsi"/>
                <w:sz w:val="20"/>
                <w:szCs w:val="20"/>
              </w:rPr>
            </w:pPr>
            <w:r w:rsidRPr="00D67367">
              <w:rPr>
                <w:rFonts w:cstheme="minorHAnsi"/>
                <w:sz w:val="20"/>
                <w:szCs w:val="20"/>
              </w:rPr>
              <w:t>scale up</w:t>
            </w:r>
          </w:p>
        </w:tc>
        <w:tc>
          <w:tcPr>
            <w:tcW w:w="0" w:type="auto"/>
            <w:tcBorders>
              <w:top w:val="single" w:sz="12" w:space="0" w:color="000000"/>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77B9AD6" w14:textId="77777777" w:rsidR="00B75AF8" w:rsidRPr="00D67367" w:rsidRDefault="00B75AF8" w:rsidP="00FB73A5">
            <w:pPr>
              <w:widowControl w:val="0"/>
              <w:rPr>
                <w:rFonts w:cstheme="minorHAnsi"/>
                <w:sz w:val="20"/>
                <w:szCs w:val="20"/>
              </w:rPr>
            </w:pPr>
            <w:r w:rsidRPr="00D67367">
              <w:rPr>
                <w:rFonts w:cstheme="minorHAnsi"/>
                <w:sz w:val="20"/>
                <w:szCs w:val="20"/>
              </w:rPr>
              <w:t>To impact “higher levels of institutions through policy change”</w:t>
            </w:r>
          </w:p>
        </w:tc>
        <w:tc>
          <w:tcPr>
            <w:tcW w:w="0" w:type="auto"/>
            <w:tcBorders>
              <w:top w:val="single" w:sz="12" w:space="0" w:color="000000"/>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2BEFB2B9" w14:textId="77777777" w:rsidR="00B75AF8" w:rsidRPr="00D67367" w:rsidRDefault="00B75AF8" w:rsidP="00FB73A5">
            <w:pPr>
              <w:widowControl w:val="0"/>
              <w:rPr>
                <w:rFonts w:cstheme="minorHAnsi"/>
                <w:i/>
                <w:sz w:val="20"/>
                <w:szCs w:val="20"/>
              </w:rPr>
            </w:pPr>
            <w:r w:rsidRPr="00D67367">
              <w:rPr>
                <w:rFonts w:cstheme="minorHAnsi"/>
                <w:b/>
                <w:i/>
                <w:sz w:val="20"/>
                <w:szCs w:val="20"/>
              </w:rPr>
              <w:t xml:space="preserve">“To impact “higher levels of institutions through policy change” </w:t>
            </w:r>
            <w:r w:rsidRPr="00D67367">
              <w:rPr>
                <w:rFonts w:cstheme="minorHAnsi"/>
                <w:i/>
                <w:sz w:val="20"/>
                <w:szCs w:val="20"/>
              </w:rPr>
              <w:t>(Moore et al. 2015, p. 79) by codifying innovative approaches into law, policy and institutions. Scaling up consists of one cross-scale strategy with two approaches: “Policy or legal change efforts. New policy development, partnering, advocacy” (Moore et al. 2015, p. 77). 1. Shifting “work to higher levels in government in order to address root causes in larger-scale institutions” (Moore et al. 2015, p. 79) that affect an entire population. This often entails “leaving behind the initial innovative initiative, and starting an entirely new initiative focused on policy change” (Moore et al. 2015, p. 79). 2. Linking “together community-level policy interventions into a more coherent movement” (Moore et al. 2015, p. 79).”</w:t>
            </w:r>
          </w:p>
        </w:tc>
      </w:tr>
      <w:tr w:rsidR="00BB1B10" w:rsidRPr="00D67367" w14:paraId="171662C7" w14:textId="77777777" w:rsidTr="00B75AF8">
        <w:trPr>
          <w:trHeight w:val="246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196EE67"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44C387"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DCAC22E"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0DF147" w14:textId="5A273936"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EE0576" w14:textId="77777777" w:rsidR="00B75AF8" w:rsidRPr="00D67367" w:rsidRDefault="00B75AF8" w:rsidP="00FB73A5">
            <w:pPr>
              <w:widowControl w:val="0"/>
              <w:rPr>
                <w:rFonts w:cstheme="minorHAnsi"/>
                <w:sz w:val="20"/>
                <w:szCs w:val="20"/>
              </w:rPr>
            </w:pPr>
            <w:r w:rsidRPr="00D67367">
              <w:rPr>
                <w:rFonts w:cstheme="minorHAnsi"/>
                <w:sz w:val="20"/>
                <w:szCs w:val="20"/>
              </w:rPr>
              <w:t>scale out</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2546373" w14:textId="77777777" w:rsidR="00B75AF8" w:rsidRPr="00D67367" w:rsidRDefault="00B75AF8" w:rsidP="00FB73A5">
            <w:pPr>
              <w:widowControl w:val="0"/>
              <w:rPr>
                <w:rFonts w:cstheme="minorHAnsi"/>
                <w:sz w:val="20"/>
                <w:szCs w:val="20"/>
              </w:rPr>
            </w:pPr>
            <w:r w:rsidRPr="00D67367">
              <w:rPr>
                <w:rFonts w:cstheme="minorHAnsi"/>
                <w:sz w:val="20"/>
                <w:szCs w:val="20"/>
              </w:rPr>
              <w:t>To impact greater numbers of people or communities.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6A77F59C" w14:textId="77777777" w:rsidR="00B75AF8" w:rsidRPr="00D67367" w:rsidRDefault="00B75AF8" w:rsidP="00FB73A5">
            <w:pPr>
              <w:widowControl w:val="0"/>
              <w:rPr>
                <w:rFonts w:cstheme="minorHAnsi"/>
                <w:i/>
                <w:sz w:val="20"/>
                <w:szCs w:val="20"/>
              </w:rPr>
            </w:pPr>
            <w:r w:rsidRPr="00D67367">
              <w:rPr>
                <w:rFonts w:cstheme="minorHAnsi"/>
                <w:b/>
                <w:sz w:val="20"/>
                <w:szCs w:val="20"/>
              </w:rPr>
              <w:t>“</w:t>
            </w:r>
            <w:r w:rsidRPr="00D67367">
              <w:rPr>
                <w:rFonts w:cstheme="minorHAnsi"/>
                <w:b/>
                <w:i/>
                <w:sz w:val="20"/>
                <w:szCs w:val="20"/>
              </w:rPr>
              <w:t>To impact greater numbers of people or communities</w:t>
            </w:r>
            <w:r w:rsidRPr="00D67367">
              <w:rPr>
                <w:rFonts w:cstheme="minorHAnsi"/>
                <w:i/>
                <w:sz w:val="20"/>
                <w:szCs w:val="20"/>
              </w:rPr>
              <w:t>. Scaling out consists of two strategies: 1. “Deliberate replication. Replicating or spreading programmes geographically and to greater numbers while protecting the fidelity and integrity of the innovation” (Moore et al. 2015, p. 77). 2. “Spreading principles. Disseminate principles, but with an adaptation to new contexts via co-generation of knowledge, leveraging social media and learning platforms: ‘open scaling’” (Moore et al. 2015, p.77). Open scaling means spreading “the core principles and approach of the innovation […], leaving it to the local community to adapt it to local conditions” (Moore et al. 2015, p. 78).”</w:t>
            </w:r>
          </w:p>
        </w:tc>
      </w:tr>
      <w:tr w:rsidR="00BB1B10" w:rsidRPr="00D67367" w14:paraId="7BB66FEE" w14:textId="77777777" w:rsidTr="00B75AF8">
        <w:trPr>
          <w:trHeight w:val="399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0D81E7F"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16BC71"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42E5AB48"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47E769" w14:textId="56883853"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6856EFF" w14:textId="77777777" w:rsidR="00B75AF8" w:rsidRPr="00D67367" w:rsidRDefault="00B75AF8" w:rsidP="00FB73A5">
            <w:pPr>
              <w:widowControl w:val="0"/>
              <w:rPr>
                <w:rFonts w:cstheme="minorHAnsi"/>
                <w:sz w:val="20"/>
                <w:szCs w:val="20"/>
              </w:rPr>
            </w:pPr>
            <w:r w:rsidRPr="00D67367">
              <w:rPr>
                <w:rFonts w:cstheme="minorHAnsi"/>
                <w:sz w:val="20"/>
                <w:szCs w:val="20"/>
              </w:rPr>
              <w:t>scale deep</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8003441" w14:textId="77777777" w:rsidR="00B75AF8" w:rsidRPr="00D67367" w:rsidRDefault="00B75AF8" w:rsidP="00FB73A5">
            <w:pPr>
              <w:widowControl w:val="0"/>
              <w:rPr>
                <w:rFonts w:cstheme="minorHAnsi"/>
                <w:sz w:val="20"/>
                <w:szCs w:val="20"/>
              </w:rPr>
            </w:pPr>
            <w:r w:rsidRPr="00D67367">
              <w:rPr>
                <w:rFonts w:cstheme="minorHAnsi"/>
                <w:sz w:val="20"/>
                <w:szCs w:val="20"/>
              </w:rPr>
              <w:t>To impact cultural roots.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AE198FA" w14:textId="77777777" w:rsidR="00B75AF8" w:rsidRPr="00D67367" w:rsidRDefault="00B75AF8" w:rsidP="00FB73A5">
            <w:pPr>
              <w:widowControl w:val="0"/>
              <w:rPr>
                <w:rFonts w:cstheme="minorHAnsi"/>
                <w:i/>
                <w:sz w:val="20"/>
                <w:szCs w:val="20"/>
              </w:rPr>
            </w:pPr>
            <w:r w:rsidRPr="00D67367">
              <w:rPr>
                <w:rFonts w:cstheme="minorHAnsi"/>
                <w:b/>
                <w:i/>
                <w:sz w:val="20"/>
                <w:szCs w:val="20"/>
              </w:rPr>
              <w:t>“To impact cultural roots.</w:t>
            </w:r>
            <w:r w:rsidRPr="00D67367">
              <w:rPr>
                <w:rFonts w:cstheme="minorHAnsi"/>
                <w:i/>
                <w:sz w:val="20"/>
                <w:szCs w:val="20"/>
              </w:rPr>
              <w:t xml:space="preserve"> This is based “on the recognition that culture plays a powerful role in shifting problem-domains, and change must be deeply rooted in people, relationships, communities and cultures” (Moore et al. 2015, p. 77). Scaling deep consists of two strategies: 1. “Spreading big cultural ideas and reframing stories to change beliefs and norms. Intensively share knowledge and new practices via learning communities, distributed learning platforms and participatory approaches” (Moore et al. 2015, p. 77). 2. “Invest in transformative learning, networks and communities of practice” (Moore et al. 2015, p. 77). Learning is “a specific strategy used to build shared mindsets across a range of sectors and organizations, to ensure the impact of […] initiative is scaled deep into the defining routines and practices and beliefs of partners and collaborators. […] [L]earning processes […] can be supported by a range of methods, including: mentorship, deliberate transfer of practices, capturing and sharing organizational or community culture, and shared reflection and evaluation practices” (Moore et al. 2015, p. 80).”</w:t>
            </w:r>
          </w:p>
        </w:tc>
      </w:tr>
      <w:tr w:rsidR="00BB1B10" w:rsidRPr="00D67367" w14:paraId="7760A1A4" w14:textId="77777777" w:rsidTr="00B75AF8">
        <w:trPr>
          <w:trHeight w:val="345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F0F7BF"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75D1EA5"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1568DBF"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6D8BFD" w14:textId="7FE8CEE8" w:rsidR="00B75AF8" w:rsidRPr="00D67367" w:rsidRDefault="00B75AF8" w:rsidP="00FB73A5">
            <w:pPr>
              <w:keepLines/>
              <w:jc w:val="right"/>
              <w:rPr>
                <w:rFonts w:cstheme="minorHAnsi"/>
                <w:sz w:val="20"/>
                <w:szCs w:val="20"/>
              </w:rPr>
            </w:pPr>
            <w:r w:rsidRPr="00D67367">
              <w:rPr>
                <w:rFonts w:cstheme="minorHAnsi"/>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7A03FE7" w14:textId="77777777" w:rsidR="00B75AF8" w:rsidRPr="00D67367" w:rsidRDefault="00B75AF8" w:rsidP="00FB73A5">
            <w:pPr>
              <w:widowControl w:val="0"/>
              <w:rPr>
                <w:rFonts w:cstheme="minorHAnsi"/>
                <w:sz w:val="20"/>
                <w:szCs w:val="20"/>
              </w:rPr>
            </w:pPr>
            <w:r w:rsidRPr="00D67367">
              <w:rPr>
                <w:rFonts w:cstheme="minorHAnsi"/>
                <w:sz w:val="20"/>
                <w:szCs w:val="20"/>
              </w:rPr>
              <w:t>cross-cutting</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9C05656" w14:textId="77777777" w:rsidR="00B75AF8" w:rsidRPr="00D67367" w:rsidRDefault="00B75AF8" w:rsidP="00FB73A5">
            <w:pPr>
              <w:widowControl w:val="0"/>
              <w:rPr>
                <w:rFonts w:cstheme="minorHAnsi"/>
                <w:sz w:val="20"/>
                <w:szCs w:val="20"/>
              </w:rPr>
            </w:pPr>
            <w:r w:rsidRPr="00D67367">
              <w:rPr>
                <w:rFonts w:cstheme="minorHAnsi"/>
                <w:sz w:val="20"/>
                <w:szCs w:val="20"/>
              </w:rPr>
              <w:t>Broaden the problem frame: To adopt “a systems-change perspective” is critical to build “consciousness and intention to change” (Moore et al. 2015, p. 76)</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12BCFDC8" w14:textId="77777777" w:rsidR="00B75AF8" w:rsidRPr="00D67367" w:rsidRDefault="00B75AF8" w:rsidP="00FB73A5">
            <w:pPr>
              <w:widowControl w:val="0"/>
              <w:rPr>
                <w:rFonts w:cstheme="minorHAnsi"/>
                <w:i/>
                <w:sz w:val="20"/>
                <w:szCs w:val="20"/>
              </w:rPr>
            </w:pPr>
            <w:r w:rsidRPr="00D67367">
              <w:rPr>
                <w:rFonts w:cstheme="minorHAnsi"/>
                <w:sz w:val="20"/>
                <w:szCs w:val="20"/>
              </w:rPr>
              <w:t>“</w:t>
            </w:r>
            <w:r w:rsidRPr="00D67367">
              <w:rPr>
                <w:rFonts w:cstheme="minorHAnsi"/>
                <w:i/>
                <w:sz w:val="20"/>
                <w:szCs w:val="20"/>
              </w:rPr>
              <w:t>Broaden the problem frame: To adopt “a systems-change perspective” is critical to build “consciousness and intention to change” (Moore et al. 2015, p. 76). This strategy reveals systemic or root causes of problems, leads organizations to re-conceptualize their goals, and enables “organizational leaders to consider different types of scales (e.g. organizational scales, temporal scales, political scales), and to understand the complex interrelated layers of variables and phases of change” (Moore et al. 2015, p. 76). Seek alternative resources: To find “new funding, or entirely new funding models” because it is “a necessary precursor to scaling” (Moore et al. 2015, p. 76). Build networks and partnerships: To network across sectors is specifically “valuable for focused collaboration, resource-pooling, extending the organization’s sphere of influence, and developing unusual alliances.” (Moore et al. 2015, p. 75). Networks are also important to generate coherence (Moore et al. 2015).”</w:t>
            </w:r>
          </w:p>
        </w:tc>
      </w:tr>
      <w:tr w:rsidR="00BB1B10" w:rsidRPr="00D67367" w14:paraId="3581F843" w14:textId="77777777" w:rsidTr="00B75AF8">
        <w:trPr>
          <w:trHeight w:val="100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26156D" w14:textId="77777777" w:rsidR="00B75AF8" w:rsidRPr="00D67367" w:rsidRDefault="00B75AF8" w:rsidP="00FB73A5">
            <w:pPr>
              <w:keepLines/>
              <w:rPr>
                <w:rFonts w:cstheme="minorHAnsi"/>
                <w:b/>
                <w:sz w:val="20"/>
                <w:szCs w:val="20"/>
              </w:rPr>
            </w:pPr>
            <w:r w:rsidRPr="00D67367">
              <w:rPr>
                <w:rFonts w:cstheme="minorHAnsi"/>
                <w:b/>
                <w:sz w:val="20"/>
                <w:szCs w:val="20"/>
              </w:rPr>
              <w:t>Role of Economic growth</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D10D263" w14:textId="77777777" w:rsidR="00B75AF8" w:rsidRPr="00572C36" w:rsidRDefault="00B75AF8" w:rsidP="00FB73A5">
            <w:pPr>
              <w:keepLines/>
              <w:rPr>
                <w:rFonts w:cstheme="minorHAnsi"/>
                <w:sz w:val="20"/>
                <w:szCs w:val="20"/>
                <w:lang w:val="sv-SE"/>
              </w:rPr>
            </w:pPr>
            <w:r w:rsidRPr="00572C36">
              <w:rPr>
                <w:rFonts w:cstheme="minorHAnsi"/>
                <w:sz w:val="20"/>
                <w:szCs w:val="20"/>
                <w:lang w:val="sv-SE"/>
              </w:rPr>
              <w:t xml:space="preserve">van de Berg and Kallis 2012 </w:t>
            </w:r>
          </w:p>
        </w:tc>
        <w:tc>
          <w:tcPr>
            <w:tcW w:w="0" w:type="auto"/>
            <w:tcBorders>
              <w:top w:val="single" w:sz="8" w:space="0" w:color="FFFFFF"/>
              <w:left w:val="single" w:sz="8" w:space="0" w:color="FFFFFF"/>
              <w:bottom w:val="single" w:sz="8" w:space="0" w:color="FFFFFF"/>
              <w:right w:val="single" w:sz="8" w:space="0" w:color="FFFFFF"/>
            </w:tcBorders>
          </w:tcPr>
          <w:p w14:paraId="66A5F2B0" w14:textId="1B856845" w:rsidR="00B75AF8" w:rsidRPr="00D67367" w:rsidRDefault="004C3822" w:rsidP="002F449B">
            <w:pPr>
              <w:keepLines/>
              <w:rPr>
                <w:rFonts w:cstheme="minorHAnsi"/>
                <w:sz w:val="20"/>
                <w:szCs w:val="20"/>
              </w:rPr>
            </w:pPr>
            <w:r w:rsidRPr="00D67367">
              <w:rPr>
                <w:rFonts w:cstheme="minorHAnsi"/>
                <w:sz w:val="20"/>
                <w:szCs w:val="20"/>
              </w:rPr>
              <w:t xml:space="preserve">Degrowth is explicitly aligned with economic downscaling and fundamental changes in system dynamics.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963E6FF" w14:textId="1088AEC8"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8A1A5F9" w14:textId="77777777" w:rsidR="00B75AF8" w:rsidRPr="00D67367" w:rsidRDefault="00B75AF8" w:rsidP="00FB73A5">
            <w:pPr>
              <w:widowControl w:val="0"/>
              <w:rPr>
                <w:rFonts w:cstheme="minorHAnsi"/>
                <w:sz w:val="20"/>
                <w:szCs w:val="20"/>
              </w:rPr>
            </w:pPr>
            <w:r w:rsidRPr="00D67367">
              <w:rPr>
                <w:rFonts w:cstheme="minorHAnsi"/>
                <w:sz w:val="20"/>
                <w:szCs w:val="20"/>
              </w:rPr>
              <w:t>pro-growth</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C68F310" w14:textId="77777777" w:rsidR="00B75AF8" w:rsidRPr="00D67367" w:rsidRDefault="00B75AF8" w:rsidP="00FB73A5">
            <w:pPr>
              <w:widowControl w:val="0"/>
              <w:rPr>
                <w:rFonts w:cstheme="minorHAnsi"/>
                <w:sz w:val="20"/>
                <w:szCs w:val="20"/>
              </w:rPr>
            </w:pPr>
            <w:r w:rsidRPr="00D67367">
              <w:rPr>
                <w:rFonts w:cstheme="minorHAnsi"/>
                <w:sz w:val="20"/>
                <w:szCs w:val="20"/>
              </w:rPr>
              <w:t>GDP growth is necessary for welfare and employment, decoupling,</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14169BB" w14:textId="77777777" w:rsidR="00B75AF8" w:rsidRPr="00D67367" w:rsidRDefault="00B75AF8" w:rsidP="00FB73A5">
            <w:pPr>
              <w:widowControl w:val="0"/>
              <w:rPr>
                <w:rFonts w:cstheme="minorHAnsi"/>
                <w:sz w:val="20"/>
                <w:szCs w:val="20"/>
              </w:rPr>
            </w:pPr>
            <w:r w:rsidRPr="00D67367">
              <w:rPr>
                <w:rFonts w:cstheme="minorHAnsi"/>
                <w:sz w:val="20"/>
                <w:szCs w:val="20"/>
              </w:rPr>
              <w:t>includes green-growth and multi-level governance</w:t>
            </w:r>
          </w:p>
        </w:tc>
      </w:tr>
      <w:tr w:rsidR="00BB1B10" w:rsidRPr="00D67367" w14:paraId="0712ECB7" w14:textId="77777777" w:rsidTr="00B75AF8">
        <w:trPr>
          <w:trHeight w:val="225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1DE733"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43B6698"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7A2D9D67"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5DBB19C" w14:textId="075C4772"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8395FB9" w14:textId="77777777" w:rsidR="00B75AF8" w:rsidRPr="00D67367" w:rsidRDefault="00B75AF8" w:rsidP="00FB73A5">
            <w:pPr>
              <w:widowControl w:val="0"/>
              <w:rPr>
                <w:rFonts w:cstheme="minorHAnsi"/>
                <w:sz w:val="20"/>
                <w:szCs w:val="20"/>
              </w:rPr>
            </w:pPr>
            <w:r w:rsidRPr="00D67367">
              <w:rPr>
                <w:rFonts w:cstheme="minorHAnsi"/>
                <w:sz w:val="20"/>
                <w:szCs w:val="20"/>
              </w:rPr>
              <w:t>a-growth</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C1A22EF" w14:textId="77777777" w:rsidR="00B75AF8" w:rsidRPr="00D67367" w:rsidRDefault="00B75AF8" w:rsidP="00FB73A5">
            <w:pPr>
              <w:widowControl w:val="0"/>
              <w:rPr>
                <w:rFonts w:cstheme="minorHAnsi"/>
                <w:sz w:val="20"/>
                <w:szCs w:val="20"/>
              </w:rPr>
            </w:pPr>
            <w:r w:rsidRPr="00D67367">
              <w:rPr>
                <w:rFonts w:cstheme="minorHAnsi"/>
                <w:sz w:val="20"/>
                <w:szCs w:val="20"/>
              </w:rPr>
              <w:t>"proposes to ignore GDP information and focus instead on sound environmental,</w:t>
            </w:r>
          </w:p>
          <w:p w14:paraId="01BB05CB" w14:textId="77777777" w:rsidR="00B75AF8" w:rsidRPr="00D67367" w:rsidRDefault="00B75AF8" w:rsidP="00FB73A5">
            <w:pPr>
              <w:widowControl w:val="0"/>
              <w:rPr>
                <w:rFonts w:cstheme="minorHAnsi"/>
                <w:sz w:val="20"/>
                <w:szCs w:val="20"/>
              </w:rPr>
            </w:pPr>
            <w:r w:rsidRPr="00D67367">
              <w:rPr>
                <w:rFonts w:cstheme="minorHAnsi"/>
                <w:sz w:val="20"/>
                <w:szCs w:val="20"/>
              </w:rPr>
              <w:t>social, and economic policies independently of their effects on economic growth"</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ED9DD7C" w14:textId="77777777" w:rsidR="00B75AF8" w:rsidRPr="00D67367" w:rsidRDefault="00B75AF8" w:rsidP="00FB73A5">
            <w:pPr>
              <w:widowControl w:val="0"/>
              <w:rPr>
                <w:rFonts w:cstheme="minorHAnsi"/>
                <w:i/>
                <w:sz w:val="20"/>
                <w:szCs w:val="20"/>
              </w:rPr>
            </w:pPr>
            <w:r w:rsidRPr="00D67367">
              <w:rPr>
                <w:rFonts w:cstheme="minorHAnsi"/>
                <w:sz w:val="20"/>
                <w:szCs w:val="20"/>
              </w:rPr>
              <w:t xml:space="preserve"> </w:t>
            </w:r>
            <w:r w:rsidRPr="00D67367">
              <w:rPr>
                <w:rFonts w:cstheme="minorHAnsi"/>
                <w:i/>
                <w:sz w:val="20"/>
                <w:szCs w:val="20"/>
              </w:rPr>
              <w:t>"“a-growth”, a perspective which proposes to ignore or even “abolish” GDP as a welfare and progress indicator, and focusing, in this way, on sound environmental, social, and economic policies independently of their effects on economic growth (van den Bergh 2011). "</w:t>
            </w:r>
          </w:p>
        </w:tc>
      </w:tr>
      <w:tr w:rsidR="00BB1B10" w:rsidRPr="00D67367" w14:paraId="56B13614" w14:textId="77777777" w:rsidTr="00B75AF8">
        <w:trPr>
          <w:trHeight w:val="154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C0FECE3"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FFBA74"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69D78714"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2A09C87" w14:textId="42FC7313"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A1BD36" w14:textId="77777777" w:rsidR="00B75AF8" w:rsidRPr="00D67367" w:rsidRDefault="00B75AF8" w:rsidP="00FB73A5">
            <w:pPr>
              <w:widowControl w:val="0"/>
              <w:rPr>
                <w:rFonts w:cstheme="minorHAnsi"/>
                <w:sz w:val="20"/>
                <w:szCs w:val="20"/>
              </w:rPr>
            </w:pPr>
            <w:r w:rsidRPr="00D67367">
              <w:rPr>
                <w:rFonts w:cstheme="minorHAnsi"/>
                <w:sz w:val="20"/>
                <w:szCs w:val="20"/>
              </w:rPr>
              <w:t>degrowth</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5E4961D" w14:textId="77777777" w:rsidR="00B75AF8" w:rsidRPr="00D67367" w:rsidRDefault="00B75AF8" w:rsidP="00FB73A5">
            <w:pPr>
              <w:widowControl w:val="0"/>
              <w:rPr>
                <w:rFonts w:cstheme="minorHAnsi"/>
                <w:sz w:val="20"/>
                <w:szCs w:val="20"/>
              </w:rPr>
            </w:pPr>
            <w:r w:rsidRPr="00D67367">
              <w:rPr>
                <w:rFonts w:cstheme="minorHAnsi"/>
                <w:sz w:val="20"/>
                <w:szCs w:val="20"/>
              </w:rPr>
              <w:t>"recommends a downscaling of the economy so as to make it consistent with biophysical boundaries.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D5F93AC" w14:textId="77777777" w:rsidR="00B75AF8" w:rsidRPr="00D67367" w:rsidRDefault="00B75AF8" w:rsidP="00FB73A5">
            <w:pPr>
              <w:widowControl w:val="0"/>
              <w:rPr>
                <w:rFonts w:cstheme="minorHAnsi"/>
                <w:i/>
                <w:sz w:val="20"/>
                <w:szCs w:val="20"/>
              </w:rPr>
            </w:pPr>
            <w:r w:rsidRPr="00D67367">
              <w:rPr>
                <w:rFonts w:cstheme="minorHAnsi"/>
                <w:sz w:val="20"/>
                <w:szCs w:val="20"/>
              </w:rPr>
              <w:t>"</w:t>
            </w:r>
            <w:r w:rsidRPr="00D67367">
              <w:rPr>
                <w:rFonts w:cstheme="minorHAnsi"/>
                <w:i/>
                <w:sz w:val="20"/>
                <w:szCs w:val="20"/>
              </w:rPr>
              <w:t>Degrowth is the intentional limiting and downscaling of the economy to make it consistent with biophysical boundaries (Kallis 2011)."</w:t>
            </w:r>
          </w:p>
        </w:tc>
      </w:tr>
      <w:tr w:rsidR="00BB1B10" w:rsidRPr="00D67367" w14:paraId="00CEF498" w14:textId="77777777" w:rsidTr="00B75AF8">
        <w:trPr>
          <w:trHeight w:val="267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747C33" w14:textId="77777777" w:rsidR="00B75AF8" w:rsidRPr="00D67367" w:rsidRDefault="00B75AF8" w:rsidP="00FB73A5">
            <w:pPr>
              <w:keepLines/>
              <w:rPr>
                <w:rFonts w:cstheme="minorHAnsi"/>
                <w:b/>
                <w:sz w:val="20"/>
                <w:szCs w:val="20"/>
              </w:rPr>
            </w:pPr>
            <w:r w:rsidRPr="00D67367">
              <w:rPr>
                <w:rFonts w:cstheme="minorHAnsi"/>
                <w:b/>
                <w:sz w:val="20"/>
                <w:szCs w:val="20"/>
              </w:rPr>
              <w:t>Theory of change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CD8FAF" w14:textId="77777777" w:rsidR="00B75AF8" w:rsidRPr="00D67367" w:rsidRDefault="00B75AF8" w:rsidP="00FB73A5">
            <w:pPr>
              <w:keepLines/>
              <w:rPr>
                <w:rFonts w:cstheme="minorHAnsi"/>
                <w:sz w:val="20"/>
                <w:szCs w:val="20"/>
              </w:rPr>
            </w:pPr>
            <w:r w:rsidRPr="00D67367">
              <w:rPr>
                <w:rFonts w:cstheme="minorHAnsi"/>
                <w:sz w:val="20"/>
                <w:szCs w:val="20"/>
              </w:rPr>
              <w:t>Heikkinen et al. 2019</w:t>
            </w:r>
            <w:r w:rsidRPr="00D67367">
              <w:rPr>
                <w:rFonts w:cstheme="minorHAnsi"/>
                <w:b/>
                <w:sz w:val="20"/>
                <w:szCs w:val="20"/>
              </w:rPr>
              <w:t xml:space="preserve">, </w:t>
            </w:r>
            <w:r w:rsidRPr="00D67367">
              <w:rPr>
                <w:rFonts w:cstheme="minorHAnsi"/>
                <w:sz w:val="20"/>
                <w:szCs w:val="20"/>
              </w:rPr>
              <w:t>they focus on cities and look at three components: economy, physical infrastructure, and socio-political structures</w:t>
            </w:r>
          </w:p>
        </w:tc>
        <w:tc>
          <w:tcPr>
            <w:tcW w:w="0" w:type="auto"/>
            <w:tcBorders>
              <w:top w:val="single" w:sz="8" w:space="0" w:color="FFFFFF"/>
              <w:left w:val="single" w:sz="8" w:space="0" w:color="FFFFFF"/>
              <w:bottom w:val="single" w:sz="8" w:space="0" w:color="FFFFFF"/>
              <w:right w:val="single" w:sz="8" w:space="0" w:color="FFFFFF"/>
            </w:tcBorders>
          </w:tcPr>
          <w:p w14:paraId="3C9C0998" w14:textId="75944931" w:rsidR="00B75AF8" w:rsidRPr="00D67367" w:rsidRDefault="00B95E0A" w:rsidP="002F449B">
            <w:pPr>
              <w:keepLines/>
              <w:rPr>
                <w:rFonts w:cstheme="minorHAnsi"/>
                <w:sz w:val="20"/>
                <w:szCs w:val="20"/>
              </w:rPr>
            </w:pPr>
            <w:r w:rsidRPr="00D67367">
              <w:rPr>
                <w:rFonts w:cstheme="minorHAnsi"/>
                <w:sz w:val="20"/>
                <w:szCs w:val="20"/>
              </w:rPr>
              <w:t xml:space="preserve">Transformational changes are aligned with fundamental changes in system mechanisms.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0E20A4" w14:textId="0C65E8AE"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06F4FE" w14:textId="77777777" w:rsidR="00B75AF8" w:rsidRPr="00D67367" w:rsidRDefault="00B75AF8" w:rsidP="00FB73A5">
            <w:pPr>
              <w:widowControl w:val="0"/>
              <w:rPr>
                <w:rFonts w:cstheme="minorHAnsi"/>
                <w:sz w:val="20"/>
                <w:szCs w:val="20"/>
              </w:rPr>
            </w:pPr>
            <w:r w:rsidRPr="00D67367">
              <w:rPr>
                <w:rFonts w:cstheme="minorHAnsi"/>
                <w:sz w:val="20"/>
                <w:szCs w:val="20"/>
              </w:rPr>
              <w:t>incremental change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DF17DB4" w14:textId="77777777" w:rsidR="00B75AF8" w:rsidRPr="00D67367" w:rsidRDefault="00B75AF8" w:rsidP="00FB73A5">
            <w:pPr>
              <w:widowControl w:val="0"/>
              <w:rPr>
                <w:rFonts w:cstheme="minorHAnsi"/>
                <w:sz w:val="20"/>
                <w:szCs w:val="20"/>
              </w:rPr>
            </w:pPr>
            <w:r w:rsidRPr="00D67367">
              <w:rPr>
                <w:rFonts w:cstheme="minorHAnsi"/>
                <w:sz w:val="20"/>
                <w:szCs w:val="20"/>
              </w:rPr>
              <w:t>adjustments to maintain BAU</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24703C88"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Incremental change: In terms of incremental change, the target is to make adjustments to maintain business as usual (Howden, Crimp, &amp; Nelson, 2010; cf. ‘resistance’ in Pelling et al., 2015). In the context of economy, this can mean that companies earn the right to continue emitting by paying compensations. When it comes to physical structures, incremental changes can be an increase in carbon sinks or the construction of flood defence structures. With regards to socio-political structures, incremental change refers e.g. to awareness-raising concerning climate change risks. Incremental </w:t>
            </w:r>
            <w:r w:rsidRPr="00D67367">
              <w:rPr>
                <w:rFonts w:cstheme="minorHAnsi"/>
                <w:i/>
                <w:sz w:val="20"/>
                <w:szCs w:val="20"/>
              </w:rPr>
              <w:lastRenderedPageBreak/>
              <w:t>changes do not change entire systems, e.g. the water treatment system or economic structures.</w:t>
            </w:r>
          </w:p>
        </w:tc>
      </w:tr>
      <w:tr w:rsidR="00BB1B10" w:rsidRPr="00D67367" w14:paraId="32FD5CCF" w14:textId="77777777" w:rsidTr="00B75AF8">
        <w:trPr>
          <w:trHeight w:val="334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E8A0DC3"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13EC191"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3DCFE47F"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F94A0D8" w14:textId="4928D067"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3EB5367" w14:textId="77777777" w:rsidR="00B75AF8" w:rsidRPr="00D67367" w:rsidRDefault="00B75AF8" w:rsidP="00FB73A5">
            <w:pPr>
              <w:widowControl w:val="0"/>
              <w:rPr>
                <w:rFonts w:cstheme="minorHAnsi"/>
                <w:sz w:val="20"/>
                <w:szCs w:val="20"/>
              </w:rPr>
            </w:pPr>
            <w:r w:rsidRPr="00D67367">
              <w:rPr>
                <w:rFonts w:cstheme="minorHAnsi"/>
                <w:sz w:val="20"/>
                <w:szCs w:val="20"/>
              </w:rPr>
              <w:t>reformist change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5EB58E1" w14:textId="77777777" w:rsidR="00B75AF8" w:rsidRPr="00D67367" w:rsidRDefault="00B75AF8" w:rsidP="00FB73A5">
            <w:pPr>
              <w:widowControl w:val="0"/>
              <w:rPr>
                <w:rFonts w:cstheme="minorHAnsi"/>
                <w:sz w:val="20"/>
                <w:szCs w:val="20"/>
              </w:rPr>
            </w:pPr>
            <w:r w:rsidRPr="00D67367">
              <w:rPr>
                <w:rFonts w:cstheme="minorHAnsi"/>
                <w:sz w:val="20"/>
                <w:szCs w:val="20"/>
              </w:rPr>
              <w:t>changing features that cause problems but not systemic structures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0BD8DFF"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Reformistic change: Reformistic change means changing features that cause the problems, but without fundamentally changing the systemic structures (Basset &amp; Fogelman, 2013; Pelling, 2011, cf. ‘incremental adjustment’ in Pelling et al., 2015). For example, if the combustion fuel to produce energy is changed or the capacity of a water system is increased, the fundamental structures and functions of the system remain the same. Reformistic economic change refers to actions through which the environmental performance of companies may change, but their economic function and market fundamentally remains the same, e.g. a city supporting clean tech. A city actively offering demand management tools to adapt or mitigate climate change and intending to change the behaviour </w:t>
            </w:r>
            <w:r w:rsidRPr="00D67367">
              <w:rPr>
                <w:rFonts w:cstheme="minorHAnsi"/>
                <w:i/>
                <w:sz w:val="20"/>
                <w:szCs w:val="20"/>
              </w:rPr>
              <w:lastRenderedPageBreak/>
              <w:t>of its citizens can also be categorised as reformistic change in terms of socio-political structures. This can be e.g. changing tariffs to encourage behaviour that saves water.</w:t>
            </w:r>
          </w:p>
        </w:tc>
      </w:tr>
      <w:tr w:rsidR="00BB1B10" w:rsidRPr="00D67367" w14:paraId="5F6E2EEA" w14:textId="77777777" w:rsidTr="00B75AF8">
        <w:trPr>
          <w:trHeight w:val="447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CDE3DB4"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F1E753"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50EBE74B"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F443930" w14:textId="6B7DB73F"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752BEB4" w14:textId="77777777" w:rsidR="00B75AF8" w:rsidRPr="00D67367" w:rsidRDefault="00B75AF8" w:rsidP="00FB73A5">
            <w:pPr>
              <w:widowControl w:val="0"/>
              <w:rPr>
                <w:rFonts w:cstheme="minorHAnsi"/>
                <w:sz w:val="20"/>
                <w:szCs w:val="20"/>
              </w:rPr>
            </w:pPr>
            <w:r w:rsidRPr="00D67367">
              <w:rPr>
                <w:rFonts w:cstheme="minorHAnsi"/>
                <w:sz w:val="20"/>
                <w:szCs w:val="20"/>
              </w:rPr>
              <w:t>transformational</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C6AD82D" w14:textId="77777777" w:rsidR="00B75AF8" w:rsidRPr="00D67367" w:rsidRDefault="00B75AF8" w:rsidP="00FB73A5">
            <w:pPr>
              <w:widowControl w:val="0"/>
              <w:rPr>
                <w:rFonts w:cstheme="minorHAnsi"/>
                <w:sz w:val="20"/>
                <w:szCs w:val="20"/>
              </w:rPr>
            </w:pPr>
            <w:r w:rsidRPr="00D67367">
              <w:rPr>
                <w:rFonts w:cstheme="minorHAnsi"/>
                <w:sz w:val="20"/>
                <w:szCs w:val="20"/>
              </w:rPr>
              <w:t>changing system dynamics, world views, socio-ecological interactions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29F43FEB"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Transformational change: In transformations, the patterns, elements and interrelations of the city system change more comprehensively. Transformation has many definitions, but it is broadly considered to be a fundamental change that is distinguished from minor and marginal adjustments (Basset &amp; Fogelman, 2013; Kapoor, 2007; O’Brien, 2012; Pelling et al., 2015). Transformation is not something that happens through an individual action. However, it may happen through the accumulation of actions (Pelling, 2011; Pelling et al., 2015; Rotmans, Kemp, &amp; van Asselt, 2001). These processes of structural change are not limited to technical aspects, but also require the </w:t>
            </w:r>
            <w:r w:rsidRPr="00D67367">
              <w:rPr>
                <w:rFonts w:cstheme="minorHAnsi"/>
                <w:i/>
                <w:sz w:val="20"/>
                <w:szCs w:val="20"/>
              </w:rPr>
              <w:lastRenderedPageBreak/>
              <w:t>involvement of social and symbolic changes. This means fundamental alterations in e.g. sense-making, world views, political and power relations, social networks and ecosystems, physical infrastructure and technology (Feola, 2015). Transformational change would mean changes in the rules of business-making. It would also involve rethinking the way physical structures work and a city is planned, and even rethinking the division between urban and nature and the definition of a city. In addition, this</w:t>
            </w:r>
          </w:p>
          <w:p w14:paraId="1A44E0BB" w14:textId="77777777" w:rsidR="00B75AF8" w:rsidRPr="00D67367" w:rsidRDefault="00B75AF8" w:rsidP="00FB73A5">
            <w:pPr>
              <w:widowControl w:val="0"/>
              <w:rPr>
                <w:rFonts w:cstheme="minorHAnsi"/>
                <w:i/>
                <w:sz w:val="20"/>
                <w:szCs w:val="20"/>
              </w:rPr>
            </w:pPr>
            <w:r w:rsidRPr="00D67367">
              <w:rPr>
                <w:rFonts w:cstheme="minorHAnsi"/>
                <w:i/>
                <w:sz w:val="20"/>
                <w:szCs w:val="20"/>
              </w:rPr>
              <w:t>type of change would mean fundamental changes e.g. in citizen lifestyles or in city governance.</w:t>
            </w:r>
          </w:p>
        </w:tc>
      </w:tr>
      <w:tr w:rsidR="00BB1B10" w:rsidRPr="00D67367" w14:paraId="53E566D2" w14:textId="77777777" w:rsidTr="00B75AF8">
        <w:trPr>
          <w:trHeight w:val="306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10A9DB4" w14:textId="77777777" w:rsidR="00B75AF8" w:rsidRPr="00D67367" w:rsidRDefault="00B75AF8" w:rsidP="00FB73A5">
            <w:pPr>
              <w:keepLines/>
              <w:rPr>
                <w:rFonts w:cstheme="minorHAnsi"/>
                <w:b/>
                <w:sz w:val="20"/>
                <w:szCs w:val="20"/>
              </w:rPr>
            </w:pPr>
            <w:r w:rsidRPr="00D67367">
              <w:rPr>
                <w:rFonts w:cstheme="minorHAnsi"/>
                <w:b/>
                <w:sz w:val="20"/>
                <w:szCs w:val="20"/>
              </w:rPr>
              <w:t>Membership standards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50BBF0" w14:textId="77777777" w:rsidR="00B75AF8" w:rsidRPr="00D67367" w:rsidRDefault="00B75AF8" w:rsidP="00FB73A5">
            <w:pPr>
              <w:keepLines/>
              <w:rPr>
                <w:rFonts w:cstheme="minorHAnsi"/>
                <w:sz w:val="20"/>
                <w:szCs w:val="20"/>
              </w:rPr>
            </w:pPr>
            <w:r w:rsidRPr="00D67367">
              <w:rPr>
                <w:rFonts w:cstheme="minorHAnsi"/>
                <w:sz w:val="20"/>
                <w:szCs w:val="20"/>
              </w:rPr>
              <w:t>Prakash and Potoski 2007</w:t>
            </w:r>
          </w:p>
        </w:tc>
        <w:tc>
          <w:tcPr>
            <w:tcW w:w="0" w:type="auto"/>
            <w:tcBorders>
              <w:top w:val="single" w:sz="8" w:space="0" w:color="FFFFFF"/>
              <w:left w:val="single" w:sz="8" w:space="0" w:color="FFFFFF"/>
              <w:bottom w:val="single" w:sz="8" w:space="0" w:color="FFFFFF"/>
              <w:right w:val="single" w:sz="8" w:space="0" w:color="FFFFFF"/>
            </w:tcBorders>
          </w:tcPr>
          <w:p w14:paraId="12EF4CCE" w14:textId="7A1C929B" w:rsidR="00B75AF8" w:rsidRPr="00D67367" w:rsidRDefault="00235EC4" w:rsidP="002F449B">
            <w:pPr>
              <w:keepLines/>
              <w:rPr>
                <w:rFonts w:cstheme="minorHAnsi"/>
                <w:sz w:val="20"/>
                <w:szCs w:val="20"/>
              </w:rPr>
            </w:pPr>
            <w:r w:rsidRPr="00D67367">
              <w:rPr>
                <w:rFonts w:cstheme="minorHAnsi"/>
                <w:sz w:val="20"/>
                <w:szCs w:val="20"/>
              </w:rPr>
              <w:t>Generally, s</w:t>
            </w:r>
            <w:r w:rsidR="00B0467D" w:rsidRPr="00D67367">
              <w:rPr>
                <w:rFonts w:cstheme="minorHAnsi"/>
                <w:sz w:val="20"/>
                <w:szCs w:val="20"/>
              </w:rPr>
              <w:t>tringent memberships indicate high</w:t>
            </w:r>
            <w:r w:rsidR="0092466C" w:rsidRPr="00D67367">
              <w:rPr>
                <w:rFonts w:cstheme="minorHAnsi"/>
                <w:sz w:val="20"/>
                <w:szCs w:val="20"/>
              </w:rPr>
              <w:t xml:space="preserve"> member</w:t>
            </w:r>
            <w:r w:rsidR="00B0467D" w:rsidRPr="00D67367">
              <w:rPr>
                <w:rFonts w:cstheme="minorHAnsi"/>
                <w:sz w:val="20"/>
                <w:szCs w:val="20"/>
              </w:rPr>
              <w:t xml:space="preserve"> commitment and can reduce the risk of greenwashing.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746ACD8" w14:textId="05150862"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61BF52" w14:textId="77777777" w:rsidR="00B75AF8" w:rsidRPr="00D67367" w:rsidRDefault="00B75AF8" w:rsidP="00FB73A5">
            <w:pPr>
              <w:widowControl w:val="0"/>
              <w:rPr>
                <w:rFonts w:cstheme="minorHAnsi"/>
                <w:sz w:val="20"/>
                <w:szCs w:val="20"/>
              </w:rPr>
            </w:pPr>
            <w:r w:rsidRPr="00D67367">
              <w:rPr>
                <w:rFonts w:cstheme="minorHAnsi"/>
                <w:sz w:val="20"/>
                <w:szCs w:val="20"/>
              </w:rPr>
              <w:t>lenient</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9F5995D" w14:textId="77777777" w:rsidR="00B75AF8" w:rsidRPr="00D67367" w:rsidRDefault="00B75AF8" w:rsidP="00FB73A5">
            <w:pPr>
              <w:widowControl w:val="0"/>
              <w:rPr>
                <w:rFonts w:cstheme="minorHAnsi"/>
                <w:sz w:val="20"/>
                <w:szCs w:val="20"/>
              </w:rPr>
            </w:pPr>
            <w:r w:rsidRPr="00D67367">
              <w:rPr>
                <w:rFonts w:cstheme="minorHAnsi"/>
                <w:sz w:val="20"/>
                <w:szCs w:val="20"/>
              </w:rPr>
              <w:t>Lenient club standards require little effort beyond what government regulations require.</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4E093FE7"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Lenient club standards require little social externality production from members beyond what government regulations require. These are low-cost voluntary clubs for the members but create marginal levels of social externalities, and therefore the value of their brand among stakeholders is relatively low. Of course, even lenient club standards must mandate that members produce some positive social externality, or else the voluntary club would be a mere empty gesture (as some voluntary clubs indeed are). [...] In some instances, </w:t>
            </w:r>
            <w:r w:rsidRPr="00D67367">
              <w:rPr>
                <w:rFonts w:cstheme="minorHAnsi"/>
                <w:i/>
                <w:sz w:val="20"/>
                <w:szCs w:val="20"/>
              </w:rPr>
              <w:lastRenderedPageBreak/>
              <w:t>policymakers might favor lenient standard clubs to attract a large roster as opposed to stringent standard clubs with limited membership. In other instances, lenient standard clubs might be labeled as greenwashes and attract few members simply because they cannot generate significant branding benefits.</w:t>
            </w:r>
          </w:p>
        </w:tc>
      </w:tr>
      <w:tr w:rsidR="00BB1B10" w:rsidRPr="00D67367" w14:paraId="2AA11DE3" w14:textId="77777777" w:rsidTr="00B75AF8">
        <w:trPr>
          <w:trHeight w:val="199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A66154"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3F0A197"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E63C710"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1740209" w14:textId="01622CF8"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A7EE77C" w14:textId="77777777" w:rsidR="00B75AF8" w:rsidRPr="00D67367" w:rsidRDefault="00B75AF8" w:rsidP="00FB73A5">
            <w:pPr>
              <w:widowControl w:val="0"/>
              <w:rPr>
                <w:rFonts w:cstheme="minorHAnsi"/>
                <w:sz w:val="20"/>
                <w:szCs w:val="20"/>
              </w:rPr>
            </w:pPr>
            <w:r w:rsidRPr="00D67367">
              <w:rPr>
                <w:rFonts w:cstheme="minorHAnsi"/>
                <w:sz w:val="20"/>
                <w:szCs w:val="20"/>
              </w:rPr>
              <w:t>stringent</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183868A" w14:textId="77777777" w:rsidR="00B75AF8" w:rsidRPr="00D67367" w:rsidRDefault="00B75AF8" w:rsidP="00FB73A5">
            <w:pPr>
              <w:widowControl w:val="0"/>
              <w:rPr>
                <w:rFonts w:cstheme="minorHAnsi"/>
                <w:sz w:val="20"/>
                <w:szCs w:val="20"/>
              </w:rPr>
            </w:pPr>
            <w:r w:rsidRPr="00D67367">
              <w:rPr>
                <w:rFonts w:cstheme="minorHAnsi"/>
                <w:sz w:val="20"/>
                <w:szCs w:val="20"/>
              </w:rPr>
              <w:t>Stringent club standards require members to produce high levels of positive social externalities, well beyond what government regulations require.</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5DCD5E22" w14:textId="77777777" w:rsidR="00B75AF8" w:rsidRPr="00D67367" w:rsidRDefault="00B75AF8" w:rsidP="00FB73A5">
            <w:pPr>
              <w:widowControl w:val="0"/>
              <w:rPr>
                <w:rFonts w:cstheme="minorHAnsi"/>
                <w:i/>
                <w:sz w:val="20"/>
                <w:szCs w:val="20"/>
              </w:rPr>
            </w:pPr>
            <w:r w:rsidRPr="00D67367">
              <w:rPr>
                <w:rFonts w:cstheme="minorHAnsi"/>
                <w:i/>
                <w:sz w:val="20"/>
                <w:szCs w:val="20"/>
              </w:rPr>
              <w:t>Stringent club standards require members to produce high levels of positive social externalities, well beyond what government regulations require. For potential participants, these can be high-cost clubs. The advantage of stringent standards is that the club’s brand would be more credible and serve as a low-cost tool for signaling voluntary club members’ commitment to the club’s social objective.</w:t>
            </w:r>
          </w:p>
        </w:tc>
      </w:tr>
      <w:tr w:rsidR="00BB1B10" w:rsidRPr="00D67367" w14:paraId="3AFD7CA1" w14:textId="77777777" w:rsidTr="00B75AF8">
        <w:trPr>
          <w:trHeight w:val="172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0457A6" w14:textId="77777777" w:rsidR="00B75AF8" w:rsidRPr="00D67367" w:rsidRDefault="00B75AF8" w:rsidP="00FB73A5">
            <w:pPr>
              <w:keepLines/>
              <w:rPr>
                <w:rFonts w:cstheme="minorHAnsi"/>
                <w:b/>
                <w:sz w:val="20"/>
                <w:szCs w:val="20"/>
              </w:rPr>
            </w:pPr>
            <w:r w:rsidRPr="00D67367">
              <w:rPr>
                <w:rFonts w:cstheme="minorHAnsi"/>
                <w:b/>
                <w:sz w:val="20"/>
                <w:szCs w:val="20"/>
              </w:rPr>
              <w:t>Sanctioning mechanisms (Enforcement and Monitoring)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BA32809" w14:textId="77777777" w:rsidR="00B75AF8" w:rsidRPr="00D67367" w:rsidRDefault="00B75AF8" w:rsidP="00FB73A5">
            <w:pPr>
              <w:keepLines/>
              <w:rPr>
                <w:rFonts w:cstheme="minorHAnsi"/>
                <w:sz w:val="20"/>
                <w:szCs w:val="20"/>
              </w:rPr>
            </w:pPr>
            <w:r w:rsidRPr="00D67367">
              <w:rPr>
                <w:rFonts w:cstheme="minorHAnsi"/>
                <w:sz w:val="20"/>
                <w:szCs w:val="20"/>
              </w:rPr>
              <w:t xml:space="preserve">Prakash and Potoski 2007, based on E. </w:t>
            </w:r>
            <w:sdt>
              <w:sdtPr>
                <w:rPr>
                  <w:rFonts w:cstheme="minorHAnsi"/>
                </w:rPr>
                <w:tag w:val="goog_rdk_121"/>
                <w:id w:val="-2117213787"/>
              </w:sdtPr>
              <w:sdtContent/>
            </w:sdt>
            <w:r w:rsidRPr="00D67367">
              <w:rPr>
                <w:rFonts w:cstheme="minorHAnsi"/>
                <w:sz w:val="20"/>
                <w:szCs w:val="20"/>
              </w:rPr>
              <w:t>Ostrom´s work</w:t>
            </w:r>
          </w:p>
        </w:tc>
        <w:tc>
          <w:tcPr>
            <w:tcW w:w="0" w:type="auto"/>
            <w:tcBorders>
              <w:top w:val="single" w:sz="8" w:space="0" w:color="FFFFFF"/>
              <w:left w:val="single" w:sz="8" w:space="0" w:color="FFFFFF"/>
              <w:bottom w:val="single" w:sz="8" w:space="0" w:color="FFFFFF"/>
              <w:right w:val="single" w:sz="8" w:space="0" w:color="FFFFFF"/>
            </w:tcBorders>
          </w:tcPr>
          <w:p w14:paraId="41D90B04" w14:textId="0E16D279" w:rsidR="00B75AF8" w:rsidRPr="00D67367" w:rsidRDefault="00E41A99" w:rsidP="002F449B">
            <w:pPr>
              <w:keepLines/>
              <w:rPr>
                <w:rFonts w:cstheme="minorHAnsi"/>
                <w:bCs/>
                <w:sz w:val="20"/>
                <w:szCs w:val="20"/>
              </w:rPr>
            </w:pPr>
            <w:r w:rsidRPr="00D67367">
              <w:rPr>
                <w:rFonts w:cstheme="minorHAnsi"/>
                <w:bCs/>
                <w:sz w:val="20"/>
                <w:szCs w:val="20"/>
              </w:rPr>
              <w:t xml:space="preserve">Generally, audits, disclosures, and sanctioning increase monitoring and reduce greenwashing risks.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D43CBF8" w14:textId="44D887A8"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CF4CCAC" w14:textId="77777777" w:rsidR="00B75AF8" w:rsidRPr="00D67367" w:rsidRDefault="00B75AF8" w:rsidP="00FB73A5">
            <w:pPr>
              <w:widowControl w:val="0"/>
              <w:rPr>
                <w:rFonts w:cstheme="minorHAnsi"/>
                <w:sz w:val="20"/>
                <w:szCs w:val="20"/>
              </w:rPr>
            </w:pPr>
            <w:r w:rsidRPr="00D67367">
              <w:rPr>
                <w:rFonts w:cstheme="minorHAnsi"/>
                <w:sz w:val="20"/>
                <w:szCs w:val="20"/>
              </w:rPr>
              <w:t>no mechanisms</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65CCBB0" w14:textId="77777777" w:rsidR="00B75AF8" w:rsidRPr="00D67367" w:rsidRDefault="00B75AF8" w:rsidP="00FB73A5">
            <w:pPr>
              <w:widowControl w:val="0"/>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0FED350"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It should be noted, however, that some voluntary environmental clubs have none of these components—the Sustainable Slopes Program (Rivera &amp; de Leon, 2004) is an example. Based on the design features, we expect such clubs to exhibit high levels of shirking and </w:t>
            </w:r>
            <w:r w:rsidRPr="00D67367">
              <w:rPr>
                <w:rFonts w:cstheme="minorHAnsi"/>
                <w:i/>
                <w:sz w:val="20"/>
                <w:szCs w:val="20"/>
              </w:rPr>
              <w:lastRenderedPageBreak/>
              <w:t>therefore generate very small amounts of positive externalities, if any. Indeed, Rivera and de Leon (2004) report that club Sustainable Slopes’ participants were no greener than nonparticipants.</w:t>
            </w:r>
          </w:p>
        </w:tc>
      </w:tr>
      <w:tr w:rsidR="00BB1B10" w:rsidRPr="00D67367" w14:paraId="64579EDD" w14:textId="77777777" w:rsidTr="00B75AF8">
        <w:trPr>
          <w:trHeight w:val="127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A2FACA"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C7BEA1A" w14:textId="77777777" w:rsidR="00B75AF8" w:rsidRPr="00D67367" w:rsidRDefault="00B75AF8" w:rsidP="00FB73A5">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11ACCEE8"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D0D5AA" w14:textId="3E88658E"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A1BC17" w14:textId="77777777" w:rsidR="00B75AF8" w:rsidRPr="00D67367" w:rsidRDefault="00B75AF8" w:rsidP="00FB73A5">
            <w:pPr>
              <w:widowControl w:val="0"/>
              <w:rPr>
                <w:rFonts w:cstheme="minorHAnsi"/>
                <w:sz w:val="20"/>
                <w:szCs w:val="20"/>
              </w:rPr>
            </w:pPr>
            <w:r w:rsidRPr="00D67367">
              <w:rPr>
                <w:rFonts w:cstheme="minorHAnsi"/>
                <w:sz w:val="20"/>
                <w:szCs w:val="20"/>
              </w:rPr>
              <w:t>weak sword</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DB99653" w14:textId="77777777" w:rsidR="00B75AF8" w:rsidRPr="00D67367" w:rsidRDefault="00B75AF8" w:rsidP="00FB73A5">
            <w:pPr>
              <w:widowControl w:val="0"/>
              <w:rPr>
                <w:rFonts w:cstheme="minorHAnsi"/>
                <w:sz w:val="20"/>
                <w:szCs w:val="20"/>
              </w:rPr>
            </w:pPr>
            <w:r w:rsidRPr="00D67367">
              <w:rPr>
                <w:rFonts w:cstheme="minorHAnsi"/>
                <w:sz w:val="20"/>
                <w:szCs w:val="20"/>
              </w:rPr>
              <w:t xml:space="preserve">Weak sword clubs require </w:t>
            </w:r>
            <w:r w:rsidRPr="00D67367">
              <w:rPr>
                <w:rFonts w:cstheme="minorHAnsi"/>
                <w:b/>
                <w:sz w:val="20"/>
                <w:szCs w:val="20"/>
              </w:rPr>
              <w:t>only third-party audits</w:t>
            </w:r>
            <w:r w:rsidRPr="00D67367">
              <w:rPr>
                <w:rFonts w:cstheme="minorHAnsi"/>
                <w:sz w:val="20"/>
                <w:szCs w:val="20"/>
              </w:rPr>
              <w:t>.</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23C8AB12" w14:textId="77777777" w:rsidR="00B75AF8" w:rsidRPr="00D67367" w:rsidRDefault="00B75AF8" w:rsidP="00FB73A5">
            <w:pPr>
              <w:widowControl w:val="0"/>
              <w:rPr>
                <w:rFonts w:cstheme="minorHAnsi"/>
                <w:i/>
                <w:sz w:val="20"/>
                <w:szCs w:val="20"/>
              </w:rPr>
            </w:pPr>
            <w:r w:rsidRPr="00D67367">
              <w:rPr>
                <w:rFonts w:cstheme="minorHAnsi"/>
                <w:i/>
                <w:sz w:val="20"/>
                <w:szCs w:val="20"/>
              </w:rPr>
              <w:t>Weak sword clubs require only third-party audits. ISO 14001 is an example of a “weak sword” club.</w:t>
            </w:r>
          </w:p>
        </w:tc>
      </w:tr>
      <w:tr w:rsidR="00BB1B10" w:rsidRPr="00D67367" w14:paraId="654A5D34" w14:textId="77777777" w:rsidTr="00B75AF8">
        <w:trPr>
          <w:trHeight w:val="277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766F83"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A0A54B"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F45CC99"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F20AA1" w14:textId="2D8A5759"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8EC145" w14:textId="77777777" w:rsidR="00B75AF8" w:rsidRPr="00D67367" w:rsidRDefault="00B75AF8" w:rsidP="00FB73A5">
            <w:pPr>
              <w:widowControl w:val="0"/>
              <w:rPr>
                <w:rFonts w:cstheme="minorHAnsi"/>
                <w:sz w:val="20"/>
                <w:szCs w:val="20"/>
              </w:rPr>
            </w:pPr>
            <w:r w:rsidRPr="00D67367">
              <w:rPr>
                <w:rFonts w:cstheme="minorHAnsi"/>
                <w:sz w:val="20"/>
                <w:szCs w:val="20"/>
              </w:rPr>
              <w:t>medium sword</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699346F" w14:textId="77777777" w:rsidR="00B75AF8" w:rsidRPr="00D67367" w:rsidRDefault="00B75AF8" w:rsidP="00FB73A5">
            <w:pPr>
              <w:widowControl w:val="0"/>
              <w:rPr>
                <w:rFonts w:cstheme="minorHAnsi"/>
                <w:sz w:val="20"/>
                <w:szCs w:val="20"/>
              </w:rPr>
            </w:pPr>
            <w:r w:rsidRPr="00D67367">
              <w:rPr>
                <w:rFonts w:cstheme="minorHAnsi"/>
                <w:sz w:val="20"/>
                <w:szCs w:val="20"/>
              </w:rPr>
              <w:t xml:space="preserve">Medium sword clubs require </w:t>
            </w:r>
            <w:r w:rsidRPr="00D67367">
              <w:rPr>
                <w:rFonts w:cstheme="minorHAnsi"/>
                <w:b/>
                <w:sz w:val="20"/>
                <w:szCs w:val="20"/>
              </w:rPr>
              <w:t>third-party audits and public disclosure</w:t>
            </w:r>
            <w:r w:rsidRPr="00D67367">
              <w:rPr>
                <w:rFonts w:cstheme="minorHAnsi"/>
                <w:sz w:val="20"/>
                <w:szCs w:val="20"/>
              </w:rPr>
              <w:t xml:space="preserve"> of the audit findings. (it is not clear whether stakeholders have the willingness and resources to sanction shirkers/free-riders)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E7D3AED"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Medium sword clubs require third-party audits and public disclosure of the audit findings. Although they do not provide for sanctioning by the sponsoring organization, they are likely to curb shirking because with public disclosure of audit information, external stakeholders can punish the shirkers for failing to live up to their commitments as program members. The EPA’s 33/50 program and the European Union’s EMAS are examples of medium sword clubs. In both these voluntary clubs, firms are subjected to third-party audits and the information on their environmental performance is available to the public. Because it is not clear whether stakeholders have the willingness and resources to sanction shirkers, we place them in </w:t>
            </w:r>
            <w:r w:rsidRPr="00D67367">
              <w:rPr>
                <w:rFonts w:cstheme="minorHAnsi"/>
                <w:i/>
                <w:sz w:val="20"/>
                <w:szCs w:val="20"/>
              </w:rPr>
              <w:lastRenderedPageBreak/>
              <w:t>the medium sword category.</w:t>
            </w:r>
          </w:p>
        </w:tc>
      </w:tr>
      <w:tr w:rsidR="00BB1B10" w:rsidRPr="00D67367" w14:paraId="686B83CF" w14:textId="77777777" w:rsidTr="00B75AF8">
        <w:trPr>
          <w:trHeight w:val="195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0E67C30"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53737A5"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1BAE6A59"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5E98AC" w14:textId="23C6C633" w:rsidR="00B75AF8" w:rsidRPr="00D67367" w:rsidRDefault="00B75AF8" w:rsidP="00FB73A5">
            <w:pPr>
              <w:keepLines/>
              <w:jc w:val="right"/>
              <w:rPr>
                <w:rFonts w:cstheme="minorHAnsi"/>
                <w:sz w:val="20"/>
                <w:szCs w:val="20"/>
              </w:rPr>
            </w:pPr>
            <w:r w:rsidRPr="00D67367">
              <w:rPr>
                <w:rFonts w:cstheme="minorHAnsi"/>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13CF42" w14:textId="77777777" w:rsidR="00B75AF8" w:rsidRPr="00D67367" w:rsidRDefault="00B75AF8" w:rsidP="00FB73A5">
            <w:pPr>
              <w:widowControl w:val="0"/>
              <w:rPr>
                <w:rFonts w:cstheme="minorHAnsi"/>
                <w:sz w:val="20"/>
                <w:szCs w:val="20"/>
              </w:rPr>
            </w:pPr>
            <w:r w:rsidRPr="00D67367">
              <w:rPr>
                <w:rFonts w:cstheme="minorHAnsi"/>
                <w:sz w:val="20"/>
                <w:szCs w:val="20"/>
              </w:rPr>
              <w:t>strong sword</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D02E97A" w14:textId="77777777" w:rsidR="00B75AF8" w:rsidRPr="00D67367" w:rsidRDefault="00B75AF8" w:rsidP="00FB73A5">
            <w:pPr>
              <w:widowControl w:val="0"/>
              <w:rPr>
                <w:rFonts w:cstheme="minorHAnsi"/>
                <w:sz w:val="20"/>
                <w:szCs w:val="20"/>
              </w:rPr>
            </w:pPr>
            <w:r w:rsidRPr="00D67367">
              <w:rPr>
                <w:rFonts w:cstheme="minorHAnsi"/>
                <w:sz w:val="20"/>
                <w:szCs w:val="20"/>
              </w:rPr>
              <w:t>Strong sword clubs have all three components—</w:t>
            </w:r>
            <w:r w:rsidRPr="00D67367">
              <w:rPr>
                <w:rFonts w:cstheme="minorHAnsi"/>
                <w:b/>
                <w:sz w:val="20"/>
                <w:szCs w:val="20"/>
              </w:rPr>
              <w:t>audits, disclosure, and sanctioning</w:t>
            </w:r>
            <w:r w:rsidRPr="00D67367">
              <w:rPr>
                <w:rFonts w:cstheme="minorHAnsi"/>
                <w:sz w:val="20"/>
                <w:szCs w:val="20"/>
              </w:rPr>
              <w:t xml:space="preserve"> mechanisms (sponsors may expel participants from the program).</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43C3A046" w14:textId="77777777" w:rsidR="00B75AF8" w:rsidRPr="00D67367" w:rsidRDefault="00B75AF8" w:rsidP="00FB73A5">
            <w:pPr>
              <w:widowControl w:val="0"/>
              <w:rPr>
                <w:rFonts w:cstheme="minorHAnsi"/>
                <w:i/>
                <w:sz w:val="20"/>
                <w:szCs w:val="20"/>
              </w:rPr>
            </w:pPr>
            <w:r w:rsidRPr="00D67367">
              <w:rPr>
                <w:rFonts w:cstheme="minorHAnsi"/>
                <w:i/>
                <w:sz w:val="20"/>
                <w:szCs w:val="20"/>
              </w:rPr>
              <w:t>Strong sword clubs have all three components—audits, disclosure, and</w:t>
            </w:r>
          </w:p>
          <w:p w14:paraId="42E864B0" w14:textId="77777777" w:rsidR="00B75AF8" w:rsidRPr="00D67367" w:rsidRDefault="00B75AF8" w:rsidP="00FB73A5">
            <w:pPr>
              <w:widowControl w:val="0"/>
              <w:rPr>
                <w:rFonts w:cstheme="minorHAnsi"/>
                <w:i/>
                <w:sz w:val="20"/>
                <w:szCs w:val="20"/>
              </w:rPr>
            </w:pPr>
            <w:r w:rsidRPr="00D67367">
              <w:rPr>
                <w:rFonts w:cstheme="minorHAnsi"/>
                <w:i/>
                <w:sz w:val="20"/>
                <w:szCs w:val="20"/>
              </w:rPr>
              <w:t>sanctioning mechanisms—and are most likely to curb shirking because they provide for a monitoring mechanism, mitigate information asymmetries between participants and club sponsors/stakeholders, and create a mechanism for sponsors to sanction shirkers. In extreme cases, sponsors may expel participants from the program, an undesirable outcome for firms if they value the benefits of voluntary club membership.</w:t>
            </w:r>
          </w:p>
        </w:tc>
      </w:tr>
      <w:tr w:rsidR="00BB1B10" w:rsidRPr="00D67367" w14:paraId="5EE140D4" w14:textId="77777777" w:rsidTr="00B75AF8">
        <w:trPr>
          <w:trHeight w:val="2058"/>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AC8E29"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Type of solution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D6C5AA" w14:textId="77777777" w:rsidR="00B75AF8" w:rsidRPr="00D67367" w:rsidRDefault="00B75AF8" w:rsidP="00FB73A5">
            <w:pPr>
              <w:keepLines/>
              <w:rPr>
                <w:rFonts w:cstheme="minorHAnsi"/>
                <w:sz w:val="20"/>
                <w:szCs w:val="20"/>
              </w:rPr>
            </w:pPr>
            <w:r w:rsidRPr="00D67367">
              <w:rPr>
                <w:rFonts w:cstheme="minorHAnsi"/>
                <w:sz w:val="20"/>
                <w:szCs w:val="20"/>
              </w:rPr>
              <w:t>Olsson et al, 2017</w:t>
            </w:r>
          </w:p>
        </w:tc>
        <w:tc>
          <w:tcPr>
            <w:tcW w:w="0" w:type="auto"/>
            <w:tcBorders>
              <w:top w:val="single" w:sz="8" w:space="0" w:color="FFFFFF"/>
              <w:left w:val="single" w:sz="8" w:space="0" w:color="FFFFFF"/>
              <w:bottom w:val="single" w:sz="8" w:space="0" w:color="FFFFFF"/>
              <w:right w:val="single" w:sz="8" w:space="0" w:color="FFFFFF"/>
            </w:tcBorders>
          </w:tcPr>
          <w:p w14:paraId="667DDDA1" w14:textId="4572B341" w:rsidR="00B75AF8" w:rsidRPr="00D67367" w:rsidRDefault="00D71125" w:rsidP="002F449B">
            <w:pPr>
              <w:keepLines/>
              <w:rPr>
                <w:rFonts w:cstheme="minorHAnsi"/>
                <w:sz w:val="20"/>
                <w:szCs w:val="20"/>
              </w:rPr>
            </w:pPr>
            <w:r w:rsidRPr="00D67367">
              <w:rPr>
                <w:rFonts w:cstheme="minorHAnsi"/>
                <w:sz w:val="20"/>
                <w:szCs w:val="20"/>
              </w:rPr>
              <w:t xml:space="preserve">Bricolage solutions can enable innovations that are necessary for major system changes.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F69CD84" w14:textId="0D328751"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8FE3B15" w14:textId="77777777" w:rsidR="00B75AF8" w:rsidRPr="00D67367" w:rsidRDefault="00B75AF8" w:rsidP="00FB73A5">
            <w:pPr>
              <w:keepLines/>
              <w:rPr>
                <w:rFonts w:cstheme="minorHAnsi"/>
                <w:sz w:val="20"/>
                <w:szCs w:val="20"/>
              </w:rPr>
            </w:pPr>
            <w:r w:rsidRPr="00D67367">
              <w:rPr>
                <w:rFonts w:cstheme="minorHAnsi"/>
                <w:sz w:val="20"/>
                <w:szCs w:val="20"/>
              </w:rPr>
              <w:t>single variable solutions</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C2D97AE" w14:textId="77777777" w:rsidR="00B75AF8" w:rsidRPr="00D67367" w:rsidRDefault="00B75AF8" w:rsidP="00FB73A5">
            <w:pPr>
              <w:keepLines/>
              <w:rPr>
                <w:rFonts w:cstheme="minorHAnsi"/>
                <w:sz w:val="20"/>
                <w:szCs w:val="20"/>
              </w:rPr>
            </w:pPr>
            <w:r w:rsidRPr="00D67367">
              <w:rPr>
                <w:rFonts w:cstheme="minorHAnsi"/>
                <w:sz w:val="20"/>
                <w:szCs w:val="20"/>
              </w:rPr>
              <w:t>ideas and initiatives that are too narrow in scope</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C20BC37" w14:textId="77777777" w:rsidR="00B75AF8" w:rsidRPr="00D67367" w:rsidRDefault="00B75AF8" w:rsidP="00FB73A5">
            <w:pPr>
              <w:keepLines/>
              <w:rPr>
                <w:rFonts w:cstheme="minorHAnsi"/>
                <w:i/>
                <w:sz w:val="20"/>
                <w:szCs w:val="20"/>
                <w:highlight w:val="green"/>
              </w:rPr>
            </w:pPr>
            <w:r w:rsidRPr="00D67367">
              <w:rPr>
                <w:rFonts w:cstheme="minorHAnsi"/>
                <w:i/>
                <w:sz w:val="20"/>
                <w:szCs w:val="20"/>
              </w:rPr>
              <w:t xml:space="preserve"> Single variable interventions, even if an original idea, cannot begin to address root causes, and may even accelerate the dynamics described in the Anthropocene concept. Yet, the typical focus on individual inventors and “hero” entrepreneurs in social innovation has led to a fixation on ideas and initiatives far too narrow in scope. Thus, the vast majority of the ideas that are currently documented in social innovation literature could be characterized as “single variable solutions.” [an example of a single variable solution given in the paper is biofuels] </w:t>
            </w:r>
          </w:p>
        </w:tc>
      </w:tr>
      <w:tr w:rsidR="00BB1B10" w:rsidRPr="00D67367" w14:paraId="4226E6CB" w14:textId="77777777" w:rsidTr="00B75AF8">
        <w:trPr>
          <w:trHeight w:val="2058"/>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80DD5C"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B8CBD2" w14:textId="77777777" w:rsidR="00B75AF8" w:rsidRPr="00D67367" w:rsidRDefault="00B75AF8" w:rsidP="00FB73A5">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3F1DE27A"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06FF003" w14:textId="05AC53F7"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nil"/>
              <w:left w:val="nil"/>
              <w:bottom w:val="nil"/>
              <w:right w:val="nil"/>
            </w:tcBorders>
            <w:tcMar>
              <w:top w:w="100" w:type="dxa"/>
              <w:left w:w="100" w:type="dxa"/>
              <w:bottom w:w="100" w:type="dxa"/>
              <w:right w:w="100" w:type="dxa"/>
            </w:tcMar>
          </w:tcPr>
          <w:p w14:paraId="415780D3" w14:textId="77777777" w:rsidR="00B75AF8" w:rsidRPr="00D67367" w:rsidRDefault="00B75AF8" w:rsidP="00FB73A5">
            <w:pPr>
              <w:keepLines/>
              <w:rPr>
                <w:rFonts w:cstheme="minorHAnsi"/>
                <w:sz w:val="20"/>
                <w:szCs w:val="20"/>
              </w:rPr>
            </w:pPr>
            <w:r w:rsidRPr="00D67367">
              <w:rPr>
                <w:rFonts w:cstheme="minorHAnsi"/>
                <w:sz w:val="20"/>
                <w:szCs w:val="20"/>
              </w:rPr>
              <w:t>bricolage solutions</w:t>
            </w:r>
          </w:p>
        </w:tc>
        <w:tc>
          <w:tcPr>
            <w:tcW w:w="0" w:type="auto"/>
            <w:tcBorders>
              <w:top w:val="nil"/>
              <w:left w:val="nil"/>
              <w:bottom w:val="nil"/>
              <w:right w:val="nil"/>
            </w:tcBorders>
            <w:shd w:val="clear" w:color="auto" w:fill="EFEFEF"/>
            <w:tcMar>
              <w:top w:w="100" w:type="dxa"/>
              <w:left w:w="100" w:type="dxa"/>
              <w:bottom w:w="100" w:type="dxa"/>
              <w:right w:w="100" w:type="dxa"/>
            </w:tcMar>
          </w:tcPr>
          <w:p w14:paraId="54F60168" w14:textId="77777777" w:rsidR="00B75AF8" w:rsidRPr="00D67367" w:rsidRDefault="00B75AF8" w:rsidP="00FB73A5">
            <w:pPr>
              <w:keepLines/>
              <w:rPr>
                <w:rFonts w:cstheme="minorHAnsi"/>
                <w:sz w:val="20"/>
                <w:szCs w:val="20"/>
              </w:rPr>
            </w:pPr>
            <w:r w:rsidRPr="00D67367">
              <w:rPr>
                <w:rFonts w:cstheme="minorHAnsi"/>
                <w:sz w:val="20"/>
                <w:szCs w:val="20"/>
              </w:rPr>
              <w:t>an approach that brings together very different ideas, concepts, philosophies to form something novel</w:t>
            </w:r>
          </w:p>
        </w:tc>
        <w:tc>
          <w:tcPr>
            <w:tcW w:w="0" w:type="auto"/>
            <w:tcBorders>
              <w:top w:val="nil"/>
              <w:left w:val="nil"/>
              <w:bottom w:val="nil"/>
              <w:right w:val="nil"/>
            </w:tcBorders>
            <w:shd w:val="clear" w:color="auto" w:fill="B7B7B7"/>
            <w:tcMar>
              <w:top w:w="100" w:type="dxa"/>
              <w:left w:w="100" w:type="dxa"/>
              <w:bottom w:w="100" w:type="dxa"/>
              <w:right w:w="100" w:type="dxa"/>
            </w:tcMar>
          </w:tcPr>
          <w:p w14:paraId="7CA0DC0D" w14:textId="77777777" w:rsidR="00B75AF8" w:rsidRPr="00D67367" w:rsidRDefault="00B75AF8" w:rsidP="00FB73A5">
            <w:pPr>
              <w:keepLines/>
              <w:rPr>
                <w:rFonts w:cstheme="minorHAnsi"/>
                <w:b/>
                <w:i/>
                <w:sz w:val="20"/>
                <w:szCs w:val="20"/>
              </w:rPr>
            </w:pPr>
            <w:r w:rsidRPr="00D67367">
              <w:rPr>
                <w:rFonts w:cstheme="minorHAnsi"/>
                <w:i/>
                <w:sz w:val="20"/>
                <w:szCs w:val="20"/>
              </w:rPr>
              <w:t xml:space="preserve">Instead, social innovations typically involve the recombination of pre-existing and new ideas, concepts or technologies to form something novel (Murray et al. 2010). This act of recombination has been termed bricolage, drawn from the junk collectors in France and defined as making creative and resourceful use of whatever materials are at hand, regardless of their original purpose (Westley 2013)" [...] </w:t>
            </w:r>
            <w:r w:rsidRPr="00D67367">
              <w:rPr>
                <w:rFonts w:cstheme="minorHAnsi"/>
                <w:b/>
                <w:i/>
                <w:sz w:val="20"/>
                <w:szCs w:val="20"/>
              </w:rPr>
              <w:t>Bricolage is an approach that brings together very different ideas, concepts, philosophies and when paired with the notion of path dependence can enable innovators to break from existing system pathways that may reinforce the Anthropocene. Initiatives that do not embody this kind of critical reflection on the path dependence are not likely to be truly transformative.</w:t>
            </w:r>
          </w:p>
        </w:tc>
      </w:tr>
      <w:tr w:rsidR="00BB1B10" w:rsidRPr="00D67367" w14:paraId="4F8BC451" w14:textId="77777777" w:rsidTr="00B75AF8">
        <w:trPr>
          <w:trHeight w:val="205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70CE30" w14:textId="77777777" w:rsidR="00B75AF8" w:rsidRPr="00D67367" w:rsidRDefault="00B75AF8" w:rsidP="00FB73A5">
            <w:pPr>
              <w:keepLines/>
              <w:rPr>
                <w:rFonts w:cstheme="minorHAnsi"/>
                <w:b/>
                <w:sz w:val="20"/>
                <w:szCs w:val="20"/>
              </w:rPr>
            </w:pPr>
            <w:r w:rsidRPr="00D67367">
              <w:rPr>
                <w:rFonts w:cstheme="minorHAnsi"/>
                <w:b/>
                <w:sz w:val="20"/>
                <w:szCs w:val="20"/>
              </w:rPr>
              <w:t>Regulation type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7A2FC7A" w14:textId="77777777" w:rsidR="00B75AF8" w:rsidRPr="00D67367" w:rsidRDefault="00B75AF8" w:rsidP="00FB73A5">
            <w:pPr>
              <w:keepLines/>
              <w:rPr>
                <w:rFonts w:cstheme="minorHAnsi"/>
                <w:sz w:val="20"/>
                <w:szCs w:val="20"/>
              </w:rPr>
            </w:pPr>
            <w:r w:rsidRPr="00D67367">
              <w:rPr>
                <w:rFonts w:cstheme="minorHAnsi"/>
                <w:sz w:val="20"/>
                <w:szCs w:val="20"/>
              </w:rPr>
              <w:t>Steurer 2013, governance triangle from Abbott and Snidal 2009</w:t>
            </w:r>
          </w:p>
          <w:p w14:paraId="32BCA385" w14:textId="77777777" w:rsidR="00B75AF8" w:rsidRPr="00D67367" w:rsidRDefault="00B75AF8" w:rsidP="00FB73A5">
            <w:pPr>
              <w:keepLines/>
              <w:rPr>
                <w:rFonts w:cstheme="minorHAnsi"/>
                <w:sz w:val="20"/>
                <w:szCs w:val="20"/>
              </w:rPr>
            </w:pPr>
          </w:p>
          <w:p w14:paraId="09D9FEEF" w14:textId="77777777" w:rsidR="00B75AF8" w:rsidRPr="00D67367" w:rsidRDefault="00B75AF8" w:rsidP="00FB73A5">
            <w:pPr>
              <w:keepLines/>
              <w:rPr>
                <w:rFonts w:cstheme="minorHAnsi"/>
                <w:sz w:val="20"/>
                <w:szCs w:val="20"/>
              </w:rPr>
            </w:pPr>
            <w:r w:rsidRPr="00D67367">
              <w:rPr>
                <w:rFonts w:cstheme="minorHAnsi"/>
                <w:sz w:val="20"/>
                <w:szCs w:val="20"/>
              </w:rPr>
              <w:t xml:space="preserve">(range from </w:t>
            </w:r>
            <w:r w:rsidRPr="00D67367">
              <w:rPr>
                <w:rFonts w:cstheme="minorHAnsi"/>
                <w:i/>
                <w:sz w:val="20"/>
                <w:szCs w:val="20"/>
              </w:rPr>
              <w:t>laissez-faire</w:t>
            </w:r>
            <w:r w:rsidRPr="00D67367">
              <w:rPr>
                <w:rFonts w:cstheme="minorHAnsi"/>
                <w:sz w:val="20"/>
                <w:szCs w:val="20"/>
              </w:rPr>
              <w:t xml:space="preserve"> to strong government regulation)</w:t>
            </w:r>
          </w:p>
        </w:tc>
        <w:tc>
          <w:tcPr>
            <w:tcW w:w="0" w:type="auto"/>
            <w:tcBorders>
              <w:top w:val="single" w:sz="8" w:space="0" w:color="FFFFFF"/>
              <w:left w:val="single" w:sz="8" w:space="0" w:color="FFFFFF"/>
              <w:bottom w:val="single" w:sz="8" w:space="0" w:color="FFFFFF"/>
              <w:right w:val="single" w:sz="8" w:space="0" w:color="FFFFFF"/>
            </w:tcBorders>
          </w:tcPr>
          <w:p w14:paraId="518DB941" w14:textId="120F462D" w:rsidR="00B75AF8" w:rsidRPr="00D67367" w:rsidRDefault="00BB1B10" w:rsidP="002F449B">
            <w:pPr>
              <w:keepLines/>
              <w:rPr>
                <w:rFonts w:cstheme="minorHAnsi"/>
                <w:sz w:val="20"/>
                <w:szCs w:val="20"/>
              </w:rPr>
            </w:pPr>
            <w:r w:rsidRPr="00D67367">
              <w:rPr>
                <w:rFonts w:cstheme="minorHAnsi"/>
                <w:sz w:val="20"/>
                <w:szCs w:val="20"/>
              </w:rPr>
              <w:t xml:space="preserve">We make the assumption that 1) the more actors are engaged in regulation, the more diverse and engaged actor groups, increasing the capacity for systems change and 2) a strong government regulation creates a level playing field for corporate actors in adopting practices aligned with sustainability objectives.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B15D398" w14:textId="7886418D"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F632D9B" w14:textId="77777777" w:rsidR="00B75AF8" w:rsidRPr="00D67367" w:rsidRDefault="00B75AF8" w:rsidP="00FB73A5">
            <w:pPr>
              <w:keepLines/>
              <w:rPr>
                <w:rFonts w:cstheme="minorHAnsi"/>
                <w:sz w:val="20"/>
                <w:szCs w:val="20"/>
              </w:rPr>
            </w:pPr>
            <w:r w:rsidRPr="00D67367">
              <w:rPr>
                <w:rFonts w:cstheme="minorHAnsi"/>
                <w:sz w:val="20"/>
                <w:szCs w:val="20"/>
              </w:rPr>
              <w:t>firm self 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AD986C5" w14:textId="77777777" w:rsidR="00B75AF8" w:rsidRPr="00D67367" w:rsidRDefault="00B75AF8" w:rsidP="00FB73A5">
            <w:pPr>
              <w:keepLines/>
              <w:rPr>
                <w:rFonts w:cstheme="minorHAnsi"/>
                <w:sz w:val="20"/>
                <w:szCs w:val="20"/>
              </w:rPr>
            </w:pPr>
            <w:r w:rsidRPr="00D67367">
              <w:rPr>
                <w:rFonts w:cstheme="minorHAnsi"/>
                <w:sz w:val="20"/>
                <w:szCs w:val="20"/>
              </w:rPr>
              <w:t>Firm self-regulation refers to a firm's commitment to control its own conduct beyond what is required by the law (Christmann and Taylor 2006)</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6143040" w14:textId="77777777" w:rsidR="00B75AF8" w:rsidRPr="00D67367" w:rsidRDefault="00B75AF8" w:rsidP="00FB73A5">
            <w:pPr>
              <w:keepLines/>
              <w:rPr>
                <w:rFonts w:cstheme="minorHAnsi"/>
                <w:i/>
                <w:sz w:val="20"/>
                <w:szCs w:val="20"/>
              </w:rPr>
            </w:pPr>
            <w:r w:rsidRPr="00D67367">
              <w:rPr>
                <w:rFonts w:cstheme="minorHAnsi"/>
                <w:i/>
                <w:sz w:val="20"/>
                <w:szCs w:val="20"/>
              </w:rPr>
              <w:t>The self-regulation of single firms, on the other hand, encompasses various voluntary practices of triple-bottom line management, such as applying environmental management systems, developing and implementing company codes of conduct or more comprehensive CSR strategies, reporting on CSR (Post et al. 2002; Halme and Laurila 2008).</w:t>
            </w:r>
          </w:p>
        </w:tc>
      </w:tr>
      <w:tr w:rsidR="00BB1B10" w:rsidRPr="00D67367" w14:paraId="7997E964" w14:textId="77777777" w:rsidTr="00B75AF8">
        <w:trPr>
          <w:trHeight w:val="291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FF732B0"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606CEC"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7F0DFEFF"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3F4B30" w14:textId="4508D631"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E3445C8" w14:textId="77777777" w:rsidR="00B75AF8" w:rsidRPr="00D67367" w:rsidRDefault="00B75AF8" w:rsidP="00FB73A5">
            <w:pPr>
              <w:keepLines/>
              <w:rPr>
                <w:rFonts w:cstheme="minorHAnsi"/>
                <w:sz w:val="20"/>
                <w:szCs w:val="20"/>
              </w:rPr>
            </w:pPr>
            <w:r w:rsidRPr="00D67367">
              <w:rPr>
                <w:rFonts w:cstheme="minorHAnsi"/>
                <w:sz w:val="20"/>
                <w:szCs w:val="20"/>
              </w:rPr>
              <w:t>industry self 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665DF39" w14:textId="77777777" w:rsidR="00B75AF8" w:rsidRPr="00D67367" w:rsidRDefault="00B75AF8" w:rsidP="00FB73A5">
            <w:pPr>
              <w:keepLines/>
              <w:rPr>
                <w:rFonts w:cstheme="minorHAnsi"/>
                <w:sz w:val="20"/>
                <w:szCs w:val="20"/>
              </w:rPr>
            </w:pPr>
            <w:r w:rsidRPr="00D67367">
              <w:rPr>
                <w:rFonts w:cstheme="minorHAnsi"/>
                <w:sz w:val="20"/>
                <w:szCs w:val="20"/>
              </w:rPr>
              <w:t>Industry self-regulation means that a group of major companies or a trade association establishes agreements, standards, codes of conduct or audit programmes that address all firms of a particular industry with varying degrees of formalisation and bindingness.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D31782E" w14:textId="77777777" w:rsidR="00B75AF8" w:rsidRPr="00D67367" w:rsidRDefault="00B75AF8" w:rsidP="00FB73A5">
            <w:pPr>
              <w:keepLines/>
              <w:rPr>
                <w:rFonts w:cstheme="minorHAnsi"/>
                <w:i/>
                <w:sz w:val="20"/>
                <w:szCs w:val="20"/>
              </w:rPr>
            </w:pPr>
            <w:r w:rsidRPr="00D67367">
              <w:rPr>
                <w:rFonts w:cstheme="minorHAnsi"/>
                <w:i/>
                <w:sz w:val="20"/>
                <w:szCs w:val="20"/>
              </w:rPr>
              <w:t>Industry self-regulation means that a group of major companies or a trade association establishes agreements, standards, codes of conduct or audit programmes that address all firms of a particular industry with varying</w:t>
            </w:r>
          </w:p>
          <w:p w14:paraId="2DDC5AE6" w14:textId="77777777" w:rsidR="00B75AF8" w:rsidRPr="00D67367" w:rsidRDefault="00B75AF8" w:rsidP="00FB73A5">
            <w:pPr>
              <w:keepLines/>
              <w:rPr>
                <w:rFonts w:cstheme="minorHAnsi"/>
                <w:i/>
                <w:sz w:val="20"/>
                <w:szCs w:val="20"/>
              </w:rPr>
            </w:pPr>
            <w:r w:rsidRPr="00D67367">
              <w:rPr>
                <w:rFonts w:cstheme="minorHAnsi"/>
                <w:i/>
                <w:sz w:val="20"/>
                <w:szCs w:val="20"/>
              </w:rPr>
              <w:t>degrees of formalisation and bindingness. Although more stringent (or ‘‘hard’’) types of industry self-regulation usually do not force companies to participate, they at least monitor compliance and sanction non-compliance, for example with exclusion from the initiative (Christmann and Taylor 2006; Prakash and Potoski 2007).</w:t>
            </w:r>
          </w:p>
        </w:tc>
      </w:tr>
      <w:tr w:rsidR="00BB1B10" w:rsidRPr="00D67367" w14:paraId="261B7E48" w14:textId="77777777" w:rsidTr="00B75AF8">
        <w:trPr>
          <w:trHeight w:val="150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E1983D"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9A4031"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F70944D"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9D5E16" w14:textId="56FC7DBD"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82F3402" w14:textId="77777777" w:rsidR="00B75AF8" w:rsidRPr="00D67367" w:rsidRDefault="00B75AF8" w:rsidP="00FB73A5">
            <w:pPr>
              <w:keepLines/>
              <w:rPr>
                <w:rFonts w:cstheme="minorHAnsi"/>
                <w:sz w:val="20"/>
                <w:szCs w:val="20"/>
              </w:rPr>
            </w:pPr>
            <w:r w:rsidRPr="00D67367">
              <w:rPr>
                <w:rFonts w:cstheme="minorHAnsi"/>
                <w:sz w:val="20"/>
                <w:szCs w:val="20"/>
              </w:rPr>
              <w:t>private co-regulation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5EAE52D" w14:textId="77777777" w:rsidR="00B75AF8" w:rsidRPr="00D67367" w:rsidRDefault="00B75AF8" w:rsidP="00FB73A5">
            <w:pPr>
              <w:keepLines/>
              <w:rPr>
                <w:rFonts w:cstheme="minorHAnsi"/>
                <w:sz w:val="20"/>
                <w:szCs w:val="20"/>
              </w:rPr>
            </w:pPr>
            <w:r w:rsidRPr="00D67367">
              <w:rPr>
                <w:rFonts w:cstheme="minorHAnsi"/>
                <w:sz w:val="20"/>
                <w:szCs w:val="20"/>
              </w:rPr>
              <w:t>co-regulation by civil society and businesses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F66CEE1" w14:textId="77777777" w:rsidR="00B75AF8" w:rsidRPr="00D67367" w:rsidRDefault="00B75AF8" w:rsidP="00FB73A5">
            <w:pPr>
              <w:widowControl w:val="0"/>
              <w:rPr>
                <w:rFonts w:cstheme="minorHAnsi"/>
                <w:i/>
                <w:sz w:val="20"/>
                <w:szCs w:val="20"/>
              </w:rPr>
            </w:pPr>
            <w:r w:rsidRPr="00D67367">
              <w:rPr>
                <w:rFonts w:cstheme="minorHAnsi"/>
                <w:i/>
                <w:sz w:val="20"/>
                <w:szCs w:val="20"/>
              </w:rPr>
              <w:t>Well-known and extensively researched (not to say iconised) instruments of private co-regulation involving civil society actors and businesses are voluntary certification schemes such as the Forest Stewardship Council (Cashore and Vertinsky 2000; Cashore 2002) and the Marine Stewardship Council (Cummins 2004).</w:t>
            </w:r>
          </w:p>
        </w:tc>
      </w:tr>
      <w:tr w:rsidR="00BB1B10" w:rsidRPr="00D67367" w14:paraId="44B4043F" w14:textId="77777777" w:rsidTr="00B75AF8">
        <w:trPr>
          <w:trHeight w:val="117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7C86341"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D9478F3"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59B2D01F"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F0CEEE" w14:textId="0CF6233F" w:rsidR="00B75AF8" w:rsidRPr="00D67367" w:rsidRDefault="00B75AF8" w:rsidP="00FB73A5">
            <w:pPr>
              <w:keepLines/>
              <w:jc w:val="right"/>
              <w:rPr>
                <w:rFonts w:cstheme="minorHAnsi"/>
                <w:sz w:val="20"/>
                <w:szCs w:val="20"/>
              </w:rPr>
            </w:pPr>
            <w:r w:rsidRPr="00D67367">
              <w:rPr>
                <w:rFonts w:cstheme="minorHAnsi"/>
                <w:sz w:val="20"/>
                <w:szCs w:val="20"/>
              </w:rPr>
              <w:t>3</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3F5355" w14:textId="77777777" w:rsidR="00B75AF8" w:rsidRPr="00D67367" w:rsidRDefault="00B75AF8" w:rsidP="00FB73A5">
            <w:pPr>
              <w:keepLines/>
              <w:rPr>
                <w:rFonts w:cstheme="minorHAnsi"/>
                <w:sz w:val="20"/>
                <w:szCs w:val="20"/>
              </w:rPr>
            </w:pPr>
            <w:r w:rsidRPr="00D67367">
              <w:rPr>
                <w:rFonts w:cstheme="minorHAnsi"/>
                <w:sz w:val="20"/>
                <w:szCs w:val="20"/>
              </w:rPr>
              <w:t>public co-regulation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06CB9AB" w14:textId="77777777" w:rsidR="00B75AF8" w:rsidRPr="00D67367" w:rsidRDefault="00B75AF8" w:rsidP="00FB73A5">
            <w:pPr>
              <w:keepLines/>
              <w:rPr>
                <w:rFonts w:cstheme="minorHAnsi"/>
                <w:sz w:val="20"/>
                <w:szCs w:val="20"/>
              </w:rPr>
            </w:pPr>
            <w:r w:rsidRPr="00D67367">
              <w:rPr>
                <w:rFonts w:cstheme="minorHAnsi"/>
                <w:sz w:val="20"/>
                <w:szCs w:val="20"/>
              </w:rPr>
              <w:t>co-regulation between governments and businesses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161BD481" w14:textId="77777777" w:rsidR="00B75AF8" w:rsidRPr="00D67367" w:rsidRDefault="00B75AF8" w:rsidP="00FB73A5">
            <w:pPr>
              <w:widowControl w:val="0"/>
              <w:rPr>
                <w:rFonts w:cstheme="minorHAnsi"/>
                <w:i/>
                <w:sz w:val="20"/>
                <w:szCs w:val="20"/>
              </w:rPr>
            </w:pPr>
            <w:r w:rsidRPr="00D67367">
              <w:rPr>
                <w:rFonts w:cstheme="minorHAnsi"/>
                <w:i/>
                <w:sz w:val="20"/>
                <w:szCs w:val="20"/>
              </w:rPr>
              <w:t xml:space="preserve">Apart from partnerships and certification schemes, public co-regulation between governments and businesses also relies strongly on negotiated environmental agreements (for the numerous examples in the Netherlands, see </w:t>
            </w:r>
            <w:r w:rsidRPr="00D67367">
              <w:rPr>
                <w:rFonts w:cstheme="minorHAnsi"/>
                <w:i/>
                <w:sz w:val="20"/>
                <w:szCs w:val="20"/>
              </w:rPr>
              <w:lastRenderedPageBreak/>
              <w:t>Bressers et al. 2009).</w:t>
            </w:r>
          </w:p>
        </w:tc>
      </w:tr>
      <w:tr w:rsidR="00BB1B10" w:rsidRPr="00D67367" w14:paraId="7C6715D8" w14:textId="77777777" w:rsidTr="00B75AF8">
        <w:trPr>
          <w:trHeight w:val="208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913C53F"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82CBFE"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D57664C"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2D89B67" w14:textId="3BE723DB" w:rsidR="00B75AF8" w:rsidRPr="00D67367" w:rsidRDefault="00B75AF8" w:rsidP="00FB73A5">
            <w:pPr>
              <w:keepLines/>
              <w:jc w:val="right"/>
              <w:rPr>
                <w:rFonts w:cstheme="minorHAnsi"/>
                <w:sz w:val="20"/>
                <w:szCs w:val="20"/>
              </w:rPr>
            </w:pPr>
            <w:r w:rsidRPr="00D67367">
              <w:rPr>
                <w:rFonts w:cstheme="minorHAnsi"/>
                <w:sz w:val="20"/>
                <w:szCs w:val="20"/>
              </w:rPr>
              <w:t>4</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ACE86E0" w14:textId="77777777" w:rsidR="00B75AF8" w:rsidRPr="00D67367" w:rsidRDefault="00B75AF8" w:rsidP="00FB73A5">
            <w:pPr>
              <w:keepLines/>
              <w:rPr>
                <w:rFonts w:cstheme="minorHAnsi"/>
                <w:sz w:val="20"/>
                <w:szCs w:val="20"/>
              </w:rPr>
            </w:pPr>
            <w:r w:rsidRPr="00D67367">
              <w:rPr>
                <w:rFonts w:cstheme="minorHAnsi"/>
                <w:sz w:val="20"/>
                <w:szCs w:val="20"/>
              </w:rPr>
              <w:t>tripartite co-regulation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0190BA7" w14:textId="77777777" w:rsidR="00B75AF8" w:rsidRPr="00D67367" w:rsidRDefault="00B75AF8" w:rsidP="00FB73A5">
            <w:pPr>
              <w:keepLines/>
              <w:rPr>
                <w:rFonts w:cstheme="minorHAnsi"/>
                <w:sz w:val="20"/>
                <w:szCs w:val="20"/>
              </w:rPr>
            </w:pPr>
            <w:r w:rsidRPr="00D67367">
              <w:rPr>
                <w:rFonts w:cstheme="minorHAnsi"/>
                <w:sz w:val="20"/>
                <w:szCs w:val="20"/>
              </w:rPr>
              <w:t>actors from all three societal domains (civil, business, governments) engage in co-regulation</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BE0DC0F" w14:textId="77777777" w:rsidR="00B75AF8" w:rsidRPr="00D67367" w:rsidRDefault="00B75AF8" w:rsidP="00FB73A5">
            <w:pPr>
              <w:keepLines/>
              <w:rPr>
                <w:rFonts w:cstheme="minorHAnsi"/>
                <w:i/>
                <w:sz w:val="20"/>
                <w:szCs w:val="20"/>
              </w:rPr>
            </w:pPr>
            <w:r w:rsidRPr="00D67367">
              <w:rPr>
                <w:rFonts w:cstheme="minorHAnsi"/>
                <w:i/>
                <w:sz w:val="20"/>
                <w:szCs w:val="20"/>
              </w:rPr>
              <w:t>Examples for tripartite co-regulation defined by actors from all three societal domains are the Kimberley Process CS that certifies diamonds that have been produced in socially responsible ways (Wright 2004; Yaziji and Doh 2009,162–165), standards or guidelines such as the Global Reporting Initiative (GRI), which guides CSR reporting (Brown et al. 2009),13 the UN Principles for Responsible Investment (PRI) (Sandberg et al. 2009) and the ISO 26000 guideline for social responsibility (Ward 2011).</w:t>
            </w:r>
          </w:p>
        </w:tc>
      </w:tr>
      <w:tr w:rsidR="00BB1B10" w:rsidRPr="00D67367" w14:paraId="5B3A6747" w14:textId="77777777" w:rsidTr="00B75AF8">
        <w:trPr>
          <w:trHeight w:val="198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BDFCFA"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9EBFE3"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417D9F46"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D3442BA" w14:textId="0CFC2E01" w:rsidR="00B75AF8" w:rsidRPr="00D67367" w:rsidRDefault="00B75AF8" w:rsidP="00FB73A5">
            <w:pPr>
              <w:keepLines/>
              <w:jc w:val="right"/>
              <w:rPr>
                <w:rFonts w:cstheme="minorHAnsi"/>
                <w:sz w:val="20"/>
                <w:szCs w:val="20"/>
              </w:rPr>
            </w:pPr>
            <w:r w:rsidRPr="00D67367">
              <w:rPr>
                <w:rFonts w:cstheme="minorHAnsi"/>
                <w:sz w:val="20"/>
                <w:szCs w:val="20"/>
              </w:rPr>
              <w:t>5</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F0BC8E" w14:textId="77777777" w:rsidR="00B75AF8" w:rsidRPr="00D67367" w:rsidRDefault="00B75AF8" w:rsidP="00FB73A5">
            <w:pPr>
              <w:keepLines/>
              <w:rPr>
                <w:rFonts w:cstheme="minorHAnsi"/>
                <w:sz w:val="20"/>
                <w:szCs w:val="20"/>
              </w:rPr>
            </w:pPr>
            <w:r w:rsidRPr="00D67367">
              <w:rPr>
                <w:rFonts w:cstheme="minorHAnsi"/>
                <w:sz w:val="20"/>
                <w:szCs w:val="20"/>
              </w:rPr>
              <w:t>Soft government 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67E451E" w14:textId="77777777" w:rsidR="00B75AF8" w:rsidRPr="00D67367" w:rsidRDefault="00B75AF8" w:rsidP="00FB73A5">
            <w:pPr>
              <w:keepLines/>
              <w:rPr>
                <w:rFonts w:cstheme="minorHAnsi"/>
                <w:sz w:val="20"/>
                <w:szCs w:val="20"/>
              </w:rPr>
            </w:pPr>
            <w:r w:rsidRPr="00D67367">
              <w:rPr>
                <w:rFonts w:cstheme="minorHAnsi"/>
                <w:sz w:val="20"/>
                <w:szCs w:val="20"/>
              </w:rPr>
              <w:t>Soft government regulation suggests (or facilitates) certain behaviours politically rather than prescribing and enforcing them legally with sanctions (Morth 2004b, 1–6).</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52E45DA" w14:textId="77777777" w:rsidR="00B75AF8" w:rsidRPr="00D67367" w:rsidRDefault="00B75AF8" w:rsidP="00FB73A5">
            <w:pPr>
              <w:keepLines/>
              <w:rPr>
                <w:rFonts w:cstheme="minorHAnsi"/>
                <w:i/>
                <w:sz w:val="20"/>
                <w:szCs w:val="20"/>
              </w:rPr>
            </w:pPr>
            <w:r w:rsidRPr="00D67367">
              <w:rPr>
                <w:rFonts w:cstheme="minorHAnsi"/>
                <w:i/>
                <w:sz w:val="20"/>
                <w:szCs w:val="20"/>
              </w:rPr>
              <w:t>examples: Organisation in the form of monitoring and benchmarking capacities or as a means to lead by example, fiscal means (economic incentives)  dorsing statements, benchmarking reports, brochures, guidelines, websites and media campaigns [...] In addition, soft governmental regulation can also make use of hybrid instruments such as labels (combining legal, informational and economic incentive aspects) and public voluntary programmes (often combining informational and economic incentive aspects; for more details, see Steurer 2010).</w:t>
            </w:r>
          </w:p>
        </w:tc>
      </w:tr>
      <w:tr w:rsidR="00BB1B10" w:rsidRPr="00D67367" w14:paraId="579C2D04" w14:textId="77777777" w:rsidTr="00B75AF8">
        <w:trPr>
          <w:trHeight w:val="300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A98F9A3"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ADE32C"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35AE6D29"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F0B33F" w14:textId="0B542224" w:rsidR="00B75AF8" w:rsidRPr="00D67367" w:rsidRDefault="00B75AF8" w:rsidP="00FB73A5">
            <w:pPr>
              <w:keepLines/>
              <w:jc w:val="right"/>
              <w:rPr>
                <w:rFonts w:cstheme="minorHAnsi"/>
                <w:sz w:val="20"/>
                <w:szCs w:val="20"/>
              </w:rPr>
            </w:pPr>
            <w:r w:rsidRPr="00D67367">
              <w:rPr>
                <w:rFonts w:cstheme="minorHAnsi"/>
                <w:sz w:val="20"/>
                <w:szCs w:val="20"/>
              </w:rPr>
              <w:t>6</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31974CB" w14:textId="77777777" w:rsidR="00B75AF8" w:rsidRPr="00D67367" w:rsidRDefault="00B75AF8" w:rsidP="00FB73A5">
            <w:pPr>
              <w:keepLines/>
              <w:rPr>
                <w:rFonts w:cstheme="minorHAnsi"/>
                <w:sz w:val="20"/>
                <w:szCs w:val="20"/>
              </w:rPr>
            </w:pPr>
            <w:r w:rsidRPr="00D67367">
              <w:rPr>
                <w:rFonts w:cstheme="minorHAnsi"/>
                <w:sz w:val="20"/>
                <w:szCs w:val="20"/>
              </w:rPr>
              <w:t>Hard government regulation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2A261CB" w14:textId="77777777" w:rsidR="00B75AF8" w:rsidRPr="00D67367" w:rsidRDefault="00B75AF8" w:rsidP="00FB73A5">
            <w:pPr>
              <w:keepLines/>
              <w:rPr>
                <w:rFonts w:cstheme="minorHAnsi"/>
                <w:sz w:val="20"/>
                <w:szCs w:val="20"/>
              </w:rPr>
            </w:pPr>
            <w:r w:rsidRPr="00D67367">
              <w:rPr>
                <w:rFonts w:cstheme="minorHAnsi"/>
                <w:sz w:val="20"/>
                <w:szCs w:val="20"/>
              </w:rPr>
              <w:t>Hard regulation means that legislatures, ministries or public agencies define rules that are binding for all (or for all members of a particular group) and that the executive and judicial branches of government (or the agencies themselves) monitor and enforce compliance.</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4A8E7E9D" w14:textId="77777777" w:rsidR="00B75AF8" w:rsidRPr="00D67367" w:rsidRDefault="00B75AF8" w:rsidP="00FB73A5">
            <w:pPr>
              <w:keepLines/>
              <w:rPr>
                <w:rFonts w:cstheme="minorHAnsi"/>
                <w:i/>
                <w:sz w:val="20"/>
                <w:szCs w:val="20"/>
              </w:rPr>
            </w:pPr>
            <w:r w:rsidRPr="00D67367">
              <w:rPr>
                <w:rFonts w:cstheme="minorHAnsi"/>
                <w:i/>
                <w:sz w:val="20"/>
                <w:szCs w:val="20"/>
              </w:rPr>
              <w:t>Hard regulation means that legislatures, ministries or public agencies define rules that are binding for all (or for all members of a particular group) and that the executive and judicial branches of government (or the agencies themselves) monitor and enforce compliance. The obvious tools of hard governmental regulation are laws, decrees or (in the EU context) directives (metaphorically also referred to as ‘‘sticks’’) and, less obvious, economic instruments (also referred to as ‘‘carrots’’) such as taxes, fees and cap-and-trade schemes (Hood 1986).</w:t>
            </w:r>
          </w:p>
        </w:tc>
      </w:tr>
      <w:tr w:rsidR="00BB1B10" w:rsidRPr="00D67367" w14:paraId="14C3E17A" w14:textId="77777777" w:rsidTr="00B75AF8">
        <w:trPr>
          <w:trHeight w:val="837"/>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D77E672"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Sustainability definition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BD05DC9" w14:textId="7411CF20" w:rsidR="00B75AF8" w:rsidRPr="00D67367" w:rsidRDefault="00B75AF8" w:rsidP="00FB73A5">
            <w:pPr>
              <w:keepLines/>
              <w:rPr>
                <w:rFonts w:cstheme="minorHAnsi"/>
                <w:sz w:val="20"/>
                <w:szCs w:val="20"/>
              </w:rPr>
            </w:pPr>
            <w:r w:rsidRPr="00D67367">
              <w:rPr>
                <w:rFonts w:cstheme="minorHAnsi"/>
                <w:sz w:val="20"/>
                <w:szCs w:val="20"/>
              </w:rPr>
              <w:t xml:space="preserve">SDG report, citing </w:t>
            </w:r>
            <w:r w:rsidRPr="00D82287">
              <w:rPr>
                <w:rFonts w:cstheme="minorHAnsi"/>
                <w:sz w:val="20"/>
                <w:szCs w:val="20"/>
              </w:rPr>
              <w:t>(Mancebo, 2013)</w:t>
            </w:r>
          </w:p>
        </w:tc>
        <w:tc>
          <w:tcPr>
            <w:tcW w:w="0" w:type="auto"/>
            <w:tcBorders>
              <w:top w:val="single" w:sz="8" w:space="0" w:color="FFFFFF"/>
              <w:left w:val="single" w:sz="8" w:space="0" w:color="FFFFFF"/>
              <w:bottom w:val="single" w:sz="8" w:space="0" w:color="FFFFFF"/>
              <w:right w:val="single" w:sz="8" w:space="0" w:color="FFFFFF"/>
            </w:tcBorders>
          </w:tcPr>
          <w:p w14:paraId="00838C3E" w14:textId="299B42C0" w:rsidR="00B75AF8" w:rsidRPr="00D67367" w:rsidRDefault="00994B19" w:rsidP="002F449B">
            <w:pPr>
              <w:keepLines/>
              <w:rPr>
                <w:rFonts w:cstheme="minorHAnsi"/>
                <w:sz w:val="20"/>
                <w:szCs w:val="20"/>
              </w:rPr>
            </w:pPr>
            <w:r w:rsidRPr="00D67367">
              <w:rPr>
                <w:rFonts w:cstheme="minorHAnsi"/>
                <w:sz w:val="20"/>
                <w:szCs w:val="20"/>
              </w:rPr>
              <w:t xml:space="preserve">Strong sustainability is more aligned with fundamental system changes.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3AAAE9B" w14:textId="7F9E8C91"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F927D4" w14:textId="77777777" w:rsidR="00B75AF8" w:rsidRPr="00D67367" w:rsidRDefault="00B75AF8" w:rsidP="00FB73A5">
            <w:pPr>
              <w:keepLines/>
              <w:rPr>
                <w:rFonts w:cstheme="minorHAnsi"/>
                <w:sz w:val="20"/>
                <w:szCs w:val="20"/>
              </w:rPr>
            </w:pPr>
            <w:r w:rsidRPr="00D67367">
              <w:rPr>
                <w:rFonts w:cstheme="minorHAnsi"/>
                <w:sz w:val="20"/>
                <w:szCs w:val="20"/>
              </w:rPr>
              <w:t>weak</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279E0B6" w14:textId="77777777" w:rsidR="00B75AF8" w:rsidRPr="00D67367" w:rsidRDefault="00B75AF8" w:rsidP="00FB73A5">
            <w:pPr>
              <w:keepLines/>
              <w:rPr>
                <w:rFonts w:cstheme="minorHAnsi"/>
                <w:sz w:val="20"/>
                <w:szCs w:val="20"/>
              </w:rPr>
            </w:pPr>
            <w:r w:rsidRPr="00D67367">
              <w:rPr>
                <w:rFonts w:cstheme="minorHAnsi"/>
                <w:sz w:val="20"/>
                <w:szCs w:val="20"/>
              </w:rPr>
              <w:t>substitution of natural capital with - more technical approach</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8AE60C9" w14:textId="77777777" w:rsidR="00B75AF8" w:rsidRPr="00D67367" w:rsidRDefault="00B75AF8" w:rsidP="00FB73A5">
            <w:pPr>
              <w:keepLines/>
              <w:rPr>
                <w:rFonts w:cstheme="minorHAnsi"/>
                <w:i/>
                <w:sz w:val="20"/>
                <w:szCs w:val="20"/>
              </w:rPr>
            </w:pPr>
            <w:r w:rsidRPr="00D67367">
              <w:rPr>
                <w:rFonts w:cstheme="minorHAnsi"/>
                <w:i/>
                <w:sz w:val="20"/>
                <w:szCs w:val="20"/>
              </w:rPr>
              <w:t>Weak sustainability assumes that natural capital and manufactured capital are essentially substitutable and considers that there are no essential differences between the kinds of well-being they generate (Ekins et al., 2003; Neumayer, 2003; Neumayer, 2012)</w:t>
            </w:r>
          </w:p>
        </w:tc>
      </w:tr>
      <w:tr w:rsidR="00BB1B10" w:rsidRPr="00D67367" w14:paraId="28B2B2C6" w14:textId="77777777" w:rsidTr="00B75AF8">
        <w:trPr>
          <w:trHeight w:val="2197"/>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ADD2B9"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79CF08"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F5D43EF"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8085F37" w14:textId="51A7D9D9"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4399DBF" w14:textId="77777777" w:rsidR="00B75AF8" w:rsidRPr="00D67367" w:rsidRDefault="00B75AF8" w:rsidP="00FB73A5">
            <w:pPr>
              <w:keepLines/>
              <w:rPr>
                <w:rFonts w:cstheme="minorHAnsi"/>
                <w:sz w:val="20"/>
                <w:szCs w:val="20"/>
              </w:rPr>
            </w:pPr>
            <w:r w:rsidRPr="00D67367">
              <w:rPr>
                <w:rFonts w:cstheme="minorHAnsi"/>
                <w:sz w:val="20"/>
                <w:szCs w:val="20"/>
              </w:rPr>
              <w:t>strong</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16556EB" w14:textId="77777777" w:rsidR="00B75AF8" w:rsidRPr="00D67367" w:rsidRDefault="00B75AF8" w:rsidP="00FB73A5">
            <w:pPr>
              <w:keepLines/>
              <w:rPr>
                <w:rFonts w:cstheme="minorHAnsi"/>
                <w:sz w:val="20"/>
                <w:szCs w:val="20"/>
              </w:rPr>
            </w:pPr>
            <w:r w:rsidRPr="00D67367">
              <w:rPr>
                <w:rFonts w:cstheme="minorHAnsi"/>
                <w:sz w:val="20"/>
                <w:szCs w:val="20"/>
              </w:rPr>
              <w:t>non-substitutability - more scientific approach</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6670189" w14:textId="636E3C93" w:rsidR="00B75AF8" w:rsidRPr="00D67367" w:rsidRDefault="00B75AF8" w:rsidP="00994B19">
            <w:pPr>
              <w:keepLines/>
              <w:rPr>
                <w:rFonts w:cstheme="minorHAnsi"/>
                <w:i/>
                <w:sz w:val="20"/>
                <w:szCs w:val="20"/>
              </w:rPr>
            </w:pPr>
            <w:r w:rsidRPr="00D67367">
              <w:rPr>
                <w:rFonts w:cstheme="minorHAnsi"/>
                <w:i/>
                <w:sz w:val="20"/>
                <w:szCs w:val="20"/>
              </w:rPr>
              <w:t>Authors writing on strong sustainability demonstrate that natural capital</w:t>
            </w:r>
            <w:r w:rsidR="00994B19" w:rsidRPr="00D67367">
              <w:rPr>
                <w:rFonts w:cstheme="minorHAnsi"/>
                <w:i/>
                <w:sz w:val="20"/>
                <w:szCs w:val="20"/>
              </w:rPr>
              <w:t xml:space="preserve"> cannot be viewed as a mere stock of resources. Rather natural capital is a set of complex systems consisting of evolving biotic and abiotic elements that interact in ways that determine the ecosystem’s capacity to provide human society directly and/or indirectly with a wide array of functions and services (Noël and O’Connor, 1998; Ekins et al., 2003; De Groot et al., 2003; Brand, 2009). The proponents of strong sustainability invoke several reasons to demonstrate the nonsubstitutability of natural capital.</w:t>
            </w:r>
          </w:p>
        </w:tc>
      </w:tr>
      <w:tr w:rsidR="00BB1B10" w:rsidRPr="00D67367" w14:paraId="4FBF3A5A" w14:textId="77777777" w:rsidTr="00B75AF8">
        <w:trPr>
          <w:trHeight w:val="57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A810CC6" w14:textId="77777777" w:rsidR="00B75AF8" w:rsidRPr="00D67367" w:rsidRDefault="00B75AF8" w:rsidP="00FB73A5">
            <w:pPr>
              <w:keepLines/>
              <w:rPr>
                <w:rFonts w:cstheme="minorHAnsi"/>
                <w:b/>
                <w:sz w:val="20"/>
                <w:szCs w:val="20"/>
              </w:rPr>
            </w:pPr>
            <w:r w:rsidRPr="00D67367">
              <w:rPr>
                <w:rFonts w:cstheme="minorHAnsi"/>
                <w:b/>
                <w:sz w:val="20"/>
                <w:szCs w:val="20"/>
              </w:rPr>
              <w:t>Geographical scale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3D406A1" w14:textId="58287560" w:rsidR="00B75AF8" w:rsidRPr="00D67367" w:rsidRDefault="003667C5" w:rsidP="00FB73A5">
            <w:pPr>
              <w:keepLines/>
              <w:rPr>
                <w:rFonts w:cstheme="minorHAnsi"/>
                <w:sz w:val="20"/>
                <w:szCs w:val="20"/>
              </w:rPr>
            </w:pPr>
            <w:r w:rsidRPr="00D67367">
              <w:rPr>
                <w:rFonts w:cstheme="minorHAnsi"/>
                <w:sz w:val="20"/>
                <w:szCs w:val="20"/>
              </w:rPr>
              <w:t xml:space="preserve">Own interpretation </w:t>
            </w:r>
          </w:p>
        </w:tc>
        <w:tc>
          <w:tcPr>
            <w:tcW w:w="0" w:type="auto"/>
            <w:tcBorders>
              <w:top w:val="single" w:sz="8" w:space="0" w:color="FFFFFF"/>
              <w:left w:val="single" w:sz="8" w:space="0" w:color="FFFFFF"/>
              <w:bottom w:val="single" w:sz="8" w:space="0" w:color="FFFFFF"/>
              <w:right w:val="single" w:sz="8" w:space="0" w:color="FFFFFF"/>
            </w:tcBorders>
          </w:tcPr>
          <w:p w14:paraId="39E3A969" w14:textId="4F65048B" w:rsidR="00B75AF8" w:rsidRPr="00D67367" w:rsidRDefault="00BF6976" w:rsidP="002F449B">
            <w:pPr>
              <w:keepLines/>
              <w:rPr>
                <w:rFonts w:cstheme="minorHAnsi"/>
                <w:sz w:val="20"/>
                <w:szCs w:val="20"/>
              </w:rPr>
            </w:pPr>
            <w:r w:rsidRPr="00D67367">
              <w:rPr>
                <w:rFonts w:cstheme="minorHAnsi"/>
                <w:sz w:val="20"/>
                <w:szCs w:val="20"/>
              </w:rPr>
              <w:t>The more geographical scales the coalition works on, the higher the information flow and coordination between scales.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0F549D" w14:textId="2803EE8F"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2DC3C1" w14:textId="77777777" w:rsidR="00B75AF8" w:rsidRPr="00D67367" w:rsidRDefault="00B75AF8" w:rsidP="00FB73A5">
            <w:pPr>
              <w:keepLines/>
              <w:rPr>
                <w:rFonts w:cstheme="minorHAnsi"/>
                <w:sz w:val="20"/>
                <w:szCs w:val="20"/>
              </w:rPr>
            </w:pPr>
            <w:r w:rsidRPr="00D67367">
              <w:rPr>
                <w:rFonts w:cstheme="minorHAnsi"/>
                <w:sz w:val="20"/>
                <w:szCs w:val="20"/>
              </w:rPr>
              <w:t>local</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9BBB035" w14:textId="77777777" w:rsidR="00B75AF8" w:rsidRPr="00D67367" w:rsidRDefault="00B75AF8" w:rsidP="00FB73A5">
            <w:pPr>
              <w:keepLines/>
              <w:rPr>
                <w:rFonts w:cstheme="minorHAnsi"/>
                <w:sz w:val="20"/>
                <w:szCs w:val="20"/>
              </w:rPr>
            </w:pPr>
            <w:r w:rsidRPr="00D67367">
              <w:rPr>
                <w:rFonts w:cstheme="minorHAnsi"/>
                <w:sz w:val="20"/>
                <w:szCs w:val="20"/>
              </w:rPr>
              <w:t>Only local work</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4063CD13" w14:textId="77777777" w:rsidR="00B75AF8" w:rsidRPr="00D67367" w:rsidRDefault="00B75AF8" w:rsidP="00FB73A5">
            <w:pPr>
              <w:keepLines/>
              <w:rPr>
                <w:rFonts w:cstheme="minorHAnsi"/>
                <w:i/>
                <w:sz w:val="20"/>
                <w:szCs w:val="20"/>
              </w:rPr>
            </w:pPr>
          </w:p>
        </w:tc>
      </w:tr>
      <w:tr w:rsidR="00BB1B10" w:rsidRPr="00D67367" w14:paraId="605B6E33" w14:textId="77777777" w:rsidTr="00B75AF8">
        <w:trPr>
          <w:trHeight w:val="55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62E7079"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9DD3BB" w14:textId="77777777" w:rsidR="00B75AF8" w:rsidRPr="00D67367" w:rsidRDefault="00B75AF8" w:rsidP="00FB73A5">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4DA83037"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7D09DDA" w14:textId="6DE6E33B"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94483D8" w14:textId="77777777" w:rsidR="00B75AF8" w:rsidRPr="00D67367" w:rsidRDefault="00B75AF8" w:rsidP="00FB73A5">
            <w:pPr>
              <w:keepLines/>
              <w:rPr>
                <w:rFonts w:cstheme="minorHAnsi"/>
                <w:sz w:val="20"/>
                <w:szCs w:val="20"/>
              </w:rPr>
            </w:pPr>
            <w:r w:rsidRPr="00D67367">
              <w:rPr>
                <w:rFonts w:cstheme="minorHAnsi"/>
                <w:sz w:val="20"/>
                <w:szCs w:val="20"/>
              </w:rPr>
              <w:t>international</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482D288" w14:textId="77777777" w:rsidR="00B75AF8" w:rsidRPr="00D67367" w:rsidRDefault="00B75AF8" w:rsidP="00FB73A5">
            <w:pPr>
              <w:keepLines/>
              <w:rPr>
                <w:rFonts w:cstheme="minorHAnsi"/>
                <w:sz w:val="20"/>
                <w:szCs w:val="20"/>
              </w:rPr>
            </w:pPr>
            <w:r w:rsidRPr="00D67367">
              <w:rPr>
                <w:rFonts w:cstheme="minorHAnsi"/>
                <w:sz w:val="20"/>
                <w:szCs w:val="20"/>
              </w:rPr>
              <w:t xml:space="preserve">Only international work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19D375D0" w14:textId="77777777" w:rsidR="00B75AF8" w:rsidRPr="00D67367" w:rsidRDefault="00B75AF8" w:rsidP="00FB73A5">
            <w:pPr>
              <w:keepLines/>
              <w:rPr>
                <w:rFonts w:cstheme="minorHAnsi"/>
                <w:i/>
                <w:sz w:val="20"/>
                <w:szCs w:val="20"/>
              </w:rPr>
            </w:pPr>
          </w:p>
        </w:tc>
      </w:tr>
      <w:tr w:rsidR="00BB1B10" w:rsidRPr="00D67367" w14:paraId="7DA4CEB0" w14:textId="77777777" w:rsidTr="00B75AF8">
        <w:trPr>
          <w:trHeight w:val="72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9F78DD"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6EC8410" w14:textId="77777777" w:rsidR="00B75AF8" w:rsidRPr="00D67367" w:rsidRDefault="00B75AF8" w:rsidP="00FB73A5">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07FC921F"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93221F" w14:textId="484E8978"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90BD9A" w14:textId="77777777" w:rsidR="00B75AF8" w:rsidRPr="00D67367" w:rsidRDefault="00B75AF8" w:rsidP="00FB73A5">
            <w:pPr>
              <w:keepLines/>
              <w:rPr>
                <w:rFonts w:cstheme="minorHAnsi"/>
                <w:sz w:val="20"/>
                <w:szCs w:val="20"/>
              </w:rPr>
            </w:pPr>
            <w:r w:rsidRPr="00D67367">
              <w:rPr>
                <w:rFonts w:cstheme="minorHAnsi"/>
                <w:sz w:val="20"/>
                <w:szCs w:val="20"/>
              </w:rPr>
              <w:t>cross-scale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0C69B94" w14:textId="77777777" w:rsidR="00B75AF8" w:rsidRPr="00D67367" w:rsidRDefault="00B75AF8" w:rsidP="00FB73A5">
            <w:pPr>
              <w:keepLines/>
              <w:rPr>
                <w:rFonts w:cstheme="minorHAnsi"/>
                <w:sz w:val="20"/>
                <w:szCs w:val="20"/>
              </w:rPr>
            </w:pPr>
            <w:r w:rsidRPr="00D67367">
              <w:rPr>
                <w:rFonts w:cstheme="minorHAnsi"/>
                <w:sz w:val="20"/>
                <w:szCs w:val="20"/>
              </w:rPr>
              <w:t xml:space="preserve">Both local and international work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E4B666B" w14:textId="77777777" w:rsidR="00B75AF8" w:rsidRPr="00D67367" w:rsidRDefault="00B75AF8" w:rsidP="00FB73A5">
            <w:pPr>
              <w:keepLines/>
              <w:rPr>
                <w:rFonts w:cstheme="minorHAnsi"/>
                <w:i/>
                <w:sz w:val="20"/>
                <w:szCs w:val="20"/>
              </w:rPr>
            </w:pPr>
          </w:p>
        </w:tc>
      </w:tr>
      <w:tr w:rsidR="00BB1B10" w:rsidRPr="00D67367" w14:paraId="23ADCC31" w14:textId="77777777" w:rsidTr="00B75AF8">
        <w:trPr>
          <w:trHeight w:val="2197"/>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69A4281" w14:textId="77777777" w:rsidR="00B75AF8" w:rsidRPr="00D67367" w:rsidRDefault="00B75AF8" w:rsidP="00FB73A5">
            <w:pPr>
              <w:keepLines/>
              <w:rPr>
                <w:rFonts w:cstheme="minorHAnsi"/>
                <w:b/>
                <w:sz w:val="20"/>
                <w:szCs w:val="20"/>
              </w:rPr>
            </w:pPr>
            <w:r w:rsidRPr="00D67367">
              <w:rPr>
                <w:rFonts w:cstheme="minorHAnsi"/>
                <w:b/>
                <w:sz w:val="20"/>
                <w:szCs w:val="20"/>
              </w:rPr>
              <w:t xml:space="preserve">Diversity of actors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F61F69" w14:textId="5D31A77C" w:rsidR="00B75AF8" w:rsidRPr="00D67367" w:rsidRDefault="00B75AF8" w:rsidP="00FB73A5">
            <w:pPr>
              <w:keepLines/>
              <w:rPr>
                <w:rFonts w:cstheme="minorHAnsi"/>
                <w:sz w:val="20"/>
                <w:szCs w:val="20"/>
              </w:rPr>
            </w:pPr>
            <w:r w:rsidRPr="00D67367">
              <w:rPr>
                <w:rFonts w:cstheme="minorHAnsi"/>
                <w:sz w:val="20"/>
                <w:szCs w:val="20"/>
              </w:rPr>
              <w:t xml:space="preserve">modified from </w:t>
            </w:r>
            <w:r w:rsidRPr="00D67367">
              <w:rPr>
                <w:rFonts w:cstheme="minorHAnsi"/>
                <w:i/>
                <w:sz w:val="20"/>
                <w:szCs w:val="20"/>
              </w:rPr>
              <w:t>Cranfield Taxonomy (2014)</w:t>
            </w:r>
          </w:p>
        </w:tc>
        <w:tc>
          <w:tcPr>
            <w:tcW w:w="0" w:type="auto"/>
            <w:tcBorders>
              <w:top w:val="single" w:sz="8" w:space="0" w:color="FFFFFF"/>
              <w:left w:val="single" w:sz="8" w:space="0" w:color="FFFFFF"/>
              <w:bottom w:val="single" w:sz="8" w:space="0" w:color="FFFFFF"/>
              <w:right w:val="single" w:sz="8" w:space="0" w:color="FFFFFF"/>
            </w:tcBorders>
          </w:tcPr>
          <w:p w14:paraId="2C76D72A" w14:textId="640382A3" w:rsidR="00B75AF8" w:rsidRPr="00D67367" w:rsidRDefault="00E76EF0" w:rsidP="00B75AF8">
            <w:pPr>
              <w:keepLines/>
              <w:rPr>
                <w:rFonts w:cstheme="minorHAnsi"/>
                <w:sz w:val="20"/>
                <w:szCs w:val="20"/>
              </w:rPr>
            </w:pPr>
            <w:r w:rsidRPr="00D67367">
              <w:rPr>
                <w:rFonts w:cstheme="minorHAnsi"/>
                <w:sz w:val="20"/>
                <w:szCs w:val="20"/>
              </w:rPr>
              <w:t>In general, a high diversity of actors, ways of thinking and doing is a precondition for innovation/novelty, which is especially needed in experimenting when building new systems.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B1FE319" w14:textId="7F7E5459" w:rsidR="00B75AF8" w:rsidRPr="00D67367" w:rsidRDefault="00B75AF8" w:rsidP="00FB73A5">
            <w:pPr>
              <w:keepLines/>
              <w:rPr>
                <w:rFonts w:cstheme="minorHAnsi"/>
                <w:sz w:val="20"/>
                <w:szCs w:val="20"/>
              </w:rPr>
            </w:pPr>
            <w:r w:rsidRPr="00D67367">
              <w:rPr>
                <w:rFonts w:cstheme="minorHAnsi"/>
                <w:sz w:val="20"/>
                <w:szCs w:val="20"/>
              </w:rPr>
              <w:t xml:space="preserve"># types of actors </w:t>
            </w:r>
          </w:p>
          <w:p w14:paraId="51581BC2" w14:textId="77777777" w:rsidR="00B75AF8" w:rsidRPr="00D67367" w:rsidRDefault="00B75AF8" w:rsidP="00FB73A5">
            <w:pPr>
              <w:keepLines/>
              <w:jc w:val="right"/>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C2DCDF9" w14:textId="77777777" w:rsidR="00B75AF8" w:rsidRPr="00D67367" w:rsidRDefault="00B75AF8" w:rsidP="00FB73A5">
            <w:pPr>
              <w:keepLines/>
              <w:rPr>
                <w:rFonts w:cstheme="minorHAnsi"/>
                <w:sz w:val="20"/>
                <w:szCs w:val="20"/>
              </w:rPr>
            </w:pPr>
            <w:r w:rsidRPr="00D67367">
              <w:rPr>
                <w:rFonts w:cstheme="minorHAnsi"/>
                <w:sz w:val="20"/>
                <w:szCs w:val="20"/>
              </w:rPr>
              <w:t xml:space="preserve">Diversity </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443A3E5" w14:textId="77777777" w:rsidR="00B75AF8" w:rsidRPr="00D67367" w:rsidRDefault="00B75AF8" w:rsidP="00FB73A5">
            <w:pPr>
              <w:keepLines/>
              <w:rPr>
                <w:rFonts w:cstheme="minorHAnsi"/>
                <w:sz w:val="20"/>
                <w:szCs w:val="20"/>
              </w:rPr>
            </w:pPr>
            <w:r w:rsidRPr="00D67367">
              <w:rPr>
                <w:rFonts w:cstheme="minorHAnsi"/>
                <w:sz w:val="20"/>
                <w:szCs w:val="20"/>
              </w:rPr>
              <w:t xml:space="preserve">the range of different member actors that are part of the coalition </w:t>
            </w:r>
          </w:p>
          <w:p w14:paraId="71F36B3E" w14:textId="77777777" w:rsidR="00B75AF8" w:rsidRPr="00D67367" w:rsidRDefault="00B75AF8" w:rsidP="00FB73A5">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22662EAC"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 xml:space="preserve"> Business (incl. multi-national corporations)</w:t>
            </w:r>
          </w:p>
          <w:p w14:paraId="45194DC8"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Foundations: YES (phillanthropic Foundations)</w:t>
            </w:r>
          </w:p>
          <w:p w14:paraId="76C9CE90"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Finance</w:t>
            </w:r>
          </w:p>
          <w:p w14:paraId="37067382"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Academic</w:t>
            </w:r>
          </w:p>
          <w:p w14:paraId="0D8A0C2F"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Law</w:t>
            </w:r>
          </w:p>
          <w:p w14:paraId="04022545"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Civil Society (incl. NGO, grassroots)</w:t>
            </w:r>
          </w:p>
          <w:p w14:paraId="615C7266"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Faith based</w:t>
            </w:r>
          </w:p>
          <w:p w14:paraId="329DA4F2"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National government</w:t>
            </w:r>
          </w:p>
          <w:p w14:paraId="64CDB559"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municipal/local governments</w:t>
            </w:r>
          </w:p>
          <w:p w14:paraId="42B30494"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Multi-national govt</w:t>
            </w:r>
          </w:p>
          <w:p w14:paraId="68C37529"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Multi-stakeholder</w:t>
            </w:r>
          </w:p>
          <w:p w14:paraId="2D72861B" w14:textId="77777777" w:rsidR="00B75AF8" w:rsidRPr="00D67367" w:rsidRDefault="00B75AF8" w:rsidP="002920A4">
            <w:pPr>
              <w:keepLines/>
              <w:numPr>
                <w:ilvl w:val="0"/>
                <w:numId w:val="2"/>
              </w:numPr>
              <w:rPr>
                <w:rFonts w:cstheme="minorHAnsi"/>
                <w:i/>
                <w:sz w:val="20"/>
                <w:szCs w:val="20"/>
              </w:rPr>
            </w:pPr>
            <w:r w:rsidRPr="00D67367">
              <w:rPr>
                <w:rFonts w:cstheme="minorHAnsi"/>
                <w:i/>
                <w:sz w:val="20"/>
                <w:szCs w:val="20"/>
              </w:rPr>
              <w:t>international organizations (e.g. UN)</w:t>
            </w:r>
          </w:p>
          <w:p w14:paraId="1D8F75FA" w14:textId="77777777" w:rsidR="00B75AF8" w:rsidRPr="00D67367" w:rsidRDefault="00B75AF8" w:rsidP="00FB73A5">
            <w:pPr>
              <w:keepLines/>
              <w:rPr>
                <w:rFonts w:cstheme="minorHAnsi"/>
                <w:i/>
                <w:sz w:val="20"/>
                <w:szCs w:val="20"/>
              </w:rPr>
            </w:pPr>
          </w:p>
        </w:tc>
      </w:tr>
      <w:tr w:rsidR="00BB1B10" w:rsidRPr="00D67367" w14:paraId="6C398815" w14:textId="77777777" w:rsidTr="00B75AF8">
        <w:trPr>
          <w:trHeight w:val="927"/>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7F3B81" w14:textId="77777777" w:rsidR="00B75AF8" w:rsidRPr="00D67367" w:rsidRDefault="00B75AF8" w:rsidP="00FB73A5">
            <w:pPr>
              <w:keepLines/>
              <w:rPr>
                <w:rFonts w:cstheme="minorHAnsi"/>
                <w:b/>
                <w:sz w:val="20"/>
                <w:szCs w:val="20"/>
              </w:rPr>
            </w:pPr>
            <w:r w:rsidRPr="00D67367">
              <w:rPr>
                <w:rFonts w:cstheme="minorHAnsi"/>
                <w:b/>
                <w:sz w:val="20"/>
                <w:szCs w:val="20"/>
              </w:rPr>
              <w:t>Direction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1ABD8B" w14:textId="10AA434F" w:rsidR="00B75AF8" w:rsidRPr="00D67367" w:rsidRDefault="00B75AF8" w:rsidP="00FB73A5">
            <w:pPr>
              <w:keepLines/>
              <w:rPr>
                <w:rFonts w:cstheme="minorHAnsi"/>
                <w:sz w:val="20"/>
                <w:szCs w:val="20"/>
              </w:rPr>
            </w:pPr>
            <w:r w:rsidRPr="00D82287">
              <w:rPr>
                <w:rFonts w:cstheme="minorHAnsi"/>
                <w:sz w:val="20"/>
                <w:szCs w:val="20"/>
              </w:rPr>
              <w:t>Bull &amp; Brownlie, 2017</w:t>
            </w:r>
          </w:p>
        </w:tc>
        <w:tc>
          <w:tcPr>
            <w:tcW w:w="0" w:type="auto"/>
            <w:tcBorders>
              <w:top w:val="single" w:sz="8" w:space="0" w:color="FFFFFF"/>
              <w:left w:val="single" w:sz="8" w:space="0" w:color="FFFFFF"/>
              <w:bottom w:val="single" w:sz="8" w:space="0" w:color="FFFFFF"/>
              <w:right w:val="single" w:sz="8" w:space="0" w:color="FFFFFF"/>
            </w:tcBorders>
          </w:tcPr>
          <w:p w14:paraId="5553AA5C" w14:textId="30C65607" w:rsidR="00B75AF8" w:rsidRPr="00D67367" w:rsidRDefault="001315D1" w:rsidP="002F449B">
            <w:pPr>
              <w:keepLines/>
              <w:rPr>
                <w:rFonts w:cstheme="minorHAnsi"/>
                <w:sz w:val="20"/>
                <w:szCs w:val="20"/>
              </w:rPr>
            </w:pPr>
            <w:r w:rsidRPr="00D67367">
              <w:rPr>
                <w:rFonts w:cstheme="minorHAnsi"/>
                <w:sz w:val="20"/>
                <w:szCs w:val="20"/>
              </w:rPr>
              <w:t xml:space="preserve">A net positive objective is more aligned with green and just futures.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DE67D1A" w14:textId="66293142" w:rsidR="00B75AF8" w:rsidRPr="00D67367" w:rsidRDefault="00B75AF8" w:rsidP="00FB73A5">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5A0ECF" w14:textId="77777777" w:rsidR="00B75AF8" w:rsidRPr="00D67367" w:rsidRDefault="00B75AF8" w:rsidP="00FB73A5">
            <w:pPr>
              <w:keepLines/>
              <w:rPr>
                <w:rFonts w:cstheme="minorHAnsi"/>
                <w:sz w:val="20"/>
                <w:szCs w:val="20"/>
              </w:rPr>
            </w:pPr>
            <w:r w:rsidRPr="00D67367">
              <w:rPr>
                <w:rFonts w:cstheme="minorHAnsi"/>
                <w:sz w:val="20"/>
                <w:szCs w:val="20"/>
              </w:rPr>
              <w:t>net loss</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FF6F629" w14:textId="77777777" w:rsidR="00B75AF8" w:rsidRPr="00D67367" w:rsidRDefault="00B75AF8" w:rsidP="00FB73A5">
            <w:pPr>
              <w:keepLines/>
              <w:rPr>
                <w:rFonts w:cstheme="minorHAnsi"/>
                <w:sz w:val="20"/>
                <w:szCs w:val="20"/>
              </w:rPr>
            </w:pPr>
            <w:r w:rsidRPr="00D67367">
              <w:rPr>
                <w:rFonts w:cstheme="minorHAnsi"/>
                <w:sz w:val="20"/>
                <w:szCs w:val="20"/>
              </w:rPr>
              <w:t xml:space="preserve"> Loss of biodiversity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504E705D" w14:textId="77777777" w:rsidR="00B75AF8" w:rsidRPr="00D67367" w:rsidRDefault="00B75AF8" w:rsidP="00FB73A5">
            <w:pPr>
              <w:keepLines/>
              <w:rPr>
                <w:rFonts w:cstheme="minorHAnsi"/>
                <w:i/>
                <w:sz w:val="20"/>
                <w:szCs w:val="20"/>
              </w:rPr>
            </w:pPr>
            <w:r w:rsidRPr="00D67367">
              <w:rPr>
                <w:rFonts w:cstheme="minorHAnsi"/>
                <w:i/>
                <w:sz w:val="20"/>
                <w:szCs w:val="20"/>
              </w:rPr>
              <w:t xml:space="preserve"> </w:t>
            </w:r>
          </w:p>
        </w:tc>
      </w:tr>
      <w:tr w:rsidR="00BB1B10" w:rsidRPr="00D67367" w14:paraId="4D07FFF7" w14:textId="77777777" w:rsidTr="00B75AF8">
        <w:trPr>
          <w:trHeight w:val="157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62687D5" w14:textId="77777777" w:rsidR="00B75AF8" w:rsidRPr="00D67367" w:rsidRDefault="00B75AF8" w:rsidP="00FB73A5">
            <w:pPr>
              <w:keepLines/>
              <w:rPr>
                <w:rFonts w:cstheme="minorHAnsi"/>
                <w:b/>
                <w:sz w:val="20"/>
                <w:szCs w:val="20"/>
              </w:rPr>
            </w:pPr>
            <w:r w:rsidRPr="00D67367">
              <w:rPr>
                <w:rFonts w:cstheme="minorHAnsi"/>
                <w:b/>
                <w:sz w:val="20"/>
                <w:szCs w:val="20"/>
              </w:rPr>
              <w:lastRenderedPageBreak/>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F360079"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02A3FBF2"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BCF2CF" w14:textId="05BB6F28" w:rsidR="00B75AF8" w:rsidRPr="00D67367" w:rsidRDefault="00B75AF8" w:rsidP="00FB73A5">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CBBA24E" w14:textId="77777777" w:rsidR="00B75AF8" w:rsidRPr="00D67367" w:rsidRDefault="00B75AF8" w:rsidP="00FB73A5">
            <w:pPr>
              <w:keepLines/>
              <w:rPr>
                <w:rFonts w:cstheme="minorHAnsi"/>
                <w:sz w:val="20"/>
                <w:szCs w:val="20"/>
              </w:rPr>
            </w:pPr>
            <w:r w:rsidRPr="00D67367">
              <w:rPr>
                <w:rFonts w:cstheme="minorHAnsi"/>
                <w:sz w:val="20"/>
                <w:szCs w:val="20"/>
              </w:rPr>
              <w:t>no net loss</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54E392B" w14:textId="77777777" w:rsidR="00B75AF8" w:rsidRPr="00D67367" w:rsidRDefault="00B75AF8" w:rsidP="00FB73A5">
            <w:pPr>
              <w:keepLines/>
              <w:rPr>
                <w:rFonts w:cstheme="minorHAnsi"/>
                <w:sz w:val="20"/>
                <w:szCs w:val="20"/>
              </w:rPr>
            </w:pPr>
            <w:r w:rsidRPr="00D67367">
              <w:rPr>
                <w:rFonts w:cstheme="minorHAnsi"/>
                <w:sz w:val="20"/>
                <w:szCs w:val="20"/>
              </w:rPr>
              <w:t>the loss of biodiversity values must be fully compensated by commensurate gains in those values.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4F3EE40" w14:textId="77777777" w:rsidR="00B75AF8" w:rsidRPr="00D67367" w:rsidRDefault="00B75AF8" w:rsidP="00FB73A5">
            <w:pPr>
              <w:keepLines/>
              <w:rPr>
                <w:rFonts w:cstheme="minorHAnsi"/>
                <w:i/>
                <w:sz w:val="20"/>
                <w:szCs w:val="20"/>
              </w:rPr>
            </w:pPr>
            <w:r w:rsidRPr="00D67367">
              <w:rPr>
                <w:rFonts w:cstheme="minorHAnsi"/>
                <w:i/>
                <w:sz w:val="20"/>
                <w:szCs w:val="20"/>
              </w:rPr>
              <w:t>The objective is to permit development whilst retaining overall levels of biodiversity, by applying a mitigation hierarchy (e.g. avoid, minimize, restore, offset; BBOPa) in relation to negative impacts of development on nature.</w:t>
            </w:r>
          </w:p>
        </w:tc>
      </w:tr>
      <w:tr w:rsidR="00BB1B10" w:rsidRPr="00D67367" w14:paraId="29CF3DEB" w14:textId="77777777" w:rsidTr="00B75AF8">
        <w:trPr>
          <w:trHeight w:val="127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F3842A" w14:textId="77777777" w:rsidR="00B75AF8" w:rsidRPr="00D67367" w:rsidRDefault="00B75AF8" w:rsidP="00FB73A5">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7222C82" w14:textId="77777777" w:rsidR="00B75AF8" w:rsidRPr="00D67367" w:rsidRDefault="00B75AF8" w:rsidP="00FB73A5">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2784E8AE" w14:textId="77777777" w:rsidR="00B75AF8" w:rsidRPr="00D67367" w:rsidRDefault="00B75AF8"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5122442" w14:textId="68051F0B" w:rsidR="00B75AF8" w:rsidRPr="00D67367" w:rsidRDefault="00B75AF8" w:rsidP="00FB73A5">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405D82F" w14:textId="77777777" w:rsidR="00B75AF8" w:rsidRPr="00D67367" w:rsidRDefault="00B75AF8" w:rsidP="00FB73A5">
            <w:pPr>
              <w:keepLines/>
              <w:rPr>
                <w:rFonts w:cstheme="minorHAnsi"/>
                <w:sz w:val="20"/>
                <w:szCs w:val="20"/>
              </w:rPr>
            </w:pPr>
            <w:r w:rsidRPr="00D67367">
              <w:rPr>
                <w:rFonts w:cstheme="minorHAnsi"/>
                <w:sz w:val="20"/>
                <w:szCs w:val="20"/>
              </w:rPr>
              <w:t>net gain</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F43659B" w14:textId="77777777" w:rsidR="00B75AF8" w:rsidRPr="00D67367" w:rsidRDefault="00B75AF8" w:rsidP="00FB73A5">
            <w:pPr>
              <w:keepLines/>
              <w:rPr>
                <w:rFonts w:cstheme="minorHAnsi"/>
                <w:sz w:val="20"/>
                <w:szCs w:val="20"/>
              </w:rPr>
            </w:pPr>
            <w:r w:rsidRPr="00D67367">
              <w:rPr>
                <w:rFonts w:cstheme="minorHAnsi"/>
                <w:sz w:val="20"/>
                <w:szCs w:val="20"/>
              </w:rPr>
              <w:t xml:space="preserve"> Improve the biodiversity status quo</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679DBFAD" w14:textId="77777777" w:rsidR="00B75AF8" w:rsidRPr="00D67367" w:rsidRDefault="00B75AF8" w:rsidP="00FB73A5">
            <w:pPr>
              <w:keepLines/>
              <w:rPr>
                <w:rFonts w:cstheme="minorHAnsi"/>
                <w:i/>
                <w:sz w:val="20"/>
                <w:szCs w:val="20"/>
              </w:rPr>
            </w:pPr>
            <w:r w:rsidRPr="00D67367">
              <w:rPr>
                <w:rFonts w:cstheme="minorHAnsi"/>
                <w:i/>
                <w:sz w:val="20"/>
                <w:szCs w:val="20"/>
              </w:rPr>
              <w:t>To achieve the more positive objective of a Net Gain, the biodiversity status quo must be improved, either by over compensating for loss in the biodiversity values affected, or by ensuring no net loss in those values and then providing additional gains in other biodiversity values.</w:t>
            </w:r>
          </w:p>
        </w:tc>
      </w:tr>
      <w:tr w:rsidR="00BB1B10" w:rsidRPr="00D67367" w14:paraId="47163185" w14:textId="77777777" w:rsidTr="00B75AF8">
        <w:trPr>
          <w:trHeight w:val="48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034EC8" w14:textId="77777777" w:rsidR="00B75AF8" w:rsidRPr="00D67367" w:rsidRDefault="00B75AF8" w:rsidP="00FB73A5">
            <w:pPr>
              <w:keepLines/>
              <w:rPr>
                <w:rFonts w:cstheme="minorHAnsi"/>
                <w:b/>
                <w:sz w:val="20"/>
                <w:szCs w:val="20"/>
              </w:rPr>
            </w:pPr>
            <w:r w:rsidRPr="00D67367">
              <w:rPr>
                <w:rFonts w:cstheme="minorHAnsi"/>
                <w:b/>
                <w:sz w:val="20"/>
                <w:szCs w:val="20"/>
              </w:rPr>
              <w:t xml:space="preserve">Learning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F23F32" w14:textId="5D0F937C" w:rsidR="00B75AF8" w:rsidRPr="00D67367" w:rsidRDefault="00B75AF8" w:rsidP="00FB73A5">
            <w:pPr>
              <w:keepLines/>
              <w:spacing w:line="276" w:lineRule="auto"/>
              <w:rPr>
                <w:rFonts w:cstheme="minorHAnsi"/>
                <w:sz w:val="20"/>
                <w:szCs w:val="20"/>
              </w:rPr>
            </w:pPr>
            <w:r w:rsidRPr="00D67367">
              <w:rPr>
                <w:rFonts w:cstheme="minorHAnsi"/>
                <w:sz w:val="20"/>
                <w:szCs w:val="20"/>
              </w:rPr>
              <w:t>da Silva et al. 2013</w:t>
            </w:r>
          </w:p>
        </w:tc>
        <w:tc>
          <w:tcPr>
            <w:tcW w:w="0" w:type="auto"/>
            <w:tcBorders>
              <w:top w:val="single" w:sz="8" w:space="0" w:color="FFFFFF"/>
              <w:left w:val="single" w:sz="8" w:space="0" w:color="FFFFFF"/>
              <w:bottom w:val="single" w:sz="8" w:space="0" w:color="FFFFFF"/>
              <w:right w:val="single" w:sz="8" w:space="0" w:color="FFFFFF"/>
            </w:tcBorders>
          </w:tcPr>
          <w:p w14:paraId="78ECDFFA" w14:textId="58247D3D" w:rsidR="00B75AF8" w:rsidRPr="00D67367" w:rsidRDefault="00F014E6" w:rsidP="002F449B">
            <w:pPr>
              <w:keepLines/>
              <w:spacing w:line="276" w:lineRule="auto"/>
              <w:rPr>
                <w:rFonts w:cstheme="minorHAnsi"/>
                <w:sz w:val="20"/>
                <w:szCs w:val="20"/>
              </w:rPr>
            </w:pPr>
            <w:r w:rsidRPr="00D67367">
              <w:rPr>
                <w:rFonts w:cstheme="minorHAnsi"/>
                <w:sz w:val="20"/>
                <w:szCs w:val="20"/>
              </w:rPr>
              <w:t xml:space="preserve">The greater the types of learning mechanism used, the greater the potential for fundamental changes in current system dynamics.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26F5AA0" w14:textId="30DF131C" w:rsidR="00B75AF8" w:rsidRPr="00D67367" w:rsidRDefault="00B75AF8" w:rsidP="00FB73A5">
            <w:pPr>
              <w:keepLines/>
              <w:spacing w:line="276" w:lineRule="auto"/>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4F47077"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No learning mechanisms</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08B2B86" w14:textId="77777777" w:rsidR="00B75AF8" w:rsidRPr="00D67367" w:rsidRDefault="00B75AF8" w:rsidP="00FB73A5">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6611772F" w14:textId="77777777" w:rsidR="00B75AF8" w:rsidRPr="00D67367" w:rsidRDefault="00B75AF8" w:rsidP="00FB73A5">
            <w:pPr>
              <w:keepLines/>
              <w:spacing w:line="276" w:lineRule="auto"/>
              <w:rPr>
                <w:rFonts w:cstheme="minorHAnsi"/>
                <w:i/>
                <w:sz w:val="20"/>
                <w:szCs w:val="20"/>
              </w:rPr>
            </w:pPr>
          </w:p>
        </w:tc>
      </w:tr>
      <w:tr w:rsidR="00BB1B10" w:rsidRPr="00D67367" w14:paraId="19833915" w14:textId="77777777" w:rsidTr="00B75AF8">
        <w:trPr>
          <w:trHeight w:val="48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76A74A"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FC91E9" w14:textId="77777777" w:rsidR="00B75AF8" w:rsidRPr="00D67367" w:rsidRDefault="00B75AF8" w:rsidP="00FB73A5">
            <w:pPr>
              <w:keepLines/>
              <w:rPr>
                <w:rFonts w:cstheme="minorHAnsi"/>
                <w:sz w:val="20"/>
                <w:szCs w:val="20"/>
              </w:rPr>
            </w:pPr>
            <w:r w:rsidRPr="00D67367">
              <w:rPr>
                <w:rFonts w:cstheme="minorHAnsi"/>
                <w:sz w:val="20"/>
                <w:szCs w:val="20"/>
              </w:rPr>
              <w:t># different dimensions/types of learning that are mentioned</w:t>
            </w:r>
          </w:p>
          <w:p w14:paraId="4F764AD2" w14:textId="77777777" w:rsidR="00B75AF8" w:rsidRPr="00D67367" w:rsidRDefault="00B75AF8" w:rsidP="00FB73A5">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2BA88101" w14:textId="77777777" w:rsidR="00B75AF8" w:rsidRPr="00D67367" w:rsidRDefault="00B75AF8" w:rsidP="002F449B">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8213674" w14:textId="32596C9D" w:rsidR="00B75AF8" w:rsidRPr="00D67367" w:rsidRDefault="00B75AF8" w:rsidP="00FB73A5">
            <w:pPr>
              <w:keepLines/>
              <w:spacing w:line="276" w:lineRule="auto"/>
              <w:jc w:val="right"/>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32C3A6"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planning phase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F88AA66"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Make learning, reflection and innovation explicit goals of the process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58FDBE87" w14:textId="77777777" w:rsidR="00B75AF8" w:rsidRPr="00D67367" w:rsidRDefault="00B75AF8" w:rsidP="00FB73A5">
            <w:pPr>
              <w:keepLines/>
              <w:spacing w:line="276" w:lineRule="auto"/>
              <w:rPr>
                <w:rFonts w:cstheme="minorHAnsi"/>
                <w:i/>
                <w:sz w:val="20"/>
                <w:szCs w:val="20"/>
              </w:rPr>
            </w:pPr>
          </w:p>
        </w:tc>
      </w:tr>
      <w:tr w:rsidR="00BB1B10" w:rsidRPr="00D67367" w14:paraId="33AA57F5" w14:textId="77777777" w:rsidTr="00B75AF8">
        <w:trPr>
          <w:trHeight w:val="173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A318DA7"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A143442" w14:textId="77777777" w:rsidR="00B75AF8" w:rsidRPr="00D67367" w:rsidRDefault="00B75AF8" w:rsidP="00FB73A5">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45D7396C" w14:textId="77777777" w:rsidR="00B75AF8" w:rsidRPr="00D67367" w:rsidRDefault="00B75AF8" w:rsidP="002F449B">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2593BB" w14:textId="7A69BF27" w:rsidR="00B75AF8" w:rsidRPr="00D67367" w:rsidRDefault="00B75AF8" w:rsidP="00FB73A5">
            <w:pPr>
              <w:keepLines/>
              <w:spacing w:line="276" w:lineRule="auto"/>
              <w:jc w:val="right"/>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A138EA"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implementation phase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4112386"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 xml:space="preserve">Consideration of practical issues around the design of platform meetings and their facilitation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08CC691" w14:textId="77777777" w:rsidR="00B75AF8" w:rsidRPr="00D67367" w:rsidRDefault="00B75AF8" w:rsidP="00FB73A5">
            <w:pPr>
              <w:keepLines/>
              <w:spacing w:line="276" w:lineRule="auto"/>
              <w:rPr>
                <w:rFonts w:cstheme="minorHAnsi"/>
                <w:i/>
                <w:sz w:val="20"/>
                <w:szCs w:val="20"/>
              </w:rPr>
            </w:pPr>
            <w:r w:rsidRPr="00D67367">
              <w:rPr>
                <w:rFonts w:cstheme="minorHAnsi"/>
                <w:i/>
                <w:sz w:val="20"/>
                <w:szCs w:val="20"/>
              </w:rPr>
              <w:t>Consider practical issues around the design of platform meetings and their facilitation (for instance the number and kind of participants, the agenda for the platform meeting, their timing, location and duration) (Kahangire, 2013).</w:t>
            </w:r>
          </w:p>
        </w:tc>
      </w:tr>
      <w:tr w:rsidR="00BB1B10" w:rsidRPr="00D67367" w14:paraId="7D2E1868" w14:textId="77777777" w:rsidTr="00B75AF8">
        <w:trPr>
          <w:trHeight w:val="48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FD1D16"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51941F" w14:textId="77777777" w:rsidR="00B75AF8" w:rsidRPr="00D67367" w:rsidRDefault="00B75AF8" w:rsidP="00FB73A5">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06646C2E" w14:textId="77777777" w:rsidR="00B75AF8" w:rsidRPr="00D67367" w:rsidRDefault="00B75AF8" w:rsidP="002F449B">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1AC3129" w14:textId="6CC2C09E" w:rsidR="00B75AF8" w:rsidRPr="00D67367" w:rsidRDefault="00B75AF8" w:rsidP="00FB73A5">
            <w:pPr>
              <w:keepLines/>
              <w:spacing w:line="276" w:lineRule="auto"/>
              <w:jc w:val="right"/>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5E69D17"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monitoring phase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B255D7A"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Working groups, consisting of representatives of various state and non-state actors are part of the process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237FE983" w14:textId="77777777" w:rsidR="00B75AF8" w:rsidRPr="00D67367" w:rsidRDefault="00B75AF8" w:rsidP="00FB73A5">
            <w:pPr>
              <w:keepLines/>
              <w:spacing w:line="276" w:lineRule="auto"/>
              <w:rPr>
                <w:rFonts w:cstheme="minorHAnsi"/>
                <w:i/>
                <w:sz w:val="20"/>
                <w:szCs w:val="20"/>
              </w:rPr>
            </w:pPr>
            <w:r w:rsidRPr="00D67367">
              <w:rPr>
                <w:rFonts w:cstheme="minorHAnsi"/>
                <w:i/>
                <w:sz w:val="20"/>
                <w:szCs w:val="20"/>
              </w:rPr>
              <w:t>Working groups, consisting of representatives of various state and non-state actors, are a potential mechanism to strengthen learning in the sector monitoring process</w:t>
            </w:r>
          </w:p>
        </w:tc>
      </w:tr>
      <w:tr w:rsidR="00BB1B10" w:rsidRPr="00D67367" w14:paraId="2280EC23" w14:textId="77777777" w:rsidTr="00B75AF8">
        <w:trPr>
          <w:trHeight w:val="485"/>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C6B5B78" w14:textId="77777777" w:rsidR="00B75AF8" w:rsidRPr="00D67367" w:rsidRDefault="00B75AF8" w:rsidP="00FB73A5">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DA0F703" w14:textId="77777777" w:rsidR="00B75AF8" w:rsidRPr="00D67367" w:rsidRDefault="00B75AF8" w:rsidP="00FB73A5">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184570DE" w14:textId="77777777" w:rsidR="00B75AF8" w:rsidRPr="00D67367" w:rsidRDefault="00B75AF8" w:rsidP="002F449B">
            <w:pPr>
              <w:keepLines/>
              <w:spacing w:line="276" w:lineRule="auto"/>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33127FF" w14:textId="5596E113" w:rsidR="00B75AF8" w:rsidRPr="00D67367" w:rsidRDefault="00B75AF8" w:rsidP="00FB73A5">
            <w:pPr>
              <w:keepLines/>
              <w:spacing w:line="276" w:lineRule="auto"/>
              <w:jc w:val="right"/>
              <w:rPr>
                <w:rFonts w:cstheme="minorHAnsi"/>
                <w:sz w:val="20"/>
                <w:szCs w:val="20"/>
              </w:rPr>
            </w:pPr>
            <w:r w:rsidRPr="00D67367">
              <w:rPr>
                <w:rFonts w:cstheme="minorHAnsi"/>
                <w:sz w:val="20"/>
                <w:szCs w:val="20"/>
              </w:rPr>
              <w:t>4</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FD84FDC"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cross-cutting</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87C65D1" w14:textId="77777777" w:rsidR="00B75AF8" w:rsidRPr="00D67367" w:rsidRDefault="00B75AF8" w:rsidP="00FB73A5">
            <w:pPr>
              <w:keepLines/>
              <w:spacing w:line="276" w:lineRule="auto"/>
              <w:rPr>
                <w:rFonts w:cstheme="minorHAnsi"/>
                <w:sz w:val="20"/>
                <w:szCs w:val="20"/>
              </w:rPr>
            </w:pPr>
            <w:r w:rsidRPr="00D67367">
              <w:rPr>
                <w:rFonts w:cstheme="minorHAnsi"/>
                <w:sz w:val="20"/>
                <w:szCs w:val="20"/>
              </w:rPr>
              <w:t>A combination of all of the above</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675AD3EC" w14:textId="77777777" w:rsidR="00B75AF8" w:rsidRPr="00D67367" w:rsidRDefault="00B75AF8" w:rsidP="00FB73A5">
            <w:pPr>
              <w:keepLines/>
              <w:spacing w:line="276" w:lineRule="auto"/>
              <w:jc w:val="right"/>
              <w:rPr>
                <w:rFonts w:cstheme="minorHAnsi"/>
                <w:i/>
                <w:sz w:val="20"/>
                <w:szCs w:val="20"/>
              </w:rPr>
            </w:pPr>
          </w:p>
        </w:tc>
      </w:tr>
      <w:tr w:rsidR="00BB1B10" w:rsidRPr="00D67367" w14:paraId="5D135FBF" w14:textId="77777777" w:rsidTr="00B75AF8">
        <w:trPr>
          <w:trHeight w:val="488"/>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EFC7AB" w14:textId="77777777" w:rsidR="0084460B" w:rsidRPr="00D67367" w:rsidRDefault="0084460B" w:rsidP="0084460B">
            <w:pPr>
              <w:keepLines/>
              <w:rPr>
                <w:rFonts w:cstheme="minorHAnsi"/>
                <w:b/>
                <w:sz w:val="20"/>
                <w:szCs w:val="20"/>
                <w:highlight w:val="yellow"/>
              </w:rPr>
            </w:pPr>
            <w:r w:rsidRPr="00D67367">
              <w:rPr>
                <w:rFonts w:cstheme="minorHAnsi"/>
                <w:b/>
                <w:sz w:val="20"/>
                <w:szCs w:val="20"/>
              </w:rPr>
              <w:t>Government partners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7CBB380" w14:textId="17C2CD93" w:rsidR="0084460B" w:rsidRPr="00D67367" w:rsidRDefault="0084460B" w:rsidP="0084460B">
            <w:pPr>
              <w:keepLines/>
              <w:rPr>
                <w:rFonts w:cstheme="minorHAnsi"/>
                <w:sz w:val="20"/>
                <w:szCs w:val="20"/>
              </w:rPr>
            </w:pPr>
            <w:r w:rsidRPr="00D67367">
              <w:rPr>
                <w:rFonts w:cstheme="minorHAnsi"/>
                <w:sz w:val="20"/>
                <w:szCs w:val="20"/>
              </w:rPr>
              <w:t xml:space="preserve">Own interpretation </w:t>
            </w:r>
          </w:p>
        </w:tc>
        <w:tc>
          <w:tcPr>
            <w:tcW w:w="0" w:type="auto"/>
            <w:tcBorders>
              <w:top w:val="single" w:sz="8" w:space="0" w:color="FFFFFF"/>
              <w:left w:val="single" w:sz="8" w:space="0" w:color="FFFFFF"/>
              <w:bottom w:val="single" w:sz="8" w:space="0" w:color="FFFFFF"/>
              <w:right w:val="single" w:sz="8" w:space="0" w:color="FFFFFF"/>
            </w:tcBorders>
          </w:tcPr>
          <w:p w14:paraId="32BAC36A" w14:textId="6C6ECD05" w:rsidR="0084460B" w:rsidRPr="00D67367" w:rsidRDefault="0092406C" w:rsidP="002F449B">
            <w:pPr>
              <w:keepLines/>
              <w:rPr>
                <w:rFonts w:cstheme="minorHAnsi"/>
                <w:sz w:val="20"/>
                <w:szCs w:val="20"/>
              </w:rPr>
            </w:pPr>
            <w:r w:rsidRPr="00D67367">
              <w:rPr>
                <w:rFonts w:cstheme="minorHAnsi"/>
                <w:sz w:val="20"/>
                <w:szCs w:val="20"/>
              </w:rPr>
              <w:t xml:space="preserve">The higher the institutional level, the greater the impact changes in system dynamics might have.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B2212C" w14:textId="3B07BBC2" w:rsidR="0084460B" w:rsidRPr="00D67367" w:rsidRDefault="0084460B" w:rsidP="0084460B">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AF6F93" w14:textId="77777777" w:rsidR="0084460B" w:rsidRPr="00D67367" w:rsidRDefault="0084460B" w:rsidP="0084460B">
            <w:pPr>
              <w:keepLines/>
              <w:rPr>
                <w:rFonts w:cstheme="minorHAnsi"/>
                <w:sz w:val="20"/>
                <w:szCs w:val="20"/>
              </w:rPr>
            </w:pPr>
            <w:r w:rsidRPr="00D67367">
              <w:rPr>
                <w:rFonts w:cstheme="minorHAnsi"/>
                <w:sz w:val="20"/>
                <w:szCs w:val="20"/>
              </w:rPr>
              <w:t>no public partners</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D582508"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79917A72" w14:textId="77777777" w:rsidR="0084460B" w:rsidRPr="00D67367" w:rsidRDefault="0084460B" w:rsidP="0084460B">
            <w:pPr>
              <w:keepLines/>
              <w:rPr>
                <w:rFonts w:cstheme="minorHAnsi"/>
                <w:i/>
                <w:sz w:val="20"/>
                <w:szCs w:val="20"/>
              </w:rPr>
            </w:pPr>
          </w:p>
        </w:tc>
      </w:tr>
      <w:tr w:rsidR="00BB1B10" w:rsidRPr="00D67367" w14:paraId="4D138271" w14:textId="77777777" w:rsidTr="00B75AF8">
        <w:trPr>
          <w:trHeight w:val="244"/>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B4D17A6" w14:textId="77777777" w:rsidR="0084460B" w:rsidRPr="00D67367" w:rsidRDefault="0084460B" w:rsidP="0084460B">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911F68"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6B269959"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56ECC65" w14:textId="41E78D5A" w:rsidR="0084460B" w:rsidRPr="00D67367" w:rsidRDefault="0084460B" w:rsidP="0084460B">
            <w:pPr>
              <w:keepLines/>
              <w:jc w:val="right"/>
              <w:rPr>
                <w:rFonts w:cstheme="minorHAnsi"/>
                <w:sz w:val="20"/>
                <w:szCs w:val="20"/>
              </w:rPr>
            </w:pPr>
            <w:r w:rsidRPr="00D67367">
              <w:rPr>
                <w:rFonts w:cstheme="minorHAnsi"/>
                <w:sz w:val="20"/>
                <w:szCs w:val="20"/>
              </w:rPr>
              <w:t>1</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6A422F2" w14:textId="77777777" w:rsidR="0084460B" w:rsidRPr="00D67367" w:rsidRDefault="0084460B" w:rsidP="0084460B">
            <w:pPr>
              <w:keepLines/>
              <w:rPr>
                <w:rFonts w:cstheme="minorHAnsi"/>
                <w:sz w:val="20"/>
                <w:szCs w:val="20"/>
              </w:rPr>
            </w:pPr>
            <w:r w:rsidRPr="00D67367">
              <w:rPr>
                <w:rFonts w:cstheme="minorHAnsi"/>
                <w:sz w:val="20"/>
                <w:szCs w:val="20"/>
              </w:rPr>
              <w:t xml:space="preserve">local </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21DD791B" w14:textId="77777777" w:rsidR="0084460B" w:rsidRPr="00D67367" w:rsidRDefault="0084460B" w:rsidP="0084460B">
            <w:pPr>
              <w:keepLines/>
              <w:rPr>
                <w:rFonts w:cstheme="minorHAnsi"/>
                <w:sz w:val="20"/>
                <w:szCs w:val="20"/>
              </w:rPr>
            </w:pPr>
            <w:r w:rsidRPr="00D67367">
              <w:rPr>
                <w:rFonts w:cstheme="minorHAnsi"/>
                <w:sz w:val="20"/>
                <w:szCs w:val="20"/>
              </w:rPr>
              <w:t>Partnering only with local public authorities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487BB675" w14:textId="77777777" w:rsidR="0084460B" w:rsidRPr="00D67367" w:rsidRDefault="0084460B" w:rsidP="0084460B">
            <w:pPr>
              <w:keepLines/>
              <w:rPr>
                <w:rFonts w:cstheme="minorHAnsi"/>
                <w:i/>
                <w:sz w:val="20"/>
                <w:szCs w:val="20"/>
              </w:rPr>
            </w:pPr>
          </w:p>
        </w:tc>
      </w:tr>
      <w:tr w:rsidR="00BB1B10" w:rsidRPr="00D67367" w14:paraId="2377B57F" w14:textId="77777777" w:rsidTr="00B75AF8">
        <w:trPr>
          <w:trHeight w:val="244"/>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07FFE06" w14:textId="77777777" w:rsidR="0084460B" w:rsidRPr="00D67367" w:rsidRDefault="0084460B" w:rsidP="0084460B">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940DEE8"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21529432"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8B442FF" w14:textId="42D5DB80" w:rsidR="0084460B" w:rsidRPr="00D67367" w:rsidRDefault="0084460B" w:rsidP="0084460B">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7B1857" w14:textId="77777777" w:rsidR="0084460B" w:rsidRPr="00D67367" w:rsidRDefault="0084460B" w:rsidP="0084460B">
            <w:pPr>
              <w:keepLines/>
              <w:rPr>
                <w:rFonts w:cstheme="minorHAnsi"/>
                <w:sz w:val="20"/>
                <w:szCs w:val="20"/>
              </w:rPr>
            </w:pPr>
            <w:r w:rsidRPr="00D67367">
              <w:rPr>
                <w:rFonts w:cstheme="minorHAnsi"/>
                <w:sz w:val="20"/>
                <w:szCs w:val="20"/>
              </w:rPr>
              <w:t>national</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B618412" w14:textId="77777777" w:rsidR="0084460B" w:rsidRPr="00D67367" w:rsidRDefault="0084460B" w:rsidP="0084460B">
            <w:pPr>
              <w:keepLines/>
              <w:rPr>
                <w:rFonts w:cstheme="minorHAnsi"/>
                <w:sz w:val="20"/>
                <w:szCs w:val="20"/>
              </w:rPr>
            </w:pPr>
            <w:r w:rsidRPr="00D67367">
              <w:rPr>
                <w:rFonts w:cstheme="minorHAnsi"/>
                <w:sz w:val="20"/>
                <w:szCs w:val="20"/>
              </w:rPr>
              <w:t>Partnering only with national public authorities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37145E70" w14:textId="77777777" w:rsidR="0084460B" w:rsidRPr="00D67367" w:rsidRDefault="0084460B" w:rsidP="0084460B">
            <w:pPr>
              <w:keepLines/>
              <w:rPr>
                <w:rFonts w:cstheme="minorHAnsi"/>
                <w:i/>
                <w:sz w:val="20"/>
                <w:szCs w:val="20"/>
              </w:rPr>
            </w:pPr>
          </w:p>
        </w:tc>
      </w:tr>
      <w:tr w:rsidR="00BB1B10" w:rsidRPr="00D67367" w14:paraId="10DE20E8" w14:textId="77777777" w:rsidTr="00B75AF8">
        <w:trPr>
          <w:trHeight w:val="893"/>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7A9590" w14:textId="77777777" w:rsidR="0084460B" w:rsidRPr="00D67367" w:rsidRDefault="0084460B" w:rsidP="0084460B">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3C899A3" w14:textId="77777777" w:rsidR="0084460B" w:rsidRPr="00D67367" w:rsidRDefault="0084460B" w:rsidP="0084460B">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Pr>
          <w:p w14:paraId="7EC43BC5"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1BB0ABB" w14:textId="780BFBB5" w:rsidR="0084460B" w:rsidRPr="00D67367" w:rsidRDefault="0084460B" w:rsidP="0084460B">
            <w:pPr>
              <w:keepLines/>
              <w:jc w:val="right"/>
              <w:rPr>
                <w:rFonts w:cstheme="minorHAnsi"/>
                <w:sz w:val="20"/>
                <w:szCs w:val="20"/>
              </w:rPr>
            </w:pPr>
            <w:r w:rsidRPr="00D67367">
              <w:rPr>
                <w:rFonts w:cstheme="minorHAnsi"/>
                <w:sz w:val="20"/>
                <w:szCs w:val="20"/>
              </w:rPr>
              <w:t xml:space="preserve">3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97A630" w14:textId="77777777" w:rsidR="0084460B" w:rsidRPr="00D67367" w:rsidRDefault="0084460B" w:rsidP="0084460B">
            <w:pPr>
              <w:keepLines/>
              <w:rPr>
                <w:rFonts w:cstheme="minorHAnsi"/>
                <w:sz w:val="20"/>
                <w:szCs w:val="20"/>
              </w:rPr>
            </w:pPr>
            <w:r w:rsidRPr="00D67367">
              <w:rPr>
                <w:rFonts w:cstheme="minorHAnsi"/>
                <w:sz w:val="20"/>
                <w:szCs w:val="20"/>
              </w:rPr>
              <w:t>international-supranational</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7CF5BD2" w14:textId="77777777" w:rsidR="0084460B" w:rsidRPr="00D67367" w:rsidRDefault="0084460B" w:rsidP="0084460B">
            <w:pPr>
              <w:keepLines/>
              <w:rPr>
                <w:rFonts w:cstheme="minorHAnsi"/>
                <w:sz w:val="20"/>
                <w:szCs w:val="20"/>
              </w:rPr>
            </w:pPr>
            <w:r w:rsidRPr="00D67367">
              <w:rPr>
                <w:rFonts w:cstheme="minorHAnsi"/>
                <w:sz w:val="20"/>
                <w:szCs w:val="20"/>
              </w:rPr>
              <w:t>Partnering only with international-supranational bodies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19028612" w14:textId="77777777" w:rsidR="0084460B" w:rsidRPr="00D67367" w:rsidRDefault="0084460B" w:rsidP="0084460B">
            <w:pPr>
              <w:keepLines/>
              <w:rPr>
                <w:rFonts w:cstheme="minorHAnsi"/>
                <w:i/>
                <w:sz w:val="20"/>
                <w:szCs w:val="20"/>
              </w:rPr>
            </w:pPr>
            <w:r w:rsidRPr="00D67367">
              <w:rPr>
                <w:rFonts w:cstheme="minorHAnsi"/>
                <w:i/>
                <w:sz w:val="20"/>
                <w:szCs w:val="20"/>
              </w:rPr>
              <w:t xml:space="preserve"> E.g. EU </w:t>
            </w:r>
          </w:p>
        </w:tc>
      </w:tr>
      <w:tr w:rsidR="00BB1B10" w:rsidRPr="00D67367" w14:paraId="58DD3C82" w14:textId="77777777" w:rsidTr="00B75AF8">
        <w:trPr>
          <w:trHeight w:val="244"/>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4A118E2" w14:textId="77777777" w:rsidR="0084460B" w:rsidRPr="00D67367" w:rsidRDefault="0084460B" w:rsidP="0084460B">
            <w:pPr>
              <w:keepLines/>
              <w:rPr>
                <w:rFonts w:cstheme="minorHAnsi"/>
                <w:b/>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3445D36"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37A5682C"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B8A28F" w14:textId="4935FFDC" w:rsidR="0084460B" w:rsidRPr="00D67367" w:rsidRDefault="0084460B" w:rsidP="0084460B">
            <w:pPr>
              <w:keepLines/>
              <w:jc w:val="right"/>
              <w:rPr>
                <w:rFonts w:cstheme="minorHAnsi"/>
                <w:sz w:val="20"/>
                <w:szCs w:val="20"/>
              </w:rPr>
            </w:pPr>
            <w:r w:rsidRPr="00D67367">
              <w:rPr>
                <w:rFonts w:cstheme="minorHAnsi"/>
                <w:sz w:val="20"/>
                <w:szCs w:val="20"/>
              </w:rPr>
              <w:t>4</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40F56F" w14:textId="77777777" w:rsidR="0084460B" w:rsidRPr="00D67367" w:rsidRDefault="0084460B" w:rsidP="0084460B">
            <w:pPr>
              <w:keepLines/>
              <w:rPr>
                <w:rFonts w:cstheme="minorHAnsi"/>
                <w:sz w:val="20"/>
                <w:szCs w:val="20"/>
              </w:rPr>
            </w:pPr>
            <w:r w:rsidRPr="00D67367">
              <w:rPr>
                <w:rFonts w:cstheme="minorHAnsi"/>
                <w:sz w:val="20"/>
                <w:szCs w:val="20"/>
              </w:rPr>
              <w:t>cross-cutting</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5514609D" w14:textId="77777777" w:rsidR="0084460B" w:rsidRPr="00D67367" w:rsidRDefault="0084460B" w:rsidP="0084460B">
            <w:pPr>
              <w:keepLines/>
              <w:rPr>
                <w:rFonts w:cstheme="minorHAnsi"/>
                <w:sz w:val="20"/>
                <w:szCs w:val="20"/>
              </w:rPr>
            </w:pPr>
            <w:r w:rsidRPr="00D67367">
              <w:rPr>
                <w:rFonts w:cstheme="minorHAnsi"/>
                <w:sz w:val="20"/>
                <w:szCs w:val="20"/>
              </w:rPr>
              <w:t>&gt;1 types of government partners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9CB5735" w14:textId="77777777" w:rsidR="0084460B" w:rsidRPr="00D67367" w:rsidRDefault="0084460B" w:rsidP="0084460B">
            <w:pPr>
              <w:keepLines/>
              <w:rPr>
                <w:rFonts w:cstheme="minorHAnsi"/>
                <w:i/>
                <w:sz w:val="20"/>
                <w:szCs w:val="20"/>
              </w:rPr>
            </w:pPr>
          </w:p>
        </w:tc>
      </w:tr>
      <w:tr w:rsidR="00BB1B10" w:rsidRPr="00D67367" w14:paraId="1FA1F0ED" w14:textId="77777777" w:rsidTr="00B75AF8">
        <w:trPr>
          <w:trHeight w:val="78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A67202B" w14:textId="77777777" w:rsidR="0084460B" w:rsidRPr="00D67367" w:rsidRDefault="0084460B" w:rsidP="0084460B">
            <w:pPr>
              <w:keepLines/>
              <w:rPr>
                <w:rFonts w:cstheme="minorHAnsi"/>
                <w:b/>
                <w:sz w:val="20"/>
                <w:szCs w:val="20"/>
              </w:rPr>
            </w:pPr>
            <w:r w:rsidRPr="00D67367">
              <w:rPr>
                <w:rFonts w:cstheme="minorHAnsi"/>
                <w:b/>
                <w:sz w:val="20"/>
                <w:szCs w:val="20"/>
              </w:rPr>
              <w:t>Equity</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149DC67" w14:textId="77777777" w:rsidR="0084460B" w:rsidRPr="00D67367" w:rsidRDefault="0084460B" w:rsidP="0084460B">
            <w:pPr>
              <w:keepLines/>
              <w:rPr>
                <w:rFonts w:cstheme="minorHAnsi"/>
                <w:sz w:val="20"/>
                <w:szCs w:val="20"/>
              </w:rPr>
            </w:pPr>
            <w:r w:rsidRPr="00D67367">
              <w:rPr>
                <w:rFonts w:cstheme="minorHAnsi"/>
                <w:sz w:val="20"/>
                <w:szCs w:val="20"/>
              </w:rPr>
              <w:t>Leach et al., 2018</w:t>
            </w:r>
          </w:p>
        </w:tc>
        <w:tc>
          <w:tcPr>
            <w:tcW w:w="0" w:type="auto"/>
            <w:tcBorders>
              <w:top w:val="single" w:sz="8" w:space="0" w:color="FFFFFF"/>
              <w:left w:val="single" w:sz="8" w:space="0" w:color="FFFFFF"/>
              <w:bottom w:val="single" w:sz="8" w:space="0" w:color="FFFFFF"/>
              <w:right w:val="single" w:sz="8" w:space="0" w:color="FFFFFF"/>
            </w:tcBorders>
          </w:tcPr>
          <w:p w14:paraId="3C38B359" w14:textId="017F058D" w:rsidR="0084460B" w:rsidRPr="00D67367" w:rsidRDefault="0084460B" w:rsidP="002F449B">
            <w:pPr>
              <w:keepLines/>
              <w:rPr>
                <w:rFonts w:cstheme="minorHAnsi"/>
                <w:sz w:val="20"/>
                <w:szCs w:val="20"/>
              </w:rPr>
            </w:pPr>
            <w:r w:rsidRPr="00D67367">
              <w:rPr>
                <w:rFonts w:cstheme="minorHAnsi"/>
                <w:sz w:val="20"/>
                <w:szCs w:val="20"/>
              </w:rPr>
              <w:t>The greater number of equity dimensions are considered, the more aligned with fundamental changes in the current system</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991989" w14:textId="5F9A443D" w:rsidR="0084460B" w:rsidRPr="00D67367" w:rsidRDefault="0084460B" w:rsidP="0084460B">
            <w:pPr>
              <w:keepLines/>
              <w:jc w:val="right"/>
              <w:rPr>
                <w:rFonts w:cstheme="minorHAnsi"/>
                <w:sz w:val="20"/>
                <w:szCs w:val="20"/>
              </w:rPr>
            </w:pPr>
            <w:r w:rsidRPr="00D67367">
              <w:rPr>
                <w:rFonts w:cstheme="minorHAnsi"/>
                <w:sz w:val="20"/>
                <w:szCs w:val="20"/>
              </w:rPr>
              <w:t>0</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175667F" w14:textId="64C3C7C0" w:rsidR="0084460B" w:rsidRPr="00D67367" w:rsidRDefault="0084460B" w:rsidP="0084460B">
            <w:pPr>
              <w:keepLines/>
              <w:rPr>
                <w:rFonts w:cstheme="minorHAnsi"/>
                <w:sz w:val="20"/>
                <w:szCs w:val="20"/>
              </w:rPr>
            </w:pPr>
            <w:r w:rsidRPr="00D67367">
              <w:rPr>
                <w:rFonts w:cstheme="minorHAnsi"/>
                <w:sz w:val="20"/>
                <w:szCs w:val="20"/>
              </w:rPr>
              <w:t>no reference to equity or justice</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3FEA0C26" w14:textId="77777777" w:rsidR="0084460B" w:rsidRPr="00D67367" w:rsidRDefault="0084460B" w:rsidP="0084460B">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10E0EAF2" w14:textId="77777777" w:rsidR="0084460B" w:rsidRPr="00D67367" w:rsidRDefault="0084460B" w:rsidP="0084460B">
            <w:pPr>
              <w:keepLines/>
              <w:rPr>
                <w:rFonts w:cstheme="minorHAnsi"/>
                <w:i/>
                <w:sz w:val="20"/>
                <w:szCs w:val="20"/>
              </w:rPr>
            </w:pPr>
            <w:r w:rsidRPr="00D67367">
              <w:rPr>
                <w:rFonts w:cstheme="minorHAnsi"/>
                <w:i/>
                <w:sz w:val="20"/>
                <w:szCs w:val="20"/>
              </w:rPr>
              <w:t xml:space="preserve"> </w:t>
            </w:r>
          </w:p>
        </w:tc>
      </w:tr>
      <w:tr w:rsidR="00BB1B10" w:rsidRPr="00D67367" w14:paraId="7A5DF70C" w14:textId="77777777" w:rsidTr="00B75AF8">
        <w:trPr>
          <w:trHeight w:val="159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A4719E" w14:textId="77777777" w:rsidR="0084460B" w:rsidRPr="00D67367" w:rsidRDefault="0084460B" w:rsidP="0084460B">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9A772BF" w14:textId="77777777" w:rsidR="0084460B" w:rsidRPr="00D67367" w:rsidRDefault="00000000" w:rsidP="0084460B">
            <w:pPr>
              <w:keepLines/>
              <w:rPr>
                <w:rFonts w:cstheme="minorHAnsi"/>
                <w:sz w:val="20"/>
                <w:szCs w:val="20"/>
              </w:rPr>
            </w:pPr>
            <w:sdt>
              <w:sdtPr>
                <w:rPr>
                  <w:rFonts w:cstheme="minorHAnsi"/>
                </w:rPr>
                <w:tag w:val="goog_rdk_123"/>
                <w:id w:val="1997686277"/>
              </w:sdtPr>
              <w:sdtContent/>
            </w:sdt>
            <w:r w:rsidR="0084460B" w:rsidRPr="00D67367">
              <w:rPr>
                <w:rFonts w:cstheme="minorHAnsi"/>
                <w:sz w:val="20"/>
                <w:szCs w:val="20"/>
              </w:rPr>
              <w:t xml:space="preserve">different dimensions/types of equity </w:t>
            </w:r>
          </w:p>
        </w:tc>
        <w:tc>
          <w:tcPr>
            <w:tcW w:w="0" w:type="auto"/>
            <w:tcBorders>
              <w:top w:val="single" w:sz="8" w:space="0" w:color="FFFFFF"/>
              <w:left w:val="single" w:sz="8" w:space="0" w:color="FFFFFF"/>
              <w:bottom w:val="single" w:sz="8" w:space="0" w:color="FFFFFF"/>
              <w:right w:val="single" w:sz="8" w:space="0" w:color="FFFFFF"/>
            </w:tcBorders>
          </w:tcPr>
          <w:p w14:paraId="08B5C0E9"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7E9D3A4" w14:textId="66453958" w:rsidR="0084460B" w:rsidRPr="00D67367" w:rsidRDefault="0084460B" w:rsidP="0084460B">
            <w:pPr>
              <w:keepLines/>
              <w:jc w:val="right"/>
              <w:rPr>
                <w:rFonts w:cstheme="minorHAnsi"/>
                <w:sz w:val="20"/>
                <w:szCs w:val="20"/>
              </w:rPr>
            </w:pPr>
            <w:r w:rsidRPr="00D67367">
              <w:rPr>
                <w:rFonts w:cstheme="minorHAnsi"/>
                <w:sz w:val="20"/>
                <w:szCs w:val="20"/>
              </w:rPr>
              <w:t>1</w:t>
            </w:r>
          </w:p>
          <w:p w14:paraId="706914A4" w14:textId="77777777" w:rsidR="0084460B" w:rsidRPr="00D67367" w:rsidRDefault="0084460B" w:rsidP="0084460B">
            <w:pPr>
              <w:keepLines/>
              <w:jc w:val="right"/>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49BE29" w14:textId="77777777" w:rsidR="0084460B" w:rsidRPr="00D67367" w:rsidRDefault="0084460B" w:rsidP="0084460B">
            <w:pPr>
              <w:keepLines/>
              <w:rPr>
                <w:rFonts w:cstheme="minorHAnsi"/>
                <w:sz w:val="20"/>
                <w:szCs w:val="20"/>
              </w:rPr>
            </w:pPr>
            <w:r w:rsidRPr="00D67367">
              <w:rPr>
                <w:rFonts w:cstheme="minorHAnsi"/>
                <w:sz w:val="20"/>
                <w:szCs w:val="20"/>
              </w:rPr>
              <w:t>distributional</w:t>
            </w:r>
          </w:p>
        </w:tc>
        <w:tc>
          <w:tcPr>
            <w:tcW w:w="0" w:type="auto"/>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4A10D1A2" w14:textId="77777777" w:rsidR="0084460B" w:rsidRPr="00D67367" w:rsidRDefault="0084460B" w:rsidP="0084460B">
            <w:pPr>
              <w:keepLines/>
              <w:rPr>
                <w:rFonts w:cstheme="minorHAnsi"/>
                <w:sz w:val="20"/>
                <w:szCs w:val="20"/>
              </w:rPr>
            </w:pPr>
            <w:r w:rsidRPr="00D67367">
              <w:rPr>
                <w:rFonts w:cstheme="minorHAnsi"/>
                <w:sz w:val="20"/>
                <w:szCs w:val="20"/>
              </w:rPr>
              <w:t>Distributional equity refers to how resources, costs and benefits are allocated or shared amongst people and groups.</w:t>
            </w:r>
          </w:p>
        </w:tc>
        <w:tc>
          <w:tcPr>
            <w:tcW w:w="0" w:type="auto"/>
            <w:tcBorders>
              <w:top w:val="single" w:sz="8" w:space="0" w:color="FFFFFF"/>
              <w:left w:val="single" w:sz="8" w:space="0" w:color="FFFFFF"/>
              <w:bottom w:val="single" w:sz="8" w:space="0" w:color="FFFFFF"/>
              <w:right w:val="single" w:sz="8" w:space="0" w:color="FFFFFF"/>
            </w:tcBorders>
            <w:shd w:val="clear" w:color="auto" w:fill="B7B7B7"/>
            <w:tcMar>
              <w:top w:w="100" w:type="dxa"/>
              <w:left w:w="100" w:type="dxa"/>
              <w:bottom w:w="100" w:type="dxa"/>
              <w:right w:w="100" w:type="dxa"/>
            </w:tcMar>
          </w:tcPr>
          <w:p w14:paraId="02470A2C" w14:textId="77777777" w:rsidR="0084460B" w:rsidRPr="00D67367" w:rsidRDefault="0084460B" w:rsidP="0084460B">
            <w:pPr>
              <w:keepLines/>
              <w:rPr>
                <w:rFonts w:cstheme="minorHAnsi"/>
                <w:i/>
                <w:sz w:val="20"/>
                <w:szCs w:val="20"/>
              </w:rPr>
            </w:pPr>
            <w:r w:rsidRPr="00D67367">
              <w:rPr>
                <w:rFonts w:cstheme="minorHAnsi"/>
                <w:i/>
                <w:sz w:val="20"/>
                <w:szCs w:val="20"/>
              </w:rPr>
              <w:t>As distributional outcomes expressed as fair sharing of benefits (of use of genetic resources, and in wages or pay)</w:t>
            </w:r>
          </w:p>
        </w:tc>
      </w:tr>
      <w:tr w:rsidR="00BB1B10" w:rsidRPr="00D67367" w14:paraId="07858FBD" w14:textId="77777777" w:rsidTr="00B75AF8">
        <w:trPr>
          <w:trHeight w:val="279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1DB88FE"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E232574"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518AC557"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560C14B" w14:textId="3FB65940" w:rsidR="0084460B" w:rsidRPr="00D67367" w:rsidRDefault="0084460B" w:rsidP="0084460B">
            <w:pPr>
              <w:keepLines/>
              <w:jc w:val="right"/>
              <w:rPr>
                <w:rFonts w:cstheme="minorHAnsi"/>
                <w:sz w:val="20"/>
                <w:szCs w:val="20"/>
              </w:rPr>
            </w:pPr>
            <w:r w:rsidRPr="00D67367">
              <w:rPr>
                <w:rFonts w:cstheme="minorHAnsi"/>
                <w:sz w:val="20"/>
                <w:szCs w:val="20"/>
              </w:rPr>
              <w:t>2</w:t>
            </w:r>
          </w:p>
        </w:tc>
        <w:tc>
          <w:tcPr>
            <w:tcW w:w="0" w:type="auto"/>
            <w:tcBorders>
              <w:top w:val="single" w:sz="8" w:space="0" w:color="FFFFFF"/>
              <w:left w:val="single" w:sz="8" w:space="0" w:color="FFFFFF"/>
              <w:bottom w:val="nil"/>
              <w:right w:val="single" w:sz="8" w:space="0" w:color="FFFFFF"/>
            </w:tcBorders>
            <w:tcMar>
              <w:top w:w="100" w:type="dxa"/>
              <w:left w:w="100" w:type="dxa"/>
              <w:bottom w:w="100" w:type="dxa"/>
              <w:right w:w="100" w:type="dxa"/>
            </w:tcMar>
          </w:tcPr>
          <w:p w14:paraId="6BE3FECF" w14:textId="77777777" w:rsidR="0084460B" w:rsidRPr="00D67367" w:rsidRDefault="0084460B" w:rsidP="0084460B">
            <w:pPr>
              <w:keepLines/>
              <w:rPr>
                <w:rFonts w:cstheme="minorHAnsi"/>
                <w:sz w:val="20"/>
                <w:szCs w:val="20"/>
              </w:rPr>
            </w:pPr>
            <w:r w:rsidRPr="00D67367">
              <w:rPr>
                <w:rFonts w:cstheme="minorHAnsi"/>
                <w:sz w:val="20"/>
                <w:szCs w:val="20"/>
              </w:rPr>
              <w:t>recognitional</w:t>
            </w:r>
          </w:p>
        </w:tc>
        <w:tc>
          <w:tcPr>
            <w:tcW w:w="0" w:type="auto"/>
            <w:tcBorders>
              <w:top w:val="single" w:sz="8" w:space="0" w:color="FFFFFF"/>
              <w:left w:val="single" w:sz="8" w:space="0" w:color="FFFFFF"/>
              <w:bottom w:val="nil"/>
              <w:right w:val="single" w:sz="8" w:space="0" w:color="FFFFFF"/>
            </w:tcBorders>
            <w:shd w:val="clear" w:color="auto" w:fill="EFEFEF"/>
            <w:tcMar>
              <w:top w:w="100" w:type="dxa"/>
              <w:left w:w="100" w:type="dxa"/>
              <w:bottom w:w="100" w:type="dxa"/>
              <w:right w:w="100" w:type="dxa"/>
            </w:tcMar>
          </w:tcPr>
          <w:p w14:paraId="24B33D9E" w14:textId="77777777" w:rsidR="0084460B" w:rsidRPr="00D67367" w:rsidRDefault="0084460B" w:rsidP="0084460B">
            <w:pPr>
              <w:keepLines/>
              <w:rPr>
                <w:rFonts w:cstheme="minorHAnsi"/>
                <w:sz w:val="20"/>
                <w:szCs w:val="20"/>
              </w:rPr>
            </w:pPr>
            <w:r w:rsidRPr="00D67367">
              <w:rPr>
                <w:rFonts w:cstheme="minorHAnsi"/>
                <w:sz w:val="20"/>
                <w:szCs w:val="20"/>
              </w:rPr>
              <w:t>Recognitional equity thus refers to acknowledgement of and respect for identity, values and associated rights. Recognitional equity especially emphasizes cultural and political domination and discrimination as forms of inequity and injustice.</w:t>
            </w:r>
          </w:p>
        </w:tc>
        <w:tc>
          <w:tcPr>
            <w:tcW w:w="0" w:type="auto"/>
            <w:tcBorders>
              <w:top w:val="single" w:sz="8" w:space="0" w:color="FFFFFF"/>
              <w:left w:val="single" w:sz="8" w:space="0" w:color="FFFFFF"/>
              <w:bottom w:val="nil"/>
              <w:right w:val="single" w:sz="8" w:space="0" w:color="FFFFFF"/>
            </w:tcBorders>
            <w:shd w:val="clear" w:color="auto" w:fill="B7B7B7"/>
            <w:tcMar>
              <w:top w:w="100" w:type="dxa"/>
              <w:left w:w="100" w:type="dxa"/>
              <w:bottom w:w="100" w:type="dxa"/>
              <w:right w:w="100" w:type="dxa"/>
            </w:tcMar>
          </w:tcPr>
          <w:p w14:paraId="0B4F97F7" w14:textId="77777777" w:rsidR="0084460B" w:rsidRPr="00D67367" w:rsidRDefault="0084460B" w:rsidP="0084460B">
            <w:pPr>
              <w:keepLines/>
              <w:rPr>
                <w:rFonts w:cstheme="minorHAnsi"/>
                <w:i/>
                <w:sz w:val="20"/>
                <w:szCs w:val="20"/>
              </w:rPr>
            </w:pPr>
            <w:r w:rsidRPr="00D67367">
              <w:rPr>
                <w:rFonts w:cstheme="minorHAnsi"/>
                <w:i/>
                <w:sz w:val="20"/>
                <w:szCs w:val="20"/>
              </w:rPr>
              <w:t>Equitable recognition, rights and access expressed as inputs (to economic conditions, physical conditions, such as water, sanitation, energy, infrastructure and land, and processes such as education and justice)</w:t>
            </w:r>
          </w:p>
        </w:tc>
      </w:tr>
      <w:tr w:rsidR="00BB1B10" w:rsidRPr="00D67367" w14:paraId="1A7E47D5" w14:textId="77777777" w:rsidTr="00B75AF8">
        <w:trPr>
          <w:trHeight w:val="279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E7F132"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21CD318" w14:textId="77777777" w:rsidR="0084460B" w:rsidRPr="00D67367" w:rsidRDefault="0084460B" w:rsidP="0084460B">
            <w:pPr>
              <w:keepLines/>
              <w:rPr>
                <w:rFonts w:cstheme="minorHAnsi"/>
                <w:sz w:val="20"/>
                <w:szCs w:val="20"/>
              </w:rPr>
            </w:pPr>
          </w:p>
        </w:tc>
        <w:tc>
          <w:tcPr>
            <w:tcW w:w="0" w:type="auto"/>
            <w:tcBorders>
              <w:top w:val="single" w:sz="8" w:space="0" w:color="FFFFFF"/>
              <w:left w:val="single" w:sz="8" w:space="0" w:color="FFFFFF"/>
              <w:bottom w:val="single" w:sz="8" w:space="0" w:color="FFFFFF"/>
              <w:right w:val="single" w:sz="8" w:space="0" w:color="FFFFFF"/>
            </w:tcBorders>
          </w:tcPr>
          <w:p w14:paraId="3F71ED07"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8" w:space="0" w:color="FFFFFF"/>
              <w:right w:val="nil"/>
            </w:tcBorders>
            <w:tcMar>
              <w:top w:w="100" w:type="dxa"/>
              <w:left w:w="100" w:type="dxa"/>
              <w:bottom w:w="100" w:type="dxa"/>
              <w:right w:w="100" w:type="dxa"/>
            </w:tcMar>
          </w:tcPr>
          <w:p w14:paraId="66DB27F1" w14:textId="53C17352" w:rsidR="0084460B" w:rsidRPr="00D67367" w:rsidRDefault="0084460B" w:rsidP="0084460B">
            <w:pPr>
              <w:keepLines/>
              <w:jc w:val="right"/>
              <w:rPr>
                <w:rFonts w:cstheme="minorHAnsi"/>
                <w:sz w:val="20"/>
                <w:szCs w:val="20"/>
              </w:rPr>
            </w:pPr>
            <w:r w:rsidRPr="00D67367">
              <w:rPr>
                <w:rFonts w:cstheme="minorHAnsi"/>
                <w:sz w:val="20"/>
                <w:szCs w:val="20"/>
              </w:rPr>
              <w:t>3</w:t>
            </w:r>
          </w:p>
        </w:tc>
        <w:tc>
          <w:tcPr>
            <w:tcW w:w="0" w:type="auto"/>
            <w:tcBorders>
              <w:top w:val="nil"/>
              <w:left w:val="nil"/>
              <w:right w:val="nil"/>
            </w:tcBorders>
            <w:tcMar>
              <w:top w:w="100" w:type="dxa"/>
              <w:left w:w="100" w:type="dxa"/>
              <w:bottom w:w="100" w:type="dxa"/>
              <w:right w:w="100" w:type="dxa"/>
            </w:tcMar>
          </w:tcPr>
          <w:p w14:paraId="00983BCB" w14:textId="77777777" w:rsidR="0084460B" w:rsidRPr="00D67367" w:rsidRDefault="0084460B" w:rsidP="0084460B">
            <w:pPr>
              <w:keepLines/>
              <w:rPr>
                <w:rFonts w:cstheme="minorHAnsi"/>
                <w:sz w:val="20"/>
                <w:szCs w:val="20"/>
              </w:rPr>
            </w:pPr>
            <w:r w:rsidRPr="00D67367">
              <w:rPr>
                <w:rFonts w:cstheme="minorHAnsi"/>
                <w:sz w:val="20"/>
                <w:szCs w:val="20"/>
              </w:rPr>
              <w:t>procedural</w:t>
            </w:r>
          </w:p>
        </w:tc>
        <w:tc>
          <w:tcPr>
            <w:tcW w:w="0" w:type="auto"/>
            <w:tcBorders>
              <w:top w:val="nil"/>
              <w:left w:val="nil"/>
              <w:right w:val="nil"/>
            </w:tcBorders>
            <w:shd w:val="clear" w:color="auto" w:fill="EFEFEF"/>
            <w:tcMar>
              <w:top w:w="100" w:type="dxa"/>
              <w:left w:w="100" w:type="dxa"/>
              <w:bottom w:w="100" w:type="dxa"/>
              <w:right w:w="100" w:type="dxa"/>
            </w:tcMar>
          </w:tcPr>
          <w:p w14:paraId="6B3A9C28" w14:textId="77777777" w:rsidR="0084460B" w:rsidRPr="00D67367" w:rsidRDefault="0084460B" w:rsidP="0084460B">
            <w:pPr>
              <w:keepLines/>
              <w:rPr>
                <w:rFonts w:cstheme="minorHAnsi"/>
                <w:sz w:val="20"/>
                <w:szCs w:val="20"/>
              </w:rPr>
            </w:pPr>
            <w:r w:rsidRPr="00D67367">
              <w:rPr>
                <w:rFonts w:cstheme="minorHAnsi"/>
                <w:sz w:val="20"/>
                <w:szCs w:val="20"/>
              </w:rPr>
              <w:t>Procedural equity draws on literatures on institutions, governance and participation to highlight how decisions are made, and the extent to which different people and groups are able to influence these or have their perspectives represented or incorporated</w:t>
            </w:r>
          </w:p>
        </w:tc>
        <w:tc>
          <w:tcPr>
            <w:tcW w:w="0" w:type="auto"/>
            <w:tcBorders>
              <w:top w:val="nil"/>
              <w:left w:val="nil"/>
              <w:right w:val="nil"/>
            </w:tcBorders>
            <w:shd w:val="clear" w:color="auto" w:fill="B7B7B7"/>
            <w:tcMar>
              <w:top w:w="100" w:type="dxa"/>
              <w:left w:w="100" w:type="dxa"/>
              <w:bottom w:w="100" w:type="dxa"/>
              <w:right w:w="100" w:type="dxa"/>
            </w:tcMar>
          </w:tcPr>
          <w:p w14:paraId="42859A53" w14:textId="77777777" w:rsidR="0084460B" w:rsidRPr="00D67367" w:rsidRDefault="0084460B" w:rsidP="0084460B">
            <w:pPr>
              <w:keepLines/>
              <w:rPr>
                <w:rFonts w:cstheme="minorHAnsi"/>
                <w:i/>
                <w:sz w:val="20"/>
                <w:szCs w:val="20"/>
              </w:rPr>
            </w:pPr>
            <w:r w:rsidRPr="00D67367">
              <w:rPr>
                <w:rFonts w:cstheme="minorHAnsi"/>
                <w:i/>
                <w:sz w:val="20"/>
                <w:szCs w:val="20"/>
              </w:rPr>
              <w:t>Procedural aspects of equitable participation and opportunity (across gender, in law and policy, and the international trading system)</w:t>
            </w:r>
          </w:p>
        </w:tc>
      </w:tr>
      <w:tr w:rsidR="00BB1B10" w:rsidRPr="00D67367" w14:paraId="021EEC69" w14:textId="77777777" w:rsidTr="00B75AF8">
        <w:trPr>
          <w:trHeight w:val="2790"/>
        </w:trPr>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14:paraId="79967C82" w14:textId="77777777" w:rsidR="0084460B" w:rsidRPr="00D67367" w:rsidRDefault="0084460B" w:rsidP="0084460B">
            <w:pPr>
              <w:keepLines/>
              <w:rPr>
                <w:rFonts w:cstheme="minorHAnsi"/>
                <w:b/>
                <w:sz w:val="20"/>
                <w:szCs w:val="20"/>
              </w:rPr>
            </w:pPr>
            <w:r w:rsidRPr="00D67367">
              <w:rPr>
                <w:rFonts w:cstheme="minorHAnsi"/>
                <w:b/>
                <w:sz w:val="20"/>
                <w:szCs w:val="20"/>
              </w:rPr>
              <w:t xml:space="preserve"> </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14:paraId="1D338808" w14:textId="77777777" w:rsidR="0084460B" w:rsidRPr="00D67367" w:rsidRDefault="0084460B" w:rsidP="0084460B">
            <w:pPr>
              <w:keepLines/>
              <w:rPr>
                <w:rFonts w:cstheme="minorHAnsi"/>
                <w:sz w:val="20"/>
                <w:szCs w:val="20"/>
              </w:rPr>
            </w:pPr>
            <w:r w:rsidRPr="00D67367">
              <w:rPr>
                <w:rFonts w:cstheme="minorHAnsi"/>
                <w:sz w:val="20"/>
                <w:szCs w:val="20"/>
              </w:rPr>
              <w:t xml:space="preserve"> </w:t>
            </w:r>
          </w:p>
        </w:tc>
        <w:tc>
          <w:tcPr>
            <w:tcW w:w="0" w:type="auto"/>
            <w:tcBorders>
              <w:top w:val="single" w:sz="8" w:space="0" w:color="FFFFFF"/>
              <w:left w:val="single" w:sz="8" w:space="0" w:color="FFFFFF"/>
              <w:bottom w:val="single" w:sz="12" w:space="0" w:color="000000"/>
              <w:right w:val="single" w:sz="8" w:space="0" w:color="FFFFFF"/>
            </w:tcBorders>
          </w:tcPr>
          <w:p w14:paraId="3C6ADEC9" w14:textId="77777777" w:rsidR="0084460B" w:rsidRPr="00D67367" w:rsidRDefault="0084460B" w:rsidP="002F449B">
            <w:pPr>
              <w:keepLines/>
              <w:rPr>
                <w:rFonts w:cstheme="minorHAnsi"/>
                <w:sz w:val="20"/>
                <w:szCs w:val="20"/>
              </w:rPr>
            </w:pP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tcPr>
          <w:p w14:paraId="5CF657AC" w14:textId="109EF006" w:rsidR="0084460B" w:rsidRPr="00D67367" w:rsidRDefault="0084460B" w:rsidP="0084460B">
            <w:pPr>
              <w:keepLines/>
              <w:jc w:val="right"/>
              <w:rPr>
                <w:rFonts w:cstheme="minorHAnsi"/>
                <w:sz w:val="20"/>
                <w:szCs w:val="20"/>
              </w:rPr>
            </w:pPr>
            <w:r w:rsidRPr="00D67367">
              <w:rPr>
                <w:rFonts w:cstheme="minorHAnsi"/>
                <w:sz w:val="20"/>
                <w:szCs w:val="20"/>
              </w:rPr>
              <w:t>4</w:t>
            </w:r>
          </w:p>
        </w:tc>
        <w:tc>
          <w:tcPr>
            <w:tcW w:w="0" w:type="auto"/>
            <w:tcBorders>
              <w:top w:val="nil"/>
              <w:left w:val="single" w:sz="8" w:space="0" w:color="FFFFFF"/>
              <w:bottom w:val="single" w:sz="12" w:space="0" w:color="000000"/>
              <w:right w:val="single" w:sz="8" w:space="0" w:color="FFFFFF"/>
            </w:tcBorders>
            <w:tcMar>
              <w:top w:w="100" w:type="dxa"/>
              <w:left w:w="100" w:type="dxa"/>
              <w:bottom w:w="100" w:type="dxa"/>
              <w:right w:w="100" w:type="dxa"/>
            </w:tcMar>
          </w:tcPr>
          <w:p w14:paraId="718E473C" w14:textId="77777777" w:rsidR="0084460B" w:rsidRPr="00D67367" w:rsidRDefault="0084460B" w:rsidP="0084460B">
            <w:pPr>
              <w:keepLines/>
              <w:rPr>
                <w:rFonts w:cstheme="minorHAnsi"/>
                <w:sz w:val="20"/>
                <w:szCs w:val="20"/>
              </w:rPr>
            </w:pPr>
            <w:r w:rsidRPr="00D67367">
              <w:rPr>
                <w:rFonts w:cstheme="minorHAnsi"/>
                <w:sz w:val="20"/>
                <w:szCs w:val="20"/>
              </w:rPr>
              <w:t>cross-cutting</w:t>
            </w:r>
          </w:p>
        </w:tc>
        <w:tc>
          <w:tcPr>
            <w:tcW w:w="0" w:type="auto"/>
            <w:tcBorders>
              <w:top w:val="nil"/>
              <w:left w:val="single" w:sz="8" w:space="0" w:color="FFFFFF"/>
              <w:bottom w:val="single" w:sz="12" w:space="0" w:color="000000"/>
              <w:right w:val="single" w:sz="8" w:space="0" w:color="FFFFFF"/>
            </w:tcBorders>
            <w:shd w:val="clear" w:color="auto" w:fill="EFEFEF"/>
            <w:tcMar>
              <w:top w:w="100" w:type="dxa"/>
              <w:left w:w="100" w:type="dxa"/>
              <w:bottom w:w="100" w:type="dxa"/>
              <w:right w:w="100" w:type="dxa"/>
            </w:tcMar>
          </w:tcPr>
          <w:p w14:paraId="7A4FBC42" w14:textId="77777777" w:rsidR="0084460B" w:rsidRPr="00D67367" w:rsidRDefault="0084460B" w:rsidP="0084460B">
            <w:pPr>
              <w:keepLines/>
              <w:rPr>
                <w:rFonts w:cstheme="minorHAnsi"/>
                <w:sz w:val="20"/>
                <w:szCs w:val="20"/>
              </w:rPr>
            </w:pPr>
            <w:r w:rsidRPr="00D67367">
              <w:rPr>
                <w:rFonts w:cstheme="minorHAnsi"/>
                <w:sz w:val="20"/>
                <w:szCs w:val="20"/>
              </w:rPr>
              <w:t>A combination of 2 or 3 of the above</w:t>
            </w:r>
          </w:p>
        </w:tc>
        <w:tc>
          <w:tcPr>
            <w:tcW w:w="0" w:type="auto"/>
            <w:tcBorders>
              <w:top w:val="nil"/>
              <w:left w:val="single" w:sz="8" w:space="0" w:color="FFFFFF"/>
              <w:bottom w:val="single" w:sz="12" w:space="0" w:color="000000"/>
              <w:right w:val="single" w:sz="8" w:space="0" w:color="FFFFFF"/>
            </w:tcBorders>
            <w:shd w:val="clear" w:color="auto" w:fill="B7B7B7"/>
            <w:tcMar>
              <w:top w:w="100" w:type="dxa"/>
              <w:left w:w="100" w:type="dxa"/>
              <w:bottom w:w="100" w:type="dxa"/>
              <w:right w:w="100" w:type="dxa"/>
            </w:tcMar>
          </w:tcPr>
          <w:p w14:paraId="5FF62CBB" w14:textId="77777777" w:rsidR="0084460B" w:rsidRPr="00D67367" w:rsidRDefault="0084460B" w:rsidP="0084460B">
            <w:pPr>
              <w:keepLines/>
              <w:rPr>
                <w:rFonts w:cstheme="minorHAnsi"/>
                <w:i/>
                <w:sz w:val="20"/>
                <w:szCs w:val="20"/>
              </w:rPr>
            </w:pPr>
          </w:p>
        </w:tc>
      </w:tr>
    </w:tbl>
    <w:p w14:paraId="0DFCE5D0" w14:textId="77777777" w:rsidR="005B7431" w:rsidRPr="00D67367" w:rsidRDefault="005B7431" w:rsidP="005B7431">
      <w:pPr>
        <w:tabs>
          <w:tab w:val="left" w:pos="814"/>
        </w:tabs>
        <w:rPr>
          <w:rFonts w:cstheme="minorHAnsi"/>
        </w:rPr>
      </w:pPr>
    </w:p>
    <w:p w14:paraId="0B3A2478" w14:textId="77777777" w:rsidR="004942FE" w:rsidRPr="00D67367" w:rsidRDefault="004942FE" w:rsidP="004942FE">
      <w:pPr>
        <w:rPr>
          <w:rFonts w:cstheme="minorHAnsi"/>
        </w:rPr>
      </w:pPr>
    </w:p>
    <w:p w14:paraId="1C9A3904" w14:textId="77777777" w:rsidR="004942FE" w:rsidRPr="00D67367" w:rsidRDefault="004942FE" w:rsidP="004942FE">
      <w:pPr>
        <w:rPr>
          <w:rFonts w:cstheme="minorHAnsi"/>
        </w:rPr>
      </w:pPr>
    </w:p>
    <w:p w14:paraId="41676E66" w14:textId="77777777" w:rsidR="004942FE" w:rsidRPr="00D67367" w:rsidRDefault="004942FE" w:rsidP="004942FE">
      <w:pPr>
        <w:rPr>
          <w:rFonts w:cstheme="minorHAnsi"/>
        </w:rPr>
      </w:pPr>
    </w:p>
    <w:p w14:paraId="6A493613" w14:textId="77777777" w:rsidR="004942FE" w:rsidRPr="00D67367" w:rsidRDefault="004942FE" w:rsidP="004942FE">
      <w:pPr>
        <w:rPr>
          <w:rFonts w:cstheme="minorHAnsi"/>
        </w:rPr>
      </w:pPr>
    </w:p>
    <w:p w14:paraId="58254712" w14:textId="77777777" w:rsidR="004942FE" w:rsidRPr="00D82287" w:rsidRDefault="004942FE" w:rsidP="004942FE">
      <w:pPr>
        <w:pStyle w:val="Heading2"/>
        <w:rPr>
          <w:rFonts w:asciiTheme="minorHAnsi" w:hAnsiTheme="minorHAnsi" w:cstheme="minorHAnsi"/>
          <w:lang w:val="en-GB"/>
        </w:rPr>
        <w:sectPr w:rsidR="004942FE" w:rsidRPr="00D82287" w:rsidSect="0024740B">
          <w:pgSz w:w="16838" w:h="11906" w:orient="landscape"/>
          <w:pgMar w:top="1440" w:right="1440" w:bottom="1440" w:left="1440" w:header="708" w:footer="708" w:gutter="0"/>
          <w:cols w:space="720"/>
          <w:docGrid w:linePitch="326"/>
        </w:sectPr>
      </w:pPr>
    </w:p>
    <w:p w14:paraId="5D534C53" w14:textId="4D1F8366" w:rsidR="004942FE" w:rsidRPr="00D82287" w:rsidRDefault="004942FE" w:rsidP="004942FE">
      <w:pPr>
        <w:pStyle w:val="Heading2"/>
        <w:rPr>
          <w:rFonts w:asciiTheme="minorHAnsi" w:hAnsiTheme="minorHAnsi" w:cstheme="minorHAnsi"/>
          <w:lang w:val="en-GB"/>
        </w:rPr>
      </w:pPr>
      <w:bookmarkStart w:id="12" w:name="_Toc180411821"/>
      <w:r w:rsidRPr="00D82287">
        <w:rPr>
          <w:rFonts w:asciiTheme="minorHAnsi" w:hAnsiTheme="minorHAnsi" w:cstheme="minorHAnsi"/>
          <w:lang w:val="en-GB"/>
        </w:rPr>
        <w:lastRenderedPageBreak/>
        <w:t>A</w:t>
      </w:r>
      <w:r w:rsidR="00B05D2B" w:rsidRPr="00D82287">
        <w:rPr>
          <w:rFonts w:asciiTheme="minorHAnsi" w:hAnsiTheme="minorHAnsi" w:cstheme="minorHAnsi"/>
          <w:lang w:val="en-GB"/>
        </w:rPr>
        <w:t>.</w:t>
      </w:r>
      <w:r w:rsidR="00C83AFB" w:rsidRPr="00D82287">
        <w:rPr>
          <w:rFonts w:asciiTheme="minorHAnsi" w:hAnsiTheme="minorHAnsi" w:cstheme="minorHAnsi"/>
          <w:lang w:val="en-GB"/>
        </w:rPr>
        <w:t>4</w:t>
      </w:r>
      <w:r w:rsidRPr="00D82287">
        <w:rPr>
          <w:rFonts w:asciiTheme="minorHAnsi" w:hAnsiTheme="minorHAnsi" w:cstheme="minorHAnsi"/>
          <w:lang w:val="en-GB"/>
        </w:rPr>
        <w:t>. Qualitative synthesis - full summaries o</w:t>
      </w:r>
      <w:r w:rsidR="00EE1456" w:rsidRPr="00D82287">
        <w:rPr>
          <w:rFonts w:asciiTheme="minorHAnsi" w:hAnsiTheme="minorHAnsi" w:cstheme="minorHAnsi"/>
          <w:lang w:val="en-GB"/>
        </w:rPr>
        <w:t xml:space="preserve">f </w:t>
      </w:r>
      <w:r w:rsidRPr="00D82287">
        <w:rPr>
          <w:rFonts w:asciiTheme="minorHAnsi" w:hAnsiTheme="minorHAnsi" w:cstheme="minorHAnsi"/>
          <w:lang w:val="en-GB"/>
        </w:rPr>
        <w:t>LSAC</w:t>
      </w:r>
      <w:r w:rsidR="00EE1456" w:rsidRPr="00D82287">
        <w:rPr>
          <w:rFonts w:asciiTheme="minorHAnsi" w:hAnsiTheme="minorHAnsi" w:cstheme="minorHAnsi"/>
          <w:lang w:val="en-GB"/>
        </w:rPr>
        <w:t>s</w:t>
      </w:r>
      <w:bookmarkEnd w:id="12"/>
    </w:p>
    <w:p w14:paraId="5FA3E158" w14:textId="5C78F881" w:rsidR="004942FE" w:rsidRPr="00D67367" w:rsidRDefault="004942FE" w:rsidP="004942FE">
      <w:pPr>
        <w:rPr>
          <w:rFonts w:cstheme="minorHAnsi"/>
        </w:rPr>
      </w:pPr>
      <w:r w:rsidRPr="00D67367">
        <w:rPr>
          <w:rFonts w:cstheme="minorHAnsi"/>
        </w:rPr>
        <w:t xml:space="preserve">This section presents information from the qualitative coding process, using each coalition as a unit of analysis.  </w:t>
      </w:r>
    </w:p>
    <w:p w14:paraId="045F54CB" w14:textId="77777777" w:rsidR="00135419" w:rsidRPr="00D67367" w:rsidRDefault="00135419" w:rsidP="004942FE">
      <w:pPr>
        <w:rPr>
          <w:rFonts w:cstheme="minorHAnsi"/>
        </w:rPr>
      </w:pPr>
    </w:p>
    <w:p w14:paraId="2D08DAF7" w14:textId="287C9E25" w:rsidR="004942FE" w:rsidRPr="00D67367" w:rsidRDefault="004942FE" w:rsidP="001F3670">
      <w:pPr>
        <w:pStyle w:val="ListParagraph"/>
        <w:numPr>
          <w:ilvl w:val="0"/>
          <w:numId w:val="4"/>
        </w:numPr>
        <w:rPr>
          <w:rFonts w:cstheme="minorHAnsi"/>
          <w:b/>
        </w:rPr>
      </w:pPr>
      <w:r w:rsidRPr="00D67367">
        <w:rPr>
          <w:rFonts w:cstheme="minorHAnsi"/>
          <w:b/>
        </w:rPr>
        <w:t xml:space="preserve">Global Investors for Sustainable Development </w:t>
      </w:r>
    </w:p>
    <w:p w14:paraId="5DEBFAB3" w14:textId="77777777" w:rsidR="007135A0" w:rsidRPr="00D67367" w:rsidRDefault="007135A0" w:rsidP="007135A0">
      <w:pPr>
        <w:pStyle w:val="ListParagraph"/>
        <w:rPr>
          <w:rFonts w:cstheme="minorHAnsi"/>
          <w:b/>
        </w:rPr>
      </w:pPr>
    </w:p>
    <w:p w14:paraId="47C50215" w14:textId="69D5C5C8" w:rsidR="004942FE" w:rsidRPr="00D67367" w:rsidRDefault="004942FE" w:rsidP="004942FE">
      <w:pPr>
        <w:rPr>
          <w:rFonts w:cstheme="minorHAnsi"/>
        </w:rPr>
      </w:pPr>
      <w:r w:rsidRPr="00D67367">
        <w:rPr>
          <w:rFonts w:cstheme="minorHAnsi"/>
        </w:rPr>
        <w:t>The GISD alliance consists of 30 CEOs from financial institutions and other corporates, which were invited and convened by the UN in 2019. This geographically diverse but otherwise relatively homogeneous group of actors represented US$ 16 trn in 2020. GISD is set up with a 2</w:t>
      </w:r>
      <w:r w:rsidR="00CD197D" w:rsidRPr="00D67367">
        <w:rPr>
          <w:rFonts w:cstheme="minorHAnsi"/>
        </w:rPr>
        <w:t>-</w:t>
      </w:r>
      <w:r w:rsidRPr="00D67367">
        <w:rPr>
          <w:rFonts w:cstheme="minorHAnsi"/>
        </w:rPr>
        <w:t>year action plan (2019 - 2021) and aims to shape the global investment landscape to contribute to the 2030 Agenda for Sustainable Development, more specifically to “</w:t>
      </w:r>
      <w:r w:rsidRPr="00D67367">
        <w:rPr>
          <w:rFonts w:cstheme="minorHAnsi"/>
          <w:i/>
        </w:rPr>
        <w:t>scale-up and speed-up our efforts to align business with the SDGs</w:t>
      </w:r>
      <w:r w:rsidRPr="00D67367">
        <w:rPr>
          <w:rFonts w:cstheme="minorHAnsi"/>
        </w:rPr>
        <w:t>" (GISD-joint-statement, 2019). GISD focuses on removing the barriers in SDG investing, such as the inconsistency in metrics</w:t>
      </w:r>
      <w:r w:rsidR="00CD197D" w:rsidRPr="00D67367">
        <w:rPr>
          <w:rFonts w:cstheme="minorHAnsi"/>
        </w:rPr>
        <w:t xml:space="preserve"> and </w:t>
      </w:r>
      <w:r w:rsidRPr="00D67367">
        <w:rPr>
          <w:rFonts w:cstheme="minorHAnsi"/>
        </w:rPr>
        <w:t>taxonomies, improving the regulatory framework, and transforming the investment landscape as illustrated by the following quote “</w:t>
      </w:r>
      <w:r w:rsidRPr="00D67367">
        <w:rPr>
          <w:rFonts w:cstheme="minorHAnsi"/>
          <w:i/>
        </w:rPr>
        <w:t>we are committed to transform the finance and investment ecosystem</w:t>
      </w:r>
      <w:r w:rsidRPr="00D67367">
        <w:rPr>
          <w:rFonts w:cstheme="minorHAnsi"/>
        </w:rPr>
        <w:t>” (GISD-joint-statement, 2019).</w:t>
      </w:r>
    </w:p>
    <w:p w14:paraId="3BA14B1E" w14:textId="77777777" w:rsidR="00CD197D" w:rsidRPr="00D67367" w:rsidRDefault="00CD197D" w:rsidP="004942FE">
      <w:pPr>
        <w:rPr>
          <w:rFonts w:cstheme="minorHAnsi"/>
        </w:rPr>
      </w:pPr>
    </w:p>
    <w:p w14:paraId="1A781C31" w14:textId="19DBEB56" w:rsidR="004942FE" w:rsidRPr="00D67367" w:rsidRDefault="00000000" w:rsidP="004942FE">
      <w:pPr>
        <w:rPr>
          <w:rFonts w:cstheme="minorHAnsi"/>
        </w:rPr>
      </w:pPr>
      <w:sdt>
        <w:sdtPr>
          <w:rPr>
            <w:rFonts w:cstheme="minorHAnsi"/>
          </w:rPr>
          <w:tag w:val="goog_rdk_124"/>
          <w:id w:val="1839575563"/>
        </w:sdtPr>
        <w:sdtContent/>
      </w:sdt>
      <w:r w:rsidR="004942FE" w:rsidRPr="00D67367">
        <w:rPr>
          <w:rFonts w:cstheme="minorHAnsi"/>
        </w:rPr>
        <w:t>GISD envisions a future of inclusive growth, decoupled from environmental impacts within a governance paradigm characterized by “</w:t>
      </w:r>
      <w:r w:rsidR="004942FE" w:rsidRPr="00D67367">
        <w:rPr>
          <w:rFonts w:cstheme="minorHAnsi"/>
          <w:i/>
        </w:rPr>
        <w:t>long- term thinking and sustainability commitments into core corporate practices and investment behaviour.</w:t>
      </w:r>
      <w:r w:rsidR="004942FE" w:rsidRPr="00D67367">
        <w:rPr>
          <w:rFonts w:cstheme="minorHAnsi"/>
        </w:rPr>
        <w:t>” In this future, the Paris Agreement target of limiting global warming</w:t>
      </w:r>
      <w:r w:rsidR="00CD197D" w:rsidRPr="00D67367">
        <w:rPr>
          <w:rFonts w:cstheme="minorHAnsi"/>
        </w:rPr>
        <w:t xml:space="preserve"> to 1.5C</w:t>
      </w:r>
      <w:r w:rsidR="004942FE" w:rsidRPr="00D67367">
        <w:rPr>
          <w:rFonts w:cstheme="minorHAnsi"/>
        </w:rPr>
        <w:t xml:space="preserve"> is met. Moreover, science-based transitions, long-term profit, opportunities created by the SDGs, stakeholder benefits, Public-Private Partnerships, and multi-stakeholder capitalism are mentioned in the material published by GISD, but potential trade-offs among these objectives are not explicitly acknowledged. Since GISD is convened by the UN, it is well-connected within the UN environment, as well as other international agencies such as the Principles for Responsible Investment (PRI)</w:t>
      </w:r>
      <w:r w:rsidR="00CD197D" w:rsidRPr="00D67367">
        <w:rPr>
          <w:rFonts w:cstheme="minorHAnsi"/>
        </w:rPr>
        <w:t xml:space="preserve"> and</w:t>
      </w:r>
      <w:r w:rsidR="004942FE" w:rsidRPr="00D67367">
        <w:rPr>
          <w:rFonts w:cstheme="minorHAnsi"/>
        </w:rPr>
        <w:t xml:space="preserve"> World Bank (WB)</w:t>
      </w:r>
      <w:r w:rsidR="00CD197D" w:rsidRPr="00D67367">
        <w:rPr>
          <w:rFonts w:cstheme="minorHAnsi"/>
        </w:rPr>
        <w:t>.</w:t>
      </w:r>
      <w:r w:rsidR="004942FE" w:rsidRPr="00D67367">
        <w:rPr>
          <w:rFonts w:cstheme="minorHAnsi"/>
        </w:rPr>
        <w:t xml:space="preserve"> </w:t>
      </w:r>
      <w:r w:rsidR="00CD197D" w:rsidRPr="00D67367">
        <w:rPr>
          <w:rFonts w:cstheme="minorHAnsi"/>
        </w:rPr>
        <w:t>A</w:t>
      </w:r>
      <w:r w:rsidR="004942FE" w:rsidRPr="00D67367">
        <w:rPr>
          <w:rFonts w:cstheme="minorHAnsi"/>
        </w:rPr>
        <w:t>s stated in GISD´s website</w:t>
      </w:r>
      <w:r w:rsidR="00CD197D" w:rsidRPr="00D67367">
        <w:rPr>
          <w:rFonts w:cstheme="minorHAnsi"/>
        </w:rPr>
        <w:t xml:space="preserve">, the alliance </w:t>
      </w:r>
      <w:r w:rsidR="004942FE" w:rsidRPr="00D67367">
        <w:rPr>
          <w:rFonts w:cstheme="minorHAnsi"/>
        </w:rPr>
        <w:t>"</w:t>
      </w:r>
      <w:r w:rsidR="004942FE" w:rsidRPr="00D67367">
        <w:rPr>
          <w:rFonts w:cstheme="minorHAnsi"/>
          <w:i/>
        </w:rPr>
        <w:t>is supported by a core group of stakeholders from the UN System, including UN Global Compact, PRI,  UNEP FI, UNDP, UNCDF and the Regional Economic Commissions, as well as the World Bank Group and the International Finance Corporation. These actors are coordinated by UN DESA and UNCTAD</w:t>
      </w:r>
      <w:r w:rsidR="004942FE" w:rsidRPr="00D67367">
        <w:rPr>
          <w:rFonts w:cstheme="minorHAnsi"/>
        </w:rPr>
        <w:t xml:space="preserve">" (Members Financing for Sustainable Development Office). </w:t>
      </w:r>
    </w:p>
    <w:p w14:paraId="0ABCA525" w14:textId="77777777" w:rsidR="007319DD" w:rsidRPr="00D67367" w:rsidRDefault="007319DD" w:rsidP="004942FE">
      <w:pPr>
        <w:rPr>
          <w:rFonts w:cstheme="minorHAnsi"/>
        </w:rPr>
      </w:pPr>
    </w:p>
    <w:p w14:paraId="0CDE3508" w14:textId="1A797DC2" w:rsidR="004942FE" w:rsidRPr="00D67367" w:rsidRDefault="004942FE" w:rsidP="004942FE">
      <w:pPr>
        <w:rPr>
          <w:rFonts w:cstheme="minorHAnsi"/>
        </w:rPr>
      </w:pPr>
      <w:r w:rsidRPr="00D67367">
        <w:rPr>
          <w:rFonts w:cstheme="minorHAnsi"/>
        </w:rPr>
        <w:t>In the “Renewed, Recharged and Reinforced” (2020) report, which was written as input to the EU Commission’s</w:t>
      </w:r>
      <w:r w:rsidRPr="00D67367">
        <w:rPr>
          <w:rFonts w:cstheme="minorHAnsi"/>
          <w:i/>
        </w:rPr>
        <w:t xml:space="preserve"> Renewed Sustainable Finance Strategy</w:t>
      </w:r>
      <w:r w:rsidRPr="00D67367">
        <w:rPr>
          <w:rFonts w:cstheme="minorHAnsi"/>
        </w:rPr>
        <w:t xml:space="preserve"> consultation process </w:t>
      </w:r>
      <w:r w:rsidR="007319DD" w:rsidRPr="00D67367">
        <w:rPr>
          <w:rFonts w:cstheme="minorHAnsi"/>
        </w:rPr>
        <w:t xml:space="preserve">where </w:t>
      </w:r>
      <w:r w:rsidRPr="00D67367">
        <w:rPr>
          <w:rFonts w:cstheme="minorHAnsi"/>
        </w:rPr>
        <w:t xml:space="preserve">GISD was invited by the EU Commission to participate, GISD argues that regulatory processes are essential for allowing the sustainable finance transition to take place. GISD works toward legislation that enables such a transition (e.g. use of fiscal tools to enable sustainable finance). The following quote exemplifies the above (our emphasis): </w:t>
      </w:r>
    </w:p>
    <w:p w14:paraId="43A53458" w14:textId="77777777" w:rsidR="004942FE" w:rsidRPr="00D67367" w:rsidRDefault="004942FE" w:rsidP="004942FE">
      <w:pPr>
        <w:rPr>
          <w:rFonts w:cstheme="minorHAnsi"/>
        </w:rPr>
      </w:pPr>
      <w:r w:rsidRPr="00D67367">
        <w:rPr>
          <w:rFonts w:cstheme="minorHAnsi"/>
        </w:rPr>
        <w:t>“</w:t>
      </w:r>
      <w:r w:rsidRPr="00D67367">
        <w:rPr>
          <w:rFonts w:cstheme="minorHAnsi"/>
          <w:i/>
        </w:rPr>
        <w:t xml:space="preserve">To leverage available support, </w:t>
      </w:r>
      <w:r w:rsidRPr="00D67367">
        <w:rPr>
          <w:rFonts w:cstheme="minorHAnsi"/>
          <w:b/>
          <w:i/>
        </w:rPr>
        <w:t>governments must act now</w:t>
      </w:r>
      <w:r w:rsidRPr="00D67367">
        <w:rPr>
          <w:rFonts w:cstheme="minorHAnsi"/>
          <w:i/>
        </w:rPr>
        <w:t xml:space="preserve">. Developing a predictable regulatory framework is essential for the deployment of private capital. The threat of sudden regulatory change, lack of policy predictability and uncertain legal frameworks make regulatory risk difficult to calculate and difficult to price. </w:t>
      </w:r>
      <w:r w:rsidRPr="00D67367">
        <w:rPr>
          <w:rFonts w:cstheme="minorHAnsi"/>
          <w:b/>
          <w:i/>
        </w:rPr>
        <w:t>The more predictable and coherent the direction of relevant regulatory policy, the</w:t>
      </w:r>
      <w:r w:rsidRPr="00D67367">
        <w:rPr>
          <w:rFonts w:cstheme="minorHAnsi"/>
          <w:i/>
        </w:rPr>
        <w:t xml:space="preserve"> </w:t>
      </w:r>
      <w:r w:rsidRPr="00D67367">
        <w:rPr>
          <w:rFonts w:cstheme="minorHAnsi"/>
          <w:b/>
          <w:i/>
        </w:rPr>
        <w:t>easier it will be for private actors to engage in financing the transition.</w:t>
      </w:r>
      <w:r w:rsidRPr="00D67367">
        <w:rPr>
          <w:rFonts w:cstheme="minorHAnsi"/>
        </w:rPr>
        <w:t>” (Renewed, Recharged and Reinforced (GISD 2020)_vF, P. 27: 3176).</w:t>
      </w:r>
    </w:p>
    <w:p w14:paraId="3AE33932" w14:textId="77777777" w:rsidR="001464EC" w:rsidRPr="00D67367" w:rsidRDefault="001464EC" w:rsidP="004942FE">
      <w:pPr>
        <w:rPr>
          <w:rFonts w:cstheme="minorHAnsi"/>
        </w:rPr>
      </w:pPr>
    </w:p>
    <w:p w14:paraId="33D5F5E7" w14:textId="59185D45" w:rsidR="004942FE" w:rsidRPr="00D67367" w:rsidRDefault="004942FE" w:rsidP="004942FE">
      <w:pPr>
        <w:rPr>
          <w:rFonts w:cstheme="minorHAnsi"/>
        </w:rPr>
      </w:pPr>
      <w:r w:rsidRPr="00D67367">
        <w:rPr>
          <w:rFonts w:cstheme="minorHAnsi"/>
        </w:rPr>
        <w:lastRenderedPageBreak/>
        <w:t xml:space="preserve">GISD´s scaling strategy refers to both scaling up and out. Their primary objective is to “scale up” by affecting the investment landscape at the global level, but they also put emphasis on “scaling out” objectives e.g. they mention that joining CA100+ (which we also include in our </w:t>
      </w:r>
      <w:r w:rsidR="006A7548" w:rsidRPr="00D67367">
        <w:rPr>
          <w:rFonts w:cstheme="minorHAnsi"/>
        </w:rPr>
        <w:t xml:space="preserve">case </w:t>
      </w:r>
      <w:r w:rsidRPr="00D67367">
        <w:rPr>
          <w:rFonts w:cstheme="minorHAnsi"/>
        </w:rPr>
        <w:t xml:space="preserve">study) is a good amplification strategy which contributes to the coalition´s mission. </w:t>
      </w:r>
    </w:p>
    <w:p w14:paraId="2279019D" w14:textId="77777777" w:rsidR="006A7548" w:rsidRPr="00D67367" w:rsidRDefault="006A7548" w:rsidP="004942FE">
      <w:pPr>
        <w:rPr>
          <w:rFonts w:cstheme="minorHAnsi"/>
        </w:rPr>
      </w:pPr>
    </w:p>
    <w:p w14:paraId="324761E8" w14:textId="52339AF5" w:rsidR="004942FE" w:rsidRPr="00D67367" w:rsidRDefault="004942FE" w:rsidP="004942FE">
      <w:pPr>
        <w:rPr>
          <w:rFonts w:cstheme="minorHAnsi"/>
        </w:rPr>
      </w:pPr>
      <w:r w:rsidRPr="00D67367">
        <w:rPr>
          <w:rFonts w:cstheme="minorHAnsi"/>
        </w:rPr>
        <w:t>Last, it is important to highlight that GISD refers to their members</w:t>
      </w:r>
      <w:r w:rsidR="006A7548" w:rsidRPr="00D67367">
        <w:rPr>
          <w:rFonts w:cstheme="minorHAnsi"/>
        </w:rPr>
        <w:t xml:space="preserve"> </w:t>
      </w:r>
      <w:r w:rsidRPr="00D67367">
        <w:rPr>
          <w:rFonts w:cstheme="minorHAnsi"/>
        </w:rPr>
        <w:t>CEOs as “</w:t>
      </w:r>
      <w:r w:rsidRPr="00D67367">
        <w:rPr>
          <w:rFonts w:cstheme="minorHAnsi"/>
          <w:i/>
        </w:rPr>
        <w:t>business giants</w:t>
      </w:r>
      <w:r w:rsidRPr="00D67367">
        <w:rPr>
          <w:rFonts w:cstheme="minorHAnsi"/>
        </w:rPr>
        <w:t>”, “</w:t>
      </w:r>
      <w:r w:rsidRPr="00D67367">
        <w:rPr>
          <w:rFonts w:cstheme="minorHAnsi"/>
          <w:i/>
        </w:rPr>
        <w:t>recognized leaders</w:t>
      </w:r>
      <w:r w:rsidRPr="00D67367">
        <w:rPr>
          <w:rFonts w:cstheme="minorHAnsi"/>
        </w:rPr>
        <w:t>”, “</w:t>
      </w:r>
      <w:r w:rsidRPr="00D67367">
        <w:rPr>
          <w:rFonts w:cstheme="minorHAnsi"/>
          <w:i/>
        </w:rPr>
        <w:t>leaders of the world’s investment and business community</w:t>
      </w:r>
      <w:r w:rsidRPr="00D67367">
        <w:rPr>
          <w:rFonts w:cstheme="minorHAnsi"/>
        </w:rPr>
        <w:t>”, which is an indication of the coalition´s communication strategy, as well as of how they understand themselves and their members within the system they try to change</w:t>
      </w:r>
      <w:r w:rsidR="006A7548" w:rsidRPr="00D67367">
        <w:rPr>
          <w:rFonts w:cstheme="minorHAnsi"/>
        </w:rPr>
        <w:t xml:space="preserve"> (e.g. in </w:t>
      </w:r>
      <w:r w:rsidRPr="00D67367">
        <w:rPr>
          <w:rFonts w:cstheme="minorHAnsi"/>
        </w:rPr>
        <w:t>terms of power and responsibility</w:t>
      </w:r>
      <w:r w:rsidR="00F228BB" w:rsidRPr="00D67367">
        <w:rPr>
          <w:rFonts w:cstheme="minorHAnsi"/>
        </w:rPr>
        <w:t xml:space="preserve"> to act</w:t>
      </w:r>
      <w:r w:rsidR="006A7548" w:rsidRPr="00D67367">
        <w:rPr>
          <w:rFonts w:cstheme="minorHAnsi"/>
        </w:rPr>
        <w:t>)</w:t>
      </w:r>
      <w:r w:rsidRPr="00D67367">
        <w:rPr>
          <w:rFonts w:cstheme="minorHAnsi"/>
        </w:rPr>
        <w:t xml:space="preserve">. </w:t>
      </w:r>
    </w:p>
    <w:p w14:paraId="0465A3AA" w14:textId="77777777" w:rsidR="001464EC" w:rsidRPr="00D67367" w:rsidRDefault="001464EC" w:rsidP="004942FE">
      <w:pPr>
        <w:rPr>
          <w:rFonts w:cstheme="minorHAnsi"/>
        </w:rPr>
      </w:pPr>
    </w:p>
    <w:p w14:paraId="7783C397" w14:textId="7BE9CCF9" w:rsidR="004942FE" w:rsidRPr="00D67367" w:rsidRDefault="004942FE" w:rsidP="001F3670">
      <w:pPr>
        <w:pStyle w:val="ListParagraph"/>
        <w:numPr>
          <w:ilvl w:val="0"/>
          <w:numId w:val="4"/>
        </w:numPr>
        <w:rPr>
          <w:rFonts w:cstheme="minorHAnsi"/>
          <w:b/>
        </w:rPr>
      </w:pPr>
      <w:r w:rsidRPr="00D67367">
        <w:rPr>
          <w:rFonts w:cstheme="minorHAnsi"/>
          <w:b/>
        </w:rPr>
        <w:t xml:space="preserve">Climate Action 100+ </w:t>
      </w:r>
    </w:p>
    <w:p w14:paraId="32AD6724" w14:textId="77777777" w:rsidR="00D07A72" w:rsidRPr="00D67367" w:rsidRDefault="00D07A72" w:rsidP="00D07A72">
      <w:pPr>
        <w:pStyle w:val="ListParagraph"/>
        <w:rPr>
          <w:rFonts w:cstheme="minorHAnsi"/>
          <w:b/>
        </w:rPr>
      </w:pPr>
    </w:p>
    <w:p w14:paraId="59E4998B" w14:textId="0AFFCC92" w:rsidR="004942FE" w:rsidRPr="00D67367" w:rsidRDefault="004942FE" w:rsidP="004942FE">
      <w:pPr>
        <w:rPr>
          <w:rFonts w:cstheme="minorHAnsi"/>
        </w:rPr>
      </w:pPr>
      <w:r w:rsidRPr="00D67367">
        <w:rPr>
          <w:rFonts w:cstheme="minorHAnsi"/>
        </w:rPr>
        <w:t xml:space="preserve">CA100+ consists of 545 institutional investor signatories (e.g. investment managers, asset owners, engagement service providers) who collectively represented USD $47 trillion in assets under management in 2020. This coalition´s aim is to put pressure on </w:t>
      </w:r>
      <w:r w:rsidR="0007218D" w:rsidRPr="00D67367">
        <w:rPr>
          <w:rFonts w:cstheme="minorHAnsi"/>
        </w:rPr>
        <w:t>investee</w:t>
      </w:r>
      <w:r w:rsidRPr="00D67367">
        <w:rPr>
          <w:rFonts w:cstheme="minorHAnsi"/>
        </w:rPr>
        <w:t xml:space="preserve"> companies </w:t>
      </w:r>
      <w:r w:rsidR="0007218D" w:rsidRPr="00D67367">
        <w:rPr>
          <w:rFonts w:cstheme="minorHAnsi"/>
        </w:rPr>
        <w:t xml:space="preserve">to reduce </w:t>
      </w:r>
      <w:r w:rsidRPr="00D67367">
        <w:rPr>
          <w:rFonts w:cstheme="minorHAnsi"/>
        </w:rPr>
        <w:t>GHGs emissions.</w:t>
      </w:r>
      <w:r w:rsidR="00960C1F" w:rsidRPr="00D67367">
        <w:rPr>
          <w:rFonts w:cstheme="minorHAnsi"/>
        </w:rPr>
        <w:t xml:space="preserve"> </w:t>
      </w:r>
      <w:r w:rsidRPr="00D67367">
        <w:rPr>
          <w:rFonts w:cstheme="minorHAnsi"/>
        </w:rPr>
        <w:t xml:space="preserve">Specifically, CA100+ aims to </w:t>
      </w:r>
      <w:r w:rsidRPr="00D67367">
        <w:rPr>
          <w:rFonts w:cstheme="minorHAnsi"/>
          <w:i/>
        </w:rPr>
        <w:t>“improve corporate climate governance, curb greenhouse gas emissions in line with the Paris Agreement, and strengthen climate</w:t>
      </w:r>
      <w:r w:rsidRPr="00D67367">
        <w:rPr>
          <w:rFonts w:ascii="Cambria Math" w:hAnsi="Cambria Math" w:cs="Cambria Math"/>
          <w:i/>
        </w:rPr>
        <w:t>‑</w:t>
      </w:r>
      <w:r w:rsidRPr="00D67367">
        <w:rPr>
          <w:rFonts w:cstheme="minorHAnsi"/>
          <w:i/>
        </w:rPr>
        <w:t>related financial disclosures</w:t>
      </w:r>
      <w:r w:rsidRPr="00D67367">
        <w:rPr>
          <w:rFonts w:cstheme="minorHAnsi"/>
        </w:rPr>
        <w:t xml:space="preserve">" (Progress report 2019). The proposed solution is engagement with the companies to </w:t>
      </w:r>
      <w:r w:rsidR="00B12F61" w:rsidRPr="00D67367">
        <w:rPr>
          <w:rFonts w:cstheme="minorHAnsi"/>
        </w:rPr>
        <w:t>pressure and support</w:t>
      </w:r>
      <w:r w:rsidRPr="00D67367">
        <w:rPr>
          <w:rFonts w:cstheme="minorHAnsi"/>
        </w:rPr>
        <w:t xml:space="preserve"> them to decarbonize, which will in turn decarbonize their members’ (investors) investment portfolios. </w:t>
      </w:r>
      <w:r w:rsidR="00582529" w:rsidRPr="00D67367">
        <w:rPr>
          <w:rFonts w:cstheme="minorHAnsi"/>
        </w:rPr>
        <w:t>The</w:t>
      </w:r>
      <w:r w:rsidRPr="00D67367">
        <w:rPr>
          <w:rFonts w:cstheme="minorHAnsi"/>
        </w:rPr>
        <w:t xml:space="preserve"> awareness that portfolios are facing climate change risks </w:t>
      </w:r>
      <w:r w:rsidR="00582529" w:rsidRPr="00D67367">
        <w:rPr>
          <w:rFonts w:cstheme="minorHAnsi"/>
        </w:rPr>
        <w:t>has been critical in</w:t>
      </w:r>
      <w:r w:rsidRPr="00D67367">
        <w:rPr>
          <w:rFonts w:cstheme="minorHAnsi"/>
        </w:rPr>
        <w:t xml:space="preserve"> </w:t>
      </w:r>
      <w:r w:rsidR="00582529" w:rsidRPr="00D67367">
        <w:rPr>
          <w:rFonts w:cstheme="minorHAnsi"/>
        </w:rPr>
        <w:t>the decision of</w:t>
      </w:r>
      <w:r w:rsidRPr="00D67367">
        <w:rPr>
          <w:rFonts w:cstheme="minorHAnsi"/>
        </w:rPr>
        <w:t xml:space="preserve"> the signatories to transition</w:t>
      </w:r>
      <w:r w:rsidR="00582529" w:rsidRPr="00D67367">
        <w:rPr>
          <w:rFonts w:cstheme="minorHAnsi"/>
        </w:rPr>
        <w:t xml:space="preserve"> away from fossil-fuel investments</w:t>
      </w:r>
      <w:r w:rsidRPr="00D67367">
        <w:rPr>
          <w:rFonts w:cstheme="minorHAnsi"/>
        </w:rPr>
        <w:t xml:space="preserve"> (FAQ_CLIMATEACTION100.ORG, P. 2: 2231). The focus</w:t>
      </w:r>
      <w:r w:rsidR="00582529" w:rsidRPr="00D67367">
        <w:rPr>
          <w:rFonts w:cstheme="minorHAnsi"/>
        </w:rPr>
        <w:t xml:space="preserve"> of CA100+</w:t>
      </w:r>
      <w:r w:rsidRPr="00D67367">
        <w:rPr>
          <w:rFonts w:cstheme="minorHAnsi"/>
        </w:rPr>
        <w:t xml:space="preserve"> is strongly on </w:t>
      </w:r>
      <w:r w:rsidR="00582529" w:rsidRPr="00D67367">
        <w:rPr>
          <w:rFonts w:cstheme="minorHAnsi"/>
        </w:rPr>
        <w:t xml:space="preserve">responding to </w:t>
      </w:r>
      <w:r w:rsidRPr="00D67367">
        <w:rPr>
          <w:rFonts w:cstheme="minorHAnsi"/>
        </w:rPr>
        <w:t>the climate change challenge and meeting the Paris Agreement</w:t>
      </w:r>
      <w:r w:rsidR="00960C1F" w:rsidRPr="00D67367">
        <w:rPr>
          <w:rFonts w:cstheme="minorHAnsi"/>
        </w:rPr>
        <w:t xml:space="preserve"> 1.5C</w:t>
      </w:r>
      <w:r w:rsidRPr="00D67367">
        <w:rPr>
          <w:rFonts w:cstheme="minorHAnsi"/>
        </w:rPr>
        <w:t xml:space="preserve"> target.</w:t>
      </w:r>
    </w:p>
    <w:p w14:paraId="45CBD89E" w14:textId="77777777" w:rsidR="00960C1F" w:rsidRPr="00D67367" w:rsidRDefault="00960C1F" w:rsidP="004942FE">
      <w:pPr>
        <w:rPr>
          <w:rFonts w:cstheme="minorHAnsi"/>
        </w:rPr>
      </w:pPr>
    </w:p>
    <w:p w14:paraId="7A3B8223" w14:textId="59DFF460" w:rsidR="004942FE" w:rsidRPr="00D67367" w:rsidRDefault="004942FE" w:rsidP="004942FE">
      <w:pPr>
        <w:rPr>
          <w:rFonts w:cstheme="minorHAnsi"/>
        </w:rPr>
      </w:pPr>
      <w:r w:rsidRPr="00D67367">
        <w:rPr>
          <w:rFonts w:cstheme="minorHAnsi"/>
        </w:rPr>
        <w:t xml:space="preserve">CA100+ was initiated in 2017 and has a 5-year timeline. The initiators were </w:t>
      </w:r>
      <w:r w:rsidRPr="00D67367">
        <w:rPr>
          <w:rFonts w:cstheme="minorHAnsi"/>
          <w:i/>
        </w:rPr>
        <w:t>“Investor representatives from AustralianSuper, California Public Employees’ Retirement System (CalPERS), HSBC Global Asset Management, Ircantec and Manulife Asset Management have designed and developed the initiative</w:t>
      </w:r>
      <w:r w:rsidRPr="00D67367">
        <w:rPr>
          <w:rFonts w:cstheme="minorHAnsi"/>
        </w:rPr>
        <w:t xml:space="preserve">”. CA100+ is funded by grants from its partner organizations and other interested parties. CA100+ has an extended network of </w:t>
      </w:r>
      <w:r w:rsidR="00934E49" w:rsidRPr="00D67367">
        <w:rPr>
          <w:rFonts w:cstheme="minorHAnsi"/>
        </w:rPr>
        <w:t>academic</w:t>
      </w:r>
      <w:r w:rsidRPr="00D67367">
        <w:rPr>
          <w:rFonts w:cstheme="minorHAnsi"/>
        </w:rPr>
        <w:t xml:space="preserve"> and investor partners, including the Carbon Tracker Initiative (CTI), CDP, Science Based Targets Initiative (SBTi), and PRI, to name a few. Moreover, they have five regional organization partners that are based around the world. There is no cost to join the initiative</w:t>
      </w:r>
      <w:r w:rsidR="00CB34AC" w:rsidRPr="00D67367">
        <w:rPr>
          <w:rFonts w:cstheme="minorHAnsi"/>
        </w:rPr>
        <w:t xml:space="preserve">, but members are expected to </w:t>
      </w:r>
      <w:r w:rsidRPr="00D67367">
        <w:rPr>
          <w:rFonts w:cstheme="minorHAnsi"/>
        </w:rPr>
        <w:t>invest resources into the</w:t>
      </w:r>
      <w:r w:rsidR="00CB34AC" w:rsidRPr="00D67367">
        <w:rPr>
          <w:rFonts w:cstheme="minorHAnsi"/>
        </w:rPr>
        <w:t>ir</w:t>
      </w:r>
      <w:r w:rsidRPr="00D67367">
        <w:rPr>
          <w:rFonts w:cstheme="minorHAnsi"/>
        </w:rPr>
        <w:t xml:space="preserve"> engagement with </w:t>
      </w:r>
      <w:r w:rsidR="00B003B0" w:rsidRPr="00D67367">
        <w:rPr>
          <w:rFonts w:cstheme="minorHAnsi"/>
        </w:rPr>
        <w:t xml:space="preserve">investee </w:t>
      </w:r>
      <w:r w:rsidRPr="00D67367">
        <w:rPr>
          <w:rFonts w:cstheme="minorHAnsi"/>
        </w:rPr>
        <w:t xml:space="preserve">companies, and as a result CA100+ is </w:t>
      </w:r>
      <w:r w:rsidR="00B003B0" w:rsidRPr="00D67367">
        <w:rPr>
          <w:rFonts w:cstheme="minorHAnsi"/>
        </w:rPr>
        <w:t xml:space="preserve">has had a rapid increase of </w:t>
      </w:r>
      <w:r w:rsidRPr="00D67367">
        <w:rPr>
          <w:rFonts w:cstheme="minorHAnsi"/>
        </w:rPr>
        <w:t xml:space="preserve">signatories and new companies in their “decarbonization” list (167 companies in 2021). </w:t>
      </w:r>
    </w:p>
    <w:p w14:paraId="40F3891D" w14:textId="77777777" w:rsidR="00B003B0" w:rsidRPr="00D67367" w:rsidRDefault="00B003B0" w:rsidP="004942FE">
      <w:pPr>
        <w:rPr>
          <w:rFonts w:cstheme="minorHAnsi"/>
        </w:rPr>
      </w:pPr>
    </w:p>
    <w:p w14:paraId="57FC8415" w14:textId="01D4C401" w:rsidR="004942FE" w:rsidRPr="00D67367" w:rsidRDefault="004942FE" w:rsidP="004942FE">
      <w:pPr>
        <w:rPr>
          <w:rFonts w:cstheme="minorHAnsi"/>
        </w:rPr>
      </w:pPr>
      <w:r w:rsidRPr="00D67367">
        <w:rPr>
          <w:rFonts w:cstheme="minorHAnsi"/>
        </w:rPr>
        <w:t>Similarly to GISD, CA100+ also push for legislation and fast implementation of policies, exemplified in the following quote: "</w:t>
      </w:r>
      <w:r w:rsidRPr="00D67367">
        <w:rPr>
          <w:rFonts w:cstheme="minorHAnsi"/>
          <w:i/>
        </w:rPr>
        <w:t xml:space="preserve">Conversely, delayed implementation of climate policies or the absence of effective climate policy </w:t>
      </w:r>
      <w:r w:rsidRPr="00D67367">
        <w:rPr>
          <w:rFonts w:cstheme="minorHAnsi"/>
          <w:b/>
          <w:i/>
        </w:rPr>
        <w:t>impacts on investor confidence and risks increasing the levels of long</w:t>
      </w:r>
      <w:r w:rsidRPr="00D67367">
        <w:rPr>
          <w:rFonts w:ascii="Cambria Math" w:hAnsi="Cambria Math" w:cs="Cambria Math"/>
          <w:b/>
          <w:i/>
        </w:rPr>
        <w:t>‑</w:t>
      </w:r>
      <w:r w:rsidRPr="00D67367">
        <w:rPr>
          <w:rFonts w:cstheme="minorHAnsi"/>
          <w:b/>
          <w:i/>
        </w:rPr>
        <w:t>term economic damage from climate change</w:t>
      </w:r>
      <w:r w:rsidRPr="00D67367">
        <w:rPr>
          <w:rFonts w:cstheme="minorHAnsi"/>
        </w:rPr>
        <w:t>" (Progress report 2019). However, CA100+ does not make specific references to the public sector.</w:t>
      </w:r>
    </w:p>
    <w:p w14:paraId="0D63EDC7" w14:textId="5C04D172" w:rsidR="004942FE" w:rsidRPr="00D67367" w:rsidRDefault="009973D2" w:rsidP="004942FE">
      <w:pPr>
        <w:rPr>
          <w:rFonts w:cstheme="minorHAnsi"/>
          <w:color w:val="B7B7B7"/>
        </w:rPr>
      </w:pPr>
      <w:r w:rsidRPr="00D67367">
        <w:rPr>
          <w:rFonts w:cstheme="minorHAnsi"/>
        </w:rPr>
        <w:t>The above</w:t>
      </w:r>
      <w:r w:rsidR="004942FE" w:rsidRPr="00D67367">
        <w:rPr>
          <w:rFonts w:cstheme="minorHAnsi"/>
        </w:rPr>
        <w:t xml:space="preserve"> quote also illustrates that the impacts of the climate crisis on economic operations (i.e. not only on the impact of economic operations on climate) are important, which in combination with statements such as "</w:t>
      </w:r>
      <w:r w:rsidR="004942FE" w:rsidRPr="00D67367">
        <w:rPr>
          <w:rFonts w:cstheme="minorHAnsi"/>
          <w:i/>
        </w:rPr>
        <w:t>maximising the opportunities presented by climate change</w:t>
      </w:r>
      <w:r w:rsidR="004942FE" w:rsidRPr="00D67367">
        <w:rPr>
          <w:rFonts w:cstheme="minorHAnsi"/>
        </w:rPr>
        <w:t xml:space="preserve">" indicate that CA100+ is </w:t>
      </w:r>
      <w:r w:rsidR="000A2346" w:rsidRPr="00D67367">
        <w:rPr>
          <w:rFonts w:cstheme="minorHAnsi"/>
        </w:rPr>
        <w:t>aligned</w:t>
      </w:r>
      <w:r w:rsidR="004942FE" w:rsidRPr="00D67367">
        <w:rPr>
          <w:rFonts w:cstheme="minorHAnsi"/>
        </w:rPr>
        <w:t xml:space="preserve"> green growth objectives. </w:t>
      </w:r>
    </w:p>
    <w:p w14:paraId="4DA59E18" w14:textId="77777777" w:rsidR="004942FE" w:rsidRPr="00D67367" w:rsidRDefault="004942FE" w:rsidP="004942FE">
      <w:pPr>
        <w:rPr>
          <w:rFonts w:cstheme="minorHAnsi"/>
        </w:rPr>
      </w:pPr>
    </w:p>
    <w:p w14:paraId="65AEDE66" w14:textId="2F70D3F9" w:rsidR="004942FE" w:rsidRPr="00D67367" w:rsidRDefault="004942FE" w:rsidP="001F3670">
      <w:pPr>
        <w:pStyle w:val="ListParagraph"/>
        <w:numPr>
          <w:ilvl w:val="0"/>
          <w:numId w:val="4"/>
        </w:numPr>
        <w:rPr>
          <w:rFonts w:cstheme="minorHAnsi"/>
          <w:b/>
        </w:rPr>
      </w:pPr>
      <w:r w:rsidRPr="00D67367">
        <w:rPr>
          <w:rFonts w:cstheme="minorHAnsi"/>
          <w:b/>
        </w:rPr>
        <w:t>Global Alliance for the Future of Food</w:t>
      </w:r>
    </w:p>
    <w:p w14:paraId="5F11A936" w14:textId="77777777" w:rsidR="00C171BB" w:rsidRPr="00D67367" w:rsidRDefault="00C171BB" w:rsidP="00C171BB">
      <w:pPr>
        <w:pStyle w:val="ListParagraph"/>
        <w:rPr>
          <w:rFonts w:cstheme="minorHAnsi"/>
          <w:b/>
        </w:rPr>
      </w:pPr>
    </w:p>
    <w:p w14:paraId="0096ED8A" w14:textId="2B61B505" w:rsidR="004942FE" w:rsidRPr="00D67367" w:rsidRDefault="004942FE" w:rsidP="004942FE">
      <w:pPr>
        <w:rPr>
          <w:rFonts w:cstheme="minorHAnsi"/>
        </w:rPr>
      </w:pPr>
      <w:r w:rsidRPr="00D67367">
        <w:rPr>
          <w:rFonts w:cstheme="minorHAnsi"/>
        </w:rPr>
        <w:t>GA is an alliance consisting of 27 philanthropic private organizations. It convenes a relative homogenous group of actors, most of which are civic and social organizations</w:t>
      </w:r>
      <w:r w:rsidR="00C171BB" w:rsidRPr="00D67367">
        <w:rPr>
          <w:rFonts w:cstheme="minorHAnsi"/>
        </w:rPr>
        <w:t xml:space="preserve"> and </w:t>
      </w:r>
      <w:r w:rsidRPr="00D67367">
        <w:rPr>
          <w:rFonts w:cstheme="minorHAnsi"/>
        </w:rPr>
        <w:t>foundations related to food companies (e.g. Barilla, Kellogg´s) while some others are general philanthropic foundations (e.g. Rockefeller Foundation). GA was initiated in 2012, aiming to develop four objectives “</w:t>
      </w:r>
      <w:r w:rsidRPr="00D67367">
        <w:rPr>
          <w:rFonts w:cstheme="minorHAnsi"/>
          <w:i/>
        </w:rPr>
        <w:t>1. Develop research, 2. Facilitate dialogue, 3. Connect global and local for transformative change, focusing on four key impact areas: 1. agroecology, 2. health and well-being, 3. true cost accounting, 4. climate resilience</w:t>
      </w:r>
      <w:r w:rsidRPr="00D67367">
        <w:rPr>
          <w:rFonts w:cstheme="minorHAnsi"/>
        </w:rPr>
        <w:t xml:space="preserve">” [source: </w:t>
      </w:r>
      <w:hyperlink r:id="rId12">
        <w:r w:rsidRPr="00D67367">
          <w:rPr>
            <w:rFonts w:cstheme="minorHAnsi"/>
            <w:color w:val="1155CC"/>
            <w:u w:val="single"/>
          </w:rPr>
          <w:t>https://futureoffood.org/about-us/what-we-do/</w:t>
        </w:r>
      </w:hyperlink>
      <w:r w:rsidRPr="00D67367">
        <w:rPr>
          <w:rFonts w:cstheme="minorHAnsi"/>
        </w:rPr>
        <w:t xml:space="preserve">]. </w:t>
      </w:r>
    </w:p>
    <w:p w14:paraId="67FECF96" w14:textId="77777777" w:rsidR="00D035BB" w:rsidRPr="00D67367" w:rsidRDefault="00D035BB" w:rsidP="004942FE">
      <w:pPr>
        <w:rPr>
          <w:rFonts w:cstheme="minorHAnsi"/>
        </w:rPr>
      </w:pPr>
    </w:p>
    <w:p w14:paraId="39236BA0" w14:textId="6CEBAC59" w:rsidR="004942FE" w:rsidRPr="00D67367" w:rsidRDefault="004942FE" w:rsidP="004942FE">
      <w:pPr>
        <w:rPr>
          <w:rFonts w:cstheme="minorHAnsi"/>
        </w:rPr>
      </w:pPr>
      <w:r w:rsidRPr="00D67367">
        <w:rPr>
          <w:rFonts w:cstheme="minorHAnsi"/>
        </w:rPr>
        <w:t>The challenges GA responds to are related to the food system reform, and their work aspires to contribute to the transformation of the food system, as illustrated in the following quote</w:t>
      </w:r>
      <w:r w:rsidR="00F24D83" w:rsidRPr="00D67367">
        <w:rPr>
          <w:rFonts w:cstheme="minorHAnsi"/>
        </w:rPr>
        <w:t>:</w:t>
      </w:r>
      <w:r w:rsidRPr="00D67367">
        <w:rPr>
          <w:rFonts w:cstheme="minorHAnsi"/>
        </w:rPr>
        <w:t xml:space="preserve"> "</w:t>
      </w:r>
      <w:r w:rsidRPr="00D67367">
        <w:rPr>
          <w:rFonts w:cstheme="minorHAnsi"/>
          <w:i/>
        </w:rPr>
        <w:t>Profound changes in the way food is grown, processed, distributed, consumed, and wasted, threatens a future of food that is sustainable, equitable, and secure, particularly when coupled with climate change and shifting global economics, politics, and demographics</w:t>
      </w:r>
      <w:r w:rsidRPr="00D67367">
        <w:rPr>
          <w:rFonts w:cstheme="minorHAnsi"/>
        </w:rPr>
        <w:t xml:space="preserve">" [source: </w:t>
      </w:r>
      <w:hyperlink r:id="rId13">
        <w:r w:rsidRPr="00D67367">
          <w:rPr>
            <w:rFonts w:cstheme="minorHAnsi"/>
            <w:color w:val="1155CC"/>
            <w:u w:val="single"/>
          </w:rPr>
          <w:t>https://futureoffood.org/principles-and-the-future-of-food/</w:t>
        </w:r>
      </w:hyperlink>
      <w:r w:rsidRPr="00D67367">
        <w:rPr>
          <w:rFonts w:cstheme="minorHAnsi"/>
        </w:rPr>
        <w:t xml:space="preserve">]. </w:t>
      </w:r>
    </w:p>
    <w:p w14:paraId="62FD8D79" w14:textId="77777777" w:rsidR="001464EC" w:rsidRPr="00D67367" w:rsidRDefault="001464EC" w:rsidP="004942FE">
      <w:pPr>
        <w:rPr>
          <w:rFonts w:cstheme="minorHAnsi"/>
        </w:rPr>
      </w:pPr>
    </w:p>
    <w:p w14:paraId="1EE49E36" w14:textId="63D188E2" w:rsidR="004942FE" w:rsidRPr="00D67367" w:rsidRDefault="004942FE" w:rsidP="004942FE">
      <w:pPr>
        <w:rPr>
          <w:rFonts w:cstheme="minorHAnsi"/>
        </w:rPr>
      </w:pPr>
      <w:r w:rsidRPr="00D67367">
        <w:rPr>
          <w:rFonts w:cstheme="minorHAnsi"/>
        </w:rPr>
        <w:t>The coalition is acting both on the local and global scales. They state that "</w:t>
      </w:r>
      <w:r w:rsidRPr="00D67367">
        <w:rPr>
          <w:rFonts w:cstheme="minorHAnsi"/>
          <w:i/>
        </w:rPr>
        <w:t>we have the privilege, the responsibility, and the opportunity</w:t>
      </w:r>
      <w:r w:rsidRPr="00D67367">
        <w:rPr>
          <w:rFonts w:cstheme="minorHAnsi"/>
          <w:b/>
          <w:i/>
        </w:rPr>
        <w:t xml:space="preserve"> to leverage our resources and networks to get sustainable food systems on the political, economic, and social agenda</w:t>
      </w:r>
      <w:r w:rsidRPr="00D67367">
        <w:rPr>
          <w:rFonts w:cstheme="minorHAnsi"/>
          <w:i/>
        </w:rPr>
        <w:t>"</w:t>
      </w:r>
      <w:r w:rsidR="00F24D83" w:rsidRPr="00D67367">
        <w:rPr>
          <w:rFonts w:cstheme="minorHAnsi"/>
          <w:i/>
        </w:rPr>
        <w:t xml:space="preserve"> </w:t>
      </w:r>
      <w:r w:rsidR="00F24D83" w:rsidRPr="00D67367">
        <w:rPr>
          <w:rFonts w:cstheme="minorHAnsi"/>
          <w:iCs/>
        </w:rPr>
        <w:t>(our emphasis)</w:t>
      </w:r>
      <w:r w:rsidRPr="00D67367">
        <w:rPr>
          <w:rFonts w:cstheme="minorHAnsi"/>
          <w:iCs/>
        </w:rPr>
        <w:t xml:space="preserve">. Several of the members also act on the local scale. Depending on the project, GA partners with </w:t>
      </w:r>
      <w:r w:rsidRPr="00D67367">
        <w:rPr>
          <w:rFonts w:cstheme="minorHAnsi"/>
        </w:rPr>
        <w:t>other actors. For example, for the project “Resilient Seed Systems: Shared Action Framework” GA mobilized "</w:t>
      </w:r>
      <w:r w:rsidRPr="00D67367">
        <w:rPr>
          <w:rFonts w:cstheme="minorHAnsi"/>
          <w:i/>
        </w:rPr>
        <w:t>key stakeholders in philanthropy, farmer and civil society organizations, policy and research institutions, the private sector, donor agencies, and more</w:t>
      </w:r>
      <w:r w:rsidRPr="00D67367">
        <w:rPr>
          <w:rFonts w:cstheme="minorHAnsi"/>
        </w:rPr>
        <w:t xml:space="preserve">". </w:t>
      </w:r>
    </w:p>
    <w:p w14:paraId="6CB66F9A" w14:textId="77777777" w:rsidR="0029169B" w:rsidRPr="00D67367" w:rsidRDefault="0029169B" w:rsidP="004942FE">
      <w:pPr>
        <w:rPr>
          <w:rFonts w:cstheme="minorHAnsi"/>
        </w:rPr>
      </w:pPr>
    </w:p>
    <w:p w14:paraId="43964EB1" w14:textId="77777777" w:rsidR="004942FE" w:rsidRPr="00D67367" w:rsidRDefault="004942FE" w:rsidP="004942FE">
      <w:pPr>
        <w:rPr>
          <w:rFonts w:cstheme="minorHAnsi"/>
        </w:rPr>
      </w:pPr>
      <w:r w:rsidRPr="00D67367">
        <w:rPr>
          <w:rFonts w:cstheme="minorHAnsi"/>
        </w:rPr>
        <w:t>Although GA does not have a specific knowledge partner of the organization, they have project-specific knowledge partners. An example is that of “The Beacons of Hope” report which was co-developed with the organization BIOVISION. For another project titled "Food Systems of the Future: A Synthesis of Reports on Food Systems Transformation” GA partnered with the Meridian institute, a non-profit consultancy.</w:t>
      </w:r>
    </w:p>
    <w:p w14:paraId="2CF73E55" w14:textId="77777777" w:rsidR="0029169B" w:rsidRPr="00D67367" w:rsidRDefault="0029169B" w:rsidP="004942FE">
      <w:pPr>
        <w:rPr>
          <w:rFonts w:cstheme="minorHAnsi"/>
        </w:rPr>
      </w:pPr>
    </w:p>
    <w:p w14:paraId="7855A44E" w14:textId="77777777" w:rsidR="004942FE" w:rsidRPr="00D67367" w:rsidRDefault="004942FE" w:rsidP="004942FE">
      <w:pPr>
        <w:rPr>
          <w:rFonts w:cstheme="minorHAnsi"/>
        </w:rPr>
      </w:pPr>
      <w:r w:rsidRPr="00D67367">
        <w:rPr>
          <w:rFonts w:cstheme="minorHAnsi"/>
        </w:rPr>
        <w:t xml:space="preserve">Moreover, GA has a quite developed monitoring process aiming at improving their learning process, which uses the following three approaches: Developmental Evaluation; Principles-Focused Evaluation; Blue Marble Evaluation (see </w:t>
      </w:r>
      <w:hyperlink r:id="rId14">
        <w:r w:rsidRPr="00D67367">
          <w:rPr>
            <w:rFonts w:cstheme="minorHAnsi"/>
            <w:color w:val="1155CC"/>
            <w:u w:val="single"/>
          </w:rPr>
          <w:t>https://futureoffood.org/our-approach/monitoring-and-evaluation/</w:t>
        </w:r>
      </w:hyperlink>
      <w:r w:rsidRPr="00D67367">
        <w:rPr>
          <w:rFonts w:cstheme="minorHAnsi"/>
        </w:rPr>
        <w:t xml:space="preserve"> for more details). </w:t>
      </w:r>
    </w:p>
    <w:p w14:paraId="7277D922" w14:textId="77777777" w:rsidR="001464EC" w:rsidRPr="00D67367" w:rsidRDefault="001464EC" w:rsidP="004942FE">
      <w:pPr>
        <w:rPr>
          <w:rFonts w:cstheme="minorHAnsi"/>
        </w:rPr>
      </w:pPr>
    </w:p>
    <w:p w14:paraId="088D3389" w14:textId="76A2B606" w:rsidR="004942FE" w:rsidRPr="00D67367" w:rsidRDefault="004942FE" w:rsidP="004942FE">
      <w:pPr>
        <w:rPr>
          <w:rFonts w:cstheme="minorHAnsi"/>
        </w:rPr>
      </w:pPr>
      <w:r w:rsidRPr="00D67367">
        <w:rPr>
          <w:rFonts w:cstheme="minorHAnsi"/>
        </w:rPr>
        <w:t>In terms of knowledge systems, GA uses transformation knowledge (incl. Descriptions on their Theory of Change</w:t>
      </w:r>
      <w:r w:rsidR="0029169B" w:rsidRPr="00D67367">
        <w:rPr>
          <w:rFonts w:cstheme="minorHAnsi"/>
        </w:rPr>
        <w:t xml:space="preserve"> webpage</w:t>
      </w:r>
      <w:r w:rsidRPr="00D67367">
        <w:rPr>
          <w:rFonts w:cstheme="minorHAnsi"/>
        </w:rPr>
        <w:t xml:space="preserve">) and agro-ecology know-how, as indicated by the terms used on their website and reports. </w:t>
      </w:r>
    </w:p>
    <w:p w14:paraId="7B316EB4" w14:textId="77777777" w:rsidR="001464EC" w:rsidRPr="00D67367" w:rsidRDefault="001464EC" w:rsidP="004942FE">
      <w:pPr>
        <w:rPr>
          <w:rFonts w:cstheme="minorHAnsi"/>
        </w:rPr>
      </w:pPr>
    </w:p>
    <w:p w14:paraId="2BFEB12A" w14:textId="2C2C0265" w:rsidR="004942FE" w:rsidRPr="00D67367" w:rsidRDefault="004942FE" w:rsidP="004942FE">
      <w:pPr>
        <w:rPr>
          <w:rFonts w:cstheme="minorHAnsi"/>
        </w:rPr>
      </w:pPr>
      <w:r w:rsidRPr="00D67367">
        <w:rPr>
          <w:rFonts w:cstheme="minorHAnsi"/>
        </w:rPr>
        <w:t>Since 2020, GA has formally adopted a theory of transformational change</w:t>
      </w:r>
      <w:r w:rsidR="00A6289F" w:rsidRPr="00D67367">
        <w:rPr>
          <w:rFonts w:cstheme="minorHAnsi"/>
        </w:rPr>
        <w:t xml:space="preserve">, which is the following: </w:t>
      </w:r>
      <w:r w:rsidRPr="00D67367">
        <w:rPr>
          <w:rFonts w:cstheme="minorHAnsi"/>
        </w:rPr>
        <w:t>"</w:t>
      </w:r>
      <w:r w:rsidRPr="00D67367">
        <w:rPr>
          <w:rFonts w:cstheme="minorHAnsi"/>
          <w:i/>
        </w:rPr>
        <w:t xml:space="preserve">The Global Alliance’s strategy is aimed at stimulating local and global action and interaction for transformational change in collaboration with other committed stakeholders. To this network of allies, </w:t>
      </w:r>
      <w:r w:rsidRPr="00D67367">
        <w:rPr>
          <w:rFonts w:cstheme="minorHAnsi"/>
          <w:b/>
          <w:i/>
        </w:rPr>
        <w:t xml:space="preserve">transformation means realizing healthy, equitable, renewable, </w:t>
      </w:r>
      <w:r w:rsidRPr="00D67367">
        <w:rPr>
          <w:rFonts w:cstheme="minorHAnsi"/>
          <w:b/>
          <w:i/>
        </w:rPr>
        <w:lastRenderedPageBreak/>
        <w:t>resilient, and culturally diverse food systems shared by people, communities, and their institutions</w:t>
      </w:r>
      <w:r w:rsidRPr="00D67367">
        <w:rPr>
          <w:rFonts w:cstheme="minorHAnsi"/>
          <w:i/>
        </w:rPr>
        <w:t>. This strategy is encapsulated in the Global Alliance’s theory of transformation: Genuine food systems transformation takes place when diverse actions, networks, and individuals intersect across sector and issue silos, the global and local, the macro and the micro. These intersections facilitate convergence around shared visions and values and, ultimately, build critical mass and momentum behind tipping points that lead to healthy, equitable, renewable, resilient, and culturally diverse food systems that dynamically endure over time</w:t>
      </w:r>
      <w:r w:rsidRPr="00D67367">
        <w:rPr>
          <w:rFonts w:cstheme="minorHAnsi"/>
        </w:rPr>
        <w:t>." [</w:t>
      </w:r>
      <w:r w:rsidR="00FF064C" w:rsidRPr="00D67367">
        <w:rPr>
          <w:rFonts w:cstheme="minorHAnsi"/>
        </w:rPr>
        <w:t xml:space="preserve">our emphasis, </w:t>
      </w:r>
      <w:r w:rsidRPr="00D67367">
        <w:rPr>
          <w:rFonts w:cstheme="minorHAnsi"/>
        </w:rPr>
        <w:t xml:space="preserve">source: </w:t>
      </w:r>
      <w:hyperlink r:id="rId15">
        <w:r w:rsidRPr="00D67367">
          <w:rPr>
            <w:rFonts w:cstheme="minorHAnsi"/>
            <w:color w:val="1155CC"/>
            <w:u w:val="single"/>
          </w:rPr>
          <w:t>https://futureoffood.org/the-global-alliance-makes-history-with-formal-adoption-of-a-theory-of-transformation/</w:t>
        </w:r>
      </w:hyperlink>
      <w:r w:rsidRPr="00D67367">
        <w:rPr>
          <w:rFonts w:cstheme="minorHAnsi"/>
        </w:rPr>
        <w:t xml:space="preserve"> ] </w:t>
      </w:r>
    </w:p>
    <w:p w14:paraId="31F4E858" w14:textId="77777777" w:rsidR="001464EC" w:rsidRPr="00D67367" w:rsidRDefault="001464EC" w:rsidP="004942FE">
      <w:pPr>
        <w:rPr>
          <w:rFonts w:cstheme="minorHAnsi"/>
        </w:rPr>
      </w:pPr>
    </w:p>
    <w:p w14:paraId="64DF5A0B" w14:textId="16EA340C" w:rsidR="004942FE" w:rsidRPr="00D67367" w:rsidRDefault="004942FE" w:rsidP="004942FE">
      <w:pPr>
        <w:rPr>
          <w:rFonts w:cstheme="minorHAnsi"/>
        </w:rPr>
      </w:pPr>
      <w:r w:rsidRPr="00D67367">
        <w:rPr>
          <w:rFonts w:cstheme="minorHAnsi"/>
        </w:rPr>
        <w:t>GA follows a cross-scale strategy</w:t>
      </w:r>
      <w:r w:rsidR="00FF064C" w:rsidRPr="00D67367">
        <w:rPr>
          <w:rFonts w:cstheme="minorHAnsi"/>
        </w:rPr>
        <w:t xml:space="preserve">, </w:t>
      </w:r>
      <w:r w:rsidRPr="00D67367">
        <w:rPr>
          <w:rFonts w:cstheme="minorHAnsi"/>
        </w:rPr>
        <w:t>meaning that they adopt a systems perspective with intention to change. Innovative aspects of this coalition include their</w:t>
      </w:r>
      <w:r w:rsidRPr="00D67367">
        <w:rPr>
          <w:rFonts w:cstheme="minorHAnsi"/>
          <w:highlight w:val="yellow"/>
        </w:rPr>
        <w:t xml:space="preserve"> </w:t>
      </w:r>
      <w:r w:rsidR="00FF064C" w:rsidRPr="00D67367">
        <w:rPr>
          <w:rFonts w:cstheme="minorHAnsi"/>
        </w:rPr>
        <w:t>endeavours</w:t>
      </w:r>
      <w:r w:rsidRPr="00D67367">
        <w:rPr>
          <w:rFonts w:cstheme="minorHAnsi"/>
        </w:rPr>
        <w:t xml:space="preserve"> to operationalize frameworks for transformation - see </w:t>
      </w:r>
      <w:hyperlink r:id="rId16">
        <w:r w:rsidRPr="00D67367">
          <w:rPr>
            <w:rFonts w:cstheme="minorHAnsi"/>
            <w:color w:val="1155CC"/>
            <w:u w:val="single"/>
          </w:rPr>
          <w:t>Frameworks For Transformation Report</w:t>
        </w:r>
      </w:hyperlink>
      <w:r w:rsidRPr="00D67367">
        <w:rPr>
          <w:rFonts w:cstheme="minorHAnsi"/>
        </w:rPr>
        <w:t xml:space="preserve">, as well as their advanced developmental evaluation process. </w:t>
      </w:r>
    </w:p>
    <w:p w14:paraId="48A5F982" w14:textId="77777777" w:rsidR="00FF064C" w:rsidRPr="00D67367" w:rsidRDefault="00FF064C" w:rsidP="004942FE">
      <w:pPr>
        <w:rPr>
          <w:rFonts w:cstheme="minorHAnsi"/>
        </w:rPr>
      </w:pPr>
    </w:p>
    <w:p w14:paraId="678E4444" w14:textId="77777777" w:rsidR="004942FE" w:rsidRPr="00D67367" w:rsidRDefault="004942FE" w:rsidP="004942FE">
      <w:pPr>
        <w:rPr>
          <w:rFonts w:cstheme="minorHAnsi"/>
        </w:rPr>
      </w:pPr>
      <w:r w:rsidRPr="00D67367">
        <w:rPr>
          <w:rFonts w:cstheme="minorHAnsi"/>
        </w:rPr>
        <w:t xml:space="preserve">According to GA, the food system is to be transformed, but to enable such a transformation issues of power inequities and values are to be considered. Moreover, several solutions are proposed to the challenges GA addresses, and their work stems from the understanding that the problems and the solutions are multiple, complex and interconnected. </w:t>
      </w:r>
    </w:p>
    <w:p w14:paraId="57DDD099" w14:textId="77777777" w:rsidR="004942FE" w:rsidRPr="00D67367" w:rsidRDefault="004942FE" w:rsidP="004942FE">
      <w:pPr>
        <w:rPr>
          <w:rFonts w:cstheme="minorHAnsi"/>
          <w:i/>
        </w:rPr>
      </w:pPr>
      <w:r w:rsidRPr="00D67367">
        <w:rPr>
          <w:rFonts w:cstheme="minorHAnsi"/>
        </w:rPr>
        <w:t>Complexity, specifically "Dynamic and complex" is one of the 7 principles for resilient seed systems in the "Resilient seed systems shared action framework". Also, in the GA “Climate food” report it is mentioned that "</w:t>
      </w:r>
      <w:r w:rsidRPr="00D67367">
        <w:rPr>
          <w:rFonts w:cstheme="minorHAnsi"/>
          <w:i/>
        </w:rPr>
        <w:t xml:space="preserve">A system as vastly complex as food requires that we apply a </w:t>
      </w:r>
      <w:r w:rsidRPr="00D67367">
        <w:rPr>
          <w:rFonts w:cstheme="minorHAnsi"/>
          <w:b/>
          <w:i/>
        </w:rPr>
        <w:t>systems approach</w:t>
      </w:r>
      <w:r w:rsidRPr="00D67367">
        <w:rPr>
          <w:rFonts w:cstheme="minorHAnsi"/>
          <w:i/>
        </w:rPr>
        <w:t xml:space="preserve">". </w:t>
      </w:r>
    </w:p>
    <w:p w14:paraId="2BF246C0" w14:textId="77777777" w:rsidR="001464EC" w:rsidRPr="00D67367" w:rsidRDefault="001464EC" w:rsidP="004942FE">
      <w:pPr>
        <w:rPr>
          <w:rFonts w:cstheme="minorHAnsi"/>
          <w:i/>
        </w:rPr>
      </w:pPr>
    </w:p>
    <w:p w14:paraId="73986CFF" w14:textId="77777777" w:rsidR="004942FE" w:rsidRPr="00D67367" w:rsidRDefault="004942FE" w:rsidP="004942FE">
      <w:pPr>
        <w:rPr>
          <w:rFonts w:cstheme="minorHAnsi"/>
        </w:rPr>
      </w:pPr>
      <w:r w:rsidRPr="00D67367">
        <w:rPr>
          <w:rFonts w:cstheme="minorHAnsi"/>
        </w:rPr>
        <w:t>In addition to complexity, ‘equity’ is also specifically emphasized and defined in the “Principles and the Future of Food” report as "</w:t>
      </w:r>
      <w:r w:rsidRPr="00D67367">
        <w:rPr>
          <w:rFonts w:cstheme="minorHAnsi"/>
          <w:b/>
          <w:i/>
        </w:rPr>
        <w:t>Equitable</w:t>
      </w:r>
      <w:r w:rsidRPr="00D67367">
        <w:rPr>
          <w:rFonts w:cstheme="minorHAnsi"/>
          <w:i/>
        </w:rPr>
        <w:t>: Promote sustainable livelihoods and access to nutritious and just food systems for all. Our food systems must be equitable so that no one is left behind and so that those upon whom our food systems depend – especially women and smallholders – have the ability to achieve a decent livelihood and food security. This means that we must work to: eliminate poverty; ensure our food systems continue to provide jobs to the 1.6 billion smallholder farmers in need of fair employment; and ensure local communities’ control over the means of production, such as opportunities to land, to production subsidies, to capital, and to control over their own spiritual and material relationships to their lands and nature</w:t>
      </w:r>
      <w:r w:rsidRPr="00D67367">
        <w:rPr>
          <w:rFonts w:cstheme="minorHAnsi"/>
        </w:rPr>
        <w:t>" [source: https://futureoffood.org/wp-content/uploads/2020/03/Principles-and-the-Future-of-Food-2020-03-10.pdf]</w:t>
      </w:r>
    </w:p>
    <w:p w14:paraId="399A76A9" w14:textId="77777777" w:rsidR="004942FE" w:rsidRPr="00D67367" w:rsidRDefault="004942FE" w:rsidP="004942FE">
      <w:pPr>
        <w:rPr>
          <w:rFonts w:cstheme="minorHAnsi"/>
        </w:rPr>
      </w:pPr>
      <w:r w:rsidRPr="00D67367">
        <w:rPr>
          <w:rFonts w:cstheme="minorHAnsi"/>
        </w:rPr>
        <w:t xml:space="preserve">GA uses several frameworks such as “Framework #1 | Global Alliance Principles; Framework #2 | Blue Marble Evaluation; Framework #3 | Beacons of Hope - with Biovision; Framework #4 | TEEBAgriFood; [source: GA Frameworks For Transformation 2020, see"Resilient seed systems shared action framework"] to guide their work. </w:t>
      </w:r>
    </w:p>
    <w:p w14:paraId="75C70D2E" w14:textId="0F1CE93A" w:rsidR="004942FE" w:rsidRPr="00D67367" w:rsidRDefault="004942FE" w:rsidP="004942FE">
      <w:pPr>
        <w:rPr>
          <w:rFonts w:cstheme="minorHAnsi"/>
        </w:rPr>
      </w:pPr>
      <w:r w:rsidRPr="00D67367">
        <w:rPr>
          <w:rFonts w:cstheme="minorHAnsi"/>
        </w:rPr>
        <w:t>Our analysis did not identify many specific actions aiming to affect legislation. On</w:t>
      </w:r>
      <w:r w:rsidR="00FF064C" w:rsidRPr="00D67367">
        <w:rPr>
          <w:rFonts w:cstheme="minorHAnsi"/>
        </w:rPr>
        <w:t>ly on</w:t>
      </w:r>
      <w:r w:rsidRPr="00D67367">
        <w:rPr>
          <w:rFonts w:cstheme="minorHAnsi"/>
        </w:rPr>
        <w:t xml:space="preserve">e project ("Seeds diversity") explicitly suggests some policies to promote seed diversity [see more:  </w:t>
      </w:r>
      <w:hyperlink r:id="rId17">
        <w:r w:rsidRPr="00D67367">
          <w:rPr>
            <w:rFonts w:cstheme="minorHAnsi"/>
            <w:color w:val="1155CC"/>
            <w:u w:val="single"/>
          </w:rPr>
          <w:t>https://futureoffood.org/report/the-future-of-food-seeds-of-resilience/synthesis-of-findings/</w:t>
        </w:r>
      </w:hyperlink>
      <w:r w:rsidRPr="00D67367">
        <w:rPr>
          <w:rFonts w:cstheme="minorHAnsi"/>
        </w:rPr>
        <w:t xml:space="preserve">  ]. </w:t>
      </w:r>
    </w:p>
    <w:p w14:paraId="18C7CDF2" w14:textId="7BC53CB2" w:rsidR="0004475A" w:rsidRPr="00D67367" w:rsidRDefault="0004475A" w:rsidP="004942FE">
      <w:pPr>
        <w:rPr>
          <w:rFonts w:cstheme="minorHAnsi"/>
        </w:rPr>
      </w:pPr>
    </w:p>
    <w:p w14:paraId="03526C25" w14:textId="77777777" w:rsidR="004942FE" w:rsidRPr="00D67367" w:rsidRDefault="004942FE" w:rsidP="004942FE">
      <w:pPr>
        <w:rPr>
          <w:rFonts w:cstheme="minorHAnsi"/>
        </w:rPr>
      </w:pPr>
      <w:r w:rsidRPr="00D67367">
        <w:rPr>
          <w:rFonts w:cstheme="minorHAnsi"/>
        </w:rPr>
        <w:t>Last, regarding the coalition´s organization, for new members to join they need to be philanthropic foundations, and contact GA to see overlap with the alliance´s mission. Each member supports the work of GA because “</w:t>
      </w:r>
      <w:r w:rsidRPr="00D67367">
        <w:rPr>
          <w:rFonts w:cstheme="minorHAnsi"/>
          <w:i/>
        </w:rPr>
        <w:t xml:space="preserve">The Global Alliance does not have a centralized </w:t>
      </w:r>
      <w:r w:rsidRPr="00D67367">
        <w:rPr>
          <w:rFonts w:cstheme="minorHAnsi"/>
          <w:i/>
        </w:rPr>
        <w:lastRenderedPageBreak/>
        <w:t>fund and does not accept unsolicited proposals, however several of the foundations involved in the Global Alliance have spearheaded the creation of pooled funds to connect and strengthen the work of organizations with shared interests on food system reform</w:t>
      </w:r>
      <w:r w:rsidRPr="00D67367">
        <w:rPr>
          <w:rFonts w:cstheme="minorHAnsi"/>
        </w:rPr>
        <w:t xml:space="preserve">”. There is no information on sanctioning mechanisms. </w:t>
      </w:r>
    </w:p>
    <w:p w14:paraId="5A060C99" w14:textId="77777777" w:rsidR="00135419" w:rsidRPr="00D67367" w:rsidRDefault="00135419" w:rsidP="004942FE">
      <w:pPr>
        <w:rPr>
          <w:rFonts w:cstheme="minorHAnsi"/>
        </w:rPr>
      </w:pPr>
    </w:p>
    <w:p w14:paraId="0C0B791F" w14:textId="2115CC8F" w:rsidR="004942FE" w:rsidRPr="00D67367" w:rsidRDefault="004942FE" w:rsidP="001F3670">
      <w:pPr>
        <w:pStyle w:val="ListParagraph"/>
        <w:numPr>
          <w:ilvl w:val="0"/>
          <w:numId w:val="4"/>
        </w:numPr>
        <w:rPr>
          <w:rFonts w:cstheme="minorHAnsi"/>
          <w:b/>
        </w:rPr>
      </w:pPr>
      <w:r w:rsidRPr="00D67367">
        <w:rPr>
          <w:rFonts w:cstheme="minorHAnsi"/>
          <w:b/>
        </w:rPr>
        <w:t xml:space="preserve">Sustainable Food Lab </w:t>
      </w:r>
    </w:p>
    <w:p w14:paraId="2F325E27" w14:textId="77777777" w:rsidR="004942FE" w:rsidRPr="00D67367" w:rsidRDefault="004942FE" w:rsidP="004942FE">
      <w:pPr>
        <w:rPr>
          <w:rFonts w:cstheme="minorHAnsi"/>
        </w:rPr>
      </w:pPr>
      <w:r w:rsidRPr="00D67367">
        <w:rPr>
          <w:rFonts w:cstheme="minorHAnsi"/>
        </w:rPr>
        <w:t>SFL consists of 20 members that are private companies (e.g. Starbucks) and other actor types (e.g. Catholic aid org, Rainforest Alliance) from the civil society as well as faith-based organizations. SFL aims to improve sustainability in the food sector, and has four main objectives “</w:t>
      </w:r>
      <w:r w:rsidRPr="00D67367">
        <w:rPr>
          <w:rFonts w:cstheme="minorHAnsi"/>
          <w:i/>
        </w:rPr>
        <w:t>1. Facilitating pre-competitive collaborations to address large scale challenges across regions and sectors; 2. Offering professional development through systems leadership training, immersive events and convenings; 3. Building and utilizing tools for quantifying impacts and implementing best practices; and 4. Conducting values driven consulting to develop and implement sustainability initiative</w:t>
      </w:r>
      <w:r w:rsidRPr="00D67367">
        <w:rPr>
          <w:rFonts w:cstheme="minorHAnsi"/>
        </w:rPr>
        <w:t xml:space="preserve">s” [source: </w:t>
      </w:r>
      <w:hyperlink r:id="rId18">
        <w:r w:rsidRPr="00D67367">
          <w:rPr>
            <w:rFonts w:cstheme="minorHAnsi"/>
            <w:color w:val="1155CC"/>
            <w:u w:val="single"/>
          </w:rPr>
          <w:t>https://sustainablefoodlab.org/how-we-work/</w:t>
        </w:r>
      </w:hyperlink>
      <w:r w:rsidRPr="00D67367">
        <w:rPr>
          <w:rFonts w:cstheme="minorHAnsi"/>
        </w:rPr>
        <w:t xml:space="preserve">]. </w:t>
      </w:r>
    </w:p>
    <w:p w14:paraId="1FE3A837" w14:textId="77777777" w:rsidR="00AF7982" w:rsidRPr="00D67367" w:rsidRDefault="00AF7982" w:rsidP="004942FE">
      <w:pPr>
        <w:rPr>
          <w:rFonts w:cstheme="minorHAnsi"/>
          <w:color w:val="FFFF00"/>
        </w:rPr>
      </w:pPr>
    </w:p>
    <w:p w14:paraId="3A52B801" w14:textId="77777777" w:rsidR="004942FE" w:rsidRPr="00D67367" w:rsidRDefault="004942FE" w:rsidP="004942FE">
      <w:pPr>
        <w:rPr>
          <w:rFonts w:cstheme="minorHAnsi"/>
        </w:rPr>
      </w:pPr>
      <w:r w:rsidRPr="00D67367">
        <w:rPr>
          <w:rFonts w:cstheme="minorHAnsi"/>
        </w:rPr>
        <w:t xml:space="preserve">SFL is based in Vermont, USA. It was initiated in 2004 by Hal Hamilton, the former executive director of the Sustainability Institute (founded by Donella Meadows), and current senior advisor of SFL. SFL draws upon systems thinking, systems leadership and innovation types of knowledge to address sustainability within the food sector. </w:t>
      </w:r>
    </w:p>
    <w:p w14:paraId="12658D47" w14:textId="77777777" w:rsidR="00AF7982" w:rsidRPr="00D67367" w:rsidRDefault="00AF7982" w:rsidP="004942FE">
      <w:pPr>
        <w:rPr>
          <w:rFonts w:cstheme="minorHAnsi"/>
        </w:rPr>
      </w:pPr>
    </w:p>
    <w:p w14:paraId="1269D1A6" w14:textId="77777777" w:rsidR="004942FE" w:rsidRPr="00D67367" w:rsidRDefault="004942FE" w:rsidP="004942FE">
      <w:pPr>
        <w:rPr>
          <w:rFonts w:cstheme="minorHAnsi"/>
        </w:rPr>
      </w:pPr>
      <w:r w:rsidRPr="00D67367">
        <w:rPr>
          <w:rFonts w:cstheme="minorHAnsi"/>
        </w:rPr>
        <w:t>Membership is open to “</w:t>
      </w:r>
      <w:r w:rsidRPr="00D67367">
        <w:rPr>
          <w:rFonts w:cstheme="minorHAnsi"/>
          <w:i/>
        </w:rPr>
        <w:t>companies and organizations committed to pursuing sustainability goals and shared learning. All members contribute time and money to the work of the Sustainable Food Lab</w:t>
      </w:r>
      <w:r w:rsidRPr="00D67367">
        <w:rPr>
          <w:rFonts w:cstheme="minorHAnsi"/>
        </w:rPr>
        <w:t xml:space="preserve">” [source: https://sustainablefoodlab.org/join-the-food-lab/ ]. Members pay fees (different rates according to revenue) and support the SFL. They also network through the SFL and receive consultation services. Consequently, SFL is different compared to the other case studies (does not fit in a narrow “coalition” definition, it resembles a consultancy since members pay to get services) and there are no (binding) agreements. </w:t>
      </w:r>
    </w:p>
    <w:p w14:paraId="0B4A0AF6" w14:textId="77777777" w:rsidR="00AF7982" w:rsidRPr="00D67367" w:rsidRDefault="00AF7982" w:rsidP="004942FE">
      <w:pPr>
        <w:rPr>
          <w:rFonts w:cstheme="minorHAnsi"/>
        </w:rPr>
      </w:pPr>
    </w:p>
    <w:p w14:paraId="009C8FEC" w14:textId="77777777" w:rsidR="004942FE" w:rsidRPr="00D67367" w:rsidRDefault="004942FE" w:rsidP="004942FE">
      <w:pPr>
        <w:rPr>
          <w:rFonts w:cstheme="minorHAnsi"/>
        </w:rPr>
      </w:pPr>
      <w:r w:rsidRPr="00D67367">
        <w:rPr>
          <w:rFonts w:cstheme="minorHAnsi"/>
        </w:rPr>
        <w:t>SFL´s work is both on the international and local level. An example of a project is the “Vanilla in Madagascar”, which included training at the international level as well as collaboration with the local public authorities (public authorities are mentioned as part of the engaged stakeholders) [source: https://sustainablefoodlab.org/initiatives/sustainable-vanilla-initiative/ ].</w:t>
      </w:r>
    </w:p>
    <w:p w14:paraId="53D8DCBA" w14:textId="77777777" w:rsidR="00AF7982" w:rsidRPr="00D67367" w:rsidRDefault="00AF7982" w:rsidP="004942FE">
      <w:pPr>
        <w:rPr>
          <w:rFonts w:cstheme="minorHAnsi"/>
        </w:rPr>
      </w:pPr>
    </w:p>
    <w:p w14:paraId="1149F035" w14:textId="77777777" w:rsidR="004942FE" w:rsidRPr="00D67367" w:rsidRDefault="004942FE" w:rsidP="004942FE">
      <w:pPr>
        <w:rPr>
          <w:rFonts w:cstheme="minorHAnsi"/>
        </w:rPr>
      </w:pPr>
      <w:r w:rsidRPr="00D67367">
        <w:rPr>
          <w:rFonts w:cstheme="minorHAnsi"/>
        </w:rPr>
        <w:t xml:space="preserve">SFL is partnering with several actors, depending on the project. For example, for the project “Cool Farming Options” SFL created a tool to measure GHG at the farm level with companies, researchers and technical experts (e.g. Univeler, University of Aberdeen). </w:t>
      </w:r>
    </w:p>
    <w:p w14:paraId="3CE753F8" w14:textId="4198AAA8" w:rsidR="004942FE" w:rsidRPr="00D67367" w:rsidRDefault="004942FE" w:rsidP="004942FE">
      <w:pPr>
        <w:rPr>
          <w:rFonts w:cstheme="minorHAnsi"/>
        </w:rPr>
      </w:pPr>
      <w:r w:rsidRPr="00D67367">
        <w:rPr>
          <w:rFonts w:cstheme="minorHAnsi"/>
        </w:rPr>
        <w:t>Successful projects are those that achieve learning outcomes, as well as positive impact on the large scale for both farmers and commercial actors, as expressed by SFL and exemplified by the following quote: “</w:t>
      </w:r>
      <w:r w:rsidRPr="00D67367">
        <w:rPr>
          <w:rFonts w:cstheme="minorHAnsi"/>
          <w:i/>
        </w:rPr>
        <w:t xml:space="preserve">For environmental outcomes, the </w:t>
      </w:r>
      <w:r w:rsidRPr="00D67367">
        <w:rPr>
          <w:rFonts w:cstheme="minorHAnsi"/>
          <w:b/>
          <w:i/>
        </w:rPr>
        <w:t>large scale</w:t>
      </w:r>
      <w:r w:rsidRPr="00D67367">
        <w:rPr>
          <w:rFonts w:cstheme="minorHAnsi"/>
          <w:i/>
        </w:rPr>
        <w:t xml:space="preserve"> of many Food Lab companies enables </w:t>
      </w:r>
      <w:r w:rsidRPr="00D67367">
        <w:rPr>
          <w:rFonts w:cstheme="minorHAnsi"/>
          <w:b/>
          <w:i/>
        </w:rPr>
        <w:t>greater positive impact</w:t>
      </w:r>
      <w:r w:rsidRPr="00D67367">
        <w:rPr>
          <w:rFonts w:cstheme="minorHAnsi"/>
          <w:i/>
        </w:rPr>
        <w:t xml:space="preserve">. When Sysco, the largest food distributor in the US established a pesticide and materials reduction program for fruits and vegetables, more than 350,000 pounds of active ingredients in pesticides were eliminated on almost 700,000 acres during the first year. That program has continued and become quite a sophisticated </w:t>
      </w:r>
      <w:r w:rsidRPr="00D67367">
        <w:rPr>
          <w:rFonts w:cstheme="minorHAnsi"/>
          <w:b/>
          <w:i/>
        </w:rPr>
        <w:t>learning community</w:t>
      </w:r>
      <w:r w:rsidRPr="00D67367">
        <w:rPr>
          <w:rFonts w:cstheme="minorHAnsi"/>
          <w:i/>
        </w:rPr>
        <w:t xml:space="preserve"> of growers practicing in sustainable agriculture. When PepsiCo used a </w:t>
      </w:r>
      <w:r w:rsidRPr="00D67367">
        <w:rPr>
          <w:rFonts w:cstheme="minorHAnsi"/>
          <w:i/>
        </w:rPr>
        <w:lastRenderedPageBreak/>
        <w:t xml:space="preserve">greenhouse gas approach developed in the Food Lab, they were able to commit to a fifty percent reduction in five years for all production in Europe. </w:t>
      </w:r>
      <w:r w:rsidRPr="00D67367">
        <w:rPr>
          <w:rFonts w:cstheme="minorHAnsi"/>
          <w:b/>
          <w:i/>
        </w:rPr>
        <w:t>These results are multiplied across the spectrum of companies engaged in the Food Lab</w:t>
      </w:r>
      <w:r w:rsidRPr="00D67367">
        <w:rPr>
          <w:rFonts w:cstheme="minorHAnsi"/>
          <w:i/>
        </w:rPr>
        <w:t>.</w:t>
      </w:r>
      <w:r w:rsidRPr="00D67367">
        <w:rPr>
          <w:rFonts w:cstheme="minorHAnsi"/>
        </w:rPr>
        <w:t>” [source: Hamilton, 2013].</w:t>
      </w:r>
    </w:p>
    <w:p w14:paraId="118D16B5" w14:textId="77777777" w:rsidR="004942FE" w:rsidRPr="00D67367" w:rsidRDefault="004942FE" w:rsidP="004942FE">
      <w:pPr>
        <w:rPr>
          <w:rFonts w:cstheme="minorHAnsi"/>
        </w:rPr>
      </w:pPr>
      <w:r w:rsidRPr="00D67367">
        <w:rPr>
          <w:rFonts w:cstheme="minorHAnsi"/>
        </w:rPr>
        <w:t>In regard to the solutions proposed, Hamilton acknowledges that one-size-fits-all solutions are not appropriate and trade-offs do exist. He</w:t>
      </w:r>
      <w:r w:rsidRPr="00D67367">
        <w:rPr>
          <w:rFonts w:cstheme="minorHAnsi"/>
          <w:i/>
        </w:rPr>
        <w:t xml:space="preserve"> argues that “Looking around the larger network of sustainable agriculture programs, no one project, partnership or multi-sector initiative should be expected to deliver the full spectrum of desirable results</w:t>
      </w:r>
      <w:r w:rsidRPr="00D67367">
        <w:rPr>
          <w:rFonts w:cstheme="minorHAnsi"/>
        </w:rPr>
        <w:t>” [source: Hamilton, 2013].</w:t>
      </w:r>
    </w:p>
    <w:p w14:paraId="143EA12D" w14:textId="77777777" w:rsidR="005D7BAC" w:rsidRPr="00D67367" w:rsidRDefault="005D7BAC" w:rsidP="004942FE">
      <w:pPr>
        <w:rPr>
          <w:rFonts w:cstheme="minorHAnsi"/>
        </w:rPr>
      </w:pPr>
    </w:p>
    <w:p w14:paraId="6CACC769" w14:textId="77777777" w:rsidR="004942FE" w:rsidRPr="00D67367" w:rsidRDefault="004942FE" w:rsidP="004942FE">
      <w:pPr>
        <w:rPr>
          <w:rFonts w:cstheme="minorHAnsi"/>
        </w:rPr>
      </w:pPr>
      <w:r w:rsidRPr="00D67367">
        <w:rPr>
          <w:rFonts w:cstheme="minorHAnsi"/>
        </w:rPr>
        <w:t>According to the SFL´s founder Hamilton, the change SFL envisions is not revolutionary "</w:t>
      </w:r>
      <w:r w:rsidRPr="00D67367">
        <w:rPr>
          <w:rFonts w:cstheme="minorHAnsi"/>
          <w:i/>
        </w:rPr>
        <w:t xml:space="preserve">The Sustainable Food Lab </w:t>
      </w:r>
      <w:r w:rsidRPr="00D67367">
        <w:rPr>
          <w:rFonts w:cstheme="minorHAnsi"/>
          <w:b/>
          <w:i/>
        </w:rPr>
        <w:t>is not revolutionary.</w:t>
      </w:r>
      <w:r w:rsidRPr="00D67367">
        <w:rPr>
          <w:rFonts w:cstheme="minorHAnsi"/>
          <w:i/>
        </w:rPr>
        <w:t xml:space="preserve"> Its mission is to accelerate progress, and its primary point of leverage is to build on the needs of food companies to demonstrate sustainable production of ingredients. The Food Lab creates a pre-competitive innovation space for these innovations.</w:t>
      </w:r>
      <w:r w:rsidRPr="00D67367">
        <w:rPr>
          <w:rFonts w:cstheme="minorHAnsi"/>
        </w:rPr>
        <w:t>" [source: Hamilton, 2013].</w:t>
      </w:r>
    </w:p>
    <w:p w14:paraId="149BCB5F" w14:textId="77777777" w:rsidR="005D7BAC" w:rsidRPr="00D67367" w:rsidRDefault="005D7BAC" w:rsidP="004942FE">
      <w:pPr>
        <w:rPr>
          <w:rFonts w:cstheme="minorHAnsi"/>
        </w:rPr>
      </w:pPr>
    </w:p>
    <w:p w14:paraId="3B6B070C" w14:textId="77777777" w:rsidR="004942FE" w:rsidRPr="00D67367" w:rsidRDefault="004942FE" w:rsidP="004942FE">
      <w:pPr>
        <w:rPr>
          <w:rFonts w:cstheme="minorHAnsi"/>
        </w:rPr>
      </w:pPr>
      <w:r w:rsidRPr="00D67367">
        <w:rPr>
          <w:rFonts w:cstheme="minorHAnsi"/>
        </w:rPr>
        <w:t>The Sustainable Food Lab is also working to institutionalize the conditions needed to support such activities within organizations, conditions that include formal targets and incentives to meet those targets. [source: https://sustainablefoodlab.org/the-food-lab/our-history/ ].</w:t>
      </w:r>
    </w:p>
    <w:p w14:paraId="13FA3399" w14:textId="77777777" w:rsidR="004942FE" w:rsidRPr="00D67367" w:rsidRDefault="004942FE" w:rsidP="004942FE">
      <w:pPr>
        <w:rPr>
          <w:rFonts w:cstheme="minorHAnsi"/>
        </w:rPr>
      </w:pPr>
      <w:r w:rsidRPr="00D67367">
        <w:rPr>
          <w:rFonts w:cstheme="minorHAnsi"/>
        </w:rPr>
        <w:t>A quote that emphasizes the view that large-scale action has more impact compared to bottom-up approaches is stated by Hamilton (2013): "</w:t>
      </w:r>
      <w:r w:rsidRPr="00D67367">
        <w:rPr>
          <w:rFonts w:cstheme="minorHAnsi"/>
          <w:i/>
        </w:rPr>
        <w:t xml:space="preserve">The Sustainable Food Lab does indeed incubate </w:t>
      </w:r>
      <w:r w:rsidRPr="00D67367">
        <w:rPr>
          <w:rFonts w:cstheme="minorHAnsi"/>
          <w:b/>
          <w:i/>
        </w:rPr>
        <w:t>business-driven partnerships</w:t>
      </w:r>
      <w:r w:rsidRPr="00D67367">
        <w:rPr>
          <w:rFonts w:cstheme="minorHAnsi"/>
          <w:i/>
        </w:rPr>
        <w:t xml:space="preserve">. Below is a bit of history and accomplishments [...]. </w:t>
      </w:r>
      <w:r w:rsidRPr="00D67367">
        <w:rPr>
          <w:rFonts w:cstheme="minorHAnsi"/>
          <w:b/>
          <w:i/>
        </w:rPr>
        <w:t>We can’t help but ask to what degree bottom-up “governance” of food supply chains is practical, under what conditions, and to what degree is this notion utopian beyond the scale and scope of local markets?</w:t>
      </w:r>
      <w:r w:rsidRPr="00D67367">
        <w:rPr>
          <w:rFonts w:cstheme="minorHAnsi"/>
        </w:rPr>
        <w:t xml:space="preserve">" </w:t>
      </w:r>
    </w:p>
    <w:p w14:paraId="1CAC85D1" w14:textId="77777777" w:rsidR="005D7BAC" w:rsidRPr="00D67367" w:rsidRDefault="005D7BAC" w:rsidP="004942FE">
      <w:pPr>
        <w:rPr>
          <w:rFonts w:cstheme="minorHAnsi"/>
        </w:rPr>
      </w:pPr>
    </w:p>
    <w:p w14:paraId="009A3F11" w14:textId="77777777" w:rsidR="004942FE" w:rsidRPr="00D67367" w:rsidRDefault="004942FE" w:rsidP="004942FE">
      <w:pPr>
        <w:rPr>
          <w:rFonts w:cstheme="minorHAnsi"/>
        </w:rPr>
      </w:pPr>
      <w:r w:rsidRPr="00D67367">
        <w:rPr>
          <w:rFonts w:cstheme="minorHAnsi"/>
        </w:rPr>
        <w:t>However, they state that public policy has ‘failed’, but also the risks of corporate-led initiatives "</w:t>
      </w:r>
      <w:r w:rsidRPr="00D67367">
        <w:rPr>
          <w:rFonts w:cstheme="minorHAnsi"/>
          <w:i/>
        </w:rPr>
        <w:t xml:space="preserve">One could argue that all of these projects </w:t>
      </w:r>
      <w:r w:rsidRPr="00D67367">
        <w:rPr>
          <w:rFonts w:cstheme="minorHAnsi"/>
          <w:b/>
          <w:i/>
        </w:rPr>
        <w:t>strengthen the position of global corporations and ignore the public sector’s traditional roles</w:t>
      </w:r>
      <w:r w:rsidRPr="00D67367">
        <w:rPr>
          <w:rFonts w:cstheme="minorHAnsi"/>
          <w:i/>
        </w:rPr>
        <w:t xml:space="preserve">. In many ways </w:t>
      </w:r>
      <w:r w:rsidRPr="00D67367">
        <w:rPr>
          <w:rFonts w:cstheme="minorHAnsi"/>
          <w:b/>
          <w:i/>
        </w:rPr>
        <w:t xml:space="preserve">the public sector has failed </w:t>
      </w:r>
      <w:r w:rsidRPr="00D67367">
        <w:rPr>
          <w:rFonts w:cstheme="minorHAnsi"/>
          <w:i/>
        </w:rPr>
        <w:t xml:space="preserve">to generate the degree of innovative and positive development that the private sector is creating, but it’s certainly true that these </w:t>
      </w:r>
      <w:r w:rsidRPr="00D67367">
        <w:rPr>
          <w:rFonts w:cstheme="minorHAnsi"/>
          <w:b/>
          <w:i/>
        </w:rPr>
        <w:t>corporate led initiatives are unconstrained by any checks and balances of democratic process</w:t>
      </w:r>
      <w:r w:rsidRPr="00D67367">
        <w:rPr>
          <w:rFonts w:cstheme="minorHAnsi"/>
          <w:i/>
        </w:rPr>
        <w:t>.</w:t>
      </w:r>
      <w:r w:rsidRPr="00D67367">
        <w:rPr>
          <w:rFonts w:cstheme="minorHAnsi"/>
        </w:rPr>
        <w:t>" [source: Hamilton, 2013].</w:t>
      </w:r>
    </w:p>
    <w:p w14:paraId="20B6D0FF" w14:textId="77777777" w:rsidR="005D7BAC" w:rsidRPr="00D67367" w:rsidRDefault="005D7BAC" w:rsidP="004942FE">
      <w:pPr>
        <w:rPr>
          <w:rFonts w:cstheme="minorHAnsi"/>
        </w:rPr>
      </w:pPr>
    </w:p>
    <w:p w14:paraId="3872116B" w14:textId="77777777" w:rsidR="004942FE" w:rsidRPr="00D67367" w:rsidRDefault="004942FE" w:rsidP="004942FE">
      <w:pPr>
        <w:rPr>
          <w:rFonts w:cstheme="minorHAnsi"/>
        </w:rPr>
      </w:pPr>
      <w:r w:rsidRPr="00D67367">
        <w:rPr>
          <w:rFonts w:cstheme="minorHAnsi"/>
        </w:rPr>
        <w:t>Some other characteristics worth highlighting when describing this coalition is that learning objectives are very central in SFL´s work, and a lot of emphasis is placed on this topic. Moreover, there is a great focus on the individual level, e.g. providing support to the sustainability manager of member companies. SFL´s scaling strategy is primarily to scale-out, and multiply successful approaches. Last, complexity is mentioned as an attribute that should be embraced "</w:t>
      </w:r>
      <w:r w:rsidRPr="00D67367">
        <w:rPr>
          <w:rFonts w:cstheme="minorHAnsi"/>
          <w:i/>
        </w:rPr>
        <w:t>The cornerstones of our approach are: Harnessing a long-view and embracing the complexity of the whole system to foster unlikely partnerships</w:t>
      </w:r>
      <w:r w:rsidRPr="00D67367">
        <w:rPr>
          <w:rFonts w:cstheme="minorHAnsi"/>
        </w:rPr>
        <w:t xml:space="preserve">" [source: https://sustainablefoodlab.org/the-food-lab/about/ ]. </w:t>
      </w:r>
    </w:p>
    <w:p w14:paraId="5FE2DC2C" w14:textId="77777777" w:rsidR="00135419" w:rsidRPr="00D67367" w:rsidRDefault="00135419" w:rsidP="004942FE">
      <w:pPr>
        <w:rPr>
          <w:rFonts w:cstheme="minorHAnsi"/>
        </w:rPr>
      </w:pPr>
    </w:p>
    <w:p w14:paraId="0B131017" w14:textId="6D18D2FA" w:rsidR="004942FE" w:rsidRPr="00D67367" w:rsidRDefault="004942FE" w:rsidP="001F3670">
      <w:pPr>
        <w:pStyle w:val="ListParagraph"/>
        <w:numPr>
          <w:ilvl w:val="0"/>
          <w:numId w:val="4"/>
        </w:numPr>
        <w:rPr>
          <w:rFonts w:cstheme="minorHAnsi"/>
          <w:b/>
        </w:rPr>
      </w:pPr>
      <w:r w:rsidRPr="00D67367">
        <w:rPr>
          <w:rFonts w:cstheme="minorHAnsi"/>
          <w:b/>
        </w:rPr>
        <w:t>One Planet Business for Biodiversity</w:t>
      </w:r>
    </w:p>
    <w:p w14:paraId="3AC12535" w14:textId="77777777" w:rsidR="001464EC" w:rsidRPr="00D67367" w:rsidRDefault="001464EC" w:rsidP="004942FE">
      <w:pPr>
        <w:rPr>
          <w:rFonts w:cstheme="minorHAnsi"/>
          <w:b/>
        </w:rPr>
      </w:pPr>
    </w:p>
    <w:p w14:paraId="755CF59A" w14:textId="0AC2C1C1" w:rsidR="004942FE" w:rsidRPr="00D67367" w:rsidRDefault="004942FE" w:rsidP="004942FE">
      <w:pPr>
        <w:rPr>
          <w:rFonts w:cstheme="minorHAnsi"/>
        </w:rPr>
      </w:pPr>
      <w:r w:rsidRPr="00D67367">
        <w:rPr>
          <w:rFonts w:cstheme="minorHAnsi"/>
        </w:rPr>
        <w:t>OP2B consists of 21 CEOs from private companies from the food, textile, cosmetics and medicinal sector, and an EU fund. The group is quite homogenous in terms of member characteristics</w:t>
      </w:r>
      <w:r w:rsidR="007E4307" w:rsidRPr="00D67367">
        <w:rPr>
          <w:rFonts w:cstheme="minorHAnsi"/>
        </w:rPr>
        <w:t>.</w:t>
      </w:r>
      <w:r w:rsidRPr="00D67367">
        <w:rPr>
          <w:rFonts w:cstheme="minorHAnsi"/>
        </w:rPr>
        <w:t xml:space="preserve"> The coalition is hosted by the WBCSD and was launched in 2019 within </w:t>
      </w:r>
      <w:r w:rsidRPr="00D67367">
        <w:rPr>
          <w:rFonts w:cstheme="minorHAnsi"/>
        </w:rPr>
        <w:lastRenderedPageBreak/>
        <w:t>“</w:t>
      </w:r>
      <w:r w:rsidRPr="00D67367">
        <w:rPr>
          <w:rFonts w:cstheme="minorHAnsi"/>
          <w:i/>
        </w:rPr>
        <w:t xml:space="preserve">French President Macron’s One Planet Lab framework” </w:t>
      </w:r>
      <w:r w:rsidRPr="00D67367">
        <w:rPr>
          <w:rFonts w:cstheme="minorHAnsi"/>
        </w:rPr>
        <w:t xml:space="preserve">at the UN Climate Action Summit in NY. </w:t>
      </w:r>
    </w:p>
    <w:p w14:paraId="62F7AADE" w14:textId="77777777" w:rsidR="007E4307" w:rsidRPr="00D67367" w:rsidRDefault="007E4307" w:rsidP="004942FE">
      <w:pPr>
        <w:rPr>
          <w:rFonts w:cstheme="minorHAnsi"/>
        </w:rPr>
      </w:pPr>
    </w:p>
    <w:p w14:paraId="0A471E71" w14:textId="77777777" w:rsidR="004942FE" w:rsidRPr="00D67367" w:rsidRDefault="004942FE" w:rsidP="004942FE">
      <w:pPr>
        <w:rPr>
          <w:rFonts w:cstheme="minorHAnsi"/>
        </w:rPr>
      </w:pPr>
      <w:r w:rsidRPr="00D67367">
        <w:rPr>
          <w:rFonts w:cstheme="minorHAnsi"/>
        </w:rPr>
        <w:t>Their aim is to transform the food and agriculture system and their focus is on biodiversity loss, small-scale farmers livelihoods, and climate change with the specific targets of: “</w:t>
      </w:r>
      <w:r w:rsidRPr="00D67367">
        <w:rPr>
          <w:rFonts w:cstheme="minorHAnsi"/>
          <w:i/>
        </w:rPr>
        <w:t>1. scaling up regenerative agricultural practices; 2. boosting cultivated biodiversity and diets through product portfolios; and 3. protecting high-value natural ecosystems by enhancing their management and mitigating deforestation”</w:t>
      </w:r>
      <w:r w:rsidRPr="00D67367">
        <w:rPr>
          <w:rFonts w:cstheme="minorHAnsi"/>
        </w:rPr>
        <w:t xml:space="preserve"> [source: https://op2b.org/wp-content/uploads/2019/09/OP2B_Ambition_Statement.pdf ]. </w:t>
      </w:r>
    </w:p>
    <w:p w14:paraId="3A16815F" w14:textId="77777777" w:rsidR="007E4307" w:rsidRPr="00D67367" w:rsidRDefault="007E4307" w:rsidP="004942FE">
      <w:pPr>
        <w:rPr>
          <w:rFonts w:cstheme="minorHAnsi"/>
        </w:rPr>
      </w:pPr>
    </w:p>
    <w:p w14:paraId="65679483" w14:textId="77777777" w:rsidR="004942FE" w:rsidRPr="00D67367" w:rsidRDefault="004942FE" w:rsidP="004942FE">
      <w:pPr>
        <w:rPr>
          <w:rFonts w:cstheme="minorHAnsi"/>
        </w:rPr>
      </w:pPr>
      <w:r w:rsidRPr="00D67367">
        <w:rPr>
          <w:rFonts w:cstheme="minorHAnsi"/>
        </w:rPr>
        <w:t>OP2B responds to the challenge of biodiversity loss, but also climate change emissions and inclusive supply chains. In addition to the specific targets mentioned above, the coalition states that: “</w:t>
      </w:r>
      <w:r w:rsidRPr="00D67367">
        <w:rPr>
          <w:rFonts w:cstheme="minorHAnsi"/>
          <w:b/>
          <w:i/>
        </w:rPr>
        <w:t>The coalition is determined to drive transformational systemic change and catalyze action to protect and restore cultivated and natural biodiversity within the value chains, engage institutional and financial decision-makers, and develop and promote policy recommendations for the 2021 CBD COP15 framework</w:t>
      </w:r>
      <w:r w:rsidRPr="00D67367">
        <w:rPr>
          <w:rFonts w:cstheme="minorHAnsi"/>
          <w:i/>
        </w:rPr>
        <w:t>.</w:t>
      </w:r>
      <w:r w:rsidRPr="00D67367">
        <w:rPr>
          <w:rFonts w:cstheme="minorHAnsi"/>
        </w:rPr>
        <w:t xml:space="preserve">" [source: https://op2b.org/wp-content/uploads/2020/05/OP2B_Statement_May_20-1.pdf ]. </w:t>
      </w:r>
    </w:p>
    <w:p w14:paraId="6F462A93" w14:textId="77777777" w:rsidR="007E4307" w:rsidRPr="00D67367" w:rsidRDefault="007E4307" w:rsidP="004942FE">
      <w:pPr>
        <w:rPr>
          <w:rFonts w:cstheme="minorHAnsi"/>
        </w:rPr>
      </w:pPr>
    </w:p>
    <w:p w14:paraId="51B96006" w14:textId="77777777" w:rsidR="004942FE" w:rsidRPr="00D67367" w:rsidRDefault="004942FE" w:rsidP="004942FE">
      <w:pPr>
        <w:rPr>
          <w:rFonts w:cstheme="minorHAnsi"/>
        </w:rPr>
      </w:pPr>
      <w:r w:rsidRPr="00D67367">
        <w:rPr>
          <w:rFonts w:cstheme="minorHAnsi"/>
        </w:rPr>
        <w:t xml:space="preserve">OP2B acts throughout the supply chain, both on the global and local levels. Regarding the global level, they suggest specific enabling conditions, such as a shift in agricultural subsidies. Each member is involved in local projects (see </w:t>
      </w:r>
      <w:hyperlink r:id="rId19">
        <w:r w:rsidRPr="00D67367">
          <w:rPr>
            <w:rFonts w:cstheme="minorHAnsi"/>
            <w:color w:val="1155CC"/>
            <w:u w:val="single"/>
          </w:rPr>
          <w:t>https://op2b.org/actions/</w:t>
        </w:r>
      </w:hyperlink>
      <w:r w:rsidRPr="00D67367">
        <w:rPr>
          <w:rFonts w:cstheme="minorHAnsi"/>
        </w:rPr>
        <w:t>), which are either funded by one company or co-funded by several of the OP2B member companies. For each project there is information on what are their aims, who are the partners, when is the starting/finishing day and more. Depending on the project, OP2B members might be partnering with NGOs, academia, consultancies, foundations, local governments (see Barry Callebaut project on drone - seeding approach in Ivory coast). Consequently, each project expresses different “solutions” to the biodiversity challenges. Their strategy of "scaling up" solutions is explicitly mentioned as a goal "</w:t>
      </w:r>
      <w:r w:rsidRPr="00D67367">
        <w:rPr>
          <w:rFonts w:cstheme="minorHAnsi"/>
          <w:i/>
        </w:rPr>
        <w:t>We are committed to scaling up alternative farming practices</w:t>
      </w:r>
      <w:r w:rsidRPr="00D67367">
        <w:rPr>
          <w:rFonts w:cstheme="minorHAnsi"/>
        </w:rPr>
        <w:t xml:space="preserve">" [ source: </w:t>
      </w:r>
      <w:hyperlink r:id="rId20">
        <w:r w:rsidRPr="00D67367">
          <w:rPr>
            <w:rFonts w:cstheme="minorHAnsi"/>
            <w:color w:val="1155CC"/>
            <w:u w:val="single"/>
          </w:rPr>
          <w:t>Ambition_Statement</w:t>
        </w:r>
      </w:hyperlink>
      <w:r w:rsidRPr="00D67367">
        <w:rPr>
          <w:rFonts w:cstheme="minorHAnsi"/>
        </w:rPr>
        <w:t xml:space="preserve"> ].</w:t>
      </w:r>
    </w:p>
    <w:p w14:paraId="5C21BD1D" w14:textId="77777777" w:rsidR="001464EC" w:rsidRPr="00D67367" w:rsidRDefault="001464EC" w:rsidP="004942FE">
      <w:pPr>
        <w:rPr>
          <w:rFonts w:cstheme="minorHAnsi"/>
        </w:rPr>
      </w:pPr>
    </w:p>
    <w:p w14:paraId="4FA59860" w14:textId="77777777" w:rsidR="004942FE" w:rsidRPr="00D67367" w:rsidRDefault="004942FE" w:rsidP="004942FE">
      <w:pPr>
        <w:rPr>
          <w:rFonts w:cstheme="minorHAnsi"/>
        </w:rPr>
      </w:pPr>
      <w:r w:rsidRPr="00D67367">
        <w:rPr>
          <w:rFonts w:cstheme="minorHAnsi"/>
        </w:rPr>
        <w:t xml:space="preserve">The members of this coalition state that they </w:t>
      </w:r>
      <w:sdt>
        <w:sdtPr>
          <w:rPr>
            <w:rFonts w:cstheme="minorHAnsi"/>
          </w:rPr>
          <w:tag w:val="goog_rdk_126"/>
          <w:id w:val="-785035697"/>
        </w:sdtPr>
        <w:sdtContent/>
      </w:sdt>
      <w:r w:rsidRPr="00D67367">
        <w:rPr>
          <w:rFonts w:cstheme="minorHAnsi"/>
        </w:rPr>
        <w:t>“</w:t>
      </w:r>
      <w:r w:rsidRPr="00D67367">
        <w:rPr>
          <w:rFonts w:cstheme="minorHAnsi"/>
          <w:i/>
        </w:rPr>
        <w:t>look forward to working with public sector institutions, suppliers, farmers, retailers and consumers in making this strategy a success</w:t>
      </w:r>
      <w:r w:rsidRPr="00D67367">
        <w:rPr>
          <w:rFonts w:cstheme="minorHAnsi"/>
        </w:rPr>
        <w:t xml:space="preserve">" [source: </w:t>
      </w:r>
      <w:hyperlink r:id="rId21">
        <w:r w:rsidRPr="00D67367">
          <w:rPr>
            <w:rFonts w:cstheme="minorHAnsi"/>
            <w:color w:val="1155CC"/>
            <w:u w:val="single"/>
          </w:rPr>
          <w:t>OP2B_Statement_May_20-1.pdf</w:t>
        </w:r>
      </w:hyperlink>
      <w:r w:rsidRPr="00D67367">
        <w:rPr>
          <w:rFonts w:cstheme="minorHAnsi"/>
        </w:rPr>
        <w:t xml:space="preserve">  ].</w:t>
      </w:r>
    </w:p>
    <w:p w14:paraId="4319DD86" w14:textId="77777777" w:rsidR="001464EC" w:rsidRPr="00D67367" w:rsidRDefault="001464EC" w:rsidP="004942FE">
      <w:pPr>
        <w:rPr>
          <w:rFonts w:cstheme="minorHAnsi"/>
        </w:rPr>
      </w:pPr>
    </w:p>
    <w:p w14:paraId="1ED37EAF" w14:textId="77777777" w:rsidR="004942FE" w:rsidRPr="00D67367" w:rsidRDefault="004942FE" w:rsidP="004942FE">
      <w:pPr>
        <w:rPr>
          <w:rFonts w:cstheme="minorHAnsi"/>
        </w:rPr>
      </w:pPr>
      <w:r w:rsidRPr="00D67367">
        <w:rPr>
          <w:rFonts w:cstheme="minorHAnsi"/>
        </w:rPr>
        <w:t>Moreover, they support the view that collaboration with the public authorities is essential for the success of the transformation they work towards as exemplified in the following text "</w:t>
      </w:r>
      <w:r w:rsidRPr="00D67367">
        <w:rPr>
          <w:rFonts w:cstheme="minorHAnsi"/>
          <w:b/>
          <w:i/>
        </w:rPr>
        <w:t xml:space="preserve">a strong regulatory framework is essential </w:t>
      </w:r>
      <w:r w:rsidRPr="00D67367">
        <w:rPr>
          <w:rFonts w:cstheme="minorHAnsi"/>
          <w:i/>
        </w:rPr>
        <w:t>for preserving biodiversity</w:t>
      </w:r>
      <w:r w:rsidRPr="00D67367">
        <w:rPr>
          <w:rFonts w:cstheme="minorHAnsi"/>
        </w:rPr>
        <w:t xml:space="preserve">" [Source: https://op2b.org/wp-content/uploads/2020/05/OP2B_Statement_May_20-1.pdf ]. </w:t>
      </w:r>
    </w:p>
    <w:p w14:paraId="28BBEB2E" w14:textId="77777777" w:rsidR="007E4307" w:rsidRPr="00D67367" w:rsidRDefault="007E4307" w:rsidP="004942FE">
      <w:pPr>
        <w:rPr>
          <w:rFonts w:cstheme="minorHAnsi"/>
        </w:rPr>
      </w:pPr>
    </w:p>
    <w:p w14:paraId="32AFB0F4" w14:textId="77777777" w:rsidR="004942FE" w:rsidRPr="00D67367" w:rsidRDefault="004942FE" w:rsidP="004942FE">
      <w:pPr>
        <w:rPr>
          <w:rFonts w:cstheme="minorHAnsi"/>
          <w:highlight w:val="yellow"/>
        </w:rPr>
      </w:pPr>
      <w:r w:rsidRPr="00D67367">
        <w:rPr>
          <w:rFonts w:cstheme="minorHAnsi"/>
        </w:rPr>
        <w:t>Moreover, the coalition aims to provide</w:t>
      </w:r>
      <w:r w:rsidRPr="00D67367">
        <w:rPr>
          <w:rFonts w:cstheme="minorHAnsi"/>
          <w:b/>
        </w:rPr>
        <w:t xml:space="preserve"> policy recommendations </w:t>
      </w:r>
      <w:r w:rsidRPr="00D67367">
        <w:rPr>
          <w:rFonts w:cstheme="minorHAnsi"/>
        </w:rPr>
        <w:t xml:space="preserve">to </w:t>
      </w:r>
      <w:r w:rsidRPr="00D67367">
        <w:rPr>
          <w:rFonts w:cstheme="minorHAnsi"/>
          <w:i/>
        </w:rPr>
        <w:t xml:space="preserve">the 2021 CBD COP15. </w:t>
      </w:r>
      <w:r w:rsidRPr="00D67367">
        <w:rPr>
          <w:rFonts w:cstheme="minorHAnsi"/>
        </w:rPr>
        <w:t>The legislation they are working towards is "</w:t>
      </w:r>
      <w:r w:rsidRPr="00D67367">
        <w:rPr>
          <w:rFonts w:cstheme="minorHAnsi"/>
          <w:i/>
        </w:rPr>
        <w:t>In the near time we will collectively achieve the following milestones: By October 2020: Disclose ambitious, timebound and measurable commitments during CBD COP15, with policy asks which support the enabling environment for success. In particular, we will advocate for nature-based solutions, a shift in agricultural subsidies to support biodiversity, and the creation of soil-based carbon market to monetize the positive externalities of regenerative agriculture practices that restore soil organic matter</w:t>
      </w:r>
      <w:r w:rsidRPr="00D67367">
        <w:rPr>
          <w:rFonts w:cstheme="minorHAnsi"/>
        </w:rPr>
        <w:t xml:space="preserve">" [source: </w:t>
      </w:r>
      <w:hyperlink r:id="rId22">
        <w:r w:rsidRPr="00D67367">
          <w:rPr>
            <w:rFonts w:cstheme="minorHAnsi"/>
            <w:color w:val="1155CC"/>
            <w:u w:val="single"/>
          </w:rPr>
          <w:t>Ambition_Statement</w:t>
        </w:r>
      </w:hyperlink>
      <w:r w:rsidRPr="00D67367">
        <w:rPr>
          <w:rFonts w:cstheme="minorHAnsi"/>
        </w:rPr>
        <w:t xml:space="preserve"> ]. </w:t>
      </w:r>
    </w:p>
    <w:p w14:paraId="19244F05" w14:textId="77777777" w:rsidR="004942FE" w:rsidRPr="00D67367" w:rsidRDefault="004942FE" w:rsidP="004942FE">
      <w:pPr>
        <w:rPr>
          <w:rFonts w:cstheme="minorHAnsi"/>
        </w:rPr>
      </w:pPr>
      <w:r w:rsidRPr="00D67367">
        <w:rPr>
          <w:rFonts w:cstheme="minorHAnsi"/>
        </w:rPr>
        <w:lastRenderedPageBreak/>
        <w:t xml:space="preserve">The “Boston Consulting Group” is their knowledge partner. They use the One Planet (Lab) Framework. Many scientific terms are being used such as ‘nature-based solutions’, ‘regenerative agriculture’, ‘resilience’ of food systems, ‘ecosystem services’ indicating that scientific knowledge is part of the coalition´s knowledge system. However, wording that refers to ‘biophysical limits’ is lacking. </w:t>
      </w:r>
    </w:p>
    <w:p w14:paraId="6BCEC46D" w14:textId="77777777" w:rsidR="007E4307" w:rsidRPr="00D67367" w:rsidRDefault="007E4307" w:rsidP="004942FE">
      <w:pPr>
        <w:rPr>
          <w:rFonts w:cstheme="minorHAnsi"/>
        </w:rPr>
      </w:pPr>
    </w:p>
    <w:p w14:paraId="6A7792DE" w14:textId="43238689" w:rsidR="004942FE" w:rsidRPr="00D67367" w:rsidRDefault="004942FE" w:rsidP="004942FE">
      <w:pPr>
        <w:rPr>
          <w:rFonts w:cstheme="minorHAnsi"/>
        </w:rPr>
      </w:pPr>
      <w:r w:rsidRPr="00D67367">
        <w:rPr>
          <w:rFonts w:cstheme="minorHAnsi"/>
        </w:rPr>
        <w:t>Last, the coalition states that they are reporting/being monitored,</w:t>
      </w:r>
      <w:sdt>
        <w:sdtPr>
          <w:rPr>
            <w:rFonts w:cstheme="minorHAnsi"/>
          </w:rPr>
          <w:tag w:val="goog_rdk_127"/>
          <w:id w:val="1356468483"/>
        </w:sdtPr>
        <w:sdtContent/>
      </w:sdt>
      <w:r w:rsidRPr="00D67367">
        <w:rPr>
          <w:rFonts w:cstheme="minorHAnsi"/>
        </w:rPr>
        <w:t xml:space="preserve"> but no reports are available </w:t>
      </w:r>
      <w:r w:rsidR="001464EC" w:rsidRPr="00D67367">
        <w:rPr>
          <w:rFonts w:cstheme="minorHAnsi"/>
        </w:rPr>
        <w:t>on</w:t>
      </w:r>
      <w:r w:rsidRPr="00D67367">
        <w:rPr>
          <w:rFonts w:cstheme="minorHAnsi"/>
        </w:rPr>
        <w:t xml:space="preserve"> their website during until </w:t>
      </w:r>
      <w:r w:rsidR="001464EC" w:rsidRPr="00D67367">
        <w:rPr>
          <w:rFonts w:cstheme="minorHAnsi"/>
        </w:rPr>
        <w:t>May 2021</w:t>
      </w:r>
      <w:r w:rsidR="00167836" w:rsidRPr="00D67367">
        <w:rPr>
          <w:rFonts w:cstheme="minorHAnsi"/>
        </w:rPr>
        <w:t xml:space="preserve"> and were not included in our analysis</w:t>
      </w:r>
      <w:r w:rsidRPr="00D67367">
        <w:rPr>
          <w:rFonts w:cstheme="minorHAnsi"/>
        </w:rPr>
        <w:t xml:space="preserve">. </w:t>
      </w:r>
    </w:p>
    <w:p w14:paraId="69F313F9" w14:textId="77777777" w:rsidR="002920A4" w:rsidRPr="00D67367" w:rsidRDefault="002920A4" w:rsidP="002920A4">
      <w:pPr>
        <w:keepLines/>
        <w:rPr>
          <w:rFonts w:cstheme="minorHAnsi"/>
        </w:rPr>
      </w:pPr>
    </w:p>
    <w:p w14:paraId="71119D21" w14:textId="77777777" w:rsidR="0014719A" w:rsidRPr="00D82287" w:rsidRDefault="0014719A">
      <w:pPr>
        <w:rPr>
          <w:rFonts w:ascii="Calibri" w:eastAsia="Times New Roman" w:hAnsi="Calibri" w:cs="Calibri"/>
          <w:b/>
          <w:bCs/>
          <w:kern w:val="0"/>
          <w:sz w:val="36"/>
          <w:szCs w:val="36"/>
          <w:lang w:eastAsia="en-GB"/>
          <w14:ligatures w14:val="none"/>
        </w:rPr>
      </w:pPr>
      <w:r w:rsidRPr="00D82287">
        <w:rPr>
          <w:rFonts w:ascii="Calibri" w:hAnsi="Calibri" w:cs="Calibri"/>
        </w:rPr>
        <w:br w:type="page"/>
      </w:r>
    </w:p>
    <w:p w14:paraId="06E347A0" w14:textId="4DFF8E85" w:rsidR="003B06E6" w:rsidRPr="00D82287" w:rsidRDefault="003B06E6" w:rsidP="003B06E6">
      <w:pPr>
        <w:pStyle w:val="Heading2"/>
        <w:rPr>
          <w:rFonts w:ascii="Calibri" w:hAnsi="Calibri" w:cs="Calibri"/>
          <w:lang w:val="en-GB"/>
        </w:rPr>
      </w:pPr>
      <w:bookmarkStart w:id="13" w:name="_Toc180411822"/>
      <w:r w:rsidRPr="00D82287">
        <w:rPr>
          <w:rFonts w:ascii="Calibri" w:hAnsi="Calibri" w:cs="Calibri"/>
          <w:lang w:val="en-GB"/>
        </w:rPr>
        <w:lastRenderedPageBreak/>
        <w:t>A</w:t>
      </w:r>
      <w:r w:rsidR="004335C0" w:rsidRPr="00D82287">
        <w:rPr>
          <w:rFonts w:ascii="Calibri" w:hAnsi="Calibri" w:cs="Calibri"/>
          <w:lang w:val="en-GB"/>
        </w:rPr>
        <w:t>.</w:t>
      </w:r>
      <w:r w:rsidR="001615BC" w:rsidRPr="00D82287">
        <w:rPr>
          <w:rFonts w:ascii="Calibri" w:hAnsi="Calibri" w:cs="Calibri"/>
          <w:lang w:val="en-GB"/>
        </w:rPr>
        <w:t>5</w:t>
      </w:r>
      <w:r w:rsidRPr="00D82287">
        <w:rPr>
          <w:rFonts w:ascii="Calibri" w:hAnsi="Calibri" w:cs="Calibri"/>
          <w:lang w:val="en-GB"/>
        </w:rPr>
        <w:t xml:space="preserve">. Quantitative </w:t>
      </w:r>
      <w:r w:rsidR="004335C0" w:rsidRPr="00D82287">
        <w:rPr>
          <w:rFonts w:ascii="Calibri" w:hAnsi="Calibri" w:cs="Calibri"/>
          <w:lang w:val="en-GB"/>
        </w:rPr>
        <w:t>data</w:t>
      </w:r>
      <w:r w:rsidRPr="00D82287">
        <w:rPr>
          <w:rFonts w:ascii="Calibri" w:hAnsi="Calibri" w:cs="Calibri"/>
          <w:lang w:val="en-GB"/>
        </w:rPr>
        <w:t xml:space="preserve"> </w:t>
      </w:r>
      <w:r w:rsidR="00E30B9A" w:rsidRPr="00D82287">
        <w:rPr>
          <w:rFonts w:ascii="Calibri" w:hAnsi="Calibri" w:cs="Calibri"/>
          <w:lang w:val="en-GB"/>
        </w:rPr>
        <w:t>– Table S4</w:t>
      </w:r>
      <w:bookmarkEnd w:id="13"/>
    </w:p>
    <w:p w14:paraId="0216E921" w14:textId="3DE11565" w:rsidR="004335C0" w:rsidRPr="00D82287" w:rsidRDefault="004335C0" w:rsidP="00DC216D">
      <w:pPr>
        <w:rPr>
          <w:sz w:val="20"/>
          <w:szCs w:val="20"/>
        </w:rPr>
      </w:pPr>
      <w:r w:rsidRPr="00D82287">
        <w:rPr>
          <w:b/>
          <w:bCs/>
          <w:sz w:val="20"/>
          <w:szCs w:val="20"/>
        </w:rPr>
        <w:t>Table S</w:t>
      </w:r>
      <w:r w:rsidR="00DD2D0F" w:rsidRPr="00D82287">
        <w:rPr>
          <w:b/>
          <w:bCs/>
          <w:sz w:val="20"/>
          <w:szCs w:val="20"/>
        </w:rPr>
        <w:t>4</w:t>
      </w:r>
      <w:r w:rsidRPr="00D82287">
        <w:rPr>
          <w:b/>
          <w:bCs/>
          <w:sz w:val="20"/>
          <w:szCs w:val="20"/>
        </w:rPr>
        <w:t>.</w:t>
      </w:r>
      <w:r w:rsidRPr="00D82287">
        <w:rPr>
          <w:sz w:val="20"/>
          <w:szCs w:val="20"/>
        </w:rPr>
        <w:t xml:space="preserve"> LSAC scores</w:t>
      </w:r>
    </w:p>
    <w:tbl>
      <w:tblPr>
        <w:tblW w:w="8988" w:type="dxa"/>
        <w:tblLook w:val="04A0" w:firstRow="1" w:lastRow="0" w:firstColumn="1" w:lastColumn="0" w:noHBand="0" w:noVBand="1"/>
      </w:tblPr>
      <w:tblGrid>
        <w:gridCol w:w="2620"/>
        <w:gridCol w:w="1060"/>
        <w:gridCol w:w="1060"/>
        <w:gridCol w:w="1060"/>
        <w:gridCol w:w="1060"/>
        <w:gridCol w:w="1060"/>
        <w:gridCol w:w="1068"/>
      </w:tblGrid>
      <w:tr w:rsidR="003B06E6" w:rsidRPr="00D67367" w14:paraId="24B14871" w14:textId="77777777" w:rsidTr="005751A3">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C6E0B4"/>
            <w:noWrap/>
            <w:hideMark/>
          </w:tcPr>
          <w:p w14:paraId="663726D6" w14:textId="77777777" w:rsidR="005751A3" w:rsidRPr="00D82287" w:rsidRDefault="005751A3" w:rsidP="005751A3">
            <w:pP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Code</w:t>
            </w:r>
          </w:p>
        </w:tc>
        <w:tc>
          <w:tcPr>
            <w:tcW w:w="1060" w:type="dxa"/>
            <w:tcBorders>
              <w:top w:val="single" w:sz="4" w:space="0" w:color="auto"/>
              <w:left w:val="nil"/>
              <w:bottom w:val="nil"/>
              <w:right w:val="single" w:sz="4" w:space="0" w:color="auto"/>
            </w:tcBorders>
            <w:shd w:val="clear" w:color="000000" w:fill="B4C6E7"/>
            <w:noWrap/>
            <w:hideMark/>
          </w:tcPr>
          <w:p w14:paraId="6CD9C258" w14:textId="4D94119E" w:rsidR="005751A3" w:rsidRPr="00D82287" w:rsidRDefault="005751A3" w:rsidP="003B06E6">
            <w:pPr>
              <w:jc w:val="cente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GISD</w:t>
            </w:r>
          </w:p>
        </w:tc>
        <w:tc>
          <w:tcPr>
            <w:tcW w:w="1060" w:type="dxa"/>
            <w:tcBorders>
              <w:top w:val="single" w:sz="4" w:space="0" w:color="auto"/>
              <w:left w:val="nil"/>
              <w:bottom w:val="nil"/>
              <w:right w:val="single" w:sz="4" w:space="0" w:color="auto"/>
            </w:tcBorders>
            <w:shd w:val="clear" w:color="000000" w:fill="B4C6E7"/>
            <w:noWrap/>
            <w:hideMark/>
          </w:tcPr>
          <w:p w14:paraId="7901ABAB" w14:textId="77777777" w:rsidR="005751A3" w:rsidRPr="00D82287" w:rsidRDefault="005751A3" w:rsidP="003B06E6">
            <w:pPr>
              <w:jc w:val="cente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CA 100+</w:t>
            </w:r>
          </w:p>
        </w:tc>
        <w:tc>
          <w:tcPr>
            <w:tcW w:w="1060" w:type="dxa"/>
            <w:tcBorders>
              <w:top w:val="single" w:sz="4" w:space="0" w:color="auto"/>
              <w:left w:val="nil"/>
              <w:bottom w:val="nil"/>
              <w:right w:val="single" w:sz="4" w:space="0" w:color="auto"/>
            </w:tcBorders>
            <w:shd w:val="clear" w:color="000000" w:fill="FFE699"/>
            <w:noWrap/>
            <w:hideMark/>
          </w:tcPr>
          <w:p w14:paraId="5023A925" w14:textId="4474CBC4" w:rsidR="005751A3" w:rsidRPr="00D82287" w:rsidRDefault="005751A3" w:rsidP="003B06E6">
            <w:pPr>
              <w:jc w:val="cente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GA</w:t>
            </w:r>
          </w:p>
        </w:tc>
        <w:tc>
          <w:tcPr>
            <w:tcW w:w="1060" w:type="dxa"/>
            <w:tcBorders>
              <w:top w:val="single" w:sz="4" w:space="0" w:color="auto"/>
              <w:left w:val="nil"/>
              <w:bottom w:val="nil"/>
              <w:right w:val="single" w:sz="4" w:space="0" w:color="auto"/>
            </w:tcBorders>
            <w:shd w:val="clear" w:color="000000" w:fill="FFE699"/>
            <w:noWrap/>
            <w:hideMark/>
          </w:tcPr>
          <w:p w14:paraId="031CCB2F" w14:textId="4FB9F139" w:rsidR="005751A3" w:rsidRPr="00D82287" w:rsidRDefault="005751A3" w:rsidP="003B06E6">
            <w:pPr>
              <w:jc w:val="cente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SFL</w:t>
            </w:r>
          </w:p>
        </w:tc>
        <w:tc>
          <w:tcPr>
            <w:tcW w:w="1060" w:type="dxa"/>
            <w:tcBorders>
              <w:top w:val="single" w:sz="4" w:space="0" w:color="auto"/>
              <w:left w:val="nil"/>
              <w:bottom w:val="nil"/>
              <w:right w:val="single" w:sz="4" w:space="0" w:color="auto"/>
            </w:tcBorders>
            <w:shd w:val="clear" w:color="000000" w:fill="FFE699"/>
            <w:noWrap/>
            <w:hideMark/>
          </w:tcPr>
          <w:p w14:paraId="02AB7C48" w14:textId="2B67FB70" w:rsidR="005751A3" w:rsidRPr="00D82287" w:rsidRDefault="005751A3" w:rsidP="003B06E6">
            <w:pPr>
              <w:jc w:val="cente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Op2b</w:t>
            </w:r>
          </w:p>
        </w:tc>
        <w:tc>
          <w:tcPr>
            <w:tcW w:w="1068" w:type="dxa"/>
            <w:tcBorders>
              <w:top w:val="single" w:sz="4" w:space="0" w:color="auto"/>
              <w:left w:val="nil"/>
              <w:bottom w:val="single" w:sz="4" w:space="0" w:color="auto"/>
              <w:right w:val="nil"/>
            </w:tcBorders>
            <w:shd w:val="clear" w:color="000000" w:fill="BFBFBF"/>
            <w:noWrap/>
            <w:vAlign w:val="center"/>
            <w:hideMark/>
          </w:tcPr>
          <w:p w14:paraId="07CB7E19" w14:textId="77777777" w:rsidR="005751A3" w:rsidRPr="00D82287" w:rsidRDefault="005751A3" w:rsidP="003B06E6">
            <w:pPr>
              <w:jc w:val="center"/>
              <w:rPr>
                <w:rFonts w:ascii="Calibri" w:eastAsia="Times New Roman" w:hAnsi="Calibri" w:cs="Calibri"/>
                <w:b/>
                <w:bCs/>
                <w:color w:val="000000"/>
                <w:kern w:val="0"/>
                <w:sz w:val="21"/>
                <w:szCs w:val="21"/>
                <w:lang w:eastAsia="en-GB"/>
                <w14:ligatures w14:val="none"/>
              </w:rPr>
            </w:pPr>
            <w:r w:rsidRPr="00D82287">
              <w:rPr>
                <w:rFonts w:ascii="Calibri" w:eastAsia="Times New Roman" w:hAnsi="Calibri" w:cs="Calibri"/>
                <w:b/>
                <w:bCs/>
                <w:color w:val="000000"/>
                <w:kern w:val="0"/>
                <w:sz w:val="21"/>
                <w:szCs w:val="21"/>
                <w:lang w:eastAsia="en-GB"/>
                <w14:ligatures w14:val="none"/>
              </w:rPr>
              <w:t>max value</w:t>
            </w:r>
          </w:p>
        </w:tc>
      </w:tr>
      <w:tr w:rsidR="003B06E6" w:rsidRPr="00D67367" w14:paraId="5F00C96F" w14:textId="77777777" w:rsidTr="005751A3">
        <w:trPr>
          <w:trHeight w:val="300"/>
        </w:trPr>
        <w:tc>
          <w:tcPr>
            <w:tcW w:w="2620" w:type="dxa"/>
            <w:tcBorders>
              <w:top w:val="nil"/>
              <w:left w:val="single" w:sz="4" w:space="0" w:color="auto"/>
              <w:bottom w:val="single" w:sz="4" w:space="0" w:color="auto"/>
              <w:right w:val="nil"/>
            </w:tcBorders>
            <w:shd w:val="clear" w:color="000000" w:fill="C6E0B4"/>
            <w:noWrap/>
            <w:hideMark/>
          </w:tcPr>
          <w:p w14:paraId="4034CE38"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Number of actors </w:t>
            </w:r>
          </w:p>
        </w:tc>
        <w:tc>
          <w:tcPr>
            <w:tcW w:w="1060" w:type="dxa"/>
            <w:tcBorders>
              <w:top w:val="single" w:sz="4" w:space="0" w:color="auto"/>
              <w:left w:val="single" w:sz="4" w:space="0" w:color="auto"/>
              <w:bottom w:val="single" w:sz="4" w:space="0" w:color="auto"/>
              <w:right w:val="single" w:sz="4" w:space="0" w:color="auto"/>
            </w:tcBorders>
            <w:shd w:val="clear" w:color="000000" w:fill="B4C6E7"/>
            <w:noWrap/>
            <w:hideMark/>
          </w:tcPr>
          <w:p w14:paraId="44D8005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30</w:t>
            </w:r>
          </w:p>
        </w:tc>
        <w:tc>
          <w:tcPr>
            <w:tcW w:w="1060" w:type="dxa"/>
            <w:tcBorders>
              <w:top w:val="single" w:sz="4" w:space="0" w:color="auto"/>
              <w:left w:val="nil"/>
              <w:bottom w:val="single" w:sz="4" w:space="0" w:color="auto"/>
              <w:right w:val="single" w:sz="4" w:space="0" w:color="auto"/>
            </w:tcBorders>
            <w:shd w:val="clear" w:color="000000" w:fill="B4C6E7"/>
            <w:noWrap/>
            <w:hideMark/>
          </w:tcPr>
          <w:p w14:paraId="2D92D2F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545</w:t>
            </w:r>
          </w:p>
        </w:tc>
        <w:tc>
          <w:tcPr>
            <w:tcW w:w="1060" w:type="dxa"/>
            <w:tcBorders>
              <w:top w:val="single" w:sz="4" w:space="0" w:color="auto"/>
              <w:left w:val="nil"/>
              <w:bottom w:val="single" w:sz="4" w:space="0" w:color="auto"/>
              <w:right w:val="single" w:sz="4" w:space="0" w:color="auto"/>
            </w:tcBorders>
            <w:shd w:val="clear" w:color="000000" w:fill="FFE699"/>
            <w:noWrap/>
            <w:hideMark/>
          </w:tcPr>
          <w:p w14:paraId="74B520A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28</w:t>
            </w:r>
          </w:p>
        </w:tc>
        <w:tc>
          <w:tcPr>
            <w:tcW w:w="1060" w:type="dxa"/>
            <w:tcBorders>
              <w:top w:val="single" w:sz="4" w:space="0" w:color="auto"/>
              <w:left w:val="nil"/>
              <w:bottom w:val="single" w:sz="4" w:space="0" w:color="auto"/>
              <w:right w:val="single" w:sz="4" w:space="0" w:color="auto"/>
            </w:tcBorders>
            <w:shd w:val="clear" w:color="000000" w:fill="FFE699"/>
            <w:noWrap/>
            <w:hideMark/>
          </w:tcPr>
          <w:p w14:paraId="63B1AFD4"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17</w:t>
            </w:r>
          </w:p>
        </w:tc>
        <w:tc>
          <w:tcPr>
            <w:tcW w:w="1060" w:type="dxa"/>
            <w:tcBorders>
              <w:top w:val="single" w:sz="4" w:space="0" w:color="auto"/>
              <w:left w:val="nil"/>
              <w:bottom w:val="single" w:sz="4" w:space="0" w:color="auto"/>
              <w:right w:val="single" w:sz="4" w:space="0" w:color="auto"/>
            </w:tcBorders>
            <w:shd w:val="clear" w:color="000000" w:fill="FFE699"/>
            <w:noWrap/>
            <w:hideMark/>
          </w:tcPr>
          <w:p w14:paraId="32B35512"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21</w:t>
            </w:r>
          </w:p>
        </w:tc>
        <w:tc>
          <w:tcPr>
            <w:tcW w:w="1068" w:type="dxa"/>
            <w:tcBorders>
              <w:top w:val="nil"/>
              <w:left w:val="nil"/>
              <w:bottom w:val="single" w:sz="4" w:space="0" w:color="auto"/>
              <w:right w:val="nil"/>
            </w:tcBorders>
            <w:shd w:val="clear" w:color="000000" w:fill="BFBFBF"/>
            <w:noWrap/>
            <w:vAlign w:val="center"/>
            <w:hideMark/>
          </w:tcPr>
          <w:p w14:paraId="24D3737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545</w:t>
            </w:r>
          </w:p>
        </w:tc>
      </w:tr>
      <w:tr w:rsidR="003B06E6" w:rsidRPr="00D67367" w14:paraId="5FC3078C" w14:textId="77777777" w:rsidTr="005751A3">
        <w:trPr>
          <w:trHeight w:val="300"/>
        </w:trPr>
        <w:tc>
          <w:tcPr>
            <w:tcW w:w="2620" w:type="dxa"/>
            <w:tcBorders>
              <w:top w:val="nil"/>
              <w:left w:val="single" w:sz="4" w:space="0" w:color="auto"/>
              <w:bottom w:val="single" w:sz="4" w:space="0" w:color="auto"/>
              <w:right w:val="nil"/>
            </w:tcBorders>
            <w:shd w:val="clear" w:color="000000" w:fill="C6E0B4"/>
            <w:noWrap/>
            <w:hideMark/>
          </w:tcPr>
          <w:p w14:paraId="3C3C8C2E"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 xml:space="preserve">Diversity of actors  </w:t>
            </w:r>
          </w:p>
        </w:tc>
        <w:tc>
          <w:tcPr>
            <w:tcW w:w="1060" w:type="dxa"/>
            <w:tcBorders>
              <w:top w:val="nil"/>
              <w:left w:val="single" w:sz="4" w:space="0" w:color="auto"/>
              <w:bottom w:val="single" w:sz="4" w:space="0" w:color="auto"/>
              <w:right w:val="single" w:sz="4" w:space="0" w:color="auto"/>
            </w:tcBorders>
            <w:shd w:val="clear" w:color="000000" w:fill="B4C6E7"/>
            <w:noWrap/>
            <w:hideMark/>
          </w:tcPr>
          <w:p w14:paraId="79DA86E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B4C6E7"/>
            <w:noWrap/>
            <w:hideMark/>
          </w:tcPr>
          <w:p w14:paraId="4F76C6C7"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hideMark/>
          </w:tcPr>
          <w:p w14:paraId="1AB49F3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1E4D533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3</w:t>
            </w:r>
          </w:p>
        </w:tc>
        <w:tc>
          <w:tcPr>
            <w:tcW w:w="1060" w:type="dxa"/>
            <w:tcBorders>
              <w:top w:val="nil"/>
              <w:left w:val="nil"/>
              <w:bottom w:val="single" w:sz="4" w:space="0" w:color="auto"/>
              <w:right w:val="single" w:sz="4" w:space="0" w:color="auto"/>
            </w:tcBorders>
            <w:shd w:val="clear" w:color="000000" w:fill="FFE699"/>
            <w:noWrap/>
            <w:hideMark/>
          </w:tcPr>
          <w:p w14:paraId="177ECC2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8" w:type="dxa"/>
            <w:tcBorders>
              <w:top w:val="nil"/>
              <w:left w:val="nil"/>
              <w:bottom w:val="single" w:sz="4" w:space="0" w:color="auto"/>
              <w:right w:val="nil"/>
            </w:tcBorders>
            <w:shd w:val="clear" w:color="000000" w:fill="BFBFBF"/>
            <w:noWrap/>
            <w:vAlign w:val="center"/>
            <w:hideMark/>
          </w:tcPr>
          <w:p w14:paraId="766A1C0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12</w:t>
            </w:r>
          </w:p>
        </w:tc>
      </w:tr>
      <w:tr w:rsidR="003B06E6" w:rsidRPr="00D67367" w14:paraId="5715CB79" w14:textId="77777777" w:rsidTr="005751A3">
        <w:trPr>
          <w:trHeight w:val="300"/>
        </w:trPr>
        <w:tc>
          <w:tcPr>
            <w:tcW w:w="2620" w:type="dxa"/>
            <w:tcBorders>
              <w:top w:val="nil"/>
              <w:left w:val="single" w:sz="4" w:space="0" w:color="auto"/>
              <w:bottom w:val="single" w:sz="4" w:space="0" w:color="auto"/>
              <w:right w:val="nil"/>
            </w:tcBorders>
            <w:shd w:val="clear" w:color="000000" w:fill="C6E0B4"/>
            <w:noWrap/>
            <w:hideMark/>
          </w:tcPr>
          <w:p w14:paraId="58056431"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Disclose assets</w:t>
            </w:r>
          </w:p>
        </w:tc>
        <w:tc>
          <w:tcPr>
            <w:tcW w:w="1060" w:type="dxa"/>
            <w:tcBorders>
              <w:top w:val="nil"/>
              <w:left w:val="single" w:sz="4" w:space="0" w:color="auto"/>
              <w:bottom w:val="single" w:sz="4" w:space="0" w:color="auto"/>
              <w:right w:val="single" w:sz="4" w:space="0" w:color="auto"/>
            </w:tcBorders>
            <w:shd w:val="clear" w:color="000000" w:fill="B4C6E7"/>
            <w:noWrap/>
            <w:hideMark/>
          </w:tcPr>
          <w:p w14:paraId="61E19FF0"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hideMark/>
          </w:tcPr>
          <w:p w14:paraId="27C1A8D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4B77BE4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4BCAEEF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433EB01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8" w:type="dxa"/>
            <w:tcBorders>
              <w:top w:val="nil"/>
              <w:left w:val="nil"/>
              <w:bottom w:val="single" w:sz="4" w:space="0" w:color="auto"/>
              <w:right w:val="nil"/>
            </w:tcBorders>
            <w:shd w:val="clear" w:color="000000" w:fill="BFBFBF"/>
            <w:noWrap/>
            <w:vAlign w:val="center"/>
            <w:hideMark/>
          </w:tcPr>
          <w:p w14:paraId="56F6D9F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3A8E61AD"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7A2BD7DD"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 xml:space="preserve">Scale (geographical)  </w:t>
            </w:r>
          </w:p>
        </w:tc>
        <w:tc>
          <w:tcPr>
            <w:tcW w:w="1060" w:type="dxa"/>
            <w:tcBorders>
              <w:top w:val="nil"/>
              <w:left w:val="nil"/>
              <w:bottom w:val="single" w:sz="4" w:space="0" w:color="auto"/>
              <w:right w:val="single" w:sz="4" w:space="0" w:color="auto"/>
            </w:tcBorders>
            <w:shd w:val="clear" w:color="000000" w:fill="B4C6E7"/>
            <w:noWrap/>
            <w:hideMark/>
          </w:tcPr>
          <w:p w14:paraId="7F05439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hideMark/>
          </w:tcPr>
          <w:p w14:paraId="07FF50A0"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68C4D05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hideMark/>
          </w:tcPr>
          <w:p w14:paraId="61792E4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hideMark/>
          </w:tcPr>
          <w:p w14:paraId="00F1857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8" w:type="dxa"/>
            <w:tcBorders>
              <w:top w:val="nil"/>
              <w:left w:val="nil"/>
              <w:bottom w:val="single" w:sz="4" w:space="0" w:color="auto"/>
              <w:right w:val="nil"/>
            </w:tcBorders>
            <w:shd w:val="clear" w:color="000000" w:fill="BFBFBF"/>
            <w:noWrap/>
            <w:vAlign w:val="center"/>
            <w:hideMark/>
          </w:tcPr>
          <w:p w14:paraId="4C99924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r>
      <w:tr w:rsidR="003B06E6" w:rsidRPr="00D67367" w14:paraId="300C8882"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vAlign w:val="bottom"/>
            <w:hideMark/>
          </w:tcPr>
          <w:p w14:paraId="0345F6A7"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Regulation type</w:t>
            </w:r>
          </w:p>
        </w:tc>
        <w:tc>
          <w:tcPr>
            <w:tcW w:w="1060" w:type="dxa"/>
            <w:tcBorders>
              <w:top w:val="nil"/>
              <w:left w:val="nil"/>
              <w:bottom w:val="single" w:sz="4" w:space="0" w:color="auto"/>
              <w:right w:val="single" w:sz="4" w:space="0" w:color="auto"/>
            </w:tcBorders>
            <w:shd w:val="clear" w:color="000000" w:fill="B4C6E7"/>
            <w:noWrap/>
            <w:vAlign w:val="bottom"/>
            <w:hideMark/>
          </w:tcPr>
          <w:p w14:paraId="2E141F1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5</w:t>
            </w:r>
          </w:p>
        </w:tc>
        <w:tc>
          <w:tcPr>
            <w:tcW w:w="1060" w:type="dxa"/>
            <w:tcBorders>
              <w:top w:val="nil"/>
              <w:left w:val="nil"/>
              <w:bottom w:val="single" w:sz="4" w:space="0" w:color="auto"/>
              <w:right w:val="single" w:sz="4" w:space="0" w:color="auto"/>
            </w:tcBorders>
            <w:shd w:val="clear" w:color="000000" w:fill="B4C6E7"/>
            <w:noWrap/>
            <w:vAlign w:val="bottom"/>
            <w:hideMark/>
          </w:tcPr>
          <w:p w14:paraId="54FA6916"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5</w:t>
            </w:r>
          </w:p>
        </w:tc>
        <w:tc>
          <w:tcPr>
            <w:tcW w:w="1060" w:type="dxa"/>
            <w:tcBorders>
              <w:top w:val="nil"/>
              <w:left w:val="nil"/>
              <w:bottom w:val="single" w:sz="4" w:space="0" w:color="auto"/>
              <w:right w:val="single" w:sz="4" w:space="0" w:color="auto"/>
            </w:tcBorders>
            <w:shd w:val="clear" w:color="000000" w:fill="FFE699"/>
            <w:noWrap/>
            <w:vAlign w:val="bottom"/>
            <w:hideMark/>
          </w:tcPr>
          <w:p w14:paraId="259E61C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FFE699"/>
            <w:noWrap/>
            <w:vAlign w:val="bottom"/>
            <w:hideMark/>
          </w:tcPr>
          <w:p w14:paraId="4819377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vAlign w:val="bottom"/>
            <w:hideMark/>
          </w:tcPr>
          <w:p w14:paraId="0A7221A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5</w:t>
            </w:r>
          </w:p>
        </w:tc>
        <w:tc>
          <w:tcPr>
            <w:tcW w:w="1068" w:type="dxa"/>
            <w:tcBorders>
              <w:top w:val="nil"/>
              <w:left w:val="nil"/>
              <w:bottom w:val="single" w:sz="4" w:space="0" w:color="auto"/>
              <w:right w:val="nil"/>
            </w:tcBorders>
            <w:shd w:val="clear" w:color="000000" w:fill="BFBFBF"/>
            <w:noWrap/>
            <w:vAlign w:val="center"/>
            <w:hideMark/>
          </w:tcPr>
          <w:p w14:paraId="5781F7C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6</w:t>
            </w:r>
          </w:p>
        </w:tc>
      </w:tr>
      <w:tr w:rsidR="003B06E6" w:rsidRPr="00D67367" w14:paraId="0EE64AEE"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6BDDA191"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 xml:space="preserve">Progress reporting  </w:t>
            </w:r>
          </w:p>
        </w:tc>
        <w:tc>
          <w:tcPr>
            <w:tcW w:w="1060" w:type="dxa"/>
            <w:tcBorders>
              <w:top w:val="nil"/>
              <w:left w:val="nil"/>
              <w:bottom w:val="single" w:sz="4" w:space="0" w:color="auto"/>
              <w:right w:val="single" w:sz="4" w:space="0" w:color="auto"/>
            </w:tcBorders>
            <w:shd w:val="clear" w:color="000000" w:fill="B4C6E7"/>
            <w:noWrap/>
            <w:hideMark/>
          </w:tcPr>
          <w:p w14:paraId="308C1650"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hideMark/>
          </w:tcPr>
          <w:p w14:paraId="0940BE6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13D61A64"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17BF2A0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1BBCDF4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37CEAD97"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1636FAEB"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vAlign w:val="bottom"/>
            <w:hideMark/>
          </w:tcPr>
          <w:p w14:paraId="33D55478"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Sanctioning mechanisms</w:t>
            </w:r>
          </w:p>
        </w:tc>
        <w:tc>
          <w:tcPr>
            <w:tcW w:w="1060" w:type="dxa"/>
            <w:tcBorders>
              <w:top w:val="nil"/>
              <w:left w:val="nil"/>
              <w:bottom w:val="single" w:sz="4" w:space="0" w:color="auto"/>
              <w:right w:val="single" w:sz="4" w:space="0" w:color="auto"/>
            </w:tcBorders>
            <w:shd w:val="clear" w:color="000000" w:fill="B4C6E7"/>
            <w:noWrap/>
            <w:vAlign w:val="bottom"/>
            <w:hideMark/>
          </w:tcPr>
          <w:p w14:paraId="1A16486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B4C6E7"/>
            <w:noWrap/>
            <w:vAlign w:val="bottom"/>
            <w:hideMark/>
          </w:tcPr>
          <w:p w14:paraId="63E5465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vAlign w:val="bottom"/>
            <w:hideMark/>
          </w:tcPr>
          <w:p w14:paraId="6DC8D2D8"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4C4D94B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575002A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8" w:type="dxa"/>
            <w:tcBorders>
              <w:top w:val="nil"/>
              <w:left w:val="nil"/>
              <w:bottom w:val="single" w:sz="4" w:space="0" w:color="auto"/>
              <w:right w:val="nil"/>
            </w:tcBorders>
            <w:shd w:val="clear" w:color="000000" w:fill="BFBFBF"/>
            <w:noWrap/>
            <w:vAlign w:val="center"/>
            <w:hideMark/>
          </w:tcPr>
          <w:p w14:paraId="3381D0E0"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3</w:t>
            </w:r>
          </w:p>
        </w:tc>
      </w:tr>
      <w:tr w:rsidR="003B06E6" w:rsidRPr="00D67367" w14:paraId="684092D2"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vAlign w:val="bottom"/>
            <w:hideMark/>
          </w:tcPr>
          <w:p w14:paraId="5644BF2B"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Membership standards</w:t>
            </w:r>
          </w:p>
        </w:tc>
        <w:tc>
          <w:tcPr>
            <w:tcW w:w="1060" w:type="dxa"/>
            <w:tcBorders>
              <w:top w:val="nil"/>
              <w:left w:val="nil"/>
              <w:bottom w:val="single" w:sz="4" w:space="0" w:color="auto"/>
              <w:right w:val="single" w:sz="4" w:space="0" w:color="auto"/>
            </w:tcBorders>
            <w:shd w:val="clear" w:color="000000" w:fill="B4C6E7"/>
            <w:noWrap/>
            <w:vAlign w:val="bottom"/>
            <w:hideMark/>
          </w:tcPr>
          <w:p w14:paraId="2666BE7F"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vAlign w:val="bottom"/>
            <w:hideMark/>
          </w:tcPr>
          <w:p w14:paraId="4EA6DAD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vAlign w:val="bottom"/>
            <w:hideMark/>
          </w:tcPr>
          <w:p w14:paraId="72272A1F"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6387DF4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6E8E3FFF"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623A0E3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4D891D2B"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104D74A2"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Theory of change  </w:t>
            </w:r>
          </w:p>
        </w:tc>
        <w:tc>
          <w:tcPr>
            <w:tcW w:w="1060" w:type="dxa"/>
            <w:tcBorders>
              <w:top w:val="nil"/>
              <w:left w:val="nil"/>
              <w:bottom w:val="single" w:sz="4" w:space="0" w:color="auto"/>
              <w:right w:val="single" w:sz="4" w:space="0" w:color="auto"/>
            </w:tcBorders>
            <w:shd w:val="clear" w:color="000000" w:fill="B4C6E7"/>
            <w:noWrap/>
            <w:hideMark/>
          </w:tcPr>
          <w:p w14:paraId="06802560"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hideMark/>
          </w:tcPr>
          <w:p w14:paraId="7D268207"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4957428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hideMark/>
          </w:tcPr>
          <w:p w14:paraId="33A0E660"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3EB2D1D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6D28B3D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r>
      <w:tr w:rsidR="003B06E6" w:rsidRPr="00D67367" w14:paraId="041A2C7C"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vAlign w:val="bottom"/>
            <w:hideMark/>
          </w:tcPr>
          <w:p w14:paraId="2030EC70"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 xml:space="preserve">Type of solution </w:t>
            </w:r>
          </w:p>
        </w:tc>
        <w:tc>
          <w:tcPr>
            <w:tcW w:w="1060" w:type="dxa"/>
            <w:tcBorders>
              <w:top w:val="nil"/>
              <w:left w:val="nil"/>
              <w:bottom w:val="single" w:sz="4" w:space="0" w:color="auto"/>
              <w:right w:val="single" w:sz="4" w:space="0" w:color="auto"/>
            </w:tcBorders>
            <w:shd w:val="clear" w:color="000000" w:fill="B4C6E7"/>
            <w:noWrap/>
            <w:vAlign w:val="bottom"/>
            <w:hideMark/>
          </w:tcPr>
          <w:p w14:paraId="0FEB5B28"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vAlign w:val="bottom"/>
            <w:hideMark/>
          </w:tcPr>
          <w:p w14:paraId="5314D88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vAlign w:val="bottom"/>
            <w:hideMark/>
          </w:tcPr>
          <w:p w14:paraId="61C3D2C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307A731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649EF04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4075D932"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38E978D7"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vAlign w:val="bottom"/>
            <w:hideMark/>
          </w:tcPr>
          <w:p w14:paraId="7B2931F0"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Learning mechanisms</w:t>
            </w:r>
          </w:p>
        </w:tc>
        <w:tc>
          <w:tcPr>
            <w:tcW w:w="1060" w:type="dxa"/>
            <w:tcBorders>
              <w:top w:val="nil"/>
              <w:left w:val="nil"/>
              <w:bottom w:val="single" w:sz="4" w:space="0" w:color="auto"/>
              <w:right w:val="single" w:sz="4" w:space="0" w:color="auto"/>
            </w:tcBorders>
            <w:shd w:val="clear" w:color="000000" w:fill="B4C6E7"/>
            <w:noWrap/>
            <w:vAlign w:val="bottom"/>
            <w:hideMark/>
          </w:tcPr>
          <w:p w14:paraId="766DBA6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B4C6E7"/>
            <w:noWrap/>
            <w:vAlign w:val="bottom"/>
            <w:hideMark/>
          </w:tcPr>
          <w:p w14:paraId="6A95B33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vAlign w:val="bottom"/>
            <w:hideMark/>
          </w:tcPr>
          <w:p w14:paraId="0C089002"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FFE699"/>
            <w:noWrap/>
            <w:vAlign w:val="bottom"/>
            <w:hideMark/>
          </w:tcPr>
          <w:p w14:paraId="3F89667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FFE699"/>
            <w:noWrap/>
            <w:vAlign w:val="bottom"/>
            <w:hideMark/>
          </w:tcPr>
          <w:p w14:paraId="152C6628"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8" w:type="dxa"/>
            <w:tcBorders>
              <w:top w:val="nil"/>
              <w:left w:val="nil"/>
              <w:bottom w:val="single" w:sz="4" w:space="0" w:color="auto"/>
              <w:right w:val="nil"/>
            </w:tcBorders>
            <w:shd w:val="clear" w:color="000000" w:fill="BFBFBF"/>
            <w:noWrap/>
            <w:vAlign w:val="center"/>
            <w:hideMark/>
          </w:tcPr>
          <w:p w14:paraId="6357C33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r>
      <w:tr w:rsidR="003B06E6" w:rsidRPr="00D67367" w14:paraId="3A264AE5"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6FCD91BD"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Scaling strategy</w:t>
            </w:r>
          </w:p>
        </w:tc>
        <w:tc>
          <w:tcPr>
            <w:tcW w:w="1060" w:type="dxa"/>
            <w:tcBorders>
              <w:top w:val="nil"/>
              <w:left w:val="nil"/>
              <w:bottom w:val="single" w:sz="4" w:space="0" w:color="auto"/>
              <w:right w:val="single" w:sz="4" w:space="0" w:color="auto"/>
            </w:tcBorders>
            <w:shd w:val="clear" w:color="000000" w:fill="B4C6E7"/>
            <w:noWrap/>
            <w:hideMark/>
          </w:tcPr>
          <w:p w14:paraId="3C5D045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B4C6E7"/>
            <w:noWrap/>
            <w:hideMark/>
          </w:tcPr>
          <w:p w14:paraId="577D0B4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73264BB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3</w:t>
            </w:r>
          </w:p>
        </w:tc>
        <w:tc>
          <w:tcPr>
            <w:tcW w:w="1060" w:type="dxa"/>
            <w:tcBorders>
              <w:top w:val="nil"/>
              <w:left w:val="nil"/>
              <w:bottom w:val="single" w:sz="4" w:space="0" w:color="auto"/>
              <w:right w:val="single" w:sz="4" w:space="0" w:color="auto"/>
            </w:tcBorders>
            <w:shd w:val="clear" w:color="000000" w:fill="FFE699"/>
            <w:noWrap/>
            <w:hideMark/>
          </w:tcPr>
          <w:p w14:paraId="1F3318F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0651E78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8" w:type="dxa"/>
            <w:tcBorders>
              <w:top w:val="nil"/>
              <w:left w:val="nil"/>
              <w:bottom w:val="single" w:sz="4" w:space="0" w:color="auto"/>
              <w:right w:val="nil"/>
            </w:tcBorders>
            <w:shd w:val="clear" w:color="000000" w:fill="BFBFBF"/>
            <w:noWrap/>
            <w:vAlign w:val="center"/>
            <w:hideMark/>
          </w:tcPr>
          <w:p w14:paraId="0F2C863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3</w:t>
            </w:r>
          </w:p>
        </w:tc>
      </w:tr>
      <w:tr w:rsidR="003B06E6" w:rsidRPr="00D67367" w14:paraId="17347650"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6A13F547"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Government partners</w:t>
            </w:r>
          </w:p>
        </w:tc>
        <w:tc>
          <w:tcPr>
            <w:tcW w:w="1060" w:type="dxa"/>
            <w:tcBorders>
              <w:top w:val="nil"/>
              <w:left w:val="nil"/>
              <w:bottom w:val="single" w:sz="4" w:space="0" w:color="auto"/>
              <w:right w:val="single" w:sz="4" w:space="0" w:color="auto"/>
            </w:tcBorders>
            <w:shd w:val="clear" w:color="000000" w:fill="B4C6E7"/>
            <w:noWrap/>
            <w:hideMark/>
          </w:tcPr>
          <w:p w14:paraId="1AB58694"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3</w:t>
            </w:r>
          </w:p>
        </w:tc>
        <w:tc>
          <w:tcPr>
            <w:tcW w:w="1060" w:type="dxa"/>
            <w:tcBorders>
              <w:top w:val="nil"/>
              <w:left w:val="nil"/>
              <w:bottom w:val="single" w:sz="4" w:space="0" w:color="auto"/>
              <w:right w:val="single" w:sz="4" w:space="0" w:color="auto"/>
            </w:tcBorders>
            <w:shd w:val="clear" w:color="000000" w:fill="B4C6E7"/>
            <w:noWrap/>
            <w:hideMark/>
          </w:tcPr>
          <w:p w14:paraId="40F890D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1AD86C7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7BC67A4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FFE699"/>
            <w:noWrap/>
            <w:hideMark/>
          </w:tcPr>
          <w:p w14:paraId="084D0C1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0ED4DD24"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r>
      <w:tr w:rsidR="003B06E6" w:rsidRPr="00D67367" w14:paraId="312E94BB"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52AB926F"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Civil society</w:t>
            </w:r>
          </w:p>
        </w:tc>
        <w:tc>
          <w:tcPr>
            <w:tcW w:w="1060" w:type="dxa"/>
            <w:tcBorders>
              <w:top w:val="nil"/>
              <w:left w:val="nil"/>
              <w:bottom w:val="single" w:sz="4" w:space="0" w:color="auto"/>
              <w:right w:val="single" w:sz="4" w:space="0" w:color="auto"/>
            </w:tcBorders>
            <w:shd w:val="clear" w:color="000000" w:fill="B4C6E7"/>
            <w:noWrap/>
            <w:hideMark/>
          </w:tcPr>
          <w:p w14:paraId="1B1D8F1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B4C6E7"/>
            <w:noWrap/>
            <w:hideMark/>
          </w:tcPr>
          <w:p w14:paraId="5806DB8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1A211ED8"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03A8F28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036DD9E7"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284D1BC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3C6557B9"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vAlign w:val="bottom"/>
            <w:hideMark/>
          </w:tcPr>
          <w:p w14:paraId="630C86B3"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Sustainability</w:t>
            </w:r>
          </w:p>
        </w:tc>
        <w:tc>
          <w:tcPr>
            <w:tcW w:w="1060" w:type="dxa"/>
            <w:tcBorders>
              <w:top w:val="nil"/>
              <w:left w:val="nil"/>
              <w:bottom w:val="single" w:sz="4" w:space="0" w:color="auto"/>
              <w:right w:val="single" w:sz="4" w:space="0" w:color="auto"/>
            </w:tcBorders>
            <w:shd w:val="clear" w:color="000000" w:fill="B4C6E7"/>
            <w:noWrap/>
            <w:vAlign w:val="bottom"/>
            <w:hideMark/>
          </w:tcPr>
          <w:p w14:paraId="729866C7"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B4C6E7"/>
            <w:noWrap/>
            <w:vAlign w:val="bottom"/>
            <w:hideMark/>
          </w:tcPr>
          <w:p w14:paraId="5BABD3C2"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vAlign w:val="bottom"/>
            <w:hideMark/>
          </w:tcPr>
          <w:p w14:paraId="69E78FD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7387220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vAlign w:val="bottom"/>
            <w:hideMark/>
          </w:tcPr>
          <w:p w14:paraId="2231FD8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8" w:type="dxa"/>
            <w:tcBorders>
              <w:top w:val="nil"/>
              <w:left w:val="nil"/>
              <w:bottom w:val="single" w:sz="4" w:space="0" w:color="auto"/>
              <w:right w:val="nil"/>
            </w:tcBorders>
            <w:shd w:val="clear" w:color="000000" w:fill="BFBFBF"/>
            <w:noWrap/>
            <w:vAlign w:val="center"/>
            <w:hideMark/>
          </w:tcPr>
          <w:p w14:paraId="72D6FAE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0D411103"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16E33731"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Biophysical limits</w:t>
            </w:r>
          </w:p>
        </w:tc>
        <w:tc>
          <w:tcPr>
            <w:tcW w:w="1060" w:type="dxa"/>
            <w:tcBorders>
              <w:top w:val="nil"/>
              <w:left w:val="nil"/>
              <w:bottom w:val="single" w:sz="4" w:space="0" w:color="auto"/>
              <w:right w:val="single" w:sz="4" w:space="0" w:color="auto"/>
            </w:tcBorders>
            <w:shd w:val="clear" w:color="000000" w:fill="B4C6E7"/>
            <w:noWrap/>
            <w:hideMark/>
          </w:tcPr>
          <w:p w14:paraId="25C9044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hideMark/>
          </w:tcPr>
          <w:p w14:paraId="2BB506F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5AD8BA92"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477A5D8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3C6248B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8" w:type="dxa"/>
            <w:tcBorders>
              <w:top w:val="nil"/>
              <w:left w:val="nil"/>
              <w:bottom w:val="single" w:sz="4" w:space="0" w:color="auto"/>
              <w:right w:val="nil"/>
            </w:tcBorders>
            <w:shd w:val="clear" w:color="000000" w:fill="BFBFBF"/>
            <w:noWrap/>
            <w:vAlign w:val="center"/>
            <w:hideMark/>
          </w:tcPr>
          <w:p w14:paraId="218BDA4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65A4974D"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14365D4F"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Role of Economic growth </w:t>
            </w:r>
          </w:p>
        </w:tc>
        <w:tc>
          <w:tcPr>
            <w:tcW w:w="1060" w:type="dxa"/>
            <w:tcBorders>
              <w:top w:val="nil"/>
              <w:left w:val="nil"/>
              <w:bottom w:val="single" w:sz="4" w:space="0" w:color="auto"/>
              <w:right w:val="single" w:sz="4" w:space="0" w:color="auto"/>
            </w:tcBorders>
            <w:shd w:val="clear" w:color="000000" w:fill="B4C6E7"/>
            <w:noWrap/>
            <w:hideMark/>
          </w:tcPr>
          <w:p w14:paraId="04A6628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B4C6E7"/>
            <w:noWrap/>
            <w:hideMark/>
          </w:tcPr>
          <w:p w14:paraId="7E1EFC8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05C9DFC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2C9B3D0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FFE699"/>
            <w:noWrap/>
            <w:hideMark/>
          </w:tcPr>
          <w:p w14:paraId="5A81C814"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8" w:type="dxa"/>
            <w:tcBorders>
              <w:top w:val="nil"/>
              <w:left w:val="nil"/>
              <w:bottom w:val="single" w:sz="4" w:space="0" w:color="auto"/>
              <w:right w:val="nil"/>
            </w:tcBorders>
            <w:shd w:val="clear" w:color="000000" w:fill="BFBFBF"/>
            <w:noWrap/>
            <w:vAlign w:val="center"/>
            <w:hideMark/>
          </w:tcPr>
          <w:p w14:paraId="3FE5957C"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r>
      <w:tr w:rsidR="003B06E6" w:rsidRPr="00D67367" w14:paraId="22C8A82C" w14:textId="77777777" w:rsidTr="005751A3">
        <w:trPr>
          <w:trHeight w:val="300"/>
        </w:trPr>
        <w:tc>
          <w:tcPr>
            <w:tcW w:w="2620" w:type="dxa"/>
            <w:tcBorders>
              <w:top w:val="nil"/>
              <w:left w:val="single" w:sz="4" w:space="0" w:color="auto"/>
              <w:bottom w:val="single" w:sz="4" w:space="0" w:color="auto"/>
              <w:right w:val="single" w:sz="4" w:space="0" w:color="auto"/>
            </w:tcBorders>
            <w:shd w:val="clear" w:color="000000" w:fill="C6E0B4"/>
            <w:noWrap/>
            <w:hideMark/>
          </w:tcPr>
          <w:p w14:paraId="764D5C55"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 xml:space="preserve">Direction </w:t>
            </w:r>
          </w:p>
        </w:tc>
        <w:tc>
          <w:tcPr>
            <w:tcW w:w="1060" w:type="dxa"/>
            <w:tcBorders>
              <w:top w:val="nil"/>
              <w:left w:val="nil"/>
              <w:bottom w:val="single" w:sz="4" w:space="0" w:color="auto"/>
              <w:right w:val="single" w:sz="4" w:space="0" w:color="auto"/>
            </w:tcBorders>
            <w:shd w:val="clear" w:color="000000" w:fill="B4C6E7"/>
            <w:noWrap/>
            <w:hideMark/>
          </w:tcPr>
          <w:p w14:paraId="10DC1048"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B4C6E7"/>
            <w:noWrap/>
            <w:hideMark/>
          </w:tcPr>
          <w:p w14:paraId="6569671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17A5658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hideMark/>
          </w:tcPr>
          <w:p w14:paraId="3F35BDE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0" w:type="dxa"/>
            <w:tcBorders>
              <w:top w:val="nil"/>
              <w:left w:val="nil"/>
              <w:bottom w:val="single" w:sz="4" w:space="0" w:color="auto"/>
              <w:right w:val="single" w:sz="4" w:space="0" w:color="auto"/>
            </w:tcBorders>
            <w:shd w:val="clear" w:color="000000" w:fill="FFE699"/>
            <w:noWrap/>
            <w:hideMark/>
          </w:tcPr>
          <w:p w14:paraId="0BC2D4B5"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c>
          <w:tcPr>
            <w:tcW w:w="1068" w:type="dxa"/>
            <w:tcBorders>
              <w:top w:val="nil"/>
              <w:left w:val="nil"/>
              <w:bottom w:val="single" w:sz="4" w:space="0" w:color="auto"/>
              <w:right w:val="nil"/>
            </w:tcBorders>
            <w:shd w:val="clear" w:color="000000" w:fill="BFBFBF"/>
            <w:noWrap/>
            <w:vAlign w:val="center"/>
            <w:hideMark/>
          </w:tcPr>
          <w:p w14:paraId="4C66E76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2</w:t>
            </w:r>
          </w:p>
        </w:tc>
      </w:tr>
      <w:tr w:rsidR="003B06E6" w:rsidRPr="00D67367" w14:paraId="0AA46511" w14:textId="77777777" w:rsidTr="005751A3">
        <w:trPr>
          <w:trHeight w:val="300"/>
        </w:trPr>
        <w:tc>
          <w:tcPr>
            <w:tcW w:w="2620" w:type="dxa"/>
            <w:tcBorders>
              <w:top w:val="nil"/>
              <w:left w:val="single" w:sz="4" w:space="0" w:color="auto"/>
              <w:bottom w:val="nil"/>
              <w:right w:val="single" w:sz="4" w:space="0" w:color="auto"/>
            </w:tcBorders>
            <w:shd w:val="clear" w:color="000000" w:fill="C6E0B4"/>
            <w:noWrap/>
            <w:hideMark/>
          </w:tcPr>
          <w:p w14:paraId="06E87196"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Complexity</w:t>
            </w:r>
          </w:p>
        </w:tc>
        <w:tc>
          <w:tcPr>
            <w:tcW w:w="1060" w:type="dxa"/>
            <w:tcBorders>
              <w:top w:val="nil"/>
              <w:left w:val="nil"/>
              <w:bottom w:val="single" w:sz="4" w:space="0" w:color="auto"/>
              <w:right w:val="single" w:sz="4" w:space="0" w:color="auto"/>
            </w:tcBorders>
            <w:shd w:val="clear" w:color="000000" w:fill="B4C6E7"/>
            <w:noWrap/>
            <w:hideMark/>
          </w:tcPr>
          <w:p w14:paraId="1E5A338D"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0" w:type="dxa"/>
            <w:tcBorders>
              <w:top w:val="nil"/>
              <w:left w:val="nil"/>
              <w:bottom w:val="single" w:sz="4" w:space="0" w:color="auto"/>
              <w:right w:val="single" w:sz="4" w:space="0" w:color="auto"/>
            </w:tcBorders>
            <w:shd w:val="clear" w:color="000000" w:fill="B4C6E7"/>
            <w:noWrap/>
            <w:hideMark/>
          </w:tcPr>
          <w:p w14:paraId="05787A93"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7A02FE6A"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5FE71E5E"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4084F1B6"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0</w:t>
            </w:r>
          </w:p>
        </w:tc>
        <w:tc>
          <w:tcPr>
            <w:tcW w:w="1068" w:type="dxa"/>
            <w:tcBorders>
              <w:top w:val="nil"/>
              <w:left w:val="nil"/>
              <w:bottom w:val="single" w:sz="4" w:space="0" w:color="auto"/>
              <w:right w:val="nil"/>
            </w:tcBorders>
            <w:shd w:val="clear" w:color="000000" w:fill="BFBFBF"/>
            <w:noWrap/>
            <w:vAlign w:val="center"/>
            <w:hideMark/>
          </w:tcPr>
          <w:p w14:paraId="4739ACB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r>
      <w:tr w:rsidR="003B06E6" w:rsidRPr="00D67367" w14:paraId="7EF92B14" w14:textId="77777777" w:rsidTr="005751A3">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FC5FC90" w14:textId="77777777" w:rsidR="005751A3" w:rsidRPr="00D82287" w:rsidRDefault="005751A3" w:rsidP="005751A3">
            <w:pP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Equity</w:t>
            </w:r>
          </w:p>
        </w:tc>
        <w:tc>
          <w:tcPr>
            <w:tcW w:w="1060" w:type="dxa"/>
            <w:tcBorders>
              <w:top w:val="nil"/>
              <w:left w:val="nil"/>
              <w:bottom w:val="single" w:sz="4" w:space="0" w:color="auto"/>
              <w:right w:val="single" w:sz="4" w:space="0" w:color="auto"/>
            </w:tcBorders>
            <w:shd w:val="clear" w:color="000000" w:fill="B4C6E7"/>
            <w:noWrap/>
            <w:hideMark/>
          </w:tcPr>
          <w:p w14:paraId="497713C7"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B4C6E7"/>
            <w:noWrap/>
            <w:hideMark/>
          </w:tcPr>
          <w:p w14:paraId="783E8F9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1</w:t>
            </w:r>
          </w:p>
        </w:tc>
        <w:tc>
          <w:tcPr>
            <w:tcW w:w="1060" w:type="dxa"/>
            <w:tcBorders>
              <w:top w:val="nil"/>
              <w:left w:val="nil"/>
              <w:bottom w:val="single" w:sz="4" w:space="0" w:color="auto"/>
              <w:right w:val="single" w:sz="4" w:space="0" w:color="auto"/>
            </w:tcBorders>
            <w:shd w:val="clear" w:color="000000" w:fill="FFE699"/>
            <w:noWrap/>
            <w:hideMark/>
          </w:tcPr>
          <w:p w14:paraId="1318371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FFE699"/>
            <w:noWrap/>
            <w:hideMark/>
          </w:tcPr>
          <w:p w14:paraId="2306BBC9"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0" w:type="dxa"/>
            <w:tcBorders>
              <w:top w:val="nil"/>
              <w:left w:val="nil"/>
              <w:bottom w:val="single" w:sz="4" w:space="0" w:color="auto"/>
              <w:right w:val="single" w:sz="4" w:space="0" w:color="auto"/>
            </w:tcBorders>
            <w:shd w:val="clear" w:color="000000" w:fill="FFE699"/>
            <w:noWrap/>
            <w:hideMark/>
          </w:tcPr>
          <w:p w14:paraId="545ED19B"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c>
          <w:tcPr>
            <w:tcW w:w="1068" w:type="dxa"/>
            <w:tcBorders>
              <w:top w:val="nil"/>
              <w:left w:val="nil"/>
              <w:bottom w:val="single" w:sz="4" w:space="0" w:color="auto"/>
              <w:right w:val="nil"/>
            </w:tcBorders>
            <w:shd w:val="clear" w:color="000000" w:fill="BFBFBF"/>
            <w:noWrap/>
            <w:vAlign w:val="center"/>
            <w:hideMark/>
          </w:tcPr>
          <w:p w14:paraId="549BFB01" w14:textId="77777777" w:rsidR="005751A3" w:rsidRPr="00D82287" w:rsidRDefault="005751A3" w:rsidP="005751A3">
            <w:pPr>
              <w:jc w:val="center"/>
              <w:rPr>
                <w:rFonts w:ascii="Calibri" w:eastAsia="Times New Roman" w:hAnsi="Calibri" w:cs="Calibri"/>
                <w:color w:val="000000"/>
                <w:kern w:val="0"/>
                <w:sz w:val="22"/>
                <w:szCs w:val="22"/>
                <w:lang w:eastAsia="en-GB"/>
                <w14:ligatures w14:val="none"/>
              </w:rPr>
            </w:pPr>
            <w:r w:rsidRPr="00D82287">
              <w:rPr>
                <w:rFonts w:ascii="Calibri" w:eastAsia="Times New Roman" w:hAnsi="Calibri" w:cs="Calibri"/>
                <w:color w:val="000000"/>
                <w:kern w:val="0"/>
                <w:sz w:val="22"/>
                <w:szCs w:val="22"/>
                <w:lang w:eastAsia="en-GB"/>
                <w14:ligatures w14:val="none"/>
              </w:rPr>
              <w:t>4</w:t>
            </w:r>
          </w:p>
        </w:tc>
      </w:tr>
    </w:tbl>
    <w:p w14:paraId="1606B48F" w14:textId="77777777" w:rsidR="005751A3" w:rsidRPr="00D67367" w:rsidRDefault="005751A3" w:rsidP="002920A4">
      <w:pPr>
        <w:keepLines/>
        <w:rPr>
          <w:rFonts w:cstheme="minorHAnsi"/>
        </w:rPr>
      </w:pPr>
    </w:p>
    <w:p w14:paraId="36AA694B" w14:textId="77777777" w:rsidR="00296D8F" w:rsidRPr="00D67367" w:rsidRDefault="00296D8F" w:rsidP="002920A4">
      <w:pPr>
        <w:keepLines/>
        <w:rPr>
          <w:rFonts w:cstheme="minorHAnsi"/>
        </w:rPr>
      </w:pPr>
    </w:p>
    <w:p w14:paraId="14461350" w14:textId="77777777" w:rsidR="0014719A" w:rsidRPr="00D82287" w:rsidRDefault="0014719A">
      <w:pPr>
        <w:rPr>
          <w:rFonts w:eastAsia="Times New Roman" w:cstheme="minorHAnsi"/>
          <w:b/>
          <w:bCs/>
          <w:kern w:val="36"/>
          <w:sz w:val="48"/>
          <w:szCs w:val="48"/>
          <w:lang w:eastAsia="en-GB"/>
          <w14:ligatures w14:val="none"/>
        </w:rPr>
      </w:pPr>
      <w:r w:rsidRPr="00D82287">
        <w:rPr>
          <w:rFonts w:cstheme="minorHAnsi"/>
        </w:rPr>
        <w:br w:type="page"/>
      </w:r>
    </w:p>
    <w:p w14:paraId="00CD185E" w14:textId="77777777" w:rsidR="005014A6" w:rsidRPr="00D82287" w:rsidRDefault="00512E55" w:rsidP="00512E55">
      <w:pPr>
        <w:pStyle w:val="Heading1"/>
        <w:numPr>
          <w:ilvl w:val="0"/>
          <w:numId w:val="3"/>
        </w:numPr>
        <w:rPr>
          <w:rFonts w:asciiTheme="minorHAnsi" w:hAnsiTheme="minorHAnsi" w:cstheme="minorHAnsi"/>
          <w:lang w:val="en-GB"/>
        </w:rPr>
      </w:pPr>
      <w:bookmarkStart w:id="14" w:name="_Toc180411823"/>
      <w:r w:rsidRPr="00D82287">
        <w:rPr>
          <w:rFonts w:asciiTheme="minorHAnsi" w:hAnsiTheme="minorHAnsi" w:cstheme="minorHAnsi"/>
          <w:lang w:val="en-GB"/>
        </w:rPr>
        <w:lastRenderedPageBreak/>
        <w:t>R</w:t>
      </w:r>
      <w:r w:rsidR="00296D8F" w:rsidRPr="00D82287">
        <w:rPr>
          <w:rFonts w:asciiTheme="minorHAnsi" w:hAnsiTheme="minorHAnsi" w:cstheme="minorHAnsi"/>
          <w:lang w:val="en-GB"/>
        </w:rPr>
        <w:t>eferences</w:t>
      </w:r>
      <w:bookmarkEnd w:id="14"/>
    </w:p>
    <w:p w14:paraId="475FF818" w14:textId="1FAB3A07" w:rsidR="003E6D5B" w:rsidRPr="00D67367" w:rsidRDefault="003E6D5B" w:rsidP="003E6D5B">
      <w:pPr>
        <w:pStyle w:val="Bibliography"/>
        <w:rPr>
          <w:rFonts w:ascii="Calibri" w:cs="Calibri"/>
        </w:rPr>
      </w:pPr>
      <w:bookmarkStart w:id="15" w:name="_heading=h.y1h8khc1o1h" w:colFirst="0" w:colLast="0"/>
      <w:bookmarkEnd w:id="15"/>
      <w:r w:rsidRPr="00D67367">
        <w:rPr>
          <w:rFonts w:ascii="Calibri" w:cs="Calibri"/>
        </w:rPr>
        <w:t xml:space="preserve">Avelino, F. (2017). Power in Sustainability Transitions: Analysing power and (dis)empowerment in transformative change towards sustainability. </w:t>
      </w:r>
      <w:r w:rsidRPr="00D67367">
        <w:rPr>
          <w:rFonts w:ascii="Calibri" w:cs="Calibri"/>
          <w:i/>
          <w:iCs/>
        </w:rPr>
        <w:t>Environmental Policy and Governance</w:t>
      </w:r>
      <w:r w:rsidRPr="00D67367">
        <w:rPr>
          <w:rFonts w:ascii="Calibri" w:cs="Calibri"/>
        </w:rPr>
        <w:t xml:space="preserve">, </w:t>
      </w:r>
      <w:r w:rsidRPr="00D67367">
        <w:rPr>
          <w:rFonts w:ascii="Calibri" w:cs="Calibri"/>
          <w:i/>
          <w:iCs/>
        </w:rPr>
        <w:t>27</w:t>
      </w:r>
      <w:r w:rsidRPr="00D67367">
        <w:rPr>
          <w:rFonts w:ascii="Calibri" w:cs="Calibri"/>
        </w:rPr>
        <w:t>(6), 505–520. https://doi.org/10.1002/eet.1777</w:t>
      </w:r>
    </w:p>
    <w:p w14:paraId="47BD9858" w14:textId="77777777" w:rsidR="003E6D5B" w:rsidRPr="00D67367" w:rsidRDefault="003E6D5B" w:rsidP="003E6D5B">
      <w:pPr>
        <w:pStyle w:val="Bibliography"/>
        <w:rPr>
          <w:rFonts w:ascii="Calibri" w:cs="Calibri"/>
        </w:rPr>
      </w:pPr>
      <w:r w:rsidRPr="00D67367">
        <w:rPr>
          <w:rFonts w:ascii="Calibri" w:cs="Calibri"/>
        </w:rPr>
        <w:t xml:space="preserve">Brodnik, C., &amp; Brown, R. (2018). Strategies for developing transformative capacity in urban water management sectors: The case of Melbourne, Australia. </w:t>
      </w:r>
      <w:r w:rsidRPr="00D67367">
        <w:rPr>
          <w:rFonts w:ascii="Calibri" w:cs="Calibri"/>
          <w:i/>
          <w:iCs/>
        </w:rPr>
        <w:t>Technological Forecasting and Social Change</w:t>
      </w:r>
      <w:r w:rsidRPr="00D67367">
        <w:rPr>
          <w:rFonts w:ascii="Calibri" w:cs="Calibri"/>
        </w:rPr>
        <w:t xml:space="preserve">, </w:t>
      </w:r>
      <w:r w:rsidRPr="00D67367">
        <w:rPr>
          <w:rFonts w:ascii="Calibri" w:cs="Calibri"/>
          <w:i/>
          <w:iCs/>
        </w:rPr>
        <w:t>137</w:t>
      </w:r>
      <w:r w:rsidRPr="00D67367">
        <w:rPr>
          <w:rFonts w:ascii="Calibri" w:cs="Calibri"/>
        </w:rPr>
        <w:t>(July), 147–159. https://doi.org/10.1016/j.techfore.2018.07.037</w:t>
      </w:r>
    </w:p>
    <w:p w14:paraId="4F8A49D3" w14:textId="77777777" w:rsidR="003E6D5B" w:rsidRPr="00D67367" w:rsidRDefault="003E6D5B" w:rsidP="003E6D5B">
      <w:pPr>
        <w:pStyle w:val="Bibliography"/>
        <w:rPr>
          <w:rFonts w:ascii="Calibri" w:cs="Calibri"/>
        </w:rPr>
      </w:pPr>
      <w:r w:rsidRPr="00D67367">
        <w:rPr>
          <w:rFonts w:ascii="Calibri" w:cs="Calibri"/>
        </w:rPr>
        <w:t xml:space="preserve">Bull, J. W., &amp; Brownlie, S. (2017). The transition from No Net Loss to a Net Gain of biodiversity is far from trivial. </w:t>
      </w:r>
      <w:r w:rsidRPr="00D67367">
        <w:rPr>
          <w:rFonts w:ascii="Calibri" w:cs="Calibri"/>
          <w:i/>
          <w:iCs/>
        </w:rPr>
        <w:t>Oryx</w:t>
      </w:r>
      <w:r w:rsidRPr="00D67367">
        <w:rPr>
          <w:rFonts w:ascii="Calibri" w:cs="Calibri"/>
        </w:rPr>
        <w:t xml:space="preserve">, </w:t>
      </w:r>
      <w:r w:rsidRPr="00D67367">
        <w:rPr>
          <w:rFonts w:ascii="Calibri" w:cs="Calibri"/>
          <w:i/>
          <w:iCs/>
        </w:rPr>
        <w:t>51</w:t>
      </w:r>
      <w:r w:rsidRPr="00D67367">
        <w:rPr>
          <w:rFonts w:ascii="Calibri" w:cs="Calibri"/>
        </w:rPr>
        <w:t>(1), 53–59. https://doi.org/10.1017/S0030605315000861</w:t>
      </w:r>
    </w:p>
    <w:p w14:paraId="073F0609" w14:textId="77777777" w:rsidR="003E6D5B" w:rsidRPr="00D67367" w:rsidRDefault="003E6D5B" w:rsidP="003E6D5B">
      <w:pPr>
        <w:pStyle w:val="Bibliography"/>
        <w:rPr>
          <w:rFonts w:ascii="Calibri" w:cs="Calibri"/>
        </w:rPr>
      </w:pPr>
      <w:r w:rsidRPr="00D67367">
        <w:rPr>
          <w:rFonts w:ascii="Calibri" w:cs="Calibri"/>
        </w:rPr>
        <w:t xml:space="preserve">Da Silva Wells, C., Van Lieshout, R., &amp; Uytewaal, E. (2013). Monitoring for learning and developing capacities in the WASH sector. </w:t>
      </w:r>
      <w:r w:rsidRPr="00D67367">
        <w:rPr>
          <w:rFonts w:ascii="Calibri" w:cs="Calibri"/>
          <w:i/>
          <w:iCs/>
        </w:rPr>
        <w:t>Water Policy</w:t>
      </w:r>
      <w:r w:rsidRPr="00D67367">
        <w:rPr>
          <w:rFonts w:ascii="Calibri" w:cs="Calibri"/>
        </w:rPr>
        <w:t xml:space="preserve">, </w:t>
      </w:r>
      <w:r w:rsidRPr="00D67367">
        <w:rPr>
          <w:rFonts w:ascii="Calibri" w:cs="Calibri"/>
          <w:i/>
          <w:iCs/>
        </w:rPr>
        <w:t>15</w:t>
      </w:r>
      <w:r w:rsidRPr="00D67367">
        <w:rPr>
          <w:rFonts w:ascii="Calibri" w:cs="Calibri"/>
        </w:rPr>
        <w:t>(SUPPL.2), 206–225. https://doi.org/10.2166/wp.2013.120</w:t>
      </w:r>
    </w:p>
    <w:p w14:paraId="17D74DB4" w14:textId="77777777" w:rsidR="003E6D5B" w:rsidRPr="00D67367" w:rsidRDefault="003E6D5B" w:rsidP="003E6D5B">
      <w:pPr>
        <w:pStyle w:val="Bibliography"/>
        <w:rPr>
          <w:rFonts w:ascii="Calibri" w:cs="Calibri"/>
        </w:rPr>
      </w:pPr>
      <w:r w:rsidRPr="00D67367">
        <w:rPr>
          <w:rFonts w:ascii="Calibri" w:cs="Calibri"/>
        </w:rPr>
        <w:t xml:space="preserve">Dubois, A., &amp; Gadde, L.-E. (2002). Systematic combining: an abductive approach to case research. </w:t>
      </w:r>
      <w:r w:rsidRPr="00D67367">
        <w:rPr>
          <w:rFonts w:ascii="Calibri" w:cs="Calibri"/>
          <w:i/>
          <w:iCs/>
        </w:rPr>
        <w:t>Journal of Business Research</w:t>
      </w:r>
      <w:r w:rsidRPr="00D67367">
        <w:rPr>
          <w:rFonts w:ascii="Calibri" w:cs="Calibri"/>
        </w:rPr>
        <w:t xml:space="preserve">, </w:t>
      </w:r>
      <w:r w:rsidRPr="00D67367">
        <w:rPr>
          <w:rFonts w:ascii="Calibri" w:cs="Calibri"/>
          <w:i/>
          <w:iCs/>
        </w:rPr>
        <w:t>55</w:t>
      </w:r>
      <w:r w:rsidRPr="00D67367">
        <w:rPr>
          <w:rFonts w:ascii="Calibri" w:cs="Calibri"/>
        </w:rPr>
        <w:t>, 553–560.</w:t>
      </w:r>
    </w:p>
    <w:p w14:paraId="39CCC257" w14:textId="77777777" w:rsidR="003E6D5B" w:rsidRPr="00D67367" w:rsidRDefault="003E6D5B" w:rsidP="003E6D5B">
      <w:pPr>
        <w:pStyle w:val="Bibliography"/>
        <w:rPr>
          <w:rFonts w:ascii="Calibri" w:cs="Calibri"/>
        </w:rPr>
      </w:pPr>
      <w:r w:rsidRPr="00D67367">
        <w:rPr>
          <w:rFonts w:ascii="Calibri" w:cs="Calibri"/>
        </w:rPr>
        <w:t xml:space="preserve">Eden, S. (1999). ‘We Have the Facts’—How Business Claims Legitimacy in the Environmental Debate. </w:t>
      </w:r>
      <w:r w:rsidRPr="00D67367">
        <w:rPr>
          <w:rFonts w:ascii="Calibri" w:cs="Calibri"/>
          <w:i/>
          <w:iCs/>
        </w:rPr>
        <w:t>Environment and Planning A: Economy and Space</w:t>
      </w:r>
      <w:r w:rsidRPr="00D67367">
        <w:rPr>
          <w:rFonts w:ascii="Calibri" w:cs="Calibri"/>
        </w:rPr>
        <w:t xml:space="preserve">, </w:t>
      </w:r>
      <w:r w:rsidRPr="00D67367">
        <w:rPr>
          <w:rFonts w:ascii="Calibri" w:cs="Calibri"/>
          <w:i/>
          <w:iCs/>
        </w:rPr>
        <w:t>31</w:t>
      </w:r>
      <w:r w:rsidRPr="00D67367">
        <w:rPr>
          <w:rFonts w:ascii="Calibri" w:cs="Calibri"/>
        </w:rPr>
        <w:t>(7), 1295–1309. https://doi.org/10.1068/a311295</w:t>
      </w:r>
    </w:p>
    <w:p w14:paraId="7F48562C" w14:textId="77777777" w:rsidR="003E6D5B" w:rsidRPr="00D67367" w:rsidRDefault="003E6D5B" w:rsidP="003E6D5B">
      <w:pPr>
        <w:pStyle w:val="Bibliography"/>
        <w:rPr>
          <w:rFonts w:ascii="Calibri" w:cs="Calibri"/>
        </w:rPr>
      </w:pPr>
      <w:r w:rsidRPr="00D67367">
        <w:rPr>
          <w:rFonts w:ascii="Calibri" w:cs="Calibri"/>
        </w:rPr>
        <w:t xml:space="preserve">Grayson, D., &amp; Nelson, J. (2020). </w:t>
      </w:r>
      <w:r w:rsidRPr="00D67367">
        <w:rPr>
          <w:rFonts w:ascii="Calibri" w:cs="Calibri"/>
          <w:i/>
          <w:iCs/>
        </w:rPr>
        <w:t>Corporate Responsibility Coalitions</w:t>
      </w:r>
      <w:r w:rsidRPr="00D67367">
        <w:rPr>
          <w:rFonts w:ascii="Calibri" w:cs="Calibri"/>
        </w:rPr>
        <w:t xml:space="preserve">. </w:t>
      </w:r>
      <w:r w:rsidRPr="00D67367">
        <w:rPr>
          <w:rFonts w:ascii="Calibri" w:cs="Calibri"/>
          <w:i/>
          <w:iCs/>
        </w:rPr>
        <w:t>Corporate Responsibility Coalitions</w:t>
      </w:r>
      <w:r w:rsidRPr="00D67367">
        <w:rPr>
          <w:rFonts w:ascii="Calibri" w:cs="Calibri"/>
        </w:rPr>
        <w:t>. Stanford University Press. https://doi.org/10.1515/9780804787109</w:t>
      </w:r>
    </w:p>
    <w:p w14:paraId="151EDCA2" w14:textId="77777777" w:rsidR="003E6D5B" w:rsidRPr="00D67367" w:rsidRDefault="003E6D5B" w:rsidP="003E6D5B">
      <w:pPr>
        <w:pStyle w:val="Bibliography"/>
        <w:rPr>
          <w:rFonts w:ascii="Calibri" w:cs="Calibri"/>
        </w:rPr>
      </w:pPr>
      <w:r w:rsidRPr="00D82287">
        <w:rPr>
          <w:rFonts w:ascii="Calibri" w:cs="Calibri"/>
        </w:rPr>
        <w:t xml:space="preserve">Heikkinen, M., Ylä-Anttila, T., &amp; Juhola, S. (2019). </w:t>
      </w:r>
      <w:r w:rsidRPr="00D67367">
        <w:rPr>
          <w:rFonts w:ascii="Calibri" w:cs="Calibri"/>
        </w:rPr>
        <w:t xml:space="preserve">Incremental, reformistic or transformational: what kind of change do C40 cities advocate to deal with climate </w:t>
      </w:r>
      <w:r w:rsidRPr="00D67367">
        <w:rPr>
          <w:rFonts w:ascii="Calibri" w:cs="Calibri"/>
        </w:rPr>
        <w:lastRenderedPageBreak/>
        <w:t xml:space="preserve">change? </w:t>
      </w:r>
      <w:r w:rsidRPr="00D67367">
        <w:rPr>
          <w:rFonts w:ascii="Calibri" w:cs="Calibri"/>
          <w:i/>
          <w:iCs/>
        </w:rPr>
        <w:t>Journal of Environmental Policy and Planning</w:t>
      </w:r>
      <w:r w:rsidRPr="00D67367">
        <w:rPr>
          <w:rFonts w:ascii="Calibri" w:cs="Calibri"/>
        </w:rPr>
        <w:t xml:space="preserve">, </w:t>
      </w:r>
      <w:r w:rsidRPr="00D67367">
        <w:rPr>
          <w:rFonts w:ascii="Calibri" w:cs="Calibri"/>
          <w:i/>
          <w:iCs/>
        </w:rPr>
        <w:t>21</w:t>
      </w:r>
      <w:r w:rsidRPr="00D67367">
        <w:rPr>
          <w:rFonts w:ascii="Calibri" w:cs="Calibri"/>
        </w:rPr>
        <w:t>(1), 90–103. https://doi.org/10.1080/1523908X.2018.1473151</w:t>
      </w:r>
    </w:p>
    <w:p w14:paraId="5C02F610" w14:textId="77777777" w:rsidR="003E6D5B" w:rsidRPr="00D67367" w:rsidRDefault="003E6D5B" w:rsidP="003E6D5B">
      <w:pPr>
        <w:pStyle w:val="Bibliography"/>
        <w:rPr>
          <w:rFonts w:ascii="Calibri" w:cs="Calibri"/>
        </w:rPr>
      </w:pPr>
      <w:r w:rsidRPr="00572C36">
        <w:rPr>
          <w:rFonts w:ascii="Calibri" w:cs="Calibri"/>
          <w:lang w:val="sv-SE"/>
        </w:rPr>
        <w:t xml:space="preserve">Lam, D. P. M., Martín-López, B., Wiek, A., Bennett, E. M., Frantzeskaki, N., Horcea-Milcu, A. I., &amp; Lang, D. J. (2020). </w:t>
      </w:r>
      <w:r w:rsidRPr="00D67367">
        <w:rPr>
          <w:rFonts w:ascii="Calibri" w:cs="Calibri"/>
        </w:rPr>
        <w:t xml:space="preserve">Scaling the impact of sustainability initiatives: a typology of amplification processes. </w:t>
      </w:r>
      <w:r w:rsidRPr="00D67367">
        <w:rPr>
          <w:rFonts w:ascii="Calibri" w:cs="Calibri"/>
          <w:i/>
          <w:iCs/>
        </w:rPr>
        <w:t>Urban Transformations</w:t>
      </w:r>
      <w:r w:rsidRPr="00D67367">
        <w:rPr>
          <w:rFonts w:ascii="Calibri" w:cs="Calibri"/>
        </w:rPr>
        <w:t xml:space="preserve">, </w:t>
      </w:r>
      <w:r w:rsidRPr="00D67367">
        <w:rPr>
          <w:rFonts w:ascii="Calibri" w:cs="Calibri"/>
          <w:i/>
          <w:iCs/>
        </w:rPr>
        <w:t>2</w:t>
      </w:r>
      <w:r w:rsidRPr="00D67367">
        <w:rPr>
          <w:rFonts w:ascii="Calibri" w:cs="Calibri"/>
        </w:rPr>
        <w:t>(1). https://doi.org/10.1186/s42854-020-00007-9</w:t>
      </w:r>
    </w:p>
    <w:p w14:paraId="78A69B07" w14:textId="77777777" w:rsidR="003E6D5B" w:rsidRPr="00D67367" w:rsidRDefault="003E6D5B" w:rsidP="003E6D5B">
      <w:pPr>
        <w:pStyle w:val="Bibliography"/>
        <w:rPr>
          <w:rFonts w:ascii="Calibri" w:cs="Calibri"/>
        </w:rPr>
      </w:pPr>
      <w:r w:rsidRPr="00D67367">
        <w:rPr>
          <w:rFonts w:ascii="Calibri" w:cs="Calibri"/>
        </w:rPr>
        <w:t xml:space="preserve">Leach, M., Reyers, B., Bai, X., Brondizio, E. S., Cook, C., Díaz, S., … Subramanian, S. M. (2018). Equity and sustainability in the anthropocene: A social-ecological systems perspective on their intertwined futures. </w:t>
      </w:r>
      <w:r w:rsidRPr="00D67367">
        <w:rPr>
          <w:rFonts w:ascii="Calibri" w:cs="Calibri"/>
          <w:i/>
          <w:iCs/>
        </w:rPr>
        <w:t>Global Sustainability</w:t>
      </w:r>
      <w:r w:rsidRPr="00D67367">
        <w:rPr>
          <w:rFonts w:ascii="Calibri" w:cs="Calibri"/>
        </w:rPr>
        <w:t xml:space="preserve">, </w:t>
      </w:r>
      <w:r w:rsidRPr="00D67367">
        <w:rPr>
          <w:rFonts w:ascii="Calibri" w:cs="Calibri"/>
          <w:i/>
          <w:iCs/>
        </w:rPr>
        <w:t>1</w:t>
      </w:r>
      <w:r w:rsidRPr="00D67367">
        <w:rPr>
          <w:rFonts w:ascii="Calibri" w:cs="Calibri"/>
        </w:rPr>
        <w:t>. https://doi.org/10.1017/sus.2018.12</w:t>
      </w:r>
    </w:p>
    <w:p w14:paraId="2A9645DE" w14:textId="77777777" w:rsidR="003E6D5B" w:rsidRPr="00D67367" w:rsidRDefault="003E6D5B" w:rsidP="003E6D5B">
      <w:pPr>
        <w:pStyle w:val="Bibliography"/>
        <w:rPr>
          <w:rFonts w:ascii="Calibri" w:cs="Calibri"/>
        </w:rPr>
      </w:pPr>
      <w:r w:rsidRPr="00D67367">
        <w:rPr>
          <w:rFonts w:ascii="Calibri" w:cs="Calibri"/>
        </w:rPr>
        <w:t xml:space="preserve">Mancebo, F. (2013). The Pitfalls of Sustainability Policies: Insights into Plural Sustainabilities. </w:t>
      </w:r>
      <w:r w:rsidRPr="00D67367">
        <w:rPr>
          <w:rFonts w:ascii="Calibri" w:cs="Calibri"/>
          <w:i/>
          <w:iCs/>
        </w:rPr>
        <w:t>Challenges in Sustainability</w:t>
      </w:r>
      <w:r w:rsidRPr="00D67367">
        <w:rPr>
          <w:rFonts w:ascii="Calibri" w:cs="Calibri"/>
        </w:rPr>
        <w:t xml:space="preserve">, </w:t>
      </w:r>
      <w:r w:rsidRPr="00D67367">
        <w:rPr>
          <w:rFonts w:ascii="Calibri" w:cs="Calibri"/>
          <w:i/>
          <w:iCs/>
        </w:rPr>
        <w:t>1</w:t>
      </w:r>
      <w:r w:rsidRPr="00D67367">
        <w:rPr>
          <w:rFonts w:ascii="Calibri" w:cs="Calibri"/>
        </w:rPr>
        <w:t>(1), 29–40. https://doi.org/10.12924/cis2013.01010029</w:t>
      </w:r>
    </w:p>
    <w:p w14:paraId="620325E5" w14:textId="77777777" w:rsidR="003E6D5B" w:rsidRPr="00D67367" w:rsidRDefault="003E6D5B" w:rsidP="003E6D5B">
      <w:pPr>
        <w:pStyle w:val="Bibliography"/>
        <w:rPr>
          <w:rFonts w:ascii="Calibri" w:cs="Calibri"/>
        </w:rPr>
      </w:pPr>
      <w:r w:rsidRPr="00D67367">
        <w:rPr>
          <w:rFonts w:ascii="Calibri" w:cs="Calibri"/>
        </w:rPr>
        <w:t xml:space="preserve">Moore, M. L., Tjornbo, O., Enfors, E., Knapp, C., Hodbod, J., Baggio, J. A., … Biggs, D. (2014). Studying the complexity of change: Toward an analytical framework for understanding deliberate social-ecological transformations. </w:t>
      </w:r>
      <w:r w:rsidRPr="00D67367">
        <w:rPr>
          <w:rFonts w:ascii="Calibri" w:cs="Calibri"/>
          <w:i/>
          <w:iCs/>
        </w:rPr>
        <w:t>Ecology and Society</w:t>
      </w:r>
      <w:r w:rsidRPr="00D67367">
        <w:rPr>
          <w:rFonts w:ascii="Calibri" w:cs="Calibri"/>
        </w:rPr>
        <w:t xml:space="preserve">, </w:t>
      </w:r>
      <w:r w:rsidRPr="00D67367">
        <w:rPr>
          <w:rFonts w:ascii="Calibri" w:cs="Calibri"/>
          <w:i/>
          <w:iCs/>
        </w:rPr>
        <w:t>19</w:t>
      </w:r>
      <w:r w:rsidRPr="00D67367">
        <w:rPr>
          <w:rFonts w:ascii="Calibri" w:cs="Calibri"/>
        </w:rPr>
        <w:t>(4). https://doi.org/10.5751/ES-06966-190454</w:t>
      </w:r>
    </w:p>
    <w:p w14:paraId="2DD1B0A3" w14:textId="7BB542C2" w:rsidR="003E6D5B" w:rsidRPr="00D67367" w:rsidRDefault="003E6D5B" w:rsidP="003E6D5B">
      <w:pPr>
        <w:pStyle w:val="Bibliography"/>
        <w:rPr>
          <w:rFonts w:ascii="Calibri" w:cs="Calibri"/>
        </w:rPr>
      </w:pPr>
      <w:r w:rsidRPr="00D67367">
        <w:rPr>
          <w:rFonts w:ascii="Calibri" w:cs="Calibri"/>
        </w:rPr>
        <w:t>Moore, M.</w:t>
      </w:r>
      <w:r w:rsidR="00D1581B" w:rsidRPr="00D67367">
        <w:rPr>
          <w:rFonts w:ascii="Calibri" w:cs="Calibri"/>
        </w:rPr>
        <w:t xml:space="preserve"> </w:t>
      </w:r>
      <w:r w:rsidRPr="00D67367">
        <w:rPr>
          <w:rFonts w:ascii="Calibri" w:cs="Calibri"/>
        </w:rPr>
        <w:t xml:space="preserve">L., Riddell, D., &amp; Vocisano, D. (2015). Scaling Out, Scaling Up, Scaling Deep: Strategies of Non-profits in Advancing Systemic Social Innovation. </w:t>
      </w:r>
      <w:r w:rsidRPr="00D67367">
        <w:rPr>
          <w:rFonts w:ascii="Calibri" w:cs="Calibri"/>
          <w:i/>
          <w:iCs/>
        </w:rPr>
        <w:t>The Journal of Corporate Citizenship</w:t>
      </w:r>
      <w:r w:rsidRPr="00D67367">
        <w:rPr>
          <w:rFonts w:ascii="Calibri" w:cs="Calibri"/>
        </w:rPr>
        <w:t>, (58), 67–84.</w:t>
      </w:r>
    </w:p>
    <w:p w14:paraId="60722D03" w14:textId="77777777" w:rsidR="003E6D5B" w:rsidRPr="00D67367" w:rsidRDefault="003E6D5B" w:rsidP="003E6D5B">
      <w:pPr>
        <w:pStyle w:val="Bibliography"/>
        <w:rPr>
          <w:rFonts w:ascii="Calibri" w:cs="Calibri"/>
        </w:rPr>
      </w:pPr>
      <w:r w:rsidRPr="00D67367">
        <w:rPr>
          <w:rFonts w:ascii="Calibri" w:cs="Calibri"/>
        </w:rPr>
        <w:t xml:space="preserve">Olsson, P., Moore, M. L., Westley, F. R., &amp; McCarthy, D. D. P. (2017). The concept of the Anthropocene as a game-changer: A new context for social innovation and transformations to sustainability. </w:t>
      </w:r>
      <w:r w:rsidRPr="00D67367">
        <w:rPr>
          <w:rFonts w:ascii="Calibri" w:cs="Calibri"/>
          <w:i/>
          <w:iCs/>
        </w:rPr>
        <w:t>Ecology and Society</w:t>
      </w:r>
      <w:r w:rsidRPr="00D67367">
        <w:rPr>
          <w:rFonts w:ascii="Calibri" w:cs="Calibri"/>
        </w:rPr>
        <w:t xml:space="preserve">, </w:t>
      </w:r>
      <w:r w:rsidRPr="00D67367">
        <w:rPr>
          <w:rFonts w:ascii="Calibri" w:cs="Calibri"/>
          <w:i/>
          <w:iCs/>
        </w:rPr>
        <w:t>22</w:t>
      </w:r>
      <w:r w:rsidRPr="00D67367">
        <w:rPr>
          <w:rFonts w:ascii="Calibri" w:cs="Calibri"/>
        </w:rPr>
        <w:t>(2). https://doi.org/10.5751/ES-09310-220231</w:t>
      </w:r>
    </w:p>
    <w:p w14:paraId="1735B717" w14:textId="77777777" w:rsidR="003E6D5B" w:rsidRPr="00D67367" w:rsidRDefault="003E6D5B" w:rsidP="003E6D5B">
      <w:pPr>
        <w:pStyle w:val="Bibliography"/>
        <w:rPr>
          <w:rFonts w:ascii="Calibri" w:cs="Calibri"/>
        </w:rPr>
      </w:pPr>
      <w:r w:rsidRPr="00D67367">
        <w:rPr>
          <w:rFonts w:ascii="Calibri" w:cs="Calibri"/>
        </w:rPr>
        <w:lastRenderedPageBreak/>
        <w:t xml:space="preserve">Pahl-Wostl, C. (2009). A conceptual framework for analysing adaptive capacity and multi-level learning processes in resource governance regimes. </w:t>
      </w:r>
      <w:r w:rsidRPr="00D67367">
        <w:rPr>
          <w:rFonts w:ascii="Calibri" w:cs="Calibri"/>
          <w:i/>
          <w:iCs/>
        </w:rPr>
        <w:t>Global Environmental Change</w:t>
      </w:r>
      <w:r w:rsidRPr="00D67367">
        <w:rPr>
          <w:rFonts w:ascii="Calibri" w:cs="Calibri"/>
        </w:rPr>
        <w:t xml:space="preserve">, </w:t>
      </w:r>
      <w:r w:rsidRPr="00D67367">
        <w:rPr>
          <w:rFonts w:ascii="Calibri" w:cs="Calibri"/>
          <w:i/>
          <w:iCs/>
        </w:rPr>
        <w:t>19</w:t>
      </w:r>
      <w:r w:rsidRPr="00D67367">
        <w:rPr>
          <w:rFonts w:ascii="Calibri" w:cs="Calibri"/>
        </w:rPr>
        <w:t>(3), 354–365. https://doi.org/10.1016/j.gloenvcha.2009.06.001</w:t>
      </w:r>
    </w:p>
    <w:p w14:paraId="02BDAF85" w14:textId="77777777" w:rsidR="003E6D5B" w:rsidRPr="00D67367" w:rsidRDefault="003E6D5B" w:rsidP="003E6D5B">
      <w:pPr>
        <w:pStyle w:val="Bibliography"/>
        <w:rPr>
          <w:rFonts w:ascii="Calibri" w:cs="Calibri"/>
        </w:rPr>
      </w:pPr>
      <w:r w:rsidRPr="00D67367">
        <w:rPr>
          <w:rFonts w:ascii="Calibri" w:cs="Calibri"/>
        </w:rPr>
        <w:t xml:space="preserve">Prakash, A., &amp; Potoski, M. (2007). Collective action through voluntary environmental programs: A club theory perspective. </w:t>
      </w:r>
      <w:r w:rsidRPr="00D67367">
        <w:rPr>
          <w:rFonts w:ascii="Calibri" w:cs="Calibri"/>
          <w:i/>
          <w:iCs/>
        </w:rPr>
        <w:t>Policy Studies Journal</w:t>
      </w:r>
      <w:r w:rsidRPr="00D67367">
        <w:rPr>
          <w:rFonts w:ascii="Calibri" w:cs="Calibri"/>
        </w:rPr>
        <w:t xml:space="preserve">, </w:t>
      </w:r>
      <w:r w:rsidRPr="00D67367">
        <w:rPr>
          <w:rFonts w:ascii="Calibri" w:cs="Calibri"/>
          <w:i/>
          <w:iCs/>
        </w:rPr>
        <w:t>35</w:t>
      </w:r>
      <w:r w:rsidRPr="00D67367">
        <w:rPr>
          <w:rFonts w:ascii="Calibri" w:cs="Calibri"/>
        </w:rPr>
        <w:t>(4), 773–792. https://doi.org/10.1111/j.1541-0072.2007.00247.x</w:t>
      </w:r>
    </w:p>
    <w:p w14:paraId="420343B4" w14:textId="77777777" w:rsidR="003E6D5B" w:rsidRPr="00D67367" w:rsidRDefault="003E6D5B" w:rsidP="003E6D5B">
      <w:pPr>
        <w:pStyle w:val="Bibliography"/>
        <w:rPr>
          <w:rFonts w:ascii="Calibri" w:cs="Calibri"/>
        </w:rPr>
      </w:pPr>
      <w:r w:rsidRPr="00D67367">
        <w:rPr>
          <w:rFonts w:ascii="Calibri" w:cs="Calibri"/>
        </w:rPr>
        <w:t xml:space="preserve">Raworth, K. (2017). </w:t>
      </w:r>
      <w:r w:rsidRPr="00D67367">
        <w:rPr>
          <w:rFonts w:ascii="Calibri" w:cs="Calibri"/>
          <w:i/>
          <w:iCs/>
        </w:rPr>
        <w:t>Doughnut Economics: Seven Ways to Think Like a 21st-Century Economist</w:t>
      </w:r>
      <w:r w:rsidRPr="00D67367">
        <w:rPr>
          <w:rFonts w:ascii="Calibri" w:cs="Calibri"/>
        </w:rPr>
        <w:t>. Chelsea Green Publishing.</w:t>
      </w:r>
    </w:p>
    <w:p w14:paraId="124927B0" w14:textId="77777777" w:rsidR="003E6D5B" w:rsidRPr="00D67367" w:rsidRDefault="003E6D5B" w:rsidP="003E6D5B">
      <w:pPr>
        <w:pStyle w:val="Bibliography"/>
        <w:rPr>
          <w:rFonts w:ascii="Calibri" w:cs="Calibri"/>
        </w:rPr>
      </w:pPr>
      <w:r w:rsidRPr="00D67367">
        <w:rPr>
          <w:rFonts w:ascii="Calibri" w:cs="Calibri"/>
          <w:i/>
          <w:iCs/>
        </w:rPr>
        <w:t>The Cranfield Taxonomy</w:t>
      </w:r>
      <w:r w:rsidRPr="00D67367">
        <w:rPr>
          <w:rFonts w:ascii="Calibri" w:cs="Calibri"/>
        </w:rPr>
        <w:t>. Retrieved 04/07/2021 from https://www.cranfield.ac.uk/som/research-centres/doughty-centre-for-corporate-responsibility/dccr-work-focus-5-renewing-capitalism/the-cranfield-taxonomy</w:t>
      </w:r>
    </w:p>
    <w:p w14:paraId="1B844682" w14:textId="77777777" w:rsidR="003E6D5B" w:rsidRPr="00D67367" w:rsidRDefault="003E6D5B" w:rsidP="003E6D5B">
      <w:pPr>
        <w:pStyle w:val="Bibliography"/>
        <w:rPr>
          <w:rFonts w:ascii="Calibri" w:cs="Calibri"/>
        </w:rPr>
      </w:pPr>
      <w:r w:rsidRPr="00572C36">
        <w:rPr>
          <w:rFonts w:ascii="Calibri" w:cs="Calibri"/>
          <w:lang w:val="sv-SE"/>
        </w:rPr>
        <w:t xml:space="preserve">Van Den Bergh, J. C. J. M., &amp; Kallis, G. (2012). </w:t>
      </w:r>
      <w:r w:rsidRPr="00D67367">
        <w:rPr>
          <w:rFonts w:ascii="Calibri" w:cs="Calibri"/>
        </w:rPr>
        <w:t xml:space="preserve">Growth, a-growth or degrowth to stay within planetary boundaries? </w:t>
      </w:r>
      <w:r w:rsidRPr="00D67367">
        <w:rPr>
          <w:rFonts w:ascii="Calibri" w:cs="Calibri"/>
          <w:i/>
          <w:iCs/>
        </w:rPr>
        <w:t>Journal of Economic Issues</w:t>
      </w:r>
      <w:r w:rsidRPr="00D67367">
        <w:rPr>
          <w:rFonts w:ascii="Calibri" w:cs="Calibri"/>
        </w:rPr>
        <w:t xml:space="preserve">, </w:t>
      </w:r>
      <w:r w:rsidRPr="00D67367">
        <w:rPr>
          <w:rFonts w:ascii="Calibri" w:cs="Calibri"/>
          <w:i/>
          <w:iCs/>
        </w:rPr>
        <w:t>46</w:t>
      </w:r>
      <w:r w:rsidRPr="00D67367">
        <w:rPr>
          <w:rFonts w:ascii="Calibri" w:cs="Calibri"/>
        </w:rPr>
        <w:t>(4), 909–920. https://doi.org/10.2753/JEI0021-3624460404</w:t>
      </w:r>
    </w:p>
    <w:p w14:paraId="3C91AC37" w14:textId="77777777" w:rsidR="003E6D5B" w:rsidRPr="00D67367" w:rsidRDefault="003E6D5B" w:rsidP="003E6D5B">
      <w:pPr>
        <w:pStyle w:val="Bibliography"/>
        <w:rPr>
          <w:rFonts w:ascii="Calibri" w:cs="Calibri"/>
        </w:rPr>
      </w:pPr>
      <w:r w:rsidRPr="00D67367">
        <w:rPr>
          <w:rFonts w:ascii="Calibri" w:cs="Calibri"/>
        </w:rPr>
        <w:t xml:space="preserve">Westley, F. R., Tjornbo, O., Schultz, L., Olsson, P., Folke, C., Crona, B., &amp; Bodin, Ö. (2013). A Theory of Transformative Agency in Linked Social-Ecological Systems. </w:t>
      </w:r>
      <w:r w:rsidRPr="00D67367">
        <w:rPr>
          <w:rFonts w:ascii="Calibri" w:cs="Calibri"/>
          <w:i/>
          <w:iCs/>
        </w:rPr>
        <w:t>Ecology and Society</w:t>
      </w:r>
      <w:r w:rsidRPr="00D67367">
        <w:rPr>
          <w:rFonts w:ascii="Calibri" w:cs="Calibri"/>
        </w:rPr>
        <w:t xml:space="preserve">, </w:t>
      </w:r>
      <w:r w:rsidRPr="00D67367">
        <w:rPr>
          <w:rFonts w:ascii="Calibri" w:cs="Calibri"/>
          <w:i/>
          <w:iCs/>
        </w:rPr>
        <w:t>18</w:t>
      </w:r>
      <w:r w:rsidRPr="00D67367">
        <w:rPr>
          <w:rFonts w:ascii="Calibri" w:cs="Calibri"/>
        </w:rPr>
        <w:t>(3). Retrieved from https://www.jstor.org/stable/26269375</w:t>
      </w:r>
    </w:p>
    <w:p w14:paraId="3B887C4B" w14:textId="1502B57B" w:rsidR="003E6D5B" w:rsidRPr="00D67367" w:rsidRDefault="003E6D5B" w:rsidP="003E6D5B">
      <w:pPr>
        <w:pStyle w:val="Bibliography"/>
        <w:rPr>
          <w:rFonts w:ascii="Calibri" w:cs="Calibri"/>
        </w:rPr>
      </w:pPr>
      <w:r w:rsidRPr="00D67367">
        <w:rPr>
          <w:rFonts w:ascii="Calibri" w:cs="Calibri"/>
        </w:rPr>
        <w:t xml:space="preserve">Wolfram, M. (2016). Conceptualizing urban transformative capacity: A framework for research and policy. </w:t>
      </w:r>
      <w:r w:rsidRPr="00D67367">
        <w:rPr>
          <w:rFonts w:ascii="Calibri" w:cs="Calibri"/>
          <w:i/>
          <w:iCs/>
        </w:rPr>
        <w:t>Cities</w:t>
      </w:r>
      <w:r w:rsidRPr="00D67367">
        <w:rPr>
          <w:rFonts w:ascii="Calibri" w:cs="Calibri"/>
        </w:rPr>
        <w:t xml:space="preserve">, </w:t>
      </w:r>
      <w:r w:rsidRPr="00D67367">
        <w:rPr>
          <w:rFonts w:ascii="Calibri" w:cs="Calibri"/>
          <w:i/>
          <w:iCs/>
        </w:rPr>
        <w:t>51</w:t>
      </w:r>
      <w:r w:rsidRPr="00D67367">
        <w:rPr>
          <w:rFonts w:ascii="Calibri" w:cs="Calibri"/>
        </w:rPr>
        <w:t xml:space="preserve">(December 2018), 121–130. </w:t>
      </w:r>
      <w:hyperlink r:id="rId23" w:history="1">
        <w:r w:rsidR="00974115" w:rsidRPr="00D67367">
          <w:rPr>
            <w:rStyle w:val="Hyperlink"/>
            <w:rFonts w:ascii="Calibri" w:cs="Calibri"/>
          </w:rPr>
          <w:t>https://doi.org/10.1016/j.cities.2015.11.011</w:t>
        </w:r>
      </w:hyperlink>
    </w:p>
    <w:p w14:paraId="533F2166" w14:textId="77777777" w:rsidR="00974115" w:rsidRPr="00D67367" w:rsidRDefault="00974115" w:rsidP="00974115"/>
    <w:p w14:paraId="5CDF2083" w14:textId="77777777" w:rsidR="00113517" w:rsidRPr="00D67367" w:rsidRDefault="00113517" w:rsidP="00974115"/>
    <w:p w14:paraId="4F224DEC" w14:textId="5D66C2E8" w:rsidR="00974115" w:rsidRPr="00D67367" w:rsidRDefault="00974115" w:rsidP="00974115"/>
    <w:p w14:paraId="6D872CBB" w14:textId="77777777" w:rsidR="00113517" w:rsidRPr="00D67367" w:rsidRDefault="00113517" w:rsidP="00113517"/>
    <w:p w14:paraId="2EBCE76A" w14:textId="77777777" w:rsidR="00113517" w:rsidRPr="00D67367" w:rsidRDefault="00113517" w:rsidP="00113517"/>
    <w:p w14:paraId="378BB2D2" w14:textId="77777777" w:rsidR="00113517" w:rsidRPr="00D67367" w:rsidRDefault="00113517" w:rsidP="00113517"/>
    <w:p w14:paraId="1811F676" w14:textId="77777777" w:rsidR="00113517" w:rsidRPr="00D67367" w:rsidRDefault="00113517" w:rsidP="00113517"/>
    <w:p w14:paraId="3424B867" w14:textId="3B194922" w:rsidR="00113517" w:rsidRPr="00D67367" w:rsidRDefault="00113517" w:rsidP="00B73376">
      <w:pPr>
        <w:sectPr w:rsidR="00113517" w:rsidRPr="00D67367" w:rsidSect="0024740B">
          <w:pgSz w:w="11906" w:h="16838"/>
          <w:pgMar w:top="1440" w:right="1440" w:bottom="1440" w:left="1440" w:header="708" w:footer="708" w:gutter="0"/>
          <w:cols w:space="708"/>
          <w:docGrid w:linePitch="360"/>
        </w:sectPr>
      </w:pPr>
    </w:p>
    <w:tbl>
      <w:tblPr>
        <w:tblW w:w="14034" w:type="dxa"/>
        <w:tblLook w:val="04A0" w:firstRow="1" w:lastRow="0" w:firstColumn="1" w:lastColumn="0" w:noHBand="0" w:noVBand="1"/>
      </w:tblPr>
      <w:tblGrid>
        <w:gridCol w:w="4820"/>
        <w:gridCol w:w="9214"/>
      </w:tblGrid>
      <w:tr w:rsidR="00113517" w:rsidRPr="00D67367" w14:paraId="17DA0A05" w14:textId="77777777" w:rsidTr="00113517">
        <w:trPr>
          <w:trHeight w:val="300"/>
        </w:trPr>
        <w:tc>
          <w:tcPr>
            <w:tcW w:w="4820" w:type="dxa"/>
            <w:tcBorders>
              <w:top w:val="nil"/>
              <w:left w:val="nil"/>
              <w:bottom w:val="nil"/>
              <w:right w:val="nil"/>
            </w:tcBorders>
            <w:shd w:val="clear" w:color="auto" w:fill="auto"/>
            <w:noWrap/>
            <w:hideMark/>
          </w:tcPr>
          <w:p w14:paraId="7F88FA1C" w14:textId="1A3088AC" w:rsidR="00113517" w:rsidRPr="00D67367" w:rsidRDefault="00113517" w:rsidP="00113517">
            <w:r w:rsidRPr="00D67367">
              <w:lastRenderedPageBreak/>
              <w:t>Reviewed weblinks</w:t>
            </w:r>
          </w:p>
          <w:p w14:paraId="4BBE09F1" w14:textId="77777777" w:rsidR="00113517" w:rsidRPr="00D67367" w:rsidRDefault="00113517" w:rsidP="00113517"/>
          <w:p w14:paraId="789C3698" w14:textId="77777777" w:rsidR="00113517" w:rsidRPr="00D67367" w:rsidRDefault="00113517" w:rsidP="00113517">
            <w:pPr>
              <w:rPr>
                <w:rFonts w:ascii="Times New Roman" w:eastAsia="Times New Roman" w:hAnsi="Times New Roman" w:cs="Times New Roman"/>
                <w:kern w:val="0"/>
                <w:sz w:val="16"/>
                <w:szCs w:val="16"/>
                <w:lang w:eastAsia="en-GB"/>
                <w14:ligatures w14:val="none"/>
              </w:rPr>
            </w:pPr>
          </w:p>
        </w:tc>
        <w:tc>
          <w:tcPr>
            <w:tcW w:w="9214" w:type="dxa"/>
            <w:tcBorders>
              <w:top w:val="nil"/>
              <w:left w:val="nil"/>
              <w:bottom w:val="nil"/>
              <w:right w:val="nil"/>
            </w:tcBorders>
            <w:shd w:val="clear" w:color="auto" w:fill="auto"/>
            <w:noWrap/>
            <w:hideMark/>
          </w:tcPr>
          <w:p w14:paraId="1BE769FF" w14:textId="77777777" w:rsidR="00113517" w:rsidRPr="00D82287" w:rsidRDefault="00113517" w:rsidP="00113517">
            <w:pPr>
              <w:rPr>
                <w:rFonts w:ascii="Times New Roman" w:eastAsia="Times New Roman" w:hAnsi="Times New Roman" w:cs="Times New Roman"/>
                <w:kern w:val="0"/>
                <w:sz w:val="16"/>
                <w:szCs w:val="16"/>
                <w:lang w:eastAsia="en-GB"/>
                <w14:ligatures w14:val="none"/>
              </w:rPr>
            </w:pPr>
          </w:p>
        </w:tc>
      </w:tr>
      <w:tr w:rsidR="00113517" w:rsidRPr="00D67367" w14:paraId="19DFE162" w14:textId="77777777" w:rsidTr="00113517">
        <w:trPr>
          <w:trHeight w:val="300"/>
        </w:trPr>
        <w:tc>
          <w:tcPr>
            <w:tcW w:w="4820" w:type="dxa"/>
            <w:tcBorders>
              <w:top w:val="nil"/>
              <w:left w:val="nil"/>
              <w:bottom w:val="single" w:sz="4" w:space="0" w:color="BFBFBF"/>
              <w:right w:val="nil"/>
            </w:tcBorders>
            <w:shd w:val="clear" w:color="auto" w:fill="auto"/>
            <w:noWrap/>
            <w:hideMark/>
          </w:tcPr>
          <w:p w14:paraId="22BF2601"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r w:rsidRPr="00D82287">
              <w:rPr>
                <w:rFonts w:ascii="Calibri" w:eastAsia="Times New Roman" w:hAnsi="Calibri" w:cs="Calibri"/>
                <w:b/>
                <w:bCs/>
                <w:color w:val="000000"/>
                <w:kern w:val="0"/>
                <w:sz w:val="16"/>
                <w:szCs w:val="16"/>
                <w:lang w:eastAsia="en-GB"/>
                <w14:ligatures w14:val="none"/>
              </w:rPr>
              <w:t>Sustainable Food Lab</w:t>
            </w:r>
          </w:p>
        </w:tc>
        <w:tc>
          <w:tcPr>
            <w:tcW w:w="9214" w:type="dxa"/>
            <w:tcBorders>
              <w:top w:val="nil"/>
              <w:left w:val="nil"/>
              <w:bottom w:val="single" w:sz="4" w:space="0" w:color="BFBFBF"/>
              <w:right w:val="nil"/>
            </w:tcBorders>
            <w:shd w:val="clear" w:color="auto" w:fill="auto"/>
            <w:noWrap/>
            <w:hideMark/>
          </w:tcPr>
          <w:p w14:paraId="1A21B31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0F40792" w14:textId="77777777" w:rsidTr="00113517">
        <w:trPr>
          <w:trHeight w:val="300"/>
        </w:trPr>
        <w:tc>
          <w:tcPr>
            <w:tcW w:w="4820" w:type="dxa"/>
            <w:tcBorders>
              <w:top w:val="nil"/>
              <w:left w:val="nil"/>
              <w:bottom w:val="single" w:sz="4" w:space="0" w:color="BFBFBF"/>
              <w:right w:val="nil"/>
            </w:tcBorders>
            <w:shd w:val="clear" w:color="auto" w:fill="auto"/>
            <w:noWrap/>
            <w:hideMark/>
          </w:tcPr>
          <w:p w14:paraId="3CD61B4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Keeping Change Moving When Everything Stops  Sustainable Food L</w:t>
            </w:r>
          </w:p>
        </w:tc>
        <w:tc>
          <w:tcPr>
            <w:tcW w:w="9214" w:type="dxa"/>
            <w:tcBorders>
              <w:top w:val="nil"/>
              <w:left w:val="nil"/>
              <w:bottom w:val="single" w:sz="4" w:space="0" w:color="BFBFBF"/>
              <w:right w:val="nil"/>
            </w:tcBorders>
            <w:shd w:val="clear" w:color="auto" w:fill="auto"/>
            <w:noWrap/>
            <w:hideMark/>
          </w:tcPr>
          <w:p w14:paraId="7CE1793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https://sustainablefoodlab.org/keeping-change-moving-when-everything-stops/</w:t>
            </w:r>
          </w:p>
        </w:tc>
      </w:tr>
      <w:tr w:rsidR="00113517" w:rsidRPr="00D67367" w14:paraId="2576E745" w14:textId="77777777" w:rsidTr="00113517">
        <w:trPr>
          <w:trHeight w:val="300"/>
        </w:trPr>
        <w:tc>
          <w:tcPr>
            <w:tcW w:w="4820" w:type="dxa"/>
            <w:tcBorders>
              <w:top w:val="nil"/>
              <w:left w:val="nil"/>
              <w:bottom w:val="single" w:sz="4" w:space="0" w:color="BFBFBF"/>
              <w:right w:val="nil"/>
            </w:tcBorders>
            <w:shd w:val="clear" w:color="auto" w:fill="auto"/>
            <w:noWrap/>
            <w:hideMark/>
          </w:tcPr>
          <w:p w14:paraId="5CD36F1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Hospice in the time of COVID  Sustainable Food Lab</w:t>
            </w:r>
          </w:p>
        </w:tc>
        <w:tc>
          <w:tcPr>
            <w:tcW w:w="9214" w:type="dxa"/>
            <w:tcBorders>
              <w:top w:val="nil"/>
              <w:left w:val="nil"/>
              <w:bottom w:val="single" w:sz="4" w:space="0" w:color="BFBFBF"/>
              <w:right w:val="nil"/>
            </w:tcBorders>
            <w:shd w:val="clear" w:color="auto" w:fill="auto"/>
            <w:noWrap/>
            <w:hideMark/>
          </w:tcPr>
          <w:p w14:paraId="3659935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https://sustainablefoodlab.org/hospice-in-the-time-of-covid/</w:t>
            </w:r>
          </w:p>
        </w:tc>
      </w:tr>
      <w:tr w:rsidR="00113517" w:rsidRPr="00D67367" w14:paraId="26877838" w14:textId="77777777" w:rsidTr="00113517">
        <w:trPr>
          <w:trHeight w:val="300"/>
        </w:trPr>
        <w:tc>
          <w:tcPr>
            <w:tcW w:w="4820" w:type="dxa"/>
            <w:tcBorders>
              <w:top w:val="nil"/>
              <w:left w:val="nil"/>
              <w:bottom w:val="single" w:sz="4" w:space="0" w:color="BFBFBF"/>
              <w:right w:val="nil"/>
            </w:tcBorders>
            <w:shd w:val="clear" w:color="auto" w:fill="auto"/>
            <w:noWrap/>
            <w:hideMark/>
          </w:tcPr>
          <w:p w14:paraId="5D931A6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System leadership is not just desirable; it’s necessary to deli</w:t>
            </w:r>
          </w:p>
        </w:tc>
        <w:tc>
          <w:tcPr>
            <w:tcW w:w="9214" w:type="dxa"/>
            <w:tcBorders>
              <w:top w:val="nil"/>
              <w:left w:val="nil"/>
              <w:bottom w:val="single" w:sz="4" w:space="0" w:color="BFBFBF"/>
              <w:right w:val="nil"/>
            </w:tcBorders>
            <w:shd w:val="clear" w:color="auto" w:fill="auto"/>
            <w:noWrap/>
            <w:hideMark/>
          </w:tcPr>
          <w:p w14:paraId="6F68E78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https://sustainablefoodlab.org/system-leadership-is-not-just-desirable-its-necessary-to-deliver-impact/</w:t>
            </w:r>
          </w:p>
        </w:tc>
      </w:tr>
      <w:tr w:rsidR="00113517" w:rsidRPr="00D67367" w14:paraId="2D045A8D" w14:textId="77777777" w:rsidTr="00113517">
        <w:trPr>
          <w:trHeight w:val="300"/>
        </w:trPr>
        <w:tc>
          <w:tcPr>
            <w:tcW w:w="4820" w:type="dxa"/>
            <w:tcBorders>
              <w:top w:val="nil"/>
              <w:left w:val="nil"/>
              <w:bottom w:val="single" w:sz="4" w:space="0" w:color="BFBFBF"/>
              <w:right w:val="nil"/>
            </w:tcBorders>
            <w:shd w:val="clear" w:color="auto" w:fill="auto"/>
            <w:noWrap/>
            <w:hideMark/>
          </w:tcPr>
          <w:p w14:paraId="361BC32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Scale Lab  Sustainable Food Lab</w:t>
            </w:r>
          </w:p>
        </w:tc>
        <w:tc>
          <w:tcPr>
            <w:tcW w:w="9214" w:type="dxa"/>
            <w:tcBorders>
              <w:top w:val="nil"/>
              <w:left w:val="nil"/>
              <w:bottom w:val="single" w:sz="4" w:space="0" w:color="BFBFBF"/>
              <w:right w:val="nil"/>
            </w:tcBorders>
            <w:shd w:val="clear" w:color="auto" w:fill="auto"/>
            <w:noWrap/>
            <w:hideMark/>
          </w:tcPr>
          <w:p w14:paraId="621A7B9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https://sustainablefoodlab.org/scale-lab/#1585854336034-845de88a-fb44d4df-47f1acf8-9071</w:t>
            </w:r>
          </w:p>
        </w:tc>
      </w:tr>
      <w:tr w:rsidR="00113517" w:rsidRPr="00D67367" w14:paraId="13E76049" w14:textId="77777777" w:rsidTr="00113517">
        <w:trPr>
          <w:trHeight w:val="300"/>
        </w:trPr>
        <w:tc>
          <w:tcPr>
            <w:tcW w:w="4820" w:type="dxa"/>
            <w:tcBorders>
              <w:top w:val="nil"/>
              <w:left w:val="nil"/>
              <w:bottom w:val="single" w:sz="4" w:space="0" w:color="BFBFBF"/>
              <w:right w:val="nil"/>
            </w:tcBorders>
            <w:shd w:val="clear" w:color="auto" w:fill="auto"/>
            <w:noWrap/>
            <w:hideMark/>
          </w:tcPr>
          <w:p w14:paraId="1B128F0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Soil Health Leadership Lab Continues to Grow  Sustainable Food</w:t>
            </w:r>
          </w:p>
        </w:tc>
        <w:tc>
          <w:tcPr>
            <w:tcW w:w="9214" w:type="dxa"/>
            <w:tcBorders>
              <w:top w:val="nil"/>
              <w:left w:val="nil"/>
              <w:bottom w:val="single" w:sz="4" w:space="0" w:color="BFBFBF"/>
              <w:right w:val="nil"/>
            </w:tcBorders>
            <w:shd w:val="clear" w:color="auto" w:fill="auto"/>
            <w:noWrap/>
            <w:hideMark/>
          </w:tcPr>
          <w:p w14:paraId="3205645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https://sustainablefoodlab.org/soil-health-leadership-lab-continues-to-grow/</w:t>
            </w:r>
          </w:p>
        </w:tc>
      </w:tr>
      <w:tr w:rsidR="00113517" w:rsidRPr="00D67367" w14:paraId="6D6F1F55" w14:textId="77777777" w:rsidTr="00113517">
        <w:trPr>
          <w:trHeight w:val="300"/>
        </w:trPr>
        <w:tc>
          <w:tcPr>
            <w:tcW w:w="4820" w:type="dxa"/>
            <w:tcBorders>
              <w:top w:val="nil"/>
              <w:left w:val="nil"/>
              <w:bottom w:val="single" w:sz="4" w:space="0" w:color="BFBFBF"/>
              <w:right w:val="nil"/>
            </w:tcBorders>
            <w:shd w:val="clear" w:color="auto" w:fill="auto"/>
            <w:noWrap/>
            <w:hideMark/>
          </w:tcPr>
          <w:p w14:paraId="2E657B9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Shared-Approach-Small-Holder-Performance-Measurement-Common-Ind</w:t>
            </w:r>
          </w:p>
        </w:tc>
        <w:tc>
          <w:tcPr>
            <w:tcW w:w="9214" w:type="dxa"/>
            <w:tcBorders>
              <w:top w:val="nil"/>
              <w:left w:val="nil"/>
              <w:bottom w:val="single" w:sz="4" w:space="0" w:color="BFBFBF"/>
              <w:right w:val="nil"/>
            </w:tcBorders>
            <w:shd w:val="clear" w:color="auto" w:fill="auto"/>
            <w:noWrap/>
            <w:hideMark/>
          </w:tcPr>
          <w:p w14:paraId="0643ADC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27DB268F" w14:textId="77777777" w:rsidTr="00113517">
        <w:trPr>
          <w:trHeight w:val="300"/>
        </w:trPr>
        <w:tc>
          <w:tcPr>
            <w:tcW w:w="4820" w:type="dxa"/>
            <w:tcBorders>
              <w:top w:val="nil"/>
              <w:left w:val="nil"/>
              <w:bottom w:val="single" w:sz="4" w:space="0" w:color="BFBFBF"/>
              <w:right w:val="nil"/>
            </w:tcBorders>
            <w:shd w:val="clear" w:color="auto" w:fill="auto"/>
            <w:noWrap/>
            <w:hideMark/>
          </w:tcPr>
          <w:p w14:paraId="5B11F0D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Sustainable Vanilla Initiative (SVI) - IDH - the sustainable tr</w:t>
            </w:r>
          </w:p>
        </w:tc>
        <w:tc>
          <w:tcPr>
            <w:tcW w:w="9214" w:type="dxa"/>
            <w:tcBorders>
              <w:top w:val="nil"/>
              <w:left w:val="nil"/>
              <w:bottom w:val="single" w:sz="4" w:space="0" w:color="BFBFBF"/>
              <w:right w:val="nil"/>
            </w:tcBorders>
            <w:shd w:val="clear" w:color="auto" w:fill="auto"/>
            <w:noWrap/>
            <w:hideMark/>
          </w:tcPr>
          <w:p w14:paraId="5A52718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https://www.idhsustainabletrade.com/sustainable-vanilla-initiative-svi/</w:t>
            </w:r>
          </w:p>
        </w:tc>
      </w:tr>
      <w:tr w:rsidR="00113517" w:rsidRPr="00D67367" w14:paraId="5F446670" w14:textId="77777777" w:rsidTr="00113517">
        <w:trPr>
          <w:trHeight w:val="300"/>
        </w:trPr>
        <w:tc>
          <w:tcPr>
            <w:tcW w:w="4820" w:type="dxa"/>
            <w:tcBorders>
              <w:top w:val="nil"/>
              <w:left w:val="nil"/>
              <w:bottom w:val="single" w:sz="4" w:space="0" w:color="BFBFBF"/>
              <w:right w:val="nil"/>
            </w:tcBorders>
            <w:shd w:val="clear" w:color="auto" w:fill="auto"/>
            <w:noWrap/>
            <w:hideMark/>
          </w:tcPr>
          <w:p w14:paraId="1D630AD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Why-we-need-Metrics-and-why-Metrics-are-Dangerous-Operationaliz</w:t>
            </w:r>
          </w:p>
        </w:tc>
        <w:tc>
          <w:tcPr>
            <w:tcW w:w="9214" w:type="dxa"/>
            <w:tcBorders>
              <w:top w:val="nil"/>
              <w:left w:val="nil"/>
              <w:bottom w:val="single" w:sz="4" w:space="0" w:color="BFBFBF"/>
              <w:right w:val="nil"/>
            </w:tcBorders>
            <w:shd w:val="clear" w:color="auto" w:fill="auto"/>
            <w:noWrap/>
            <w:hideMark/>
          </w:tcPr>
          <w:p w14:paraId="7BA40AE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1357BA91" w14:textId="77777777" w:rsidTr="00113517">
        <w:trPr>
          <w:trHeight w:val="300"/>
        </w:trPr>
        <w:tc>
          <w:tcPr>
            <w:tcW w:w="4820" w:type="dxa"/>
            <w:tcBorders>
              <w:top w:val="nil"/>
              <w:left w:val="nil"/>
              <w:bottom w:val="single" w:sz="4" w:space="0" w:color="BFBFBF"/>
              <w:right w:val="nil"/>
            </w:tcBorders>
            <w:shd w:val="clear" w:color="auto" w:fill="auto"/>
            <w:noWrap/>
            <w:hideMark/>
          </w:tcPr>
          <w:p w14:paraId="5E1ABB0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2016-PM-CoP-Workshop-Report</w:t>
            </w:r>
          </w:p>
        </w:tc>
        <w:tc>
          <w:tcPr>
            <w:tcW w:w="9214" w:type="dxa"/>
            <w:tcBorders>
              <w:top w:val="nil"/>
              <w:left w:val="nil"/>
              <w:bottom w:val="single" w:sz="4" w:space="0" w:color="BFBFBF"/>
              <w:right w:val="nil"/>
            </w:tcBorders>
            <w:shd w:val="clear" w:color="auto" w:fill="auto"/>
            <w:noWrap/>
            <w:hideMark/>
          </w:tcPr>
          <w:p w14:paraId="42856A9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0631CE2" w14:textId="77777777" w:rsidTr="00113517">
        <w:trPr>
          <w:trHeight w:val="300"/>
        </w:trPr>
        <w:tc>
          <w:tcPr>
            <w:tcW w:w="4820" w:type="dxa"/>
            <w:tcBorders>
              <w:top w:val="nil"/>
              <w:left w:val="nil"/>
              <w:bottom w:val="single" w:sz="4" w:space="0" w:color="BFBFBF"/>
              <w:right w:val="nil"/>
            </w:tcBorders>
            <w:shd w:val="clear" w:color="auto" w:fill="auto"/>
            <w:noWrap/>
            <w:hideMark/>
          </w:tcPr>
          <w:p w14:paraId="279D02A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Sector Transformation  Sustainable Food Lab</w:t>
            </w:r>
          </w:p>
        </w:tc>
        <w:tc>
          <w:tcPr>
            <w:tcW w:w="9214" w:type="dxa"/>
            <w:tcBorders>
              <w:top w:val="nil"/>
              <w:left w:val="nil"/>
              <w:bottom w:val="single" w:sz="4" w:space="0" w:color="BFBFBF"/>
              <w:right w:val="nil"/>
            </w:tcBorders>
            <w:shd w:val="clear" w:color="auto" w:fill="auto"/>
            <w:noWrap/>
            <w:hideMark/>
          </w:tcPr>
          <w:p w14:paraId="4D7A859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https://sustainablefoodlab.org/sector-transformation/</w:t>
            </w:r>
          </w:p>
        </w:tc>
      </w:tr>
      <w:tr w:rsidR="00113517" w:rsidRPr="00D67367" w14:paraId="2C853CE5" w14:textId="77777777" w:rsidTr="00113517">
        <w:trPr>
          <w:trHeight w:val="300"/>
        </w:trPr>
        <w:tc>
          <w:tcPr>
            <w:tcW w:w="4820" w:type="dxa"/>
            <w:tcBorders>
              <w:top w:val="nil"/>
              <w:left w:val="nil"/>
              <w:bottom w:val="single" w:sz="4" w:space="0" w:color="BFBFBF"/>
              <w:right w:val="nil"/>
            </w:tcBorders>
            <w:shd w:val="clear" w:color="auto" w:fill="auto"/>
            <w:noWrap/>
            <w:hideMark/>
          </w:tcPr>
          <w:p w14:paraId="25580B0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SFL-LH-Chapter-4-public</w:t>
            </w:r>
          </w:p>
        </w:tc>
        <w:tc>
          <w:tcPr>
            <w:tcW w:w="9214" w:type="dxa"/>
            <w:tcBorders>
              <w:top w:val="nil"/>
              <w:left w:val="nil"/>
              <w:bottom w:val="single" w:sz="4" w:space="0" w:color="BFBFBF"/>
              <w:right w:val="nil"/>
            </w:tcBorders>
            <w:shd w:val="clear" w:color="auto" w:fill="auto"/>
            <w:noWrap/>
            <w:hideMark/>
          </w:tcPr>
          <w:p w14:paraId="3DACE2C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41123BA6" w14:textId="77777777" w:rsidTr="00113517">
        <w:trPr>
          <w:trHeight w:val="300"/>
        </w:trPr>
        <w:tc>
          <w:tcPr>
            <w:tcW w:w="4820" w:type="dxa"/>
            <w:tcBorders>
              <w:top w:val="nil"/>
              <w:left w:val="nil"/>
              <w:bottom w:val="single" w:sz="4" w:space="0" w:color="BFBFBF"/>
              <w:right w:val="nil"/>
            </w:tcBorders>
            <w:shd w:val="clear" w:color="auto" w:fill="auto"/>
            <w:noWrap/>
            <w:hideMark/>
          </w:tcPr>
          <w:p w14:paraId="0E7DEB0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SAI-Food-Lab-Water-Collaboration.webversion</w:t>
            </w:r>
          </w:p>
        </w:tc>
        <w:tc>
          <w:tcPr>
            <w:tcW w:w="9214" w:type="dxa"/>
            <w:tcBorders>
              <w:top w:val="nil"/>
              <w:left w:val="nil"/>
              <w:bottom w:val="single" w:sz="4" w:space="0" w:color="BFBFBF"/>
              <w:right w:val="nil"/>
            </w:tcBorders>
            <w:shd w:val="clear" w:color="auto" w:fill="auto"/>
            <w:noWrap/>
            <w:hideMark/>
          </w:tcPr>
          <w:p w14:paraId="0FAED44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8E9B674" w14:textId="77777777" w:rsidTr="00113517">
        <w:trPr>
          <w:trHeight w:val="300"/>
        </w:trPr>
        <w:tc>
          <w:tcPr>
            <w:tcW w:w="4820" w:type="dxa"/>
            <w:tcBorders>
              <w:top w:val="nil"/>
              <w:left w:val="nil"/>
              <w:bottom w:val="single" w:sz="4" w:space="0" w:color="BFBFBF"/>
              <w:right w:val="nil"/>
            </w:tcBorders>
            <w:shd w:val="clear" w:color="auto" w:fill="auto"/>
            <w:noWrap/>
            <w:hideMark/>
          </w:tcPr>
          <w:p w14:paraId="73872E5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An Overview of Sector Governance  Sustainable Food Lab</w:t>
            </w:r>
          </w:p>
        </w:tc>
        <w:tc>
          <w:tcPr>
            <w:tcW w:w="9214" w:type="dxa"/>
            <w:tcBorders>
              <w:top w:val="nil"/>
              <w:left w:val="nil"/>
              <w:bottom w:val="single" w:sz="4" w:space="0" w:color="BFBFBF"/>
              <w:right w:val="nil"/>
            </w:tcBorders>
            <w:shd w:val="clear" w:color="auto" w:fill="auto"/>
            <w:noWrap/>
            <w:hideMark/>
          </w:tcPr>
          <w:p w14:paraId="2408993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https://sustainablefoodlab.org/an-overview-of-sector-governance/</w:t>
            </w:r>
          </w:p>
        </w:tc>
      </w:tr>
      <w:tr w:rsidR="00113517" w:rsidRPr="00D67367" w14:paraId="76B69101" w14:textId="77777777" w:rsidTr="00113517">
        <w:trPr>
          <w:trHeight w:val="300"/>
        </w:trPr>
        <w:tc>
          <w:tcPr>
            <w:tcW w:w="4820" w:type="dxa"/>
            <w:tcBorders>
              <w:top w:val="nil"/>
              <w:left w:val="nil"/>
              <w:bottom w:val="single" w:sz="4" w:space="0" w:color="BFBFBF"/>
              <w:right w:val="nil"/>
            </w:tcBorders>
            <w:shd w:val="clear" w:color="auto" w:fill="auto"/>
            <w:noWrap/>
            <w:hideMark/>
          </w:tcPr>
          <w:p w14:paraId="39096F2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A View of the Future While Standing in the Mud  Sustainable Foo</w:t>
            </w:r>
          </w:p>
        </w:tc>
        <w:tc>
          <w:tcPr>
            <w:tcW w:w="9214" w:type="dxa"/>
            <w:tcBorders>
              <w:top w:val="nil"/>
              <w:left w:val="nil"/>
              <w:bottom w:val="single" w:sz="4" w:space="0" w:color="BFBFBF"/>
              <w:right w:val="nil"/>
            </w:tcBorders>
            <w:shd w:val="clear" w:color="auto" w:fill="auto"/>
            <w:noWrap/>
            <w:hideMark/>
          </w:tcPr>
          <w:p w14:paraId="39FB3F4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5C16CC4" w14:textId="77777777" w:rsidTr="00113517">
        <w:trPr>
          <w:trHeight w:val="300"/>
        </w:trPr>
        <w:tc>
          <w:tcPr>
            <w:tcW w:w="4820" w:type="dxa"/>
            <w:tcBorders>
              <w:top w:val="nil"/>
              <w:left w:val="nil"/>
              <w:bottom w:val="single" w:sz="4" w:space="0" w:color="BFBFBF"/>
              <w:right w:val="nil"/>
            </w:tcBorders>
            <w:shd w:val="clear" w:color="auto" w:fill="auto"/>
            <w:noWrap/>
            <w:hideMark/>
          </w:tcPr>
          <w:p w14:paraId="54E5BEE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Next  Stop  for  Impact  Lab  Fellows  How  Managed  Markets  M</w:t>
            </w:r>
          </w:p>
        </w:tc>
        <w:tc>
          <w:tcPr>
            <w:tcW w:w="9214" w:type="dxa"/>
            <w:tcBorders>
              <w:top w:val="nil"/>
              <w:left w:val="nil"/>
              <w:bottom w:val="single" w:sz="4" w:space="0" w:color="BFBFBF"/>
              <w:right w:val="nil"/>
            </w:tcBorders>
            <w:shd w:val="clear" w:color="auto" w:fill="auto"/>
            <w:noWrap/>
            <w:hideMark/>
          </w:tcPr>
          <w:p w14:paraId="0CD8D71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https://sustainablefoodlab.org/next-stop-for-impact-lab-fellows-how-managed-markets-might-enable-farmers-to-make-sustainability-investments/</w:t>
            </w:r>
          </w:p>
        </w:tc>
      </w:tr>
      <w:tr w:rsidR="00113517" w:rsidRPr="00D67367" w14:paraId="5370E34E" w14:textId="77777777" w:rsidTr="00113517">
        <w:trPr>
          <w:trHeight w:val="300"/>
        </w:trPr>
        <w:tc>
          <w:tcPr>
            <w:tcW w:w="4820" w:type="dxa"/>
            <w:tcBorders>
              <w:top w:val="nil"/>
              <w:left w:val="nil"/>
              <w:bottom w:val="single" w:sz="4" w:space="0" w:color="BFBFBF"/>
              <w:right w:val="nil"/>
            </w:tcBorders>
            <w:shd w:val="clear" w:color="auto" w:fill="auto"/>
            <w:noWrap/>
            <w:hideMark/>
          </w:tcPr>
          <w:p w14:paraId="1876975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Sector-Governance-Short-Paper-Jan2018v2</w:t>
            </w:r>
          </w:p>
        </w:tc>
        <w:tc>
          <w:tcPr>
            <w:tcW w:w="9214" w:type="dxa"/>
            <w:tcBorders>
              <w:top w:val="nil"/>
              <w:left w:val="nil"/>
              <w:bottom w:val="single" w:sz="4" w:space="0" w:color="BFBFBF"/>
              <w:right w:val="nil"/>
            </w:tcBorders>
            <w:shd w:val="clear" w:color="auto" w:fill="auto"/>
            <w:noWrap/>
            <w:hideMark/>
          </w:tcPr>
          <w:p w14:paraId="18997D8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6708EEB4" w14:textId="77777777" w:rsidTr="00113517">
        <w:trPr>
          <w:trHeight w:val="300"/>
        </w:trPr>
        <w:tc>
          <w:tcPr>
            <w:tcW w:w="4820" w:type="dxa"/>
            <w:tcBorders>
              <w:top w:val="nil"/>
              <w:left w:val="nil"/>
              <w:bottom w:val="single" w:sz="4" w:space="0" w:color="BFBFBF"/>
              <w:right w:val="nil"/>
            </w:tcBorders>
            <w:shd w:val="clear" w:color="auto" w:fill="auto"/>
            <w:noWrap/>
            <w:hideMark/>
          </w:tcPr>
          <w:p w14:paraId="2CCD039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Why-we-need-Metrics-and-why-Metrics-are-Dangerous-Operationaliz</w:t>
            </w:r>
          </w:p>
        </w:tc>
        <w:tc>
          <w:tcPr>
            <w:tcW w:w="9214" w:type="dxa"/>
            <w:tcBorders>
              <w:top w:val="nil"/>
              <w:left w:val="nil"/>
              <w:bottom w:val="single" w:sz="4" w:space="0" w:color="BFBFBF"/>
              <w:right w:val="nil"/>
            </w:tcBorders>
            <w:shd w:val="clear" w:color="auto" w:fill="auto"/>
            <w:noWrap/>
            <w:hideMark/>
          </w:tcPr>
          <w:p w14:paraId="500EE8E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2A6174AC" w14:textId="77777777" w:rsidTr="00113517">
        <w:trPr>
          <w:trHeight w:val="300"/>
        </w:trPr>
        <w:tc>
          <w:tcPr>
            <w:tcW w:w="4820" w:type="dxa"/>
            <w:tcBorders>
              <w:top w:val="nil"/>
              <w:left w:val="nil"/>
              <w:bottom w:val="single" w:sz="4" w:space="0" w:color="BFBFBF"/>
              <w:right w:val="nil"/>
            </w:tcBorders>
            <w:shd w:val="clear" w:color="auto" w:fill="auto"/>
            <w:noWrap/>
            <w:hideMark/>
          </w:tcPr>
          <w:p w14:paraId="5CBA6FF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SFL-LH-Chapter-1-public</w:t>
            </w:r>
          </w:p>
        </w:tc>
        <w:tc>
          <w:tcPr>
            <w:tcW w:w="9214" w:type="dxa"/>
            <w:tcBorders>
              <w:top w:val="nil"/>
              <w:left w:val="nil"/>
              <w:bottom w:val="single" w:sz="4" w:space="0" w:color="BFBFBF"/>
              <w:right w:val="nil"/>
            </w:tcBorders>
            <w:shd w:val="clear" w:color="auto" w:fill="auto"/>
            <w:noWrap/>
            <w:hideMark/>
          </w:tcPr>
          <w:p w14:paraId="77664B3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B383341" w14:textId="77777777" w:rsidTr="00113517">
        <w:trPr>
          <w:trHeight w:val="300"/>
        </w:trPr>
        <w:tc>
          <w:tcPr>
            <w:tcW w:w="4820" w:type="dxa"/>
            <w:tcBorders>
              <w:top w:val="nil"/>
              <w:left w:val="nil"/>
              <w:bottom w:val="single" w:sz="4" w:space="0" w:color="BFBFBF"/>
              <w:right w:val="nil"/>
            </w:tcBorders>
            <w:shd w:val="clear" w:color="auto" w:fill="auto"/>
            <w:noWrap/>
            <w:hideMark/>
          </w:tcPr>
          <w:p w14:paraId="77C5BA9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Pre-Competitive Collaborations  Sustainable Food Lab</w:t>
            </w:r>
          </w:p>
        </w:tc>
        <w:tc>
          <w:tcPr>
            <w:tcW w:w="9214" w:type="dxa"/>
            <w:tcBorders>
              <w:top w:val="nil"/>
              <w:left w:val="nil"/>
              <w:bottom w:val="single" w:sz="4" w:space="0" w:color="BFBFBF"/>
              <w:right w:val="nil"/>
            </w:tcBorders>
            <w:shd w:val="clear" w:color="auto" w:fill="auto"/>
            <w:noWrap/>
            <w:hideMark/>
          </w:tcPr>
          <w:p w14:paraId="7793C6A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https://sustainablefoodlab.org/how-we-work/pre-competitive-collaborations/</w:t>
            </w:r>
          </w:p>
        </w:tc>
      </w:tr>
      <w:tr w:rsidR="00113517" w:rsidRPr="00D67367" w14:paraId="2964F9C5" w14:textId="77777777" w:rsidTr="00113517">
        <w:trPr>
          <w:trHeight w:val="300"/>
        </w:trPr>
        <w:tc>
          <w:tcPr>
            <w:tcW w:w="4820" w:type="dxa"/>
            <w:tcBorders>
              <w:top w:val="nil"/>
              <w:left w:val="nil"/>
              <w:bottom w:val="single" w:sz="4" w:space="0" w:color="BFBFBF"/>
              <w:right w:val="nil"/>
            </w:tcBorders>
            <w:shd w:val="clear" w:color="auto" w:fill="auto"/>
            <w:noWrap/>
            <w:hideMark/>
          </w:tcPr>
          <w:p w14:paraId="36132EF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Values Driven Consulting  Sustainable Food Lab</w:t>
            </w:r>
          </w:p>
        </w:tc>
        <w:tc>
          <w:tcPr>
            <w:tcW w:w="9214" w:type="dxa"/>
            <w:tcBorders>
              <w:top w:val="nil"/>
              <w:left w:val="nil"/>
              <w:bottom w:val="single" w:sz="4" w:space="0" w:color="BFBFBF"/>
              <w:right w:val="nil"/>
            </w:tcBorders>
            <w:shd w:val="clear" w:color="auto" w:fill="auto"/>
            <w:noWrap/>
            <w:hideMark/>
          </w:tcPr>
          <w:p w14:paraId="18FC7D7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https://sustainablefoodlab.org/how-we-work/values-based/</w:t>
            </w:r>
          </w:p>
        </w:tc>
      </w:tr>
      <w:tr w:rsidR="00113517" w:rsidRPr="00D67367" w14:paraId="5CC6AD2E" w14:textId="77777777" w:rsidTr="00113517">
        <w:trPr>
          <w:trHeight w:val="300"/>
        </w:trPr>
        <w:tc>
          <w:tcPr>
            <w:tcW w:w="4820" w:type="dxa"/>
            <w:tcBorders>
              <w:top w:val="nil"/>
              <w:left w:val="nil"/>
              <w:bottom w:val="single" w:sz="4" w:space="0" w:color="BFBFBF"/>
              <w:right w:val="nil"/>
            </w:tcBorders>
            <w:shd w:val="clear" w:color="auto" w:fill="auto"/>
            <w:noWrap/>
            <w:hideMark/>
          </w:tcPr>
          <w:p w14:paraId="21CECA5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2018 Mexico  Sustainable Food Lab</w:t>
            </w:r>
          </w:p>
        </w:tc>
        <w:tc>
          <w:tcPr>
            <w:tcW w:w="9214" w:type="dxa"/>
            <w:tcBorders>
              <w:top w:val="nil"/>
              <w:left w:val="nil"/>
              <w:bottom w:val="single" w:sz="4" w:space="0" w:color="BFBFBF"/>
              <w:right w:val="nil"/>
            </w:tcBorders>
            <w:shd w:val="clear" w:color="auto" w:fill="auto"/>
            <w:noWrap/>
            <w:hideMark/>
          </w:tcPr>
          <w:p w14:paraId="15363CC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https://sustainablefoodlab.org/learning-journeys/2018-learning-journeys/</w:t>
            </w:r>
          </w:p>
        </w:tc>
      </w:tr>
      <w:tr w:rsidR="00113517" w:rsidRPr="00D67367" w14:paraId="6EFBF3D2" w14:textId="77777777" w:rsidTr="00113517">
        <w:trPr>
          <w:trHeight w:val="300"/>
        </w:trPr>
        <w:tc>
          <w:tcPr>
            <w:tcW w:w="4820" w:type="dxa"/>
            <w:tcBorders>
              <w:top w:val="nil"/>
              <w:left w:val="nil"/>
              <w:bottom w:val="single" w:sz="4" w:space="0" w:color="BFBFBF"/>
              <w:right w:val="nil"/>
            </w:tcBorders>
            <w:shd w:val="clear" w:color="auto" w:fill="auto"/>
            <w:noWrap/>
            <w:hideMark/>
          </w:tcPr>
          <w:p w14:paraId="4CEEA67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Learning Journeys  Sustainable Food Lab</w:t>
            </w:r>
          </w:p>
        </w:tc>
        <w:tc>
          <w:tcPr>
            <w:tcW w:w="9214" w:type="dxa"/>
            <w:tcBorders>
              <w:top w:val="nil"/>
              <w:left w:val="nil"/>
              <w:bottom w:val="single" w:sz="4" w:space="0" w:color="BFBFBF"/>
              <w:right w:val="nil"/>
            </w:tcBorders>
            <w:shd w:val="clear" w:color="auto" w:fill="auto"/>
            <w:noWrap/>
            <w:hideMark/>
          </w:tcPr>
          <w:p w14:paraId="7A74D42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https://sustainablefoodlab.org/learning-journeys/</w:t>
            </w:r>
          </w:p>
        </w:tc>
      </w:tr>
      <w:tr w:rsidR="00113517" w:rsidRPr="00D67367" w14:paraId="63E0B0CA" w14:textId="77777777" w:rsidTr="00113517">
        <w:trPr>
          <w:trHeight w:val="300"/>
        </w:trPr>
        <w:tc>
          <w:tcPr>
            <w:tcW w:w="4820" w:type="dxa"/>
            <w:tcBorders>
              <w:top w:val="nil"/>
              <w:left w:val="nil"/>
              <w:bottom w:val="single" w:sz="4" w:space="0" w:color="BFBFBF"/>
              <w:right w:val="nil"/>
            </w:tcBorders>
            <w:shd w:val="clear" w:color="auto" w:fill="auto"/>
            <w:noWrap/>
            <w:hideMark/>
          </w:tcPr>
          <w:p w14:paraId="52C5B1B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Professional Development in Systems Leadership  Sustainable Foo</w:t>
            </w:r>
          </w:p>
        </w:tc>
        <w:tc>
          <w:tcPr>
            <w:tcW w:w="9214" w:type="dxa"/>
            <w:tcBorders>
              <w:top w:val="nil"/>
              <w:left w:val="nil"/>
              <w:bottom w:val="single" w:sz="4" w:space="0" w:color="BFBFBF"/>
              <w:right w:val="nil"/>
            </w:tcBorders>
            <w:shd w:val="clear" w:color="auto" w:fill="auto"/>
            <w:noWrap/>
            <w:hideMark/>
          </w:tcPr>
          <w:p w14:paraId="053F2E5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https://sustainablefoodlab.org/how-we-work/professional-development-in-systems-leadership/</w:t>
            </w:r>
          </w:p>
        </w:tc>
      </w:tr>
      <w:tr w:rsidR="00113517" w:rsidRPr="00D67367" w14:paraId="59D3853C" w14:textId="77777777" w:rsidTr="00113517">
        <w:trPr>
          <w:trHeight w:val="300"/>
        </w:trPr>
        <w:tc>
          <w:tcPr>
            <w:tcW w:w="4820" w:type="dxa"/>
            <w:tcBorders>
              <w:top w:val="nil"/>
              <w:left w:val="nil"/>
              <w:bottom w:val="single" w:sz="4" w:space="0" w:color="BFBFBF"/>
              <w:right w:val="nil"/>
            </w:tcBorders>
            <w:shd w:val="clear" w:color="auto" w:fill="auto"/>
            <w:noWrap/>
            <w:hideMark/>
          </w:tcPr>
          <w:p w14:paraId="3DEB2DA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Work With Us  Sustainable Food Lab</w:t>
            </w:r>
          </w:p>
        </w:tc>
        <w:tc>
          <w:tcPr>
            <w:tcW w:w="9214" w:type="dxa"/>
            <w:tcBorders>
              <w:top w:val="nil"/>
              <w:left w:val="nil"/>
              <w:bottom w:val="single" w:sz="4" w:space="0" w:color="BFBFBF"/>
              <w:right w:val="nil"/>
            </w:tcBorders>
            <w:shd w:val="clear" w:color="auto" w:fill="auto"/>
            <w:noWrap/>
            <w:hideMark/>
          </w:tcPr>
          <w:p w14:paraId="0242DAE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https://sustainablefoodlab.org/how-we-work/</w:t>
            </w:r>
          </w:p>
        </w:tc>
      </w:tr>
      <w:tr w:rsidR="00113517" w:rsidRPr="00D67367" w14:paraId="76857D15" w14:textId="77777777" w:rsidTr="00113517">
        <w:trPr>
          <w:trHeight w:val="300"/>
        </w:trPr>
        <w:tc>
          <w:tcPr>
            <w:tcW w:w="4820" w:type="dxa"/>
            <w:tcBorders>
              <w:top w:val="nil"/>
              <w:left w:val="nil"/>
              <w:bottom w:val="single" w:sz="4" w:space="0" w:color="BFBFBF"/>
              <w:right w:val="nil"/>
            </w:tcBorders>
            <w:shd w:val="clear" w:color="auto" w:fill="auto"/>
            <w:noWrap/>
            <w:hideMark/>
          </w:tcPr>
          <w:p w14:paraId="22AB420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Become a Member  Sustainable Food Lab</w:t>
            </w:r>
          </w:p>
        </w:tc>
        <w:tc>
          <w:tcPr>
            <w:tcW w:w="9214" w:type="dxa"/>
            <w:tcBorders>
              <w:top w:val="nil"/>
              <w:left w:val="nil"/>
              <w:bottom w:val="single" w:sz="4" w:space="0" w:color="BFBFBF"/>
              <w:right w:val="nil"/>
            </w:tcBorders>
            <w:shd w:val="clear" w:color="auto" w:fill="auto"/>
            <w:noWrap/>
            <w:hideMark/>
          </w:tcPr>
          <w:p w14:paraId="1F11520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https://sustainablefoodlab.org/join-the-food-lab/</w:t>
            </w:r>
          </w:p>
        </w:tc>
      </w:tr>
      <w:tr w:rsidR="00113517" w:rsidRPr="00D67367" w14:paraId="7BBF278B" w14:textId="77777777" w:rsidTr="00113517">
        <w:trPr>
          <w:trHeight w:val="300"/>
        </w:trPr>
        <w:tc>
          <w:tcPr>
            <w:tcW w:w="4820" w:type="dxa"/>
            <w:tcBorders>
              <w:top w:val="nil"/>
              <w:left w:val="nil"/>
              <w:bottom w:val="single" w:sz="4" w:space="0" w:color="BFBFBF"/>
              <w:right w:val="nil"/>
            </w:tcBorders>
            <w:shd w:val="clear" w:color="auto" w:fill="auto"/>
            <w:noWrap/>
            <w:hideMark/>
          </w:tcPr>
          <w:p w14:paraId="7A1C8FF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lastRenderedPageBreak/>
              <w:t>Members &amp; Leadership Circle  Sustainable Food Lab</w:t>
            </w:r>
          </w:p>
        </w:tc>
        <w:tc>
          <w:tcPr>
            <w:tcW w:w="9214" w:type="dxa"/>
            <w:tcBorders>
              <w:top w:val="nil"/>
              <w:left w:val="nil"/>
              <w:bottom w:val="single" w:sz="4" w:space="0" w:color="BFBFBF"/>
              <w:right w:val="nil"/>
            </w:tcBorders>
            <w:shd w:val="clear" w:color="auto" w:fill="auto"/>
            <w:noWrap/>
            <w:hideMark/>
          </w:tcPr>
          <w:p w14:paraId="34CB711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https://sustainablefoodlab.org/the-food-lab/member-advisory-board/</w:t>
            </w:r>
          </w:p>
        </w:tc>
      </w:tr>
      <w:tr w:rsidR="00113517" w:rsidRPr="00D67367" w14:paraId="4DC0D812" w14:textId="77777777" w:rsidTr="00113517">
        <w:trPr>
          <w:trHeight w:val="300"/>
        </w:trPr>
        <w:tc>
          <w:tcPr>
            <w:tcW w:w="4820" w:type="dxa"/>
            <w:tcBorders>
              <w:top w:val="nil"/>
              <w:left w:val="nil"/>
              <w:bottom w:val="single" w:sz="4" w:space="0" w:color="BFBFBF"/>
              <w:right w:val="nil"/>
            </w:tcBorders>
            <w:shd w:val="clear" w:color="auto" w:fill="auto"/>
            <w:noWrap/>
            <w:hideMark/>
          </w:tcPr>
          <w:p w14:paraId="6F5D00A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Our Approach  Sustainable Food Lab</w:t>
            </w:r>
          </w:p>
        </w:tc>
        <w:tc>
          <w:tcPr>
            <w:tcW w:w="9214" w:type="dxa"/>
            <w:tcBorders>
              <w:top w:val="nil"/>
              <w:left w:val="nil"/>
              <w:bottom w:val="single" w:sz="4" w:space="0" w:color="BFBFBF"/>
              <w:right w:val="nil"/>
            </w:tcBorders>
            <w:shd w:val="clear" w:color="auto" w:fill="auto"/>
            <w:noWrap/>
            <w:hideMark/>
          </w:tcPr>
          <w:p w14:paraId="5DEFA60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https://sustainablefoodlab.org/the-food-lab/about/</w:t>
            </w:r>
          </w:p>
        </w:tc>
      </w:tr>
      <w:tr w:rsidR="00113517" w:rsidRPr="00D67367" w14:paraId="3163D7C8" w14:textId="77777777" w:rsidTr="00113517">
        <w:trPr>
          <w:trHeight w:val="300"/>
        </w:trPr>
        <w:tc>
          <w:tcPr>
            <w:tcW w:w="4820" w:type="dxa"/>
            <w:tcBorders>
              <w:top w:val="nil"/>
              <w:left w:val="nil"/>
              <w:bottom w:val="single" w:sz="4" w:space="0" w:color="BFBFBF"/>
              <w:right w:val="nil"/>
            </w:tcBorders>
            <w:shd w:val="clear" w:color="auto" w:fill="auto"/>
            <w:noWrap/>
            <w:hideMark/>
          </w:tcPr>
          <w:p w14:paraId="7A2E049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Can we really fix a screwed-up world Rebecca Henderson thinks w</w:t>
            </w:r>
          </w:p>
        </w:tc>
        <w:tc>
          <w:tcPr>
            <w:tcW w:w="9214" w:type="dxa"/>
            <w:tcBorders>
              <w:top w:val="nil"/>
              <w:left w:val="nil"/>
              <w:bottom w:val="single" w:sz="4" w:space="0" w:color="BFBFBF"/>
              <w:right w:val="nil"/>
            </w:tcBorders>
            <w:shd w:val="clear" w:color="auto" w:fill="auto"/>
            <w:noWrap/>
            <w:hideMark/>
          </w:tcPr>
          <w:p w14:paraId="52736E8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https://sustainablefoodlab.org/can-we-really-fix-a-screwed-up-world-rebecca-henderson-thinks-we-can/</w:t>
            </w:r>
          </w:p>
        </w:tc>
      </w:tr>
      <w:tr w:rsidR="00113517" w:rsidRPr="00D67367" w14:paraId="3C9A57BA" w14:textId="77777777" w:rsidTr="00113517">
        <w:trPr>
          <w:trHeight w:val="300"/>
        </w:trPr>
        <w:tc>
          <w:tcPr>
            <w:tcW w:w="4820" w:type="dxa"/>
            <w:tcBorders>
              <w:top w:val="nil"/>
              <w:left w:val="nil"/>
              <w:bottom w:val="single" w:sz="4" w:space="0" w:color="BFBFBF"/>
              <w:right w:val="nil"/>
            </w:tcBorders>
            <w:shd w:val="clear" w:color="auto" w:fill="auto"/>
            <w:noWrap/>
            <w:hideMark/>
          </w:tcPr>
          <w:p w14:paraId="5E59E9F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Hamilton_2013_Sustainable Food Lab Learning Systems_annotated</w:t>
            </w:r>
          </w:p>
        </w:tc>
        <w:tc>
          <w:tcPr>
            <w:tcW w:w="9214" w:type="dxa"/>
            <w:tcBorders>
              <w:top w:val="nil"/>
              <w:left w:val="nil"/>
              <w:bottom w:val="single" w:sz="4" w:space="0" w:color="BFBFBF"/>
              <w:right w:val="nil"/>
            </w:tcBorders>
            <w:shd w:val="clear" w:color="auto" w:fill="auto"/>
            <w:noWrap/>
            <w:hideMark/>
          </w:tcPr>
          <w:p w14:paraId="3A71D8E3"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24" w:history="1">
              <w:r w:rsidRPr="00D82287">
                <w:rPr>
                  <w:rFonts w:ascii="Calibri" w:eastAsia="Times New Roman" w:hAnsi="Calibri" w:cs="Calibri"/>
                  <w:color w:val="0563C1"/>
                  <w:kern w:val="0"/>
                  <w:sz w:val="16"/>
                  <w:szCs w:val="16"/>
                  <w:u w:val="single"/>
                  <w:lang w:eastAsia="en-GB"/>
                  <w14:ligatures w14:val="none"/>
                </w:rPr>
                <w:t xml:space="preserve">https://ifama.org/resources/Documents/v16ia/Hamilton.pdf </w:t>
              </w:r>
            </w:hyperlink>
          </w:p>
        </w:tc>
      </w:tr>
      <w:tr w:rsidR="00113517" w:rsidRPr="00D67367" w14:paraId="2191CEFA" w14:textId="77777777" w:rsidTr="00113517">
        <w:trPr>
          <w:trHeight w:val="300"/>
        </w:trPr>
        <w:tc>
          <w:tcPr>
            <w:tcW w:w="4820" w:type="dxa"/>
            <w:tcBorders>
              <w:top w:val="nil"/>
              <w:left w:val="nil"/>
              <w:bottom w:val="single" w:sz="4" w:space="0" w:color="BFBFBF"/>
              <w:right w:val="nil"/>
            </w:tcBorders>
            <w:shd w:val="clear" w:color="auto" w:fill="auto"/>
            <w:noWrap/>
            <w:hideMark/>
          </w:tcPr>
          <w:p w14:paraId="08245D8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Contact  Sustainable Food Lab</w:t>
            </w:r>
          </w:p>
        </w:tc>
        <w:tc>
          <w:tcPr>
            <w:tcW w:w="9214" w:type="dxa"/>
            <w:tcBorders>
              <w:top w:val="nil"/>
              <w:left w:val="nil"/>
              <w:bottom w:val="single" w:sz="4" w:space="0" w:color="BFBFBF"/>
              <w:right w:val="nil"/>
            </w:tcBorders>
            <w:shd w:val="clear" w:color="auto" w:fill="auto"/>
            <w:noWrap/>
            <w:hideMark/>
          </w:tcPr>
          <w:p w14:paraId="7625C20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https://sustainablefoodlab.org/contact/</w:t>
            </w:r>
          </w:p>
        </w:tc>
      </w:tr>
      <w:tr w:rsidR="00113517" w:rsidRPr="00D67367" w14:paraId="0C5B82B1" w14:textId="77777777" w:rsidTr="00113517">
        <w:trPr>
          <w:trHeight w:val="300"/>
        </w:trPr>
        <w:tc>
          <w:tcPr>
            <w:tcW w:w="4820" w:type="dxa"/>
            <w:tcBorders>
              <w:top w:val="nil"/>
              <w:left w:val="nil"/>
              <w:bottom w:val="single" w:sz="4" w:space="0" w:color="BFBFBF"/>
              <w:right w:val="nil"/>
            </w:tcBorders>
            <w:shd w:val="clear" w:color="auto" w:fill="auto"/>
            <w:noWrap/>
            <w:hideMark/>
          </w:tcPr>
          <w:p w14:paraId="71BE227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c>
          <w:tcPr>
            <w:tcW w:w="9214" w:type="dxa"/>
            <w:tcBorders>
              <w:top w:val="nil"/>
              <w:left w:val="nil"/>
              <w:bottom w:val="single" w:sz="4" w:space="0" w:color="BFBFBF"/>
              <w:right w:val="nil"/>
            </w:tcBorders>
            <w:shd w:val="clear" w:color="auto" w:fill="auto"/>
            <w:noWrap/>
            <w:hideMark/>
          </w:tcPr>
          <w:p w14:paraId="263CFA4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284938B4" w14:textId="77777777" w:rsidTr="00113517">
        <w:trPr>
          <w:trHeight w:val="300"/>
        </w:trPr>
        <w:tc>
          <w:tcPr>
            <w:tcW w:w="4820" w:type="dxa"/>
            <w:tcBorders>
              <w:top w:val="nil"/>
              <w:left w:val="nil"/>
              <w:bottom w:val="single" w:sz="4" w:space="0" w:color="BFBFBF"/>
              <w:right w:val="nil"/>
            </w:tcBorders>
            <w:shd w:val="clear" w:color="auto" w:fill="auto"/>
            <w:noWrap/>
            <w:hideMark/>
          </w:tcPr>
          <w:p w14:paraId="2DB1798C"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r w:rsidRPr="00D82287">
              <w:rPr>
                <w:rFonts w:ascii="Calibri" w:eastAsia="Times New Roman" w:hAnsi="Calibri" w:cs="Calibri"/>
                <w:b/>
                <w:bCs/>
                <w:color w:val="000000"/>
                <w:kern w:val="0"/>
                <w:sz w:val="16"/>
                <w:szCs w:val="16"/>
                <w:lang w:eastAsia="en-GB"/>
                <w14:ligatures w14:val="none"/>
              </w:rPr>
              <w:t xml:space="preserve">One Planet Business for Biodiversity </w:t>
            </w:r>
          </w:p>
        </w:tc>
        <w:tc>
          <w:tcPr>
            <w:tcW w:w="9214" w:type="dxa"/>
            <w:tcBorders>
              <w:top w:val="nil"/>
              <w:left w:val="nil"/>
              <w:bottom w:val="single" w:sz="4" w:space="0" w:color="BFBFBF"/>
              <w:right w:val="nil"/>
            </w:tcBorders>
            <w:shd w:val="clear" w:color="auto" w:fill="auto"/>
            <w:noWrap/>
            <w:hideMark/>
          </w:tcPr>
          <w:p w14:paraId="0C90C10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AAE6807" w14:textId="77777777" w:rsidTr="00113517">
        <w:trPr>
          <w:trHeight w:val="300"/>
        </w:trPr>
        <w:tc>
          <w:tcPr>
            <w:tcW w:w="4820" w:type="dxa"/>
            <w:tcBorders>
              <w:top w:val="nil"/>
              <w:left w:val="nil"/>
              <w:bottom w:val="single" w:sz="4" w:space="0" w:color="BFBFBF"/>
              <w:right w:val="nil"/>
            </w:tcBorders>
            <w:shd w:val="clear" w:color="auto" w:fill="auto"/>
            <w:noWrap/>
            <w:hideMark/>
          </w:tcPr>
          <w:p w14:paraId="1C11161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FOLU-GrowingBetter-GlobalReport</w:t>
            </w:r>
          </w:p>
        </w:tc>
        <w:tc>
          <w:tcPr>
            <w:tcW w:w="9214" w:type="dxa"/>
            <w:tcBorders>
              <w:top w:val="nil"/>
              <w:left w:val="nil"/>
              <w:bottom w:val="single" w:sz="4" w:space="0" w:color="BFBFBF"/>
              <w:right w:val="nil"/>
            </w:tcBorders>
            <w:shd w:val="clear" w:color="auto" w:fill="auto"/>
            <w:noWrap/>
            <w:hideMark/>
          </w:tcPr>
          <w:p w14:paraId="5689AC9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11749B03" w14:textId="77777777" w:rsidTr="00113517">
        <w:trPr>
          <w:trHeight w:val="300"/>
        </w:trPr>
        <w:tc>
          <w:tcPr>
            <w:tcW w:w="4820" w:type="dxa"/>
            <w:tcBorders>
              <w:top w:val="nil"/>
              <w:left w:val="nil"/>
              <w:bottom w:val="single" w:sz="4" w:space="0" w:color="BFBFBF"/>
              <w:right w:val="nil"/>
            </w:tcBorders>
            <w:shd w:val="clear" w:color="auto" w:fill="auto"/>
            <w:noWrap/>
            <w:hideMark/>
          </w:tcPr>
          <w:p w14:paraId="0FD9D29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One-Planet-Living-goals-and-guidance-for-companies-and-organisa</w:t>
            </w:r>
          </w:p>
        </w:tc>
        <w:tc>
          <w:tcPr>
            <w:tcW w:w="9214" w:type="dxa"/>
            <w:tcBorders>
              <w:top w:val="nil"/>
              <w:left w:val="nil"/>
              <w:bottom w:val="single" w:sz="4" w:space="0" w:color="BFBFBF"/>
              <w:right w:val="nil"/>
            </w:tcBorders>
            <w:shd w:val="clear" w:color="auto" w:fill="auto"/>
            <w:noWrap/>
            <w:hideMark/>
          </w:tcPr>
          <w:p w14:paraId="327018C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677E998A" w14:textId="77777777" w:rsidTr="00113517">
        <w:trPr>
          <w:trHeight w:val="300"/>
        </w:trPr>
        <w:tc>
          <w:tcPr>
            <w:tcW w:w="4820" w:type="dxa"/>
            <w:tcBorders>
              <w:top w:val="nil"/>
              <w:left w:val="nil"/>
              <w:bottom w:val="single" w:sz="4" w:space="0" w:color="BFBFBF"/>
              <w:right w:val="nil"/>
            </w:tcBorders>
            <w:shd w:val="clear" w:color="auto" w:fill="auto"/>
            <w:noWrap/>
            <w:hideMark/>
          </w:tcPr>
          <w:p w14:paraId="416B857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OP2B_Ambition_Statement</w:t>
            </w:r>
          </w:p>
        </w:tc>
        <w:tc>
          <w:tcPr>
            <w:tcW w:w="9214" w:type="dxa"/>
            <w:tcBorders>
              <w:top w:val="nil"/>
              <w:left w:val="nil"/>
              <w:bottom w:val="single" w:sz="4" w:space="0" w:color="BFBFBF"/>
              <w:right w:val="nil"/>
            </w:tcBorders>
            <w:shd w:val="clear" w:color="auto" w:fill="auto"/>
            <w:noWrap/>
            <w:hideMark/>
          </w:tcPr>
          <w:p w14:paraId="54EB71E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066BB07D" w14:textId="77777777" w:rsidTr="00113517">
        <w:trPr>
          <w:trHeight w:val="300"/>
        </w:trPr>
        <w:tc>
          <w:tcPr>
            <w:tcW w:w="4820" w:type="dxa"/>
            <w:tcBorders>
              <w:top w:val="nil"/>
              <w:left w:val="nil"/>
              <w:bottom w:val="single" w:sz="4" w:space="0" w:color="BFBFBF"/>
              <w:right w:val="nil"/>
            </w:tcBorders>
            <w:shd w:val="clear" w:color="auto" w:fill="auto"/>
            <w:noWrap/>
            <w:hideMark/>
          </w:tcPr>
          <w:p w14:paraId="7ED53A6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Improving Dairy Sustainability through feed additives and micro</w:t>
            </w:r>
          </w:p>
        </w:tc>
        <w:tc>
          <w:tcPr>
            <w:tcW w:w="9214" w:type="dxa"/>
            <w:tcBorders>
              <w:top w:val="nil"/>
              <w:left w:val="nil"/>
              <w:bottom w:val="single" w:sz="4" w:space="0" w:color="BFBFBF"/>
              <w:right w:val="nil"/>
            </w:tcBorders>
            <w:shd w:val="clear" w:color="auto" w:fill="auto"/>
            <w:noWrap/>
            <w:hideMark/>
          </w:tcPr>
          <w:p w14:paraId="552EFB4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https://op2b.org/improving-dairy-sustainability-through-feed-additives-and-micronutrient-supplementation/</w:t>
            </w:r>
          </w:p>
        </w:tc>
      </w:tr>
      <w:tr w:rsidR="00113517" w:rsidRPr="00D67367" w14:paraId="5C75AA08" w14:textId="77777777" w:rsidTr="00113517">
        <w:trPr>
          <w:trHeight w:val="300"/>
        </w:trPr>
        <w:tc>
          <w:tcPr>
            <w:tcW w:w="4820" w:type="dxa"/>
            <w:tcBorders>
              <w:top w:val="nil"/>
              <w:left w:val="nil"/>
              <w:bottom w:val="single" w:sz="4" w:space="0" w:color="BFBFBF"/>
              <w:right w:val="nil"/>
            </w:tcBorders>
            <w:shd w:val="clear" w:color="auto" w:fill="auto"/>
            <w:noWrap/>
            <w:hideMark/>
          </w:tcPr>
          <w:p w14:paraId="6C5E540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Villavicencio Nature Reserve and Ramsar Site a successful case</w:t>
            </w:r>
          </w:p>
        </w:tc>
        <w:tc>
          <w:tcPr>
            <w:tcW w:w="9214" w:type="dxa"/>
            <w:tcBorders>
              <w:top w:val="nil"/>
              <w:left w:val="nil"/>
              <w:bottom w:val="single" w:sz="4" w:space="0" w:color="BFBFBF"/>
              <w:right w:val="nil"/>
            </w:tcBorders>
            <w:shd w:val="clear" w:color="auto" w:fill="auto"/>
            <w:noWrap/>
            <w:hideMark/>
          </w:tcPr>
          <w:p w14:paraId="79CA2EE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https://op2b.org/villavicencio-nature-reserve-and-ramsar-site-a-successful-case-of-conservation-on-private-land/</w:t>
            </w:r>
          </w:p>
        </w:tc>
      </w:tr>
      <w:tr w:rsidR="00113517" w:rsidRPr="00D67367" w14:paraId="0F5955D2" w14:textId="77777777" w:rsidTr="00113517">
        <w:trPr>
          <w:trHeight w:val="300"/>
        </w:trPr>
        <w:tc>
          <w:tcPr>
            <w:tcW w:w="4820" w:type="dxa"/>
            <w:tcBorders>
              <w:top w:val="nil"/>
              <w:left w:val="nil"/>
              <w:bottom w:val="single" w:sz="4" w:space="0" w:color="BFBFBF"/>
              <w:right w:val="nil"/>
            </w:tcBorders>
            <w:shd w:val="clear" w:color="auto" w:fill="auto"/>
            <w:noWrap/>
            <w:hideMark/>
          </w:tcPr>
          <w:p w14:paraId="2908E09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Home - OP2B</w:t>
            </w:r>
          </w:p>
        </w:tc>
        <w:tc>
          <w:tcPr>
            <w:tcW w:w="9214" w:type="dxa"/>
            <w:tcBorders>
              <w:top w:val="nil"/>
              <w:left w:val="nil"/>
              <w:bottom w:val="single" w:sz="4" w:space="0" w:color="BFBFBF"/>
              <w:right w:val="nil"/>
            </w:tcBorders>
            <w:shd w:val="clear" w:color="auto" w:fill="auto"/>
            <w:noWrap/>
            <w:hideMark/>
          </w:tcPr>
          <w:p w14:paraId="549C6847"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r w:rsidRPr="00D82287">
              <w:rPr>
                <w:rFonts w:ascii="Calibri" w:eastAsia="Times New Roman" w:hAnsi="Calibri" w:cs="Calibri"/>
                <w:b/>
                <w:bCs/>
                <w:color w:val="000000"/>
                <w:kern w:val="0"/>
                <w:sz w:val="16"/>
                <w:szCs w:val="16"/>
                <w:lang w:eastAsia="en-GB"/>
                <w14:ligatures w14:val="none"/>
              </w:rPr>
              <w:t> </w:t>
            </w:r>
          </w:p>
        </w:tc>
      </w:tr>
      <w:tr w:rsidR="00113517" w:rsidRPr="00D67367" w14:paraId="263BD3A3" w14:textId="77777777" w:rsidTr="00113517">
        <w:trPr>
          <w:trHeight w:val="300"/>
        </w:trPr>
        <w:tc>
          <w:tcPr>
            <w:tcW w:w="4820" w:type="dxa"/>
            <w:tcBorders>
              <w:top w:val="nil"/>
              <w:left w:val="nil"/>
              <w:bottom w:val="single" w:sz="4" w:space="0" w:color="BFBFBF"/>
              <w:right w:val="nil"/>
            </w:tcBorders>
            <w:shd w:val="clear" w:color="auto" w:fill="auto"/>
            <w:noWrap/>
            <w:hideMark/>
          </w:tcPr>
          <w:p w14:paraId="713E0D9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Actions - OP2B</w:t>
            </w:r>
          </w:p>
        </w:tc>
        <w:tc>
          <w:tcPr>
            <w:tcW w:w="9214" w:type="dxa"/>
            <w:tcBorders>
              <w:top w:val="nil"/>
              <w:left w:val="nil"/>
              <w:bottom w:val="single" w:sz="4" w:space="0" w:color="BFBFBF"/>
              <w:right w:val="nil"/>
            </w:tcBorders>
            <w:shd w:val="clear" w:color="auto" w:fill="auto"/>
            <w:noWrap/>
            <w:hideMark/>
          </w:tcPr>
          <w:p w14:paraId="749C2B7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https://op2b.org/actions/</w:t>
            </w:r>
          </w:p>
        </w:tc>
      </w:tr>
      <w:tr w:rsidR="00113517" w:rsidRPr="00D67367" w14:paraId="445D5086" w14:textId="77777777" w:rsidTr="00113517">
        <w:trPr>
          <w:trHeight w:val="300"/>
        </w:trPr>
        <w:tc>
          <w:tcPr>
            <w:tcW w:w="4820" w:type="dxa"/>
            <w:tcBorders>
              <w:top w:val="nil"/>
              <w:left w:val="nil"/>
              <w:bottom w:val="single" w:sz="4" w:space="0" w:color="BFBFBF"/>
              <w:right w:val="nil"/>
            </w:tcBorders>
            <w:shd w:val="clear" w:color="auto" w:fill="auto"/>
            <w:noWrap/>
            <w:hideMark/>
          </w:tcPr>
          <w:p w14:paraId="6032ED9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c>
          <w:tcPr>
            <w:tcW w:w="9214" w:type="dxa"/>
            <w:tcBorders>
              <w:top w:val="nil"/>
              <w:left w:val="nil"/>
              <w:bottom w:val="single" w:sz="4" w:space="0" w:color="BFBFBF"/>
              <w:right w:val="nil"/>
            </w:tcBorders>
            <w:shd w:val="clear" w:color="auto" w:fill="auto"/>
            <w:noWrap/>
            <w:hideMark/>
          </w:tcPr>
          <w:p w14:paraId="1CD2218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C730E86" w14:textId="77777777" w:rsidTr="00113517">
        <w:trPr>
          <w:trHeight w:val="300"/>
        </w:trPr>
        <w:tc>
          <w:tcPr>
            <w:tcW w:w="4820" w:type="dxa"/>
            <w:tcBorders>
              <w:top w:val="nil"/>
              <w:left w:val="nil"/>
              <w:bottom w:val="single" w:sz="4" w:space="0" w:color="BFBFBF"/>
              <w:right w:val="nil"/>
            </w:tcBorders>
            <w:shd w:val="clear" w:color="auto" w:fill="auto"/>
            <w:noWrap/>
            <w:hideMark/>
          </w:tcPr>
          <w:p w14:paraId="4AE6F0A8"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r w:rsidRPr="00D82287">
              <w:rPr>
                <w:rFonts w:ascii="Calibri" w:eastAsia="Times New Roman" w:hAnsi="Calibri" w:cs="Calibri"/>
                <w:b/>
                <w:bCs/>
                <w:color w:val="000000"/>
                <w:kern w:val="0"/>
                <w:sz w:val="16"/>
                <w:szCs w:val="16"/>
                <w:lang w:eastAsia="en-GB"/>
                <w14:ligatures w14:val="none"/>
              </w:rPr>
              <w:t xml:space="preserve">Global Investors for sustainable Development </w:t>
            </w:r>
          </w:p>
        </w:tc>
        <w:tc>
          <w:tcPr>
            <w:tcW w:w="9214" w:type="dxa"/>
            <w:tcBorders>
              <w:top w:val="nil"/>
              <w:left w:val="nil"/>
              <w:bottom w:val="single" w:sz="4" w:space="0" w:color="BFBFBF"/>
              <w:right w:val="nil"/>
            </w:tcBorders>
            <w:shd w:val="clear" w:color="auto" w:fill="auto"/>
            <w:noWrap/>
            <w:hideMark/>
          </w:tcPr>
          <w:p w14:paraId="18AB3DE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49A1C850" w14:textId="77777777" w:rsidTr="00113517">
        <w:trPr>
          <w:trHeight w:val="300"/>
        </w:trPr>
        <w:tc>
          <w:tcPr>
            <w:tcW w:w="4820" w:type="dxa"/>
            <w:tcBorders>
              <w:top w:val="nil"/>
              <w:left w:val="nil"/>
              <w:bottom w:val="single" w:sz="4" w:space="0" w:color="BFBFBF"/>
              <w:right w:val="nil"/>
            </w:tcBorders>
            <w:shd w:val="clear" w:color="auto" w:fill="auto"/>
            <w:noWrap/>
            <w:hideMark/>
          </w:tcPr>
          <w:p w14:paraId="650126A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 members call for COVID-19 bonds issuance  Global Investors</w:t>
            </w:r>
          </w:p>
        </w:tc>
        <w:tc>
          <w:tcPr>
            <w:tcW w:w="9214" w:type="dxa"/>
            <w:tcBorders>
              <w:top w:val="nil"/>
              <w:left w:val="nil"/>
              <w:bottom w:val="single" w:sz="4" w:space="0" w:color="BFBFBF"/>
              <w:right w:val="nil"/>
            </w:tcBorders>
            <w:shd w:val="clear" w:color="auto" w:fill="auto"/>
            <w:noWrap/>
            <w:hideMark/>
          </w:tcPr>
          <w:p w14:paraId="7835F91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https://www.gisdalliance.org/news/gisd-members-call-covid-19-bonds-issuance</w:t>
            </w:r>
          </w:p>
        </w:tc>
      </w:tr>
      <w:tr w:rsidR="00113517" w:rsidRPr="00D67367" w14:paraId="72CCD4D6" w14:textId="77777777" w:rsidTr="00113517">
        <w:trPr>
          <w:trHeight w:val="300"/>
        </w:trPr>
        <w:tc>
          <w:tcPr>
            <w:tcW w:w="4820" w:type="dxa"/>
            <w:tcBorders>
              <w:top w:val="nil"/>
              <w:left w:val="nil"/>
              <w:bottom w:val="single" w:sz="4" w:space="0" w:color="BFBFBF"/>
              <w:right w:val="nil"/>
            </w:tcBorders>
            <w:shd w:val="clear" w:color="auto" w:fill="auto"/>
            <w:noWrap/>
            <w:hideMark/>
          </w:tcPr>
          <w:p w14:paraId="5E8E808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Private sector leaders commit to mobilizing resources to build</w:t>
            </w:r>
          </w:p>
        </w:tc>
        <w:tc>
          <w:tcPr>
            <w:tcW w:w="9214" w:type="dxa"/>
            <w:tcBorders>
              <w:top w:val="nil"/>
              <w:left w:val="nil"/>
              <w:bottom w:val="single" w:sz="4" w:space="0" w:color="BFBFBF"/>
              <w:right w:val="nil"/>
            </w:tcBorders>
            <w:shd w:val="clear" w:color="auto" w:fill="auto"/>
            <w:noWrap/>
            <w:hideMark/>
          </w:tcPr>
          <w:p w14:paraId="1BE672B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https://www.gisdalliance.org/news/private-sector-leaders-commit-mobilizing-resources-build-back-better-covid-19</w:t>
            </w:r>
          </w:p>
        </w:tc>
      </w:tr>
      <w:tr w:rsidR="00113517" w:rsidRPr="00D67367" w14:paraId="50063B41" w14:textId="77777777" w:rsidTr="00113517">
        <w:trPr>
          <w:trHeight w:val="300"/>
        </w:trPr>
        <w:tc>
          <w:tcPr>
            <w:tcW w:w="4820" w:type="dxa"/>
            <w:tcBorders>
              <w:top w:val="nil"/>
              <w:left w:val="nil"/>
              <w:bottom w:val="single" w:sz="4" w:space="0" w:color="BFBFBF"/>
              <w:right w:val="nil"/>
            </w:tcBorders>
            <w:shd w:val="clear" w:color="auto" w:fill="auto"/>
            <w:noWrap/>
            <w:hideMark/>
          </w:tcPr>
          <w:p w14:paraId="44A4A03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FAQ  Global Investors for Sustainable Development Alliance</w:t>
            </w:r>
          </w:p>
        </w:tc>
        <w:tc>
          <w:tcPr>
            <w:tcW w:w="9214" w:type="dxa"/>
            <w:tcBorders>
              <w:top w:val="nil"/>
              <w:left w:val="nil"/>
              <w:bottom w:val="single" w:sz="4" w:space="0" w:color="BFBFBF"/>
              <w:right w:val="nil"/>
            </w:tcBorders>
            <w:shd w:val="clear" w:color="auto" w:fill="auto"/>
            <w:noWrap/>
            <w:hideMark/>
          </w:tcPr>
          <w:p w14:paraId="7AA2BBA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https://www.gisdalliance.org/faq</w:t>
            </w:r>
          </w:p>
        </w:tc>
      </w:tr>
      <w:tr w:rsidR="00113517" w:rsidRPr="00D67367" w14:paraId="057EC69D" w14:textId="77777777" w:rsidTr="00113517">
        <w:trPr>
          <w:trHeight w:val="300"/>
        </w:trPr>
        <w:tc>
          <w:tcPr>
            <w:tcW w:w="4820" w:type="dxa"/>
            <w:tcBorders>
              <w:top w:val="nil"/>
              <w:left w:val="nil"/>
              <w:bottom w:val="single" w:sz="4" w:space="0" w:color="BFBFBF"/>
              <w:right w:val="nil"/>
            </w:tcBorders>
            <w:shd w:val="clear" w:color="auto" w:fill="auto"/>
            <w:noWrap/>
            <w:hideMark/>
          </w:tcPr>
          <w:p w14:paraId="1A1C060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GISD_Dialogue with Member States 14 Oct_Informal Summary_27 Oct</w:t>
            </w:r>
          </w:p>
        </w:tc>
        <w:tc>
          <w:tcPr>
            <w:tcW w:w="9214" w:type="dxa"/>
            <w:tcBorders>
              <w:top w:val="nil"/>
              <w:left w:val="nil"/>
              <w:bottom w:val="single" w:sz="4" w:space="0" w:color="BFBFBF"/>
              <w:right w:val="nil"/>
            </w:tcBorders>
            <w:shd w:val="clear" w:color="auto" w:fill="auto"/>
            <w:noWrap/>
            <w:hideMark/>
          </w:tcPr>
          <w:p w14:paraId="401F2297"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25" w:history="1">
              <w:r w:rsidRPr="00D82287">
                <w:rPr>
                  <w:rFonts w:ascii="Calibri" w:eastAsia="Times New Roman" w:hAnsi="Calibri" w:cs="Calibri"/>
                  <w:color w:val="0563C1"/>
                  <w:kern w:val="0"/>
                  <w:sz w:val="16"/>
                  <w:szCs w:val="16"/>
                  <w:u w:val="single"/>
                  <w:lang w:eastAsia="en-GB"/>
                  <w14:ligatures w14:val="none"/>
                </w:rPr>
                <w:t>https://www.gisdalliance.org/sites/default/files/2020-10/GISD_Dialogue%20with%20Member%20States%2014%20Oct_Informal%20Summary_27%20Oct.pdf</w:t>
              </w:r>
            </w:hyperlink>
          </w:p>
        </w:tc>
      </w:tr>
      <w:tr w:rsidR="00113517" w:rsidRPr="00D67367" w14:paraId="427D8D08" w14:textId="77777777" w:rsidTr="00113517">
        <w:trPr>
          <w:trHeight w:val="300"/>
        </w:trPr>
        <w:tc>
          <w:tcPr>
            <w:tcW w:w="4820" w:type="dxa"/>
            <w:tcBorders>
              <w:top w:val="nil"/>
              <w:left w:val="nil"/>
              <w:bottom w:val="single" w:sz="4" w:space="0" w:color="BFBFBF"/>
              <w:right w:val="nil"/>
            </w:tcBorders>
            <w:shd w:val="clear" w:color="auto" w:fill="auto"/>
            <w:noWrap/>
            <w:hideMark/>
          </w:tcPr>
          <w:p w14:paraId="6B961AA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 Alliance releases report calling for accelerated funding f</w:t>
            </w:r>
          </w:p>
        </w:tc>
        <w:tc>
          <w:tcPr>
            <w:tcW w:w="9214" w:type="dxa"/>
            <w:tcBorders>
              <w:top w:val="nil"/>
              <w:left w:val="nil"/>
              <w:bottom w:val="single" w:sz="4" w:space="0" w:color="BFBFBF"/>
              <w:right w:val="nil"/>
            </w:tcBorders>
            <w:shd w:val="clear" w:color="auto" w:fill="auto"/>
            <w:noWrap/>
            <w:hideMark/>
          </w:tcPr>
          <w:p w14:paraId="7889332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https://www.gisdalliance.org/news/gisd-alliance-releases-report-calling-accelerated-funding-sdgs</w:t>
            </w:r>
          </w:p>
        </w:tc>
      </w:tr>
      <w:tr w:rsidR="00113517" w:rsidRPr="00D67367" w14:paraId="28D60AB0" w14:textId="77777777" w:rsidTr="00113517">
        <w:trPr>
          <w:trHeight w:val="300"/>
        </w:trPr>
        <w:tc>
          <w:tcPr>
            <w:tcW w:w="4820" w:type="dxa"/>
            <w:tcBorders>
              <w:top w:val="nil"/>
              <w:left w:val="nil"/>
              <w:bottom w:val="single" w:sz="4" w:space="0" w:color="BFBFBF"/>
              <w:right w:val="nil"/>
            </w:tcBorders>
            <w:shd w:val="clear" w:color="auto" w:fill="auto"/>
            <w:noWrap/>
            <w:hideMark/>
          </w:tcPr>
          <w:p w14:paraId="6598489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Broader financial system incentives Banks rating agencies and m</w:t>
            </w:r>
          </w:p>
        </w:tc>
        <w:tc>
          <w:tcPr>
            <w:tcW w:w="9214" w:type="dxa"/>
            <w:tcBorders>
              <w:top w:val="nil"/>
              <w:left w:val="nil"/>
              <w:bottom w:val="single" w:sz="4" w:space="0" w:color="BFBFBF"/>
              <w:right w:val="nil"/>
            </w:tcBorders>
            <w:shd w:val="clear" w:color="auto" w:fill="auto"/>
            <w:noWrap/>
            <w:hideMark/>
          </w:tcPr>
          <w:p w14:paraId="1E25BD2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https://www.gisdalliance.org/our-work/mobilize-resources/broader-financial-system-incentives-banks-rating-agencies-and-more</w:t>
            </w:r>
          </w:p>
        </w:tc>
      </w:tr>
      <w:tr w:rsidR="00113517" w:rsidRPr="00D67367" w14:paraId="648CB946" w14:textId="77777777" w:rsidTr="00113517">
        <w:trPr>
          <w:trHeight w:val="300"/>
        </w:trPr>
        <w:tc>
          <w:tcPr>
            <w:tcW w:w="4820" w:type="dxa"/>
            <w:tcBorders>
              <w:top w:val="nil"/>
              <w:left w:val="nil"/>
              <w:bottom w:val="single" w:sz="4" w:space="0" w:color="BFBFBF"/>
              <w:right w:val="nil"/>
            </w:tcBorders>
            <w:shd w:val="clear" w:color="auto" w:fill="auto"/>
            <w:noWrap/>
            <w:hideMark/>
          </w:tcPr>
          <w:p w14:paraId="3664B80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Incentives of institutional investors asset owners and asset ma</w:t>
            </w:r>
          </w:p>
        </w:tc>
        <w:tc>
          <w:tcPr>
            <w:tcW w:w="9214" w:type="dxa"/>
            <w:tcBorders>
              <w:top w:val="nil"/>
              <w:left w:val="nil"/>
              <w:bottom w:val="single" w:sz="4" w:space="0" w:color="BFBFBF"/>
              <w:right w:val="nil"/>
            </w:tcBorders>
            <w:shd w:val="clear" w:color="auto" w:fill="auto"/>
            <w:noWrap/>
            <w:hideMark/>
          </w:tcPr>
          <w:p w14:paraId="50F510A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https://www.gisdalliance.org/our-work/mobilize-resources/incentives-institutional-investors-asset-owners-and-asset-managers</w:t>
            </w:r>
          </w:p>
        </w:tc>
      </w:tr>
      <w:tr w:rsidR="00113517" w:rsidRPr="00D67367" w14:paraId="4BD8E5DD" w14:textId="77777777" w:rsidTr="00113517">
        <w:trPr>
          <w:trHeight w:val="300"/>
        </w:trPr>
        <w:tc>
          <w:tcPr>
            <w:tcW w:w="4820" w:type="dxa"/>
            <w:tcBorders>
              <w:top w:val="nil"/>
              <w:left w:val="nil"/>
              <w:bottom w:val="single" w:sz="4" w:space="0" w:color="BFBFBF"/>
              <w:right w:val="nil"/>
            </w:tcBorders>
            <w:shd w:val="clear" w:color="auto" w:fill="auto"/>
            <w:noWrap/>
            <w:hideMark/>
          </w:tcPr>
          <w:p w14:paraId="05AC8DC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Short-term pressures across non-financial corporations  Global</w:t>
            </w:r>
          </w:p>
        </w:tc>
        <w:tc>
          <w:tcPr>
            <w:tcW w:w="9214" w:type="dxa"/>
            <w:tcBorders>
              <w:top w:val="nil"/>
              <w:left w:val="nil"/>
              <w:bottom w:val="single" w:sz="4" w:space="0" w:color="BFBFBF"/>
              <w:right w:val="nil"/>
            </w:tcBorders>
            <w:shd w:val="clear" w:color="auto" w:fill="auto"/>
            <w:noWrap/>
            <w:hideMark/>
          </w:tcPr>
          <w:p w14:paraId="47C7822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https://www.gisdalliance.org/our-work/mobilize-resources/short-term-pressures-across-non-financial-corporations</w:t>
            </w:r>
          </w:p>
        </w:tc>
      </w:tr>
      <w:tr w:rsidR="00113517" w:rsidRPr="00D67367" w14:paraId="58FFB703" w14:textId="77777777" w:rsidTr="00113517">
        <w:trPr>
          <w:trHeight w:val="300"/>
        </w:trPr>
        <w:tc>
          <w:tcPr>
            <w:tcW w:w="4820" w:type="dxa"/>
            <w:tcBorders>
              <w:top w:val="nil"/>
              <w:left w:val="nil"/>
              <w:bottom w:val="single" w:sz="4" w:space="0" w:color="BFBFBF"/>
              <w:right w:val="nil"/>
            </w:tcBorders>
            <w:shd w:val="clear" w:color="auto" w:fill="auto"/>
            <w:noWrap/>
            <w:hideMark/>
          </w:tcPr>
          <w:p w14:paraId="5AF7250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Regulatory reform  Global Investors for Sustainable Development</w:t>
            </w:r>
          </w:p>
        </w:tc>
        <w:tc>
          <w:tcPr>
            <w:tcW w:w="9214" w:type="dxa"/>
            <w:tcBorders>
              <w:top w:val="nil"/>
              <w:left w:val="nil"/>
              <w:bottom w:val="single" w:sz="4" w:space="0" w:color="BFBFBF"/>
              <w:right w:val="nil"/>
            </w:tcBorders>
            <w:shd w:val="clear" w:color="auto" w:fill="auto"/>
            <w:noWrap/>
            <w:hideMark/>
          </w:tcPr>
          <w:p w14:paraId="5653696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https://www.gisdalliance.org/our-work/mobilize-resources/regulatory-reform</w:t>
            </w:r>
          </w:p>
        </w:tc>
      </w:tr>
      <w:tr w:rsidR="00113517" w:rsidRPr="00D67367" w14:paraId="1C2827C7" w14:textId="77777777" w:rsidTr="00113517">
        <w:trPr>
          <w:trHeight w:val="300"/>
        </w:trPr>
        <w:tc>
          <w:tcPr>
            <w:tcW w:w="4820" w:type="dxa"/>
            <w:tcBorders>
              <w:top w:val="nil"/>
              <w:left w:val="nil"/>
              <w:bottom w:val="single" w:sz="4" w:space="0" w:color="BFBFBF"/>
              <w:right w:val="nil"/>
            </w:tcBorders>
            <w:shd w:val="clear" w:color="auto" w:fill="auto"/>
            <w:noWrap/>
            <w:hideMark/>
          </w:tcPr>
          <w:p w14:paraId="651CCE1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Identifying obstacles to investment  Global Investors for Susta</w:t>
            </w:r>
          </w:p>
        </w:tc>
        <w:tc>
          <w:tcPr>
            <w:tcW w:w="9214" w:type="dxa"/>
            <w:tcBorders>
              <w:top w:val="nil"/>
              <w:left w:val="nil"/>
              <w:bottom w:val="single" w:sz="4" w:space="0" w:color="BFBFBF"/>
              <w:right w:val="nil"/>
            </w:tcBorders>
            <w:shd w:val="clear" w:color="auto" w:fill="auto"/>
            <w:noWrap/>
            <w:hideMark/>
          </w:tcPr>
          <w:p w14:paraId="1D1A7C8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https://www.gisdalliance.org/our-work/identifying-obstacles-investment</w:t>
            </w:r>
          </w:p>
        </w:tc>
      </w:tr>
      <w:tr w:rsidR="00113517" w:rsidRPr="00D67367" w14:paraId="1E5942AC" w14:textId="77777777" w:rsidTr="00113517">
        <w:trPr>
          <w:trHeight w:val="300"/>
        </w:trPr>
        <w:tc>
          <w:tcPr>
            <w:tcW w:w="4820" w:type="dxa"/>
            <w:tcBorders>
              <w:top w:val="nil"/>
              <w:left w:val="nil"/>
              <w:bottom w:val="single" w:sz="4" w:space="0" w:color="BFBFBF"/>
              <w:right w:val="nil"/>
            </w:tcBorders>
            <w:shd w:val="clear" w:color="auto" w:fill="auto"/>
            <w:noWrap/>
            <w:hideMark/>
          </w:tcPr>
          <w:p w14:paraId="4B8AC3E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Moving the money - New platforms and instruments  Global Invest</w:t>
            </w:r>
          </w:p>
        </w:tc>
        <w:tc>
          <w:tcPr>
            <w:tcW w:w="9214" w:type="dxa"/>
            <w:tcBorders>
              <w:top w:val="nil"/>
              <w:left w:val="nil"/>
              <w:bottom w:val="single" w:sz="4" w:space="0" w:color="BFBFBF"/>
              <w:right w:val="nil"/>
            </w:tcBorders>
            <w:shd w:val="clear" w:color="auto" w:fill="auto"/>
            <w:noWrap/>
            <w:hideMark/>
          </w:tcPr>
          <w:p w14:paraId="2589464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https://www.gisdalliance.org/our-work/moving-money-new-platforms-and-instruments</w:t>
            </w:r>
          </w:p>
        </w:tc>
      </w:tr>
      <w:tr w:rsidR="00113517" w:rsidRPr="00D67367" w14:paraId="6F54EC86" w14:textId="77777777" w:rsidTr="00113517">
        <w:trPr>
          <w:trHeight w:val="300"/>
        </w:trPr>
        <w:tc>
          <w:tcPr>
            <w:tcW w:w="4820" w:type="dxa"/>
            <w:tcBorders>
              <w:top w:val="nil"/>
              <w:left w:val="nil"/>
              <w:bottom w:val="single" w:sz="4" w:space="0" w:color="BFBFBF"/>
              <w:right w:val="nil"/>
            </w:tcBorders>
            <w:shd w:val="clear" w:color="auto" w:fill="auto"/>
            <w:noWrap/>
            <w:hideMark/>
          </w:tcPr>
          <w:p w14:paraId="615F7B2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Create Impact  Global Investors for Sustainable Development All</w:t>
            </w:r>
          </w:p>
        </w:tc>
        <w:tc>
          <w:tcPr>
            <w:tcW w:w="9214" w:type="dxa"/>
            <w:tcBorders>
              <w:top w:val="nil"/>
              <w:left w:val="nil"/>
              <w:bottom w:val="single" w:sz="4" w:space="0" w:color="BFBFBF"/>
              <w:right w:val="nil"/>
            </w:tcBorders>
            <w:shd w:val="clear" w:color="auto" w:fill="auto"/>
            <w:noWrap/>
            <w:hideMark/>
          </w:tcPr>
          <w:p w14:paraId="270469A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https://www.gisdalliance.org/our-work/create-impact</w:t>
            </w:r>
          </w:p>
        </w:tc>
      </w:tr>
      <w:tr w:rsidR="00113517" w:rsidRPr="00D67367" w14:paraId="09700EC5" w14:textId="77777777" w:rsidTr="00113517">
        <w:trPr>
          <w:trHeight w:val="300"/>
        </w:trPr>
        <w:tc>
          <w:tcPr>
            <w:tcW w:w="4820" w:type="dxa"/>
            <w:tcBorders>
              <w:top w:val="nil"/>
              <w:left w:val="nil"/>
              <w:bottom w:val="single" w:sz="4" w:space="0" w:color="BFBFBF"/>
              <w:right w:val="nil"/>
            </w:tcBorders>
            <w:shd w:val="clear" w:color="auto" w:fill="auto"/>
            <w:noWrap/>
            <w:hideMark/>
          </w:tcPr>
          <w:p w14:paraId="2802C2D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lastRenderedPageBreak/>
              <w:t>Scale-up Investment  Global Investors for Sustainable Developme</w:t>
            </w:r>
          </w:p>
        </w:tc>
        <w:tc>
          <w:tcPr>
            <w:tcW w:w="9214" w:type="dxa"/>
            <w:tcBorders>
              <w:top w:val="nil"/>
              <w:left w:val="nil"/>
              <w:bottom w:val="single" w:sz="4" w:space="0" w:color="BFBFBF"/>
              <w:right w:val="nil"/>
            </w:tcBorders>
            <w:shd w:val="clear" w:color="auto" w:fill="auto"/>
            <w:noWrap/>
            <w:hideMark/>
          </w:tcPr>
          <w:p w14:paraId="0CFAB7F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https://www.gisdalliance.org/our-work/scale-investment</w:t>
            </w:r>
          </w:p>
        </w:tc>
      </w:tr>
      <w:tr w:rsidR="00113517" w:rsidRPr="00D67367" w14:paraId="72466EB9" w14:textId="77777777" w:rsidTr="00113517">
        <w:trPr>
          <w:trHeight w:val="300"/>
        </w:trPr>
        <w:tc>
          <w:tcPr>
            <w:tcW w:w="4820" w:type="dxa"/>
            <w:tcBorders>
              <w:top w:val="nil"/>
              <w:left w:val="nil"/>
              <w:bottom w:val="single" w:sz="4" w:space="0" w:color="BFBFBF"/>
              <w:right w:val="nil"/>
            </w:tcBorders>
            <w:shd w:val="clear" w:color="auto" w:fill="auto"/>
            <w:noWrap/>
            <w:hideMark/>
          </w:tcPr>
          <w:p w14:paraId="2AF34A1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Mobilize Finance and Investment  Global Investors for Sustainab</w:t>
            </w:r>
          </w:p>
        </w:tc>
        <w:tc>
          <w:tcPr>
            <w:tcW w:w="9214" w:type="dxa"/>
            <w:tcBorders>
              <w:top w:val="nil"/>
              <w:left w:val="nil"/>
              <w:bottom w:val="single" w:sz="4" w:space="0" w:color="BFBFBF"/>
              <w:right w:val="nil"/>
            </w:tcBorders>
            <w:shd w:val="clear" w:color="auto" w:fill="auto"/>
            <w:noWrap/>
            <w:hideMark/>
          </w:tcPr>
          <w:p w14:paraId="526E733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https://www.gisdalliance.org/our-work/mobilize-finance-investment</w:t>
            </w:r>
          </w:p>
        </w:tc>
      </w:tr>
      <w:tr w:rsidR="00113517" w:rsidRPr="00D67367" w14:paraId="28C4F65D" w14:textId="77777777" w:rsidTr="00113517">
        <w:trPr>
          <w:trHeight w:val="300"/>
        </w:trPr>
        <w:tc>
          <w:tcPr>
            <w:tcW w:w="4820" w:type="dxa"/>
            <w:tcBorders>
              <w:top w:val="nil"/>
              <w:left w:val="nil"/>
              <w:bottom w:val="single" w:sz="4" w:space="0" w:color="BFBFBF"/>
              <w:right w:val="nil"/>
            </w:tcBorders>
            <w:shd w:val="clear" w:color="auto" w:fill="auto"/>
            <w:noWrap/>
            <w:hideMark/>
          </w:tcPr>
          <w:p w14:paraId="1312B16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Home  Global Investors for Sustainable Development Alliance</w:t>
            </w:r>
          </w:p>
        </w:tc>
        <w:tc>
          <w:tcPr>
            <w:tcW w:w="9214" w:type="dxa"/>
            <w:tcBorders>
              <w:top w:val="nil"/>
              <w:left w:val="nil"/>
              <w:bottom w:val="single" w:sz="4" w:space="0" w:color="BFBFBF"/>
              <w:right w:val="nil"/>
            </w:tcBorders>
            <w:shd w:val="clear" w:color="auto" w:fill="auto"/>
            <w:noWrap/>
            <w:hideMark/>
          </w:tcPr>
          <w:p w14:paraId="4F2DBD5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https://www.gisdalliance.org/</w:t>
            </w:r>
          </w:p>
        </w:tc>
      </w:tr>
      <w:tr w:rsidR="00113517" w:rsidRPr="00D67367" w14:paraId="43A083B0" w14:textId="77777777" w:rsidTr="00113517">
        <w:trPr>
          <w:trHeight w:val="300"/>
        </w:trPr>
        <w:tc>
          <w:tcPr>
            <w:tcW w:w="4820" w:type="dxa"/>
            <w:tcBorders>
              <w:top w:val="nil"/>
              <w:left w:val="nil"/>
              <w:bottom w:val="single" w:sz="4" w:space="0" w:color="BFBFBF"/>
              <w:right w:val="nil"/>
            </w:tcBorders>
            <w:shd w:val="clear" w:color="auto" w:fill="auto"/>
            <w:noWrap/>
            <w:hideMark/>
          </w:tcPr>
          <w:p w14:paraId="272C262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Renewed, Recharged and Reinforced (GISD 2020)_vF</w:t>
            </w:r>
          </w:p>
        </w:tc>
        <w:tc>
          <w:tcPr>
            <w:tcW w:w="9214" w:type="dxa"/>
            <w:tcBorders>
              <w:top w:val="nil"/>
              <w:left w:val="nil"/>
              <w:bottom w:val="single" w:sz="4" w:space="0" w:color="BFBFBF"/>
              <w:right w:val="nil"/>
            </w:tcBorders>
            <w:shd w:val="clear" w:color="auto" w:fill="auto"/>
            <w:noWrap/>
            <w:hideMark/>
          </w:tcPr>
          <w:p w14:paraId="63BF7962"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26" w:history="1">
              <w:r w:rsidRPr="00D82287">
                <w:rPr>
                  <w:rFonts w:ascii="Calibri" w:eastAsia="Times New Roman" w:hAnsi="Calibri" w:cs="Calibri"/>
                  <w:color w:val="0563C1"/>
                  <w:kern w:val="0"/>
                  <w:sz w:val="16"/>
                  <w:szCs w:val="16"/>
                  <w:u w:val="single"/>
                  <w:lang w:eastAsia="en-GB"/>
                  <w14:ligatures w14:val="none"/>
                </w:rPr>
                <w:t xml:space="preserve">https://www.gisdalliance.org/sites/default/files/2020-09/Renewed%2C%20Recharged%20and%20Reinforced%20%28GISD%202020%29_vF.pdf </w:t>
              </w:r>
            </w:hyperlink>
          </w:p>
        </w:tc>
      </w:tr>
      <w:tr w:rsidR="00113517" w:rsidRPr="00D67367" w14:paraId="7518EA13" w14:textId="77777777" w:rsidTr="00113517">
        <w:trPr>
          <w:trHeight w:val="300"/>
        </w:trPr>
        <w:tc>
          <w:tcPr>
            <w:tcW w:w="4820" w:type="dxa"/>
            <w:tcBorders>
              <w:top w:val="nil"/>
              <w:left w:val="nil"/>
              <w:bottom w:val="single" w:sz="4" w:space="0" w:color="BFBFBF"/>
              <w:right w:val="nil"/>
            </w:tcBorders>
            <w:shd w:val="clear" w:color="auto" w:fill="auto"/>
            <w:noWrap/>
            <w:hideMark/>
          </w:tcPr>
          <w:p w14:paraId="7FE8BDA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 Home  Financing for Sustainable Development Office</w:t>
            </w:r>
          </w:p>
        </w:tc>
        <w:tc>
          <w:tcPr>
            <w:tcW w:w="9214" w:type="dxa"/>
            <w:tcBorders>
              <w:top w:val="nil"/>
              <w:left w:val="nil"/>
              <w:bottom w:val="single" w:sz="4" w:space="0" w:color="BFBFBF"/>
              <w:right w:val="nil"/>
            </w:tcBorders>
            <w:shd w:val="clear" w:color="auto" w:fill="auto"/>
            <w:noWrap/>
            <w:hideMark/>
          </w:tcPr>
          <w:p w14:paraId="1EC134F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https://www.un.org/development/desa/financing/what-we-do/other/global-investors-for-sustainable-development-alliance/GISD-home</w:t>
            </w:r>
          </w:p>
        </w:tc>
      </w:tr>
      <w:tr w:rsidR="00113517" w:rsidRPr="00D67367" w14:paraId="14E90C4C" w14:textId="77777777" w:rsidTr="00113517">
        <w:trPr>
          <w:trHeight w:val="300"/>
        </w:trPr>
        <w:tc>
          <w:tcPr>
            <w:tcW w:w="4820" w:type="dxa"/>
            <w:tcBorders>
              <w:top w:val="nil"/>
              <w:left w:val="nil"/>
              <w:bottom w:val="single" w:sz="4" w:space="0" w:color="BFBFBF"/>
              <w:right w:val="nil"/>
            </w:tcBorders>
            <w:shd w:val="clear" w:color="auto" w:fill="auto"/>
            <w:noWrap/>
            <w:hideMark/>
          </w:tcPr>
          <w:p w14:paraId="57D8C3A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Contact  Financing for Sustainable Development Office</w:t>
            </w:r>
          </w:p>
        </w:tc>
        <w:tc>
          <w:tcPr>
            <w:tcW w:w="9214" w:type="dxa"/>
            <w:tcBorders>
              <w:top w:val="nil"/>
              <w:left w:val="nil"/>
              <w:bottom w:val="single" w:sz="4" w:space="0" w:color="BFBFBF"/>
              <w:right w:val="nil"/>
            </w:tcBorders>
            <w:shd w:val="clear" w:color="auto" w:fill="auto"/>
            <w:noWrap/>
            <w:hideMark/>
          </w:tcPr>
          <w:p w14:paraId="31D6B4F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https://www.un.org/development/desa/financing/contact/gisd_form</w:t>
            </w:r>
          </w:p>
        </w:tc>
      </w:tr>
      <w:tr w:rsidR="00113517" w:rsidRPr="00D67367" w14:paraId="3458D349" w14:textId="77777777" w:rsidTr="00113517">
        <w:trPr>
          <w:trHeight w:val="300"/>
        </w:trPr>
        <w:tc>
          <w:tcPr>
            <w:tcW w:w="4820" w:type="dxa"/>
            <w:tcBorders>
              <w:top w:val="nil"/>
              <w:left w:val="nil"/>
              <w:bottom w:val="single" w:sz="4" w:space="0" w:color="BFBFBF"/>
              <w:right w:val="nil"/>
            </w:tcBorders>
            <w:shd w:val="clear" w:color="auto" w:fill="auto"/>
            <w:noWrap/>
            <w:hideMark/>
          </w:tcPr>
          <w:p w14:paraId="4B898BA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Outcomes  Financing for Sustainable Development Office</w:t>
            </w:r>
          </w:p>
        </w:tc>
        <w:tc>
          <w:tcPr>
            <w:tcW w:w="9214" w:type="dxa"/>
            <w:tcBorders>
              <w:top w:val="nil"/>
              <w:left w:val="nil"/>
              <w:bottom w:val="single" w:sz="4" w:space="0" w:color="BFBFBF"/>
              <w:right w:val="nil"/>
            </w:tcBorders>
            <w:shd w:val="clear" w:color="auto" w:fill="auto"/>
            <w:noWrap/>
            <w:hideMark/>
          </w:tcPr>
          <w:p w14:paraId="76BFBA3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https://www.un.org/development/desa/financing/what-we-do/other/global-investors-for-sustainable-development-alliance/outcomes</w:t>
            </w:r>
          </w:p>
        </w:tc>
      </w:tr>
      <w:tr w:rsidR="00113517" w:rsidRPr="00D67367" w14:paraId="3C5FCB93" w14:textId="77777777" w:rsidTr="00113517">
        <w:trPr>
          <w:trHeight w:val="300"/>
        </w:trPr>
        <w:tc>
          <w:tcPr>
            <w:tcW w:w="4820" w:type="dxa"/>
            <w:tcBorders>
              <w:top w:val="nil"/>
              <w:left w:val="nil"/>
              <w:bottom w:val="single" w:sz="4" w:space="0" w:color="BFBFBF"/>
              <w:right w:val="nil"/>
            </w:tcBorders>
            <w:shd w:val="clear" w:color="auto" w:fill="auto"/>
            <w:noWrap/>
            <w:hideMark/>
          </w:tcPr>
          <w:p w14:paraId="4EAE6D9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Events  Financing for Sustainable Development Office</w:t>
            </w:r>
          </w:p>
        </w:tc>
        <w:tc>
          <w:tcPr>
            <w:tcW w:w="9214" w:type="dxa"/>
            <w:tcBorders>
              <w:top w:val="nil"/>
              <w:left w:val="nil"/>
              <w:bottom w:val="single" w:sz="4" w:space="0" w:color="BFBFBF"/>
              <w:right w:val="nil"/>
            </w:tcBorders>
            <w:shd w:val="clear" w:color="auto" w:fill="auto"/>
            <w:noWrap/>
            <w:hideMark/>
          </w:tcPr>
          <w:p w14:paraId="14AFEE9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https://www.un.org/development/desa/financing/what-we-do/other/global-investors-for-sustainable-development-alliance/events</w:t>
            </w:r>
          </w:p>
        </w:tc>
      </w:tr>
      <w:tr w:rsidR="00113517" w:rsidRPr="00D67367" w14:paraId="14A965DC" w14:textId="77777777" w:rsidTr="00113517">
        <w:trPr>
          <w:trHeight w:val="300"/>
        </w:trPr>
        <w:tc>
          <w:tcPr>
            <w:tcW w:w="4820" w:type="dxa"/>
            <w:tcBorders>
              <w:top w:val="nil"/>
              <w:left w:val="nil"/>
              <w:bottom w:val="single" w:sz="4" w:space="0" w:color="BFBFBF"/>
              <w:right w:val="nil"/>
            </w:tcBorders>
            <w:shd w:val="clear" w:color="auto" w:fill="auto"/>
            <w:noWrap/>
            <w:hideMark/>
          </w:tcPr>
          <w:p w14:paraId="4211A84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Members  Financing for Sustainable Development Office</w:t>
            </w:r>
          </w:p>
        </w:tc>
        <w:tc>
          <w:tcPr>
            <w:tcW w:w="9214" w:type="dxa"/>
            <w:tcBorders>
              <w:top w:val="nil"/>
              <w:left w:val="nil"/>
              <w:bottom w:val="single" w:sz="4" w:space="0" w:color="BFBFBF"/>
              <w:right w:val="nil"/>
            </w:tcBorders>
            <w:shd w:val="clear" w:color="auto" w:fill="auto"/>
            <w:noWrap/>
            <w:hideMark/>
          </w:tcPr>
          <w:p w14:paraId="3A70CE5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https://www.un.org/development/desa/financing/what-we-do/other/global-investors-for-sustainable-development-alliance/members</w:t>
            </w:r>
          </w:p>
        </w:tc>
      </w:tr>
      <w:tr w:rsidR="00113517" w:rsidRPr="00D67367" w14:paraId="643CCD64" w14:textId="77777777" w:rsidTr="00113517">
        <w:trPr>
          <w:trHeight w:val="300"/>
        </w:trPr>
        <w:tc>
          <w:tcPr>
            <w:tcW w:w="4820" w:type="dxa"/>
            <w:tcBorders>
              <w:top w:val="nil"/>
              <w:left w:val="nil"/>
              <w:bottom w:val="single" w:sz="4" w:space="0" w:color="BFBFBF"/>
              <w:right w:val="nil"/>
            </w:tcBorders>
            <w:shd w:val="clear" w:color="auto" w:fill="auto"/>
            <w:noWrap/>
            <w:hideMark/>
          </w:tcPr>
          <w:p w14:paraId="41B5528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About GISD  Financing for Sustainable Development Office</w:t>
            </w:r>
          </w:p>
        </w:tc>
        <w:tc>
          <w:tcPr>
            <w:tcW w:w="9214" w:type="dxa"/>
            <w:tcBorders>
              <w:top w:val="nil"/>
              <w:left w:val="nil"/>
              <w:bottom w:val="single" w:sz="4" w:space="0" w:color="BFBFBF"/>
              <w:right w:val="nil"/>
            </w:tcBorders>
            <w:shd w:val="clear" w:color="auto" w:fill="auto"/>
            <w:noWrap/>
            <w:hideMark/>
          </w:tcPr>
          <w:p w14:paraId="642B17C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https://www.un.org/development/desa/financing/what-we-do/other/global-investors-for-sustainable-development-alliance/about-GISD</w:t>
            </w:r>
          </w:p>
        </w:tc>
      </w:tr>
      <w:tr w:rsidR="00113517" w:rsidRPr="00D67367" w14:paraId="40B6E7C9" w14:textId="77777777" w:rsidTr="00113517">
        <w:trPr>
          <w:trHeight w:val="300"/>
        </w:trPr>
        <w:tc>
          <w:tcPr>
            <w:tcW w:w="4820" w:type="dxa"/>
            <w:tcBorders>
              <w:top w:val="nil"/>
              <w:left w:val="nil"/>
              <w:bottom w:val="single" w:sz="4" w:space="0" w:color="BFBFBF"/>
              <w:right w:val="nil"/>
            </w:tcBorders>
            <w:shd w:val="clear" w:color="auto" w:fill="auto"/>
            <w:noWrap/>
            <w:hideMark/>
          </w:tcPr>
          <w:p w14:paraId="0BA05ED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GISD-1015-report</w:t>
            </w:r>
          </w:p>
        </w:tc>
        <w:tc>
          <w:tcPr>
            <w:tcW w:w="9214" w:type="dxa"/>
            <w:tcBorders>
              <w:top w:val="nil"/>
              <w:left w:val="nil"/>
              <w:bottom w:val="single" w:sz="4" w:space="0" w:color="BFBFBF"/>
              <w:right w:val="nil"/>
            </w:tcBorders>
            <w:shd w:val="clear" w:color="auto" w:fill="auto"/>
            <w:noWrap/>
            <w:hideMark/>
          </w:tcPr>
          <w:p w14:paraId="2262BB4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309F7343" w14:textId="77777777" w:rsidTr="00113517">
        <w:trPr>
          <w:trHeight w:val="300"/>
        </w:trPr>
        <w:tc>
          <w:tcPr>
            <w:tcW w:w="4820" w:type="dxa"/>
            <w:tcBorders>
              <w:top w:val="nil"/>
              <w:left w:val="nil"/>
              <w:bottom w:val="single" w:sz="4" w:space="0" w:color="BFBFBF"/>
              <w:right w:val="nil"/>
            </w:tcBorders>
            <w:shd w:val="clear" w:color="auto" w:fill="auto"/>
            <w:noWrap/>
            <w:hideMark/>
          </w:tcPr>
          <w:p w14:paraId="43E6D9D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GISD-Background</w:t>
            </w:r>
          </w:p>
        </w:tc>
        <w:tc>
          <w:tcPr>
            <w:tcW w:w="9214" w:type="dxa"/>
            <w:tcBorders>
              <w:top w:val="nil"/>
              <w:left w:val="nil"/>
              <w:bottom w:val="single" w:sz="4" w:space="0" w:color="BFBFBF"/>
              <w:right w:val="nil"/>
            </w:tcBorders>
            <w:shd w:val="clear" w:color="auto" w:fill="auto"/>
            <w:noWrap/>
            <w:hideMark/>
          </w:tcPr>
          <w:p w14:paraId="0A3F11E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1F73724A" w14:textId="77777777" w:rsidTr="00113517">
        <w:trPr>
          <w:trHeight w:val="300"/>
        </w:trPr>
        <w:tc>
          <w:tcPr>
            <w:tcW w:w="4820" w:type="dxa"/>
            <w:tcBorders>
              <w:top w:val="nil"/>
              <w:left w:val="nil"/>
              <w:bottom w:val="single" w:sz="4" w:space="0" w:color="BFBFBF"/>
              <w:right w:val="nil"/>
            </w:tcBorders>
            <w:shd w:val="clear" w:color="auto" w:fill="auto"/>
            <w:noWrap/>
            <w:hideMark/>
          </w:tcPr>
          <w:p w14:paraId="701593B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GISD-joint-statement</w:t>
            </w:r>
          </w:p>
        </w:tc>
        <w:tc>
          <w:tcPr>
            <w:tcW w:w="9214" w:type="dxa"/>
            <w:tcBorders>
              <w:top w:val="nil"/>
              <w:left w:val="nil"/>
              <w:bottom w:val="nil"/>
              <w:right w:val="nil"/>
            </w:tcBorders>
            <w:shd w:val="clear" w:color="auto" w:fill="auto"/>
            <w:noWrap/>
            <w:hideMark/>
          </w:tcPr>
          <w:p w14:paraId="06D11DDE"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27" w:history="1">
              <w:r w:rsidRPr="00D82287">
                <w:rPr>
                  <w:rFonts w:ascii="Calibri" w:eastAsia="Times New Roman" w:hAnsi="Calibri" w:cs="Calibri"/>
                  <w:color w:val="0563C1"/>
                  <w:kern w:val="0"/>
                  <w:sz w:val="16"/>
                  <w:szCs w:val="16"/>
                  <w:u w:val="single"/>
                  <w:lang w:eastAsia="en-GB"/>
                  <w14:ligatures w14:val="none"/>
                </w:rPr>
                <w:t xml:space="preserve">https://www.un.org/esa/ffd/wp-content/uploads/2019/10/GISD-joint-statement.pdf </w:t>
              </w:r>
            </w:hyperlink>
          </w:p>
        </w:tc>
      </w:tr>
      <w:tr w:rsidR="00113517" w:rsidRPr="00D67367" w14:paraId="10A9B915" w14:textId="77777777" w:rsidTr="00113517">
        <w:trPr>
          <w:trHeight w:val="300"/>
        </w:trPr>
        <w:tc>
          <w:tcPr>
            <w:tcW w:w="4820" w:type="dxa"/>
            <w:tcBorders>
              <w:top w:val="nil"/>
              <w:left w:val="nil"/>
              <w:bottom w:val="single" w:sz="4" w:space="0" w:color="BFBFBF"/>
              <w:right w:val="nil"/>
            </w:tcBorders>
            <w:shd w:val="clear" w:color="auto" w:fill="auto"/>
            <w:noWrap/>
            <w:hideMark/>
          </w:tcPr>
          <w:p w14:paraId="2AF453E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 Action Statement COVID 9 June_final</w:t>
            </w:r>
          </w:p>
        </w:tc>
        <w:tc>
          <w:tcPr>
            <w:tcW w:w="9214" w:type="dxa"/>
            <w:tcBorders>
              <w:top w:val="nil"/>
              <w:left w:val="nil"/>
              <w:bottom w:val="single" w:sz="4" w:space="0" w:color="BFBFBF"/>
              <w:right w:val="nil"/>
            </w:tcBorders>
            <w:shd w:val="clear" w:color="auto" w:fill="auto"/>
            <w:noWrap/>
            <w:hideMark/>
          </w:tcPr>
          <w:p w14:paraId="7A43A8A5"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28" w:history="1">
              <w:r w:rsidRPr="00D82287">
                <w:rPr>
                  <w:rFonts w:ascii="Calibri" w:eastAsia="Times New Roman" w:hAnsi="Calibri" w:cs="Calibri"/>
                  <w:color w:val="0563C1"/>
                  <w:kern w:val="0"/>
                  <w:sz w:val="16"/>
                  <w:szCs w:val="16"/>
                  <w:u w:val="single"/>
                  <w:lang w:eastAsia="en-GB"/>
                  <w14:ligatures w14:val="none"/>
                </w:rPr>
                <w:t xml:space="preserve">https://www.gisdalliance.org/sites/default/files/2020-09/GISD%20Action%20Statement%20COVID%209%20June_final.pdf  </w:t>
              </w:r>
            </w:hyperlink>
          </w:p>
        </w:tc>
      </w:tr>
      <w:tr w:rsidR="00113517" w:rsidRPr="00D67367" w14:paraId="7A9805C9" w14:textId="77777777" w:rsidTr="00113517">
        <w:trPr>
          <w:trHeight w:val="300"/>
        </w:trPr>
        <w:tc>
          <w:tcPr>
            <w:tcW w:w="4820" w:type="dxa"/>
            <w:tcBorders>
              <w:top w:val="nil"/>
              <w:left w:val="nil"/>
              <w:bottom w:val="single" w:sz="4" w:space="0" w:color="BFBFBF"/>
              <w:right w:val="nil"/>
            </w:tcBorders>
            <w:shd w:val="clear" w:color="auto" w:fill="auto"/>
            <w:noWrap/>
            <w:hideMark/>
          </w:tcPr>
          <w:p w14:paraId="5A2E06C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GISD Alliance_COVID-19 bonds call to action_28 Aug(1)</w:t>
            </w:r>
          </w:p>
        </w:tc>
        <w:tc>
          <w:tcPr>
            <w:tcW w:w="9214" w:type="dxa"/>
            <w:tcBorders>
              <w:top w:val="nil"/>
              <w:left w:val="nil"/>
              <w:bottom w:val="single" w:sz="4" w:space="0" w:color="BFBFBF"/>
              <w:right w:val="nil"/>
            </w:tcBorders>
            <w:shd w:val="clear" w:color="auto" w:fill="auto"/>
            <w:noWrap/>
            <w:hideMark/>
          </w:tcPr>
          <w:p w14:paraId="32C64028"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29" w:history="1">
              <w:r w:rsidRPr="00D82287">
                <w:rPr>
                  <w:rFonts w:ascii="Calibri" w:eastAsia="Times New Roman" w:hAnsi="Calibri" w:cs="Calibri"/>
                  <w:color w:val="0563C1"/>
                  <w:kern w:val="0"/>
                  <w:sz w:val="16"/>
                  <w:szCs w:val="16"/>
                  <w:u w:val="single"/>
                  <w:lang w:eastAsia="en-GB"/>
                  <w14:ligatures w14:val="none"/>
                </w:rPr>
                <w:t xml:space="preserve">https://www.gisdalliance.org/sites/default/files/2020-09/GISD%20Alliance_COVID-19%20bonds%20call%20to%20action_28%20Aug%281%29.pdf </w:t>
              </w:r>
            </w:hyperlink>
          </w:p>
        </w:tc>
      </w:tr>
      <w:tr w:rsidR="00113517" w:rsidRPr="00D67367" w14:paraId="59BB7337" w14:textId="77777777" w:rsidTr="00113517">
        <w:trPr>
          <w:trHeight w:val="300"/>
        </w:trPr>
        <w:tc>
          <w:tcPr>
            <w:tcW w:w="4820" w:type="dxa"/>
            <w:tcBorders>
              <w:top w:val="nil"/>
              <w:left w:val="nil"/>
              <w:bottom w:val="single" w:sz="4" w:space="0" w:color="BFBFBF"/>
              <w:right w:val="nil"/>
            </w:tcBorders>
            <w:shd w:val="clear" w:color="auto" w:fill="auto"/>
            <w:noWrap/>
            <w:hideMark/>
          </w:tcPr>
          <w:p w14:paraId="1FDDC9B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c>
          <w:tcPr>
            <w:tcW w:w="9214" w:type="dxa"/>
            <w:tcBorders>
              <w:top w:val="nil"/>
              <w:left w:val="nil"/>
              <w:bottom w:val="nil"/>
              <w:right w:val="nil"/>
            </w:tcBorders>
            <w:shd w:val="clear" w:color="auto" w:fill="auto"/>
            <w:noWrap/>
            <w:hideMark/>
          </w:tcPr>
          <w:p w14:paraId="1A91782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p>
        </w:tc>
      </w:tr>
      <w:tr w:rsidR="00113517" w:rsidRPr="00D67367" w14:paraId="16418D2A" w14:textId="77777777" w:rsidTr="00113517">
        <w:trPr>
          <w:trHeight w:val="300"/>
        </w:trPr>
        <w:tc>
          <w:tcPr>
            <w:tcW w:w="4820" w:type="dxa"/>
            <w:tcBorders>
              <w:top w:val="nil"/>
              <w:left w:val="nil"/>
              <w:bottom w:val="single" w:sz="4" w:space="0" w:color="BFBFBF"/>
              <w:right w:val="nil"/>
            </w:tcBorders>
            <w:shd w:val="clear" w:color="auto" w:fill="auto"/>
            <w:noWrap/>
            <w:hideMark/>
          </w:tcPr>
          <w:p w14:paraId="073FF946"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r w:rsidRPr="00D82287">
              <w:rPr>
                <w:rFonts w:ascii="Calibri" w:eastAsia="Times New Roman" w:hAnsi="Calibri" w:cs="Calibri"/>
                <w:b/>
                <w:bCs/>
                <w:color w:val="000000"/>
                <w:kern w:val="0"/>
                <w:sz w:val="16"/>
                <w:szCs w:val="16"/>
                <w:lang w:eastAsia="en-GB"/>
                <w14:ligatures w14:val="none"/>
              </w:rPr>
              <w:t>Climate Action 100+</w:t>
            </w:r>
          </w:p>
        </w:tc>
        <w:tc>
          <w:tcPr>
            <w:tcW w:w="9214" w:type="dxa"/>
            <w:tcBorders>
              <w:top w:val="nil"/>
              <w:left w:val="nil"/>
              <w:bottom w:val="single" w:sz="4" w:space="0" w:color="BFBFBF"/>
              <w:right w:val="nil"/>
            </w:tcBorders>
            <w:shd w:val="clear" w:color="auto" w:fill="auto"/>
            <w:noWrap/>
            <w:hideMark/>
          </w:tcPr>
          <w:p w14:paraId="3C4AA24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14DDB765" w14:textId="77777777" w:rsidTr="00113517">
        <w:trPr>
          <w:trHeight w:val="300"/>
        </w:trPr>
        <w:tc>
          <w:tcPr>
            <w:tcW w:w="4820" w:type="dxa"/>
            <w:tcBorders>
              <w:top w:val="nil"/>
              <w:left w:val="nil"/>
              <w:bottom w:val="single" w:sz="4" w:space="0" w:color="BFBFBF"/>
              <w:right w:val="nil"/>
            </w:tcBorders>
            <w:shd w:val="clear" w:color="auto" w:fill="auto"/>
            <w:noWrap/>
            <w:hideMark/>
          </w:tcPr>
          <w:p w14:paraId="6BD13D4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Case-Studies_CA100-Aviation-Sector-Strategy_WEB_Jan-2021</w:t>
            </w:r>
          </w:p>
        </w:tc>
        <w:tc>
          <w:tcPr>
            <w:tcW w:w="9214" w:type="dxa"/>
            <w:tcBorders>
              <w:top w:val="nil"/>
              <w:left w:val="nil"/>
              <w:bottom w:val="single" w:sz="4" w:space="0" w:color="BFBFBF"/>
              <w:right w:val="nil"/>
            </w:tcBorders>
            <w:shd w:val="clear" w:color="auto" w:fill="auto"/>
            <w:noWrap/>
            <w:hideMark/>
          </w:tcPr>
          <w:p w14:paraId="5528AF66"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30" w:history="1">
              <w:r w:rsidRPr="00D82287">
                <w:rPr>
                  <w:rFonts w:ascii="Calibri" w:eastAsia="Times New Roman" w:hAnsi="Calibri" w:cs="Calibri"/>
                  <w:color w:val="0563C1"/>
                  <w:kern w:val="0"/>
                  <w:sz w:val="16"/>
                  <w:szCs w:val="16"/>
                  <w:u w:val="single"/>
                  <w:lang w:eastAsia="en-GB"/>
                  <w14:ligatures w14:val="none"/>
                </w:rPr>
                <w:t>https://www.climateaction100.org/wp-content/uploads/2021/01/Landscape-Report_CA100-Aviation-Sector-Strategy_WEB_Jan-2021.pdf</w:t>
              </w:r>
            </w:hyperlink>
          </w:p>
        </w:tc>
      </w:tr>
      <w:tr w:rsidR="00113517" w:rsidRPr="00D67367" w14:paraId="5E51F520" w14:textId="77777777" w:rsidTr="00113517">
        <w:trPr>
          <w:trHeight w:val="300"/>
        </w:trPr>
        <w:tc>
          <w:tcPr>
            <w:tcW w:w="4820" w:type="dxa"/>
            <w:tcBorders>
              <w:top w:val="nil"/>
              <w:left w:val="nil"/>
              <w:bottom w:val="single" w:sz="4" w:space="0" w:color="BFBFBF"/>
              <w:right w:val="nil"/>
            </w:tcBorders>
            <w:shd w:val="clear" w:color="auto" w:fill="auto"/>
            <w:noWrap/>
            <w:hideMark/>
          </w:tcPr>
          <w:p w14:paraId="18D1614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Views from around the world An interview with Laetitia Tankwe f</w:t>
            </w:r>
          </w:p>
        </w:tc>
        <w:tc>
          <w:tcPr>
            <w:tcW w:w="9214" w:type="dxa"/>
            <w:tcBorders>
              <w:top w:val="nil"/>
              <w:left w:val="nil"/>
              <w:bottom w:val="single" w:sz="4" w:space="0" w:color="BFBFBF"/>
              <w:right w:val="nil"/>
            </w:tcBorders>
            <w:shd w:val="clear" w:color="auto" w:fill="auto"/>
            <w:noWrap/>
            <w:hideMark/>
          </w:tcPr>
          <w:p w14:paraId="338DB47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https://www.climateaction100.org/news/views-from-around-the-world-an-interview-with-laetitia-tankwe-from-ircantec/</w:t>
            </w:r>
          </w:p>
        </w:tc>
      </w:tr>
      <w:tr w:rsidR="00113517" w:rsidRPr="00D67367" w14:paraId="72DBDEB2" w14:textId="77777777" w:rsidTr="00113517">
        <w:trPr>
          <w:trHeight w:val="300"/>
        </w:trPr>
        <w:tc>
          <w:tcPr>
            <w:tcW w:w="4820" w:type="dxa"/>
            <w:tcBorders>
              <w:top w:val="nil"/>
              <w:left w:val="nil"/>
              <w:bottom w:val="single" w:sz="4" w:space="0" w:color="BFBFBF"/>
              <w:right w:val="nil"/>
            </w:tcBorders>
            <w:shd w:val="clear" w:color="auto" w:fill="auto"/>
            <w:noWrap/>
            <w:hideMark/>
          </w:tcPr>
          <w:p w14:paraId="0935C50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CA100-Progress-Report2020</w:t>
            </w:r>
          </w:p>
        </w:tc>
        <w:tc>
          <w:tcPr>
            <w:tcW w:w="9214" w:type="dxa"/>
            <w:tcBorders>
              <w:top w:val="nil"/>
              <w:left w:val="nil"/>
              <w:bottom w:val="single" w:sz="4" w:space="0" w:color="BFBFBF"/>
              <w:right w:val="nil"/>
            </w:tcBorders>
            <w:shd w:val="clear" w:color="auto" w:fill="auto"/>
            <w:noWrap/>
            <w:hideMark/>
          </w:tcPr>
          <w:p w14:paraId="6ED4C023"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31" w:history="1">
              <w:r w:rsidRPr="00D82287">
                <w:rPr>
                  <w:rFonts w:ascii="Calibri" w:eastAsia="Times New Roman" w:hAnsi="Calibri" w:cs="Calibri"/>
                  <w:color w:val="0563C1"/>
                  <w:kern w:val="0"/>
                  <w:sz w:val="16"/>
                  <w:szCs w:val="16"/>
                  <w:u w:val="single"/>
                  <w:lang w:eastAsia="en-GB"/>
                  <w14:ligatures w14:val="none"/>
                </w:rPr>
                <w:t xml:space="preserve">https://www.climateaction100.org/wp-content/uploads/2020/10/English-Progress-Report-2019.pdf </w:t>
              </w:r>
            </w:hyperlink>
          </w:p>
        </w:tc>
      </w:tr>
      <w:tr w:rsidR="00113517" w:rsidRPr="00D67367" w14:paraId="776C60D5" w14:textId="77777777" w:rsidTr="00113517">
        <w:trPr>
          <w:trHeight w:val="300"/>
        </w:trPr>
        <w:tc>
          <w:tcPr>
            <w:tcW w:w="4820" w:type="dxa"/>
            <w:tcBorders>
              <w:top w:val="nil"/>
              <w:left w:val="nil"/>
              <w:bottom w:val="single" w:sz="4" w:space="0" w:color="BFBFBF"/>
              <w:right w:val="nil"/>
            </w:tcBorders>
            <w:shd w:val="clear" w:color="auto" w:fill="auto"/>
            <w:noWrap/>
            <w:hideMark/>
          </w:tcPr>
          <w:p w14:paraId="77FB46B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Climate Action 100+ progress report records accelerated company</w:t>
            </w:r>
          </w:p>
        </w:tc>
        <w:tc>
          <w:tcPr>
            <w:tcW w:w="9214" w:type="dxa"/>
            <w:tcBorders>
              <w:top w:val="nil"/>
              <w:left w:val="nil"/>
              <w:bottom w:val="single" w:sz="4" w:space="0" w:color="BFBFBF"/>
              <w:right w:val="nil"/>
            </w:tcBorders>
            <w:shd w:val="clear" w:color="auto" w:fill="auto"/>
            <w:noWrap/>
            <w:hideMark/>
          </w:tcPr>
          <w:p w14:paraId="7DD5355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https://www.climateaction100.org/news/climate-action-100-progress-report-records-accelerated-company-commitments-to-net-zero-emissions-but-gaps-remain/</w:t>
            </w:r>
          </w:p>
        </w:tc>
      </w:tr>
      <w:tr w:rsidR="00113517" w:rsidRPr="00D67367" w14:paraId="5A46CF04" w14:textId="77777777" w:rsidTr="00113517">
        <w:trPr>
          <w:trHeight w:val="300"/>
        </w:trPr>
        <w:tc>
          <w:tcPr>
            <w:tcW w:w="4820" w:type="dxa"/>
            <w:tcBorders>
              <w:top w:val="nil"/>
              <w:left w:val="nil"/>
              <w:bottom w:val="single" w:sz="4" w:space="0" w:color="BFBFBF"/>
              <w:right w:val="nil"/>
            </w:tcBorders>
            <w:shd w:val="clear" w:color="auto" w:fill="auto"/>
            <w:noWrap/>
            <w:hideMark/>
          </w:tcPr>
          <w:p w14:paraId="13CBD2ED"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companies_CLIMATEACTION100.ORG</w:t>
            </w:r>
          </w:p>
        </w:tc>
        <w:tc>
          <w:tcPr>
            <w:tcW w:w="9214" w:type="dxa"/>
            <w:tcBorders>
              <w:top w:val="nil"/>
              <w:left w:val="nil"/>
              <w:bottom w:val="single" w:sz="4" w:space="0" w:color="BFBFBF"/>
              <w:right w:val="nil"/>
            </w:tcBorders>
            <w:shd w:val="clear" w:color="auto" w:fill="auto"/>
            <w:noWrap/>
            <w:hideMark/>
          </w:tcPr>
          <w:p w14:paraId="0D67983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4C954E25" w14:textId="77777777" w:rsidTr="00113517">
        <w:trPr>
          <w:trHeight w:val="300"/>
        </w:trPr>
        <w:tc>
          <w:tcPr>
            <w:tcW w:w="4820" w:type="dxa"/>
            <w:tcBorders>
              <w:top w:val="nil"/>
              <w:left w:val="nil"/>
              <w:bottom w:val="single" w:sz="4" w:space="0" w:color="BFBFBF"/>
              <w:right w:val="nil"/>
            </w:tcBorders>
            <w:shd w:val="clear" w:color="auto" w:fill="auto"/>
            <w:noWrap/>
            <w:hideMark/>
          </w:tcPr>
          <w:p w14:paraId="6980BB4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FAQ_CLIMATEACTION100.ORG</w:t>
            </w:r>
          </w:p>
        </w:tc>
        <w:tc>
          <w:tcPr>
            <w:tcW w:w="9214" w:type="dxa"/>
            <w:tcBorders>
              <w:top w:val="nil"/>
              <w:left w:val="nil"/>
              <w:bottom w:val="single" w:sz="4" w:space="0" w:color="BFBFBF"/>
              <w:right w:val="nil"/>
            </w:tcBorders>
            <w:shd w:val="clear" w:color="auto" w:fill="auto"/>
            <w:noWrap/>
            <w:hideMark/>
          </w:tcPr>
          <w:p w14:paraId="0A9D38B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45682A3E" w14:textId="77777777" w:rsidTr="00113517">
        <w:trPr>
          <w:trHeight w:val="300"/>
        </w:trPr>
        <w:tc>
          <w:tcPr>
            <w:tcW w:w="4820" w:type="dxa"/>
            <w:tcBorders>
              <w:top w:val="nil"/>
              <w:left w:val="nil"/>
              <w:bottom w:val="single" w:sz="4" w:space="0" w:color="BFBFBF"/>
              <w:right w:val="nil"/>
            </w:tcBorders>
            <w:shd w:val="clear" w:color="auto" w:fill="auto"/>
            <w:noWrap/>
            <w:hideMark/>
          </w:tcPr>
          <w:p w14:paraId="16E3CBD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investors_CLIMATEACTION100.ORG</w:t>
            </w:r>
          </w:p>
        </w:tc>
        <w:tc>
          <w:tcPr>
            <w:tcW w:w="9214" w:type="dxa"/>
            <w:tcBorders>
              <w:top w:val="nil"/>
              <w:left w:val="nil"/>
              <w:bottom w:val="single" w:sz="4" w:space="0" w:color="BFBFBF"/>
              <w:right w:val="nil"/>
            </w:tcBorders>
            <w:shd w:val="clear" w:color="auto" w:fill="auto"/>
            <w:noWrap/>
            <w:hideMark/>
          </w:tcPr>
          <w:p w14:paraId="3C0FCE3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5EF0F8FC" w14:textId="77777777" w:rsidTr="00113517">
        <w:trPr>
          <w:trHeight w:val="300"/>
        </w:trPr>
        <w:tc>
          <w:tcPr>
            <w:tcW w:w="4820" w:type="dxa"/>
            <w:tcBorders>
              <w:top w:val="nil"/>
              <w:left w:val="nil"/>
              <w:bottom w:val="single" w:sz="4" w:space="0" w:color="BFBFBF"/>
              <w:right w:val="nil"/>
            </w:tcBorders>
            <w:shd w:val="clear" w:color="auto" w:fill="auto"/>
            <w:noWrap/>
            <w:hideMark/>
          </w:tcPr>
          <w:p w14:paraId="482960D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News_CLIMATEACTION100.ORG</w:t>
            </w:r>
          </w:p>
        </w:tc>
        <w:tc>
          <w:tcPr>
            <w:tcW w:w="9214" w:type="dxa"/>
            <w:tcBorders>
              <w:top w:val="nil"/>
              <w:left w:val="nil"/>
              <w:bottom w:val="single" w:sz="4" w:space="0" w:color="BFBFBF"/>
              <w:right w:val="nil"/>
            </w:tcBorders>
            <w:shd w:val="clear" w:color="auto" w:fill="auto"/>
            <w:noWrap/>
            <w:hideMark/>
          </w:tcPr>
          <w:p w14:paraId="7674190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43C917EB" w14:textId="77777777" w:rsidTr="00113517">
        <w:trPr>
          <w:trHeight w:val="300"/>
        </w:trPr>
        <w:tc>
          <w:tcPr>
            <w:tcW w:w="4820" w:type="dxa"/>
            <w:tcBorders>
              <w:top w:val="nil"/>
              <w:left w:val="nil"/>
              <w:bottom w:val="single" w:sz="4" w:space="0" w:color="BFBFBF"/>
              <w:right w:val="nil"/>
            </w:tcBorders>
            <w:shd w:val="clear" w:color="auto" w:fill="auto"/>
            <w:noWrap/>
            <w:hideMark/>
          </w:tcPr>
          <w:p w14:paraId="5D8CB47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Progress_report_CLIMATEACTION100.ORG</w:t>
            </w:r>
          </w:p>
        </w:tc>
        <w:tc>
          <w:tcPr>
            <w:tcW w:w="9214" w:type="dxa"/>
            <w:tcBorders>
              <w:top w:val="nil"/>
              <w:left w:val="nil"/>
              <w:bottom w:val="single" w:sz="4" w:space="0" w:color="BFBFBF"/>
              <w:right w:val="nil"/>
            </w:tcBorders>
            <w:shd w:val="clear" w:color="auto" w:fill="auto"/>
            <w:noWrap/>
            <w:hideMark/>
          </w:tcPr>
          <w:p w14:paraId="79F4EA2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4399DCAC" w14:textId="77777777" w:rsidTr="00113517">
        <w:trPr>
          <w:trHeight w:val="300"/>
        </w:trPr>
        <w:tc>
          <w:tcPr>
            <w:tcW w:w="4820" w:type="dxa"/>
            <w:tcBorders>
              <w:top w:val="nil"/>
              <w:left w:val="nil"/>
              <w:bottom w:val="single" w:sz="4" w:space="0" w:color="BFBFBF"/>
              <w:right w:val="nil"/>
            </w:tcBorders>
            <w:shd w:val="clear" w:color="auto" w:fill="auto"/>
            <w:noWrap/>
            <w:hideMark/>
          </w:tcPr>
          <w:p w14:paraId="14A75C2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sign_up_CLIMATEACTION100.ORG</w:t>
            </w:r>
          </w:p>
        </w:tc>
        <w:tc>
          <w:tcPr>
            <w:tcW w:w="9214" w:type="dxa"/>
            <w:tcBorders>
              <w:top w:val="nil"/>
              <w:left w:val="nil"/>
              <w:bottom w:val="single" w:sz="4" w:space="0" w:color="BFBFBF"/>
              <w:right w:val="nil"/>
            </w:tcBorders>
            <w:shd w:val="clear" w:color="auto" w:fill="auto"/>
            <w:noWrap/>
            <w:hideMark/>
          </w:tcPr>
          <w:p w14:paraId="738800F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1B5146EA" w14:textId="77777777" w:rsidTr="00113517">
        <w:trPr>
          <w:trHeight w:val="300"/>
        </w:trPr>
        <w:tc>
          <w:tcPr>
            <w:tcW w:w="4820" w:type="dxa"/>
            <w:tcBorders>
              <w:top w:val="nil"/>
              <w:left w:val="nil"/>
              <w:bottom w:val="single" w:sz="4" w:space="0" w:color="BFBFBF"/>
              <w:right w:val="nil"/>
            </w:tcBorders>
            <w:shd w:val="clear" w:color="auto" w:fill="auto"/>
            <w:noWrap/>
            <w:hideMark/>
          </w:tcPr>
          <w:p w14:paraId="00B37D5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progressreport2019_pdf</w:t>
            </w:r>
          </w:p>
        </w:tc>
        <w:tc>
          <w:tcPr>
            <w:tcW w:w="9214" w:type="dxa"/>
            <w:tcBorders>
              <w:top w:val="nil"/>
              <w:left w:val="nil"/>
              <w:bottom w:val="single" w:sz="4" w:space="0" w:color="BFBFBF"/>
              <w:right w:val="nil"/>
            </w:tcBorders>
            <w:shd w:val="clear" w:color="auto" w:fill="auto"/>
            <w:noWrap/>
            <w:hideMark/>
          </w:tcPr>
          <w:p w14:paraId="00DC37B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5DED927A" w14:textId="77777777" w:rsidTr="00113517">
        <w:trPr>
          <w:trHeight w:val="300"/>
        </w:trPr>
        <w:tc>
          <w:tcPr>
            <w:tcW w:w="4820" w:type="dxa"/>
            <w:tcBorders>
              <w:top w:val="nil"/>
              <w:left w:val="nil"/>
              <w:bottom w:val="single" w:sz="4" w:space="0" w:color="BFBFBF"/>
              <w:right w:val="nil"/>
            </w:tcBorders>
            <w:shd w:val="clear" w:color="auto" w:fill="auto"/>
            <w:noWrap/>
            <w:hideMark/>
          </w:tcPr>
          <w:p w14:paraId="181A342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lastRenderedPageBreak/>
              <w:t>About Us – Climate Action 100+</w:t>
            </w:r>
          </w:p>
        </w:tc>
        <w:tc>
          <w:tcPr>
            <w:tcW w:w="9214" w:type="dxa"/>
            <w:tcBorders>
              <w:top w:val="nil"/>
              <w:left w:val="nil"/>
              <w:bottom w:val="single" w:sz="4" w:space="0" w:color="BFBFBF"/>
              <w:right w:val="nil"/>
            </w:tcBorders>
            <w:shd w:val="clear" w:color="auto" w:fill="auto"/>
            <w:noWrap/>
            <w:hideMark/>
          </w:tcPr>
          <w:p w14:paraId="405026C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https://climateaction100.wpcomstaging.com/about-us/</w:t>
            </w:r>
          </w:p>
        </w:tc>
      </w:tr>
      <w:tr w:rsidR="00113517" w:rsidRPr="00D67367" w14:paraId="583591EF" w14:textId="77777777" w:rsidTr="00113517">
        <w:trPr>
          <w:trHeight w:val="300"/>
        </w:trPr>
        <w:tc>
          <w:tcPr>
            <w:tcW w:w="4820" w:type="dxa"/>
            <w:tcBorders>
              <w:top w:val="nil"/>
              <w:left w:val="nil"/>
              <w:bottom w:val="single" w:sz="4" w:space="0" w:color="BFBFBF"/>
              <w:right w:val="nil"/>
            </w:tcBorders>
            <w:shd w:val="clear" w:color="auto" w:fill="auto"/>
            <w:noWrap/>
            <w:hideMark/>
          </w:tcPr>
          <w:p w14:paraId="7E19282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Proxy Season 2020 – Climate Action 100+</w:t>
            </w:r>
          </w:p>
        </w:tc>
        <w:tc>
          <w:tcPr>
            <w:tcW w:w="9214" w:type="dxa"/>
            <w:tcBorders>
              <w:top w:val="nil"/>
              <w:left w:val="nil"/>
              <w:bottom w:val="single" w:sz="4" w:space="0" w:color="BFBFBF"/>
              <w:right w:val="nil"/>
            </w:tcBorders>
            <w:shd w:val="clear" w:color="auto" w:fill="auto"/>
            <w:noWrap/>
            <w:hideMark/>
          </w:tcPr>
          <w:p w14:paraId="2627996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https://climateaction100.wpcomstaging.com/proxy-season-2020/</w:t>
            </w:r>
          </w:p>
        </w:tc>
      </w:tr>
      <w:tr w:rsidR="00113517" w:rsidRPr="00D67367" w14:paraId="0A166920" w14:textId="77777777" w:rsidTr="00113517">
        <w:trPr>
          <w:trHeight w:val="300"/>
        </w:trPr>
        <w:tc>
          <w:tcPr>
            <w:tcW w:w="4820" w:type="dxa"/>
            <w:tcBorders>
              <w:top w:val="nil"/>
              <w:left w:val="nil"/>
              <w:bottom w:val="single" w:sz="4" w:space="0" w:color="BFBFBF"/>
              <w:right w:val="nil"/>
            </w:tcBorders>
            <w:shd w:val="clear" w:color="auto" w:fill="auto"/>
            <w:noWrap/>
            <w:hideMark/>
          </w:tcPr>
          <w:p w14:paraId="1A2C658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Home_Climate Action 100+</w:t>
            </w:r>
          </w:p>
        </w:tc>
        <w:tc>
          <w:tcPr>
            <w:tcW w:w="9214" w:type="dxa"/>
            <w:tcBorders>
              <w:top w:val="nil"/>
              <w:left w:val="nil"/>
              <w:bottom w:val="single" w:sz="4" w:space="0" w:color="BFBFBF"/>
              <w:right w:val="nil"/>
            </w:tcBorders>
            <w:shd w:val="clear" w:color="auto" w:fill="auto"/>
            <w:noWrap/>
            <w:hideMark/>
          </w:tcPr>
          <w:p w14:paraId="343FAE8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https://climateaction100.wpcomstaging.com/</w:t>
            </w:r>
          </w:p>
        </w:tc>
      </w:tr>
      <w:tr w:rsidR="00113517" w:rsidRPr="00D67367" w14:paraId="3A3C4F14" w14:textId="77777777" w:rsidTr="00113517">
        <w:trPr>
          <w:trHeight w:val="300"/>
        </w:trPr>
        <w:tc>
          <w:tcPr>
            <w:tcW w:w="4820" w:type="dxa"/>
            <w:tcBorders>
              <w:top w:val="nil"/>
              <w:left w:val="nil"/>
              <w:bottom w:val="single" w:sz="4" w:space="0" w:color="BFBFBF"/>
              <w:right w:val="nil"/>
            </w:tcBorders>
            <w:shd w:val="clear" w:color="auto" w:fill="auto"/>
            <w:noWrap/>
            <w:hideMark/>
          </w:tcPr>
          <w:p w14:paraId="18CBB76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CA100-Progress-Report2020</w:t>
            </w:r>
          </w:p>
        </w:tc>
        <w:tc>
          <w:tcPr>
            <w:tcW w:w="9214" w:type="dxa"/>
            <w:tcBorders>
              <w:top w:val="nil"/>
              <w:left w:val="nil"/>
              <w:bottom w:val="single" w:sz="4" w:space="0" w:color="BFBFBF"/>
              <w:right w:val="nil"/>
            </w:tcBorders>
            <w:shd w:val="clear" w:color="auto" w:fill="auto"/>
            <w:noWrap/>
            <w:hideMark/>
          </w:tcPr>
          <w:p w14:paraId="5A48E9C0"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https://www.climateaction100.org/wp-content/uploads/2020/12/CA100-Progress-Report.pdf</w:t>
            </w:r>
          </w:p>
        </w:tc>
      </w:tr>
      <w:tr w:rsidR="00113517" w:rsidRPr="00D67367" w14:paraId="792166EF" w14:textId="77777777" w:rsidTr="00113517">
        <w:trPr>
          <w:trHeight w:val="300"/>
        </w:trPr>
        <w:tc>
          <w:tcPr>
            <w:tcW w:w="4820" w:type="dxa"/>
            <w:tcBorders>
              <w:top w:val="nil"/>
              <w:left w:val="nil"/>
              <w:bottom w:val="single" w:sz="4" w:space="0" w:color="BFBFBF"/>
              <w:right w:val="nil"/>
            </w:tcBorders>
            <w:shd w:val="clear" w:color="auto" w:fill="auto"/>
            <w:noWrap/>
            <w:hideMark/>
          </w:tcPr>
          <w:p w14:paraId="36B2946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Views from around the world An interview with Andrew Gray from</w:t>
            </w:r>
          </w:p>
        </w:tc>
        <w:tc>
          <w:tcPr>
            <w:tcW w:w="9214" w:type="dxa"/>
            <w:tcBorders>
              <w:top w:val="nil"/>
              <w:left w:val="nil"/>
              <w:bottom w:val="single" w:sz="4" w:space="0" w:color="BFBFBF"/>
              <w:right w:val="nil"/>
            </w:tcBorders>
            <w:shd w:val="clear" w:color="auto" w:fill="auto"/>
            <w:noWrap/>
            <w:hideMark/>
          </w:tcPr>
          <w:p w14:paraId="7BF4CB1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https://www.climateaction100.org/news/views-from-around-the-world-an-interview-with-andrew-gray-from-australiansuper/</w:t>
            </w:r>
          </w:p>
        </w:tc>
      </w:tr>
      <w:tr w:rsidR="00113517" w:rsidRPr="00D67367" w14:paraId="193F607D" w14:textId="77777777" w:rsidTr="00113517">
        <w:trPr>
          <w:trHeight w:val="300"/>
        </w:trPr>
        <w:tc>
          <w:tcPr>
            <w:tcW w:w="4820" w:type="dxa"/>
            <w:tcBorders>
              <w:top w:val="nil"/>
              <w:left w:val="nil"/>
              <w:bottom w:val="single" w:sz="4" w:space="0" w:color="BFBFBF"/>
              <w:right w:val="nil"/>
            </w:tcBorders>
            <w:shd w:val="clear" w:color="auto" w:fill="auto"/>
            <w:noWrap/>
            <w:hideMark/>
          </w:tcPr>
          <w:p w14:paraId="1176D6A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Paris Agreement 5 Years On Reasons for Optimism  Climate Action</w:t>
            </w:r>
          </w:p>
        </w:tc>
        <w:tc>
          <w:tcPr>
            <w:tcW w:w="9214" w:type="dxa"/>
            <w:tcBorders>
              <w:top w:val="nil"/>
              <w:left w:val="nil"/>
              <w:bottom w:val="single" w:sz="4" w:space="0" w:color="BFBFBF"/>
              <w:right w:val="nil"/>
            </w:tcBorders>
            <w:shd w:val="clear" w:color="auto" w:fill="auto"/>
            <w:noWrap/>
            <w:hideMark/>
          </w:tcPr>
          <w:p w14:paraId="1714EFC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https://www.climateaction100.org/news/climate-action-100-among-financial-sector-leaders-highlighted-during-paris-agreement-anniversary/</w:t>
            </w:r>
          </w:p>
        </w:tc>
      </w:tr>
      <w:tr w:rsidR="00113517" w:rsidRPr="00D67367" w14:paraId="0BD72456" w14:textId="77777777" w:rsidTr="00113517">
        <w:trPr>
          <w:trHeight w:val="300"/>
        </w:trPr>
        <w:tc>
          <w:tcPr>
            <w:tcW w:w="4820" w:type="dxa"/>
            <w:tcBorders>
              <w:top w:val="nil"/>
              <w:left w:val="nil"/>
              <w:bottom w:val="nil"/>
              <w:right w:val="nil"/>
            </w:tcBorders>
            <w:shd w:val="clear" w:color="auto" w:fill="auto"/>
            <w:noWrap/>
            <w:hideMark/>
          </w:tcPr>
          <w:p w14:paraId="2F6561E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p>
        </w:tc>
        <w:tc>
          <w:tcPr>
            <w:tcW w:w="9214" w:type="dxa"/>
            <w:tcBorders>
              <w:top w:val="nil"/>
              <w:left w:val="nil"/>
              <w:bottom w:val="nil"/>
              <w:right w:val="nil"/>
            </w:tcBorders>
            <w:shd w:val="clear" w:color="auto" w:fill="auto"/>
            <w:noWrap/>
            <w:hideMark/>
          </w:tcPr>
          <w:p w14:paraId="5F6A4B49" w14:textId="77777777" w:rsidR="00113517" w:rsidRPr="00D82287" w:rsidRDefault="00113517" w:rsidP="00113517">
            <w:pPr>
              <w:rPr>
                <w:rFonts w:ascii="Times New Roman" w:eastAsia="Times New Roman" w:hAnsi="Times New Roman" w:cs="Times New Roman"/>
                <w:kern w:val="0"/>
                <w:sz w:val="16"/>
                <w:szCs w:val="16"/>
                <w:lang w:eastAsia="en-GB"/>
                <w14:ligatures w14:val="none"/>
              </w:rPr>
            </w:pPr>
          </w:p>
        </w:tc>
      </w:tr>
      <w:tr w:rsidR="00113517" w:rsidRPr="00D67367" w14:paraId="3AD51365" w14:textId="77777777" w:rsidTr="00113517">
        <w:trPr>
          <w:trHeight w:val="300"/>
        </w:trPr>
        <w:tc>
          <w:tcPr>
            <w:tcW w:w="4820" w:type="dxa"/>
            <w:tcBorders>
              <w:top w:val="nil"/>
              <w:left w:val="nil"/>
              <w:bottom w:val="nil"/>
              <w:right w:val="nil"/>
            </w:tcBorders>
            <w:shd w:val="clear" w:color="auto" w:fill="auto"/>
            <w:noWrap/>
            <w:hideMark/>
          </w:tcPr>
          <w:p w14:paraId="5799B189" w14:textId="77777777" w:rsidR="00113517" w:rsidRPr="00D82287" w:rsidRDefault="00113517" w:rsidP="00113517">
            <w:pPr>
              <w:rPr>
                <w:rFonts w:ascii="Times New Roman" w:eastAsia="Times New Roman" w:hAnsi="Times New Roman" w:cs="Times New Roman"/>
                <w:kern w:val="0"/>
                <w:sz w:val="16"/>
                <w:szCs w:val="16"/>
                <w:lang w:eastAsia="en-GB"/>
                <w14:ligatures w14:val="none"/>
              </w:rPr>
            </w:pPr>
          </w:p>
        </w:tc>
        <w:tc>
          <w:tcPr>
            <w:tcW w:w="9214" w:type="dxa"/>
            <w:tcBorders>
              <w:top w:val="nil"/>
              <w:left w:val="nil"/>
              <w:bottom w:val="nil"/>
              <w:right w:val="nil"/>
            </w:tcBorders>
            <w:shd w:val="clear" w:color="auto" w:fill="auto"/>
            <w:noWrap/>
            <w:hideMark/>
          </w:tcPr>
          <w:p w14:paraId="3E3CBABF" w14:textId="77777777" w:rsidR="00113517" w:rsidRPr="00D82287" w:rsidRDefault="00113517" w:rsidP="00113517">
            <w:pPr>
              <w:rPr>
                <w:rFonts w:ascii="Times New Roman" w:eastAsia="Times New Roman" w:hAnsi="Times New Roman" w:cs="Times New Roman"/>
                <w:kern w:val="0"/>
                <w:sz w:val="16"/>
                <w:szCs w:val="16"/>
                <w:lang w:eastAsia="en-GB"/>
                <w14:ligatures w14:val="none"/>
              </w:rPr>
            </w:pPr>
          </w:p>
        </w:tc>
      </w:tr>
      <w:tr w:rsidR="00113517" w:rsidRPr="00D67367" w14:paraId="4D67E9D6" w14:textId="77777777" w:rsidTr="00113517">
        <w:trPr>
          <w:trHeight w:val="300"/>
        </w:trPr>
        <w:tc>
          <w:tcPr>
            <w:tcW w:w="4820" w:type="dxa"/>
            <w:tcBorders>
              <w:top w:val="nil"/>
              <w:left w:val="nil"/>
              <w:bottom w:val="nil"/>
              <w:right w:val="nil"/>
            </w:tcBorders>
            <w:shd w:val="clear" w:color="auto" w:fill="auto"/>
            <w:noWrap/>
            <w:hideMark/>
          </w:tcPr>
          <w:p w14:paraId="1B55D3A6" w14:textId="77777777" w:rsidR="00113517" w:rsidRPr="00D82287" w:rsidRDefault="00113517" w:rsidP="00113517">
            <w:pPr>
              <w:rPr>
                <w:rFonts w:ascii="Times New Roman" w:eastAsia="Times New Roman" w:hAnsi="Times New Roman" w:cs="Times New Roman"/>
                <w:kern w:val="0"/>
                <w:sz w:val="16"/>
                <w:szCs w:val="16"/>
                <w:lang w:eastAsia="en-GB"/>
                <w14:ligatures w14:val="none"/>
              </w:rPr>
            </w:pPr>
          </w:p>
        </w:tc>
        <w:tc>
          <w:tcPr>
            <w:tcW w:w="9214" w:type="dxa"/>
            <w:tcBorders>
              <w:top w:val="nil"/>
              <w:left w:val="nil"/>
              <w:bottom w:val="nil"/>
              <w:right w:val="nil"/>
            </w:tcBorders>
            <w:shd w:val="clear" w:color="auto" w:fill="auto"/>
            <w:noWrap/>
            <w:hideMark/>
          </w:tcPr>
          <w:p w14:paraId="46A5457F" w14:textId="77777777" w:rsidR="00113517" w:rsidRPr="00D82287" w:rsidRDefault="00113517" w:rsidP="00113517">
            <w:pPr>
              <w:rPr>
                <w:rFonts w:ascii="Times New Roman" w:eastAsia="Times New Roman" w:hAnsi="Times New Roman" w:cs="Times New Roman"/>
                <w:kern w:val="0"/>
                <w:sz w:val="16"/>
                <w:szCs w:val="16"/>
                <w:lang w:eastAsia="en-GB"/>
                <w14:ligatures w14:val="none"/>
              </w:rPr>
            </w:pPr>
          </w:p>
        </w:tc>
      </w:tr>
      <w:tr w:rsidR="00113517" w:rsidRPr="00D67367" w14:paraId="78B811BE" w14:textId="77777777" w:rsidTr="00113517">
        <w:trPr>
          <w:trHeight w:val="300"/>
        </w:trPr>
        <w:tc>
          <w:tcPr>
            <w:tcW w:w="4820" w:type="dxa"/>
            <w:tcBorders>
              <w:top w:val="nil"/>
              <w:left w:val="nil"/>
              <w:bottom w:val="nil"/>
              <w:right w:val="nil"/>
            </w:tcBorders>
            <w:shd w:val="clear" w:color="auto" w:fill="auto"/>
            <w:noWrap/>
            <w:hideMark/>
          </w:tcPr>
          <w:p w14:paraId="26828246"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r w:rsidRPr="00D82287">
              <w:rPr>
                <w:rFonts w:ascii="Calibri" w:eastAsia="Times New Roman" w:hAnsi="Calibri" w:cs="Calibri"/>
                <w:b/>
                <w:bCs/>
                <w:color w:val="000000"/>
                <w:kern w:val="0"/>
                <w:sz w:val="16"/>
                <w:szCs w:val="16"/>
                <w:lang w:eastAsia="en-GB"/>
                <w14:ligatures w14:val="none"/>
              </w:rPr>
              <w:t>Global Alliance for the Future of Food</w:t>
            </w:r>
          </w:p>
        </w:tc>
        <w:tc>
          <w:tcPr>
            <w:tcW w:w="9214" w:type="dxa"/>
            <w:tcBorders>
              <w:top w:val="nil"/>
              <w:left w:val="nil"/>
              <w:bottom w:val="nil"/>
              <w:right w:val="nil"/>
            </w:tcBorders>
            <w:shd w:val="clear" w:color="auto" w:fill="auto"/>
            <w:noWrap/>
            <w:hideMark/>
          </w:tcPr>
          <w:p w14:paraId="77CC6E80" w14:textId="77777777" w:rsidR="00113517" w:rsidRPr="00D82287" w:rsidRDefault="00113517" w:rsidP="00113517">
            <w:pPr>
              <w:rPr>
                <w:rFonts w:ascii="Calibri" w:eastAsia="Times New Roman" w:hAnsi="Calibri" w:cs="Calibri"/>
                <w:b/>
                <w:bCs/>
                <w:color w:val="000000"/>
                <w:kern w:val="0"/>
                <w:sz w:val="16"/>
                <w:szCs w:val="16"/>
                <w:lang w:eastAsia="en-GB"/>
                <w14:ligatures w14:val="none"/>
              </w:rPr>
            </w:pPr>
          </w:p>
        </w:tc>
      </w:tr>
      <w:tr w:rsidR="00113517" w:rsidRPr="00D67367" w14:paraId="7C662FAF" w14:textId="77777777" w:rsidTr="00113517">
        <w:trPr>
          <w:trHeight w:val="300"/>
        </w:trPr>
        <w:tc>
          <w:tcPr>
            <w:tcW w:w="4820" w:type="dxa"/>
            <w:tcBorders>
              <w:top w:val="nil"/>
              <w:left w:val="nil"/>
              <w:bottom w:val="single" w:sz="4" w:space="0" w:color="BFBFBF"/>
              <w:right w:val="nil"/>
            </w:tcBorders>
            <w:shd w:val="clear" w:color="auto" w:fill="auto"/>
            <w:noWrap/>
            <w:hideMark/>
          </w:tcPr>
          <w:p w14:paraId="488D9FC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BeaconsOfHope_COVIDStories_2021</w:t>
            </w:r>
          </w:p>
        </w:tc>
        <w:tc>
          <w:tcPr>
            <w:tcW w:w="9214" w:type="dxa"/>
            <w:tcBorders>
              <w:top w:val="nil"/>
              <w:left w:val="nil"/>
              <w:bottom w:val="single" w:sz="4" w:space="0" w:color="BFBFBF"/>
              <w:right w:val="nil"/>
            </w:tcBorders>
            <w:shd w:val="clear" w:color="auto" w:fill="auto"/>
            <w:noWrap/>
            <w:hideMark/>
          </w:tcPr>
          <w:p w14:paraId="7C379BF0"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32" w:history="1">
              <w:r w:rsidRPr="00D82287">
                <w:rPr>
                  <w:rFonts w:ascii="Calibri" w:eastAsia="Times New Roman" w:hAnsi="Calibri" w:cs="Calibri"/>
                  <w:color w:val="0563C1"/>
                  <w:kern w:val="0"/>
                  <w:sz w:val="16"/>
                  <w:szCs w:val="16"/>
                  <w:u w:val="single"/>
                  <w:lang w:eastAsia="en-GB"/>
                  <w14:ligatures w14:val="none"/>
                </w:rPr>
                <w:t xml:space="preserve">https://futureoffood.org/wp-content/uploads/2021/05/BeaconsOfHope_COVIDStories_2021.pdf </w:t>
              </w:r>
            </w:hyperlink>
          </w:p>
        </w:tc>
      </w:tr>
      <w:tr w:rsidR="00113517" w:rsidRPr="00D67367" w14:paraId="7846AE0F" w14:textId="77777777" w:rsidTr="00113517">
        <w:trPr>
          <w:trHeight w:val="300"/>
        </w:trPr>
        <w:tc>
          <w:tcPr>
            <w:tcW w:w="4820" w:type="dxa"/>
            <w:tcBorders>
              <w:top w:val="nil"/>
              <w:left w:val="nil"/>
              <w:bottom w:val="single" w:sz="4" w:space="0" w:color="BFBFBF"/>
              <w:right w:val="nil"/>
            </w:tcBorders>
            <w:shd w:val="clear" w:color="auto" w:fill="auto"/>
            <w:noWrap/>
            <w:hideMark/>
          </w:tcPr>
          <w:p w14:paraId="7740432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Resilient Seed Systems Shared Action Framework  Future of Food</w:t>
            </w:r>
          </w:p>
        </w:tc>
        <w:tc>
          <w:tcPr>
            <w:tcW w:w="9214" w:type="dxa"/>
            <w:tcBorders>
              <w:top w:val="nil"/>
              <w:left w:val="nil"/>
              <w:bottom w:val="single" w:sz="4" w:space="0" w:color="BFBFBF"/>
              <w:right w:val="nil"/>
            </w:tcBorders>
            <w:shd w:val="clear" w:color="auto" w:fill="auto"/>
            <w:noWrap/>
            <w:hideMark/>
          </w:tcPr>
          <w:p w14:paraId="775E509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https://futureoffood.org/research-and-tools/resilient-seed-systems-saf/</w:t>
            </w:r>
          </w:p>
        </w:tc>
      </w:tr>
      <w:tr w:rsidR="00113517" w:rsidRPr="00D67367" w14:paraId="779C2A8A" w14:textId="77777777" w:rsidTr="00113517">
        <w:trPr>
          <w:trHeight w:val="300"/>
        </w:trPr>
        <w:tc>
          <w:tcPr>
            <w:tcW w:w="4820" w:type="dxa"/>
            <w:tcBorders>
              <w:top w:val="nil"/>
              <w:left w:val="nil"/>
              <w:bottom w:val="single" w:sz="4" w:space="0" w:color="BFBFBF"/>
              <w:right w:val="nil"/>
            </w:tcBorders>
            <w:shd w:val="clear" w:color="auto" w:fill="auto"/>
            <w:noWrap/>
            <w:hideMark/>
          </w:tcPr>
          <w:p w14:paraId="4A90635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Principles-and-the-Future-of-Food-2020-03-10</w:t>
            </w:r>
          </w:p>
        </w:tc>
        <w:tc>
          <w:tcPr>
            <w:tcW w:w="9214" w:type="dxa"/>
            <w:tcBorders>
              <w:top w:val="nil"/>
              <w:left w:val="nil"/>
              <w:bottom w:val="single" w:sz="4" w:space="0" w:color="BFBFBF"/>
              <w:right w:val="nil"/>
            </w:tcBorders>
            <w:shd w:val="clear" w:color="auto" w:fill="auto"/>
            <w:noWrap/>
            <w:hideMark/>
          </w:tcPr>
          <w:p w14:paraId="2040F8F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5F2D76AD" w14:textId="77777777" w:rsidTr="00113517">
        <w:trPr>
          <w:trHeight w:val="300"/>
        </w:trPr>
        <w:tc>
          <w:tcPr>
            <w:tcW w:w="4820" w:type="dxa"/>
            <w:tcBorders>
              <w:top w:val="nil"/>
              <w:left w:val="nil"/>
              <w:bottom w:val="single" w:sz="4" w:space="0" w:color="BFBFBF"/>
              <w:right w:val="nil"/>
            </w:tcBorders>
            <w:shd w:val="clear" w:color="auto" w:fill="auto"/>
            <w:noWrap/>
            <w:hideMark/>
          </w:tcPr>
          <w:p w14:paraId="3D18F847"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GA_TCA_Booklet_2019_Digital</w:t>
            </w:r>
          </w:p>
        </w:tc>
        <w:tc>
          <w:tcPr>
            <w:tcW w:w="9214" w:type="dxa"/>
            <w:tcBorders>
              <w:top w:val="nil"/>
              <w:left w:val="nil"/>
              <w:bottom w:val="single" w:sz="4" w:space="0" w:color="BFBFBF"/>
              <w:right w:val="nil"/>
            </w:tcBorders>
            <w:shd w:val="clear" w:color="auto" w:fill="auto"/>
            <w:noWrap/>
            <w:hideMark/>
          </w:tcPr>
          <w:p w14:paraId="01F9974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72D0A071" w14:textId="77777777" w:rsidTr="00113517">
        <w:trPr>
          <w:trHeight w:val="300"/>
        </w:trPr>
        <w:tc>
          <w:tcPr>
            <w:tcW w:w="4820" w:type="dxa"/>
            <w:tcBorders>
              <w:top w:val="nil"/>
              <w:left w:val="nil"/>
              <w:bottom w:val="single" w:sz="4" w:space="0" w:color="BFBFBF"/>
              <w:right w:val="nil"/>
            </w:tcBorders>
            <w:shd w:val="clear" w:color="auto" w:fill="auto"/>
            <w:noWrap/>
            <w:hideMark/>
          </w:tcPr>
          <w:p w14:paraId="6E2EBCA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GA-Meridian-Synthesis-Reports-FINAL-2020-03-16</w:t>
            </w:r>
          </w:p>
        </w:tc>
        <w:tc>
          <w:tcPr>
            <w:tcW w:w="9214" w:type="dxa"/>
            <w:tcBorders>
              <w:top w:val="nil"/>
              <w:left w:val="nil"/>
              <w:bottom w:val="single" w:sz="4" w:space="0" w:color="BFBFBF"/>
              <w:right w:val="nil"/>
            </w:tcBorders>
            <w:shd w:val="clear" w:color="auto" w:fill="auto"/>
            <w:noWrap/>
            <w:hideMark/>
          </w:tcPr>
          <w:p w14:paraId="1208B33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351DE47D" w14:textId="77777777" w:rsidTr="00113517">
        <w:trPr>
          <w:trHeight w:val="300"/>
        </w:trPr>
        <w:tc>
          <w:tcPr>
            <w:tcW w:w="4820" w:type="dxa"/>
            <w:tcBorders>
              <w:top w:val="nil"/>
              <w:left w:val="nil"/>
              <w:bottom w:val="single" w:sz="4" w:space="0" w:color="BFBFBF"/>
              <w:right w:val="nil"/>
            </w:tcBorders>
            <w:shd w:val="clear" w:color="auto" w:fill="auto"/>
            <w:noWrap/>
            <w:hideMark/>
          </w:tcPr>
          <w:p w14:paraId="48A8103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GA_2018_Agroecology Booklet_digital_links</w:t>
            </w:r>
          </w:p>
        </w:tc>
        <w:tc>
          <w:tcPr>
            <w:tcW w:w="9214" w:type="dxa"/>
            <w:tcBorders>
              <w:top w:val="nil"/>
              <w:left w:val="nil"/>
              <w:bottom w:val="single" w:sz="4" w:space="0" w:color="BFBFBF"/>
              <w:right w:val="nil"/>
            </w:tcBorders>
            <w:shd w:val="clear" w:color="auto" w:fill="auto"/>
            <w:noWrap/>
            <w:hideMark/>
          </w:tcPr>
          <w:p w14:paraId="7283609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188535F8" w14:textId="77777777" w:rsidTr="00113517">
        <w:trPr>
          <w:trHeight w:val="300"/>
        </w:trPr>
        <w:tc>
          <w:tcPr>
            <w:tcW w:w="4820" w:type="dxa"/>
            <w:tcBorders>
              <w:top w:val="nil"/>
              <w:left w:val="nil"/>
              <w:bottom w:val="single" w:sz="4" w:space="0" w:color="BFBFBF"/>
              <w:right w:val="nil"/>
            </w:tcBorders>
            <w:shd w:val="clear" w:color="auto" w:fill="auto"/>
            <w:noWrap/>
            <w:hideMark/>
          </w:tcPr>
          <w:p w14:paraId="56D3628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Blue Marble Evaluation Without principles and frameworks we can</w:t>
            </w:r>
          </w:p>
        </w:tc>
        <w:tc>
          <w:tcPr>
            <w:tcW w:w="9214" w:type="dxa"/>
            <w:tcBorders>
              <w:top w:val="nil"/>
              <w:left w:val="nil"/>
              <w:bottom w:val="single" w:sz="4" w:space="0" w:color="BFBFBF"/>
              <w:right w:val="nil"/>
            </w:tcBorders>
            <w:shd w:val="clear" w:color="auto" w:fill="auto"/>
            <w:noWrap/>
            <w:hideMark/>
          </w:tcPr>
          <w:p w14:paraId="0676D99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https://futureoffood.org/blue-marble-evaluation-without-principles-and-frameworks-we-can-miss-out-on-the-learning/</w:t>
            </w:r>
          </w:p>
        </w:tc>
      </w:tr>
      <w:tr w:rsidR="00113517" w:rsidRPr="00D67367" w14:paraId="55EBDFAD" w14:textId="77777777" w:rsidTr="00113517">
        <w:trPr>
          <w:trHeight w:val="300"/>
        </w:trPr>
        <w:tc>
          <w:tcPr>
            <w:tcW w:w="4820" w:type="dxa"/>
            <w:tcBorders>
              <w:top w:val="nil"/>
              <w:left w:val="nil"/>
              <w:bottom w:val="single" w:sz="4" w:space="0" w:color="BFBFBF"/>
              <w:right w:val="nil"/>
            </w:tcBorders>
            <w:shd w:val="clear" w:color="auto" w:fill="auto"/>
            <w:noWrap/>
            <w:hideMark/>
          </w:tcPr>
          <w:p w14:paraId="4974179A"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The Global Alliance formally adopts a Theory of Transformation</w:t>
            </w:r>
          </w:p>
        </w:tc>
        <w:tc>
          <w:tcPr>
            <w:tcW w:w="9214" w:type="dxa"/>
            <w:tcBorders>
              <w:top w:val="nil"/>
              <w:left w:val="nil"/>
              <w:bottom w:val="single" w:sz="4" w:space="0" w:color="BFBFBF"/>
              <w:right w:val="nil"/>
            </w:tcBorders>
            <w:shd w:val="clear" w:color="auto" w:fill="auto"/>
            <w:noWrap/>
            <w:hideMark/>
          </w:tcPr>
          <w:p w14:paraId="05BA44BE"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https://futureoffood.org/blue-marble-evaluation-without-principles-and-frameworks-we-can-miss-out-on-the-learning/</w:t>
            </w:r>
          </w:p>
        </w:tc>
      </w:tr>
      <w:tr w:rsidR="00113517" w:rsidRPr="00D67367" w14:paraId="30652BDF" w14:textId="77777777" w:rsidTr="00113517">
        <w:trPr>
          <w:trHeight w:val="300"/>
        </w:trPr>
        <w:tc>
          <w:tcPr>
            <w:tcW w:w="4820" w:type="dxa"/>
            <w:tcBorders>
              <w:top w:val="nil"/>
              <w:left w:val="nil"/>
              <w:bottom w:val="single" w:sz="4" w:space="0" w:color="BFBFBF"/>
              <w:right w:val="nil"/>
            </w:tcBorders>
            <w:shd w:val="clear" w:color="auto" w:fill="auto"/>
            <w:noWrap/>
            <w:hideMark/>
          </w:tcPr>
          <w:p w14:paraId="54F0C19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Who We Are  Future of Food Future of Food</w:t>
            </w:r>
          </w:p>
        </w:tc>
        <w:tc>
          <w:tcPr>
            <w:tcW w:w="9214" w:type="dxa"/>
            <w:tcBorders>
              <w:top w:val="nil"/>
              <w:left w:val="nil"/>
              <w:bottom w:val="single" w:sz="4" w:space="0" w:color="BFBFBF"/>
              <w:right w:val="nil"/>
            </w:tcBorders>
            <w:shd w:val="clear" w:color="auto" w:fill="auto"/>
            <w:noWrap/>
            <w:hideMark/>
          </w:tcPr>
          <w:p w14:paraId="333FC49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https://futureoffood.org/blue-marble-evaluation-without-principles-and-frameworks-we-can-miss-out-on-the-learning/</w:t>
            </w:r>
          </w:p>
        </w:tc>
      </w:tr>
      <w:tr w:rsidR="00113517" w:rsidRPr="00D67367" w14:paraId="0EDFB30D" w14:textId="77777777" w:rsidTr="00113517">
        <w:trPr>
          <w:trHeight w:val="300"/>
        </w:trPr>
        <w:tc>
          <w:tcPr>
            <w:tcW w:w="4820" w:type="dxa"/>
            <w:tcBorders>
              <w:top w:val="nil"/>
              <w:left w:val="nil"/>
              <w:bottom w:val="single" w:sz="4" w:space="0" w:color="BFBFBF"/>
              <w:right w:val="nil"/>
            </w:tcBorders>
            <w:shd w:val="clear" w:color="auto" w:fill="auto"/>
            <w:noWrap/>
            <w:hideMark/>
          </w:tcPr>
          <w:p w14:paraId="3450D62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How We Work  Future of Food Future of Food</w:t>
            </w:r>
          </w:p>
        </w:tc>
        <w:tc>
          <w:tcPr>
            <w:tcW w:w="9214" w:type="dxa"/>
            <w:tcBorders>
              <w:top w:val="nil"/>
              <w:left w:val="nil"/>
              <w:bottom w:val="single" w:sz="4" w:space="0" w:color="BFBFBF"/>
              <w:right w:val="nil"/>
            </w:tcBorders>
            <w:shd w:val="clear" w:color="auto" w:fill="auto"/>
            <w:noWrap/>
            <w:hideMark/>
          </w:tcPr>
          <w:p w14:paraId="1C33EB8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https://futureoffood.org/about-us/how-we-work/</w:t>
            </w:r>
          </w:p>
        </w:tc>
      </w:tr>
      <w:tr w:rsidR="00113517" w:rsidRPr="00D67367" w14:paraId="2AA529F3" w14:textId="77777777" w:rsidTr="00113517">
        <w:trPr>
          <w:trHeight w:val="300"/>
        </w:trPr>
        <w:tc>
          <w:tcPr>
            <w:tcW w:w="4820" w:type="dxa"/>
            <w:tcBorders>
              <w:top w:val="nil"/>
              <w:left w:val="nil"/>
              <w:bottom w:val="single" w:sz="4" w:space="0" w:color="BFBFBF"/>
              <w:right w:val="nil"/>
            </w:tcBorders>
            <w:shd w:val="clear" w:color="auto" w:fill="auto"/>
            <w:noWrap/>
            <w:hideMark/>
          </w:tcPr>
          <w:p w14:paraId="36E4A9C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What We Do  Future of Food Future of Food</w:t>
            </w:r>
          </w:p>
        </w:tc>
        <w:tc>
          <w:tcPr>
            <w:tcW w:w="9214" w:type="dxa"/>
            <w:tcBorders>
              <w:top w:val="nil"/>
              <w:left w:val="nil"/>
              <w:bottom w:val="single" w:sz="4" w:space="0" w:color="BFBFBF"/>
              <w:right w:val="nil"/>
            </w:tcBorders>
            <w:shd w:val="clear" w:color="auto" w:fill="auto"/>
            <w:noWrap/>
            <w:hideMark/>
          </w:tcPr>
          <w:p w14:paraId="7D511525"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https://futureoffood.org/about-us/what-we-do/</w:t>
            </w:r>
          </w:p>
        </w:tc>
      </w:tr>
      <w:tr w:rsidR="00113517" w:rsidRPr="00D67367" w14:paraId="35D2256A" w14:textId="77777777" w:rsidTr="00113517">
        <w:trPr>
          <w:trHeight w:val="300"/>
        </w:trPr>
        <w:tc>
          <w:tcPr>
            <w:tcW w:w="4820" w:type="dxa"/>
            <w:tcBorders>
              <w:top w:val="nil"/>
              <w:left w:val="nil"/>
              <w:bottom w:val="single" w:sz="4" w:space="0" w:color="BFBFBF"/>
              <w:right w:val="nil"/>
            </w:tcBorders>
            <w:shd w:val="clear" w:color="auto" w:fill="auto"/>
            <w:noWrap/>
            <w:hideMark/>
          </w:tcPr>
          <w:p w14:paraId="1D470C59"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Monitoring &amp; Evaluation  Future of Food Future of Food</w:t>
            </w:r>
          </w:p>
        </w:tc>
        <w:tc>
          <w:tcPr>
            <w:tcW w:w="9214" w:type="dxa"/>
            <w:tcBorders>
              <w:top w:val="nil"/>
              <w:left w:val="nil"/>
              <w:bottom w:val="single" w:sz="4" w:space="0" w:color="BFBFBF"/>
              <w:right w:val="nil"/>
            </w:tcBorders>
            <w:shd w:val="clear" w:color="auto" w:fill="auto"/>
            <w:noWrap/>
            <w:hideMark/>
          </w:tcPr>
          <w:p w14:paraId="49B1673B"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https://futureoffood.org/about-us/what-we-do/</w:t>
            </w:r>
          </w:p>
        </w:tc>
      </w:tr>
      <w:tr w:rsidR="00113517" w:rsidRPr="00D67367" w14:paraId="316EB1B5" w14:textId="77777777" w:rsidTr="00113517">
        <w:trPr>
          <w:trHeight w:val="300"/>
        </w:trPr>
        <w:tc>
          <w:tcPr>
            <w:tcW w:w="4820" w:type="dxa"/>
            <w:tcBorders>
              <w:top w:val="nil"/>
              <w:left w:val="nil"/>
              <w:bottom w:val="single" w:sz="4" w:space="0" w:color="BFBFBF"/>
              <w:right w:val="nil"/>
            </w:tcBorders>
            <w:shd w:val="clear" w:color="auto" w:fill="auto"/>
            <w:noWrap/>
            <w:hideMark/>
          </w:tcPr>
          <w:p w14:paraId="59F22B5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Beacons of Hope  Future of Food Future of Food</w:t>
            </w:r>
          </w:p>
        </w:tc>
        <w:tc>
          <w:tcPr>
            <w:tcW w:w="9214" w:type="dxa"/>
            <w:tcBorders>
              <w:top w:val="nil"/>
              <w:left w:val="nil"/>
              <w:bottom w:val="single" w:sz="4" w:space="0" w:color="BFBFBF"/>
              <w:right w:val="nil"/>
            </w:tcBorders>
            <w:shd w:val="clear" w:color="auto" w:fill="auto"/>
            <w:noWrap/>
            <w:hideMark/>
          </w:tcPr>
          <w:p w14:paraId="3A74E47F"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https://futureoffood.org/impact-areas/agroecology/beacons-of-hope/</w:t>
            </w:r>
          </w:p>
        </w:tc>
      </w:tr>
      <w:tr w:rsidR="00113517" w:rsidRPr="00D67367" w14:paraId="44923DED" w14:textId="77777777" w:rsidTr="00113517">
        <w:trPr>
          <w:trHeight w:val="300"/>
        </w:trPr>
        <w:tc>
          <w:tcPr>
            <w:tcW w:w="4820" w:type="dxa"/>
            <w:tcBorders>
              <w:top w:val="nil"/>
              <w:left w:val="nil"/>
              <w:bottom w:val="single" w:sz="4" w:space="0" w:color="BFBFBF"/>
              <w:right w:val="nil"/>
            </w:tcBorders>
            <w:shd w:val="clear" w:color="auto" w:fill="auto"/>
            <w:noWrap/>
            <w:hideMark/>
          </w:tcPr>
          <w:p w14:paraId="7EA430DC"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Resilient-Seed-Systems-Shared-Action-Framework-English</w:t>
            </w:r>
          </w:p>
        </w:tc>
        <w:tc>
          <w:tcPr>
            <w:tcW w:w="9214" w:type="dxa"/>
            <w:tcBorders>
              <w:top w:val="nil"/>
              <w:left w:val="nil"/>
              <w:bottom w:val="single" w:sz="4" w:space="0" w:color="BFBFBF"/>
              <w:right w:val="nil"/>
            </w:tcBorders>
            <w:shd w:val="clear" w:color="auto" w:fill="auto"/>
            <w:noWrap/>
            <w:hideMark/>
          </w:tcPr>
          <w:p w14:paraId="7BF36C64"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3D078EBF" w14:textId="77777777" w:rsidTr="00113517">
        <w:trPr>
          <w:trHeight w:val="300"/>
        </w:trPr>
        <w:tc>
          <w:tcPr>
            <w:tcW w:w="4820" w:type="dxa"/>
            <w:tcBorders>
              <w:top w:val="nil"/>
              <w:left w:val="nil"/>
              <w:bottom w:val="single" w:sz="4" w:space="0" w:color="BFBFBF"/>
              <w:right w:val="nil"/>
            </w:tcBorders>
            <w:shd w:val="clear" w:color="auto" w:fill="auto"/>
            <w:noWrap/>
            <w:hideMark/>
          </w:tcPr>
          <w:p w14:paraId="395E81D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GA_Climate_Food</w:t>
            </w:r>
          </w:p>
        </w:tc>
        <w:tc>
          <w:tcPr>
            <w:tcW w:w="9214" w:type="dxa"/>
            <w:tcBorders>
              <w:top w:val="nil"/>
              <w:left w:val="nil"/>
              <w:bottom w:val="single" w:sz="4" w:space="0" w:color="BFBFBF"/>
              <w:right w:val="nil"/>
            </w:tcBorders>
            <w:shd w:val="clear" w:color="auto" w:fill="auto"/>
            <w:noWrap/>
            <w:hideMark/>
          </w:tcPr>
          <w:p w14:paraId="79A7FFA6"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w:t>
            </w:r>
          </w:p>
        </w:tc>
      </w:tr>
      <w:tr w:rsidR="00113517" w:rsidRPr="00D67367" w14:paraId="3F33C572" w14:textId="77777777" w:rsidTr="00113517">
        <w:trPr>
          <w:trHeight w:val="300"/>
        </w:trPr>
        <w:tc>
          <w:tcPr>
            <w:tcW w:w="4820" w:type="dxa"/>
            <w:tcBorders>
              <w:top w:val="nil"/>
              <w:left w:val="nil"/>
              <w:bottom w:val="single" w:sz="4" w:space="0" w:color="BFBFBF"/>
              <w:right w:val="nil"/>
            </w:tcBorders>
            <w:shd w:val="clear" w:color="auto" w:fill="auto"/>
            <w:noWrap/>
            <w:hideMark/>
          </w:tcPr>
          <w:p w14:paraId="65FC1093"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BeaconsOfHope_Report_082019</w:t>
            </w:r>
          </w:p>
        </w:tc>
        <w:tc>
          <w:tcPr>
            <w:tcW w:w="9214" w:type="dxa"/>
            <w:tcBorders>
              <w:top w:val="nil"/>
              <w:left w:val="nil"/>
              <w:bottom w:val="single" w:sz="4" w:space="0" w:color="BFBFBF"/>
              <w:right w:val="nil"/>
            </w:tcBorders>
            <w:shd w:val="clear" w:color="auto" w:fill="auto"/>
            <w:noWrap/>
            <w:hideMark/>
          </w:tcPr>
          <w:p w14:paraId="1214B36B" w14:textId="77777777" w:rsidR="00113517" w:rsidRPr="00D82287" w:rsidRDefault="00113517" w:rsidP="00113517">
            <w:pPr>
              <w:rPr>
                <w:rFonts w:ascii="Calibri" w:eastAsia="Times New Roman" w:hAnsi="Calibri" w:cs="Calibri"/>
                <w:color w:val="0563C1"/>
                <w:kern w:val="0"/>
                <w:sz w:val="16"/>
                <w:szCs w:val="16"/>
                <w:u w:val="single"/>
                <w:lang w:eastAsia="en-GB"/>
                <w14:ligatures w14:val="none"/>
              </w:rPr>
            </w:pPr>
            <w:hyperlink r:id="rId33" w:history="1">
              <w:r w:rsidRPr="00D82287">
                <w:rPr>
                  <w:rFonts w:ascii="Calibri" w:eastAsia="Times New Roman" w:hAnsi="Calibri" w:cs="Calibri"/>
                  <w:color w:val="0563C1"/>
                  <w:kern w:val="0"/>
                  <w:sz w:val="16"/>
                  <w:szCs w:val="16"/>
                  <w:u w:val="single"/>
                  <w:lang w:eastAsia="en-GB"/>
                  <w14:ligatures w14:val="none"/>
                </w:rPr>
                <w:t xml:space="preserve">https://futureoffood.org/wp-content/uploads/2021/02/BeaconsOfHope_Report_082019.pdf </w:t>
              </w:r>
            </w:hyperlink>
          </w:p>
        </w:tc>
      </w:tr>
      <w:tr w:rsidR="00113517" w:rsidRPr="00D67367" w14:paraId="0D815A05" w14:textId="77777777" w:rsidTr="00113517">
        <w:trPr>
          <w:trHeight w:val="300"/>
        </w:trPr>
        <w:tc>
          <w:tcPr>
            <w:tcW w:w="4820" w:type="dxa"/>
            <w:tcBorders>
              <w:top w:val="nil"/>
              <w:left w:val="nil"/>
              <w:bottom w:val="single" w:sz="4" w:space="0" w:color="BFBFBF"/>
              <w:right w:val="nil"/>
            </w:tcBorders>
            <w:shd w:val="clear" w:color="auto" w:fill="auto"/>
            <w:noWrap/>
            <w:hideMark/>
          </w:tcPr>
          <w:p w14:paraId="402A7B62"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Future of Food  A more sustainable secure and equitable future</w:t>
            </w:r>
          </w:p>
        </w:tc>
        <w:tc>
          <w:tcPr>
            <w:tcW w:w="9214" w:type="dxa"/>
            <w:tcBorders>
              <w:top w:val="nil"/>
              <w:left w:val="nil"/>
              <w:bottom w:val="single" w:sz="4" w:space="0" w:color="BFBFBF"/>
              <w:right w:val="nil"/>
            </w:tcBorders>
            <w:shd w:val="clear" w:color="auto" w:fill="auto"/>
            <w:noWrap/>
            <w:hideMark/>
          </w:tcPr>
          <w:p w14:paraId="38CC37B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w:t>
            </w:r>
          </w:p>
        </w:tc>
      </w:tr>
      <w:tr w:rsidR="00113517" w:rsidRPr="00D67367" w14:paraId="461B7043" w14:textId="77777777" w:rsidTr="00113517">
        <w:trPr>
          <w:trHeight w:val="300"/>
        </w:trPr>
        <w:tc>
          <w:tcPr>
            <w:tcW w:w="4820" w:type="dxa"/>
            <w:tcBorders>
              <w:top w:val="nil"/>
              <w:left w:val="nil"/>
              <w:bottom w:val="single" w:sz="4" w:space="0" w:color="BFBFBF"/>
              <w:right w:val="nil"/>
            </w:tcBorders>
            <w:shd w:val="clear" w:color="auto" w:fill="auto"/>
            <w:noWrap/>
            <w:hideMark/>
          </w:tcPr>
          <w:p w14:paraId="366727B1"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COVID RESPONSE CATALYZES LOCAL FOOD SYSTEMS TRANSFORMATION - Gl</w:t>
            </w:r>
          </w:p>
        </w:tc>
        <w:tc>
          <w:tcPr>
            <w:tcW w:w="9214" w:type="dxa"/>
            <w:tcBorders>
              <w:top w:val="nil"/>
              <w:left w:val="nil"/>
              <w:bottom w:val="single" w:sz="4" w:space="0" w:color="BFBFBF"/>
              <w:right w:val="nil"/>
            </w:tcBorders>
            <w:shd w:val="clear" w:color="auto" w:fill="auto"/>
            <w:noWrap/>
            <w:hideMark/>
          </w:tcPr>
          <w:p w14:paraId="2E6A7BC8" w14:textId="77777777" w:rsidR="00113517" w:rsidRPr="00D82287" w:rsidRDefault="00113517" w:rsidP="00113517">
            <w:pPr>
              <w:rPr>
                <w:rFonts w:ascii="Calibri" w:eastAsia="Times New Roman" w:hAnsi="Calibri" w:cs="Calibri"/>
                <w:color w:val="000000"/>
                <w:kern w:val="0"/>
                <w:sz w:val="16"/>
                <w:szCs w:val="16"/>
                <w:lang w:eastAsia="en-GB"/>
                <w14:ligatures w14:val="none"/>
              </w:rPr>
            </w:pPr>
            <w:r w:rsidRPr="00D82287">
              <w:rPr>
                <w:rFonts w:ascii="Calibri" w:eastAsia="Times New Roman" w:hAnsi="Calibri" w:cs="Calibri"/>
                <w:color w:val="000000"/>
                <w:kern w:val="0"/>
                <w:sz w:val="16"/>
                <w:szCs w:val="16"/>
                <w:lang w:eastAsia="en-GB"/>
                <w14:ligatures w14:val="none"/>
              </w:rPr>
              <w:t xml:space="preserve"> https://futureoffood.org/insights/covid-response-catalyzes-local-food-systems-transformation/</w:t>
            </w:r>
          </w:p>
        </w:tc>
      </w:tr>
    </w:tbl>
    <w:p w14:paraId="0537E33D" w14:textId="313D81D9" w:rsidR="002920A4" w:rsidRPr="00D82287" w:rsidRDefault="002920A4" w:rsidP="00B73376">
      <w:pPr>
        <w:rPr>
          <w:rFonts w:cstheme="minorHAnsi"/>
        </w:rPr>
      </w:pPr>
    </w:p>
    <w:sectPr w:rsidR="002920A4" w:rsidRPr="00D82287" w:rsidSect="002474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7D62" w14:textId="77777777" w:rsidR="00011DF0" w:rsidRDefault="00011DF0" w:rsidP="002D3DB6">
      <w:r>
        <w:separator/>
      </w:r>
    </w:p>
  </w:endnote>
  <w:endnote w:type="continuationSeparator" w:id="0">
    <w:p w14:paraId="2F40F058" w14:textId="77777777" w:rsidR="00011DF0" w:rsidRDefault="00011DF0" w:rsidP="002D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4746252"/>
      <w:docPartObj>
        <w:docPartGallery w:val="Page Numbers (Bottom of Page)"/>
        <w:docPartUnique/>
      </w:docPartObj>
    </w:sdtPr>
    <w:sdtContent>
      <w:p w14:paraId="3A3C88CB" w14:textId="4966D563" w:rsidR="002D3DB6" w:rsidRDefault="002D3DB6" w:rsidP="00A520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D8A38" w14:textId="77777777" w:rsidR="002D3DB6" w:rsidRDefault="002D3DB6" w:rsidP="002D3D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6452321"/>
      <w:docPartObj>
        <w:docPartGallery w:val="Page Numbers (Bottom of Page)"/>
        <w:docPartUnique/>
      </w:docPartObj>
    </w:sdtPr>
    <w:sdtContent>
      <w:p w14:paraId="47576EBD" w14:textId="565147F7" w:rsidR="002D3DB6" w:rsidRDefault="002D3DB6" w:rsidP="00A520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9EB375" w14:textId="77777777" w:rsidR="002D3DB6" w:rsidRDefault="002D3DB6" w:rsidP="002D3D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7EF03" w14:textId="77777777" w:rsidR="00011DF0" w:rsidRDefault="00011DF0" w:rsidP="002D3DB6">
      <w:r>
        <w:separator/>
      </w:r>
    </w:p>
  </w:footnote>
  <w:footnote w:type="continuationSeparator" w:id="0">
    <w:p w14:paraId="306AF0CC" w14:textId="77777777" w:rsidR="00011DF0" w:rsidRDefault="00011DF0" w:rsidP="002D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5421"/>
    <w:multiLevelType w:val="hybridMultilevel"/>
    <w:tmpl w:val="F42E1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11C14"/>
    <w:multiLevelType w:val="multilevel"/>
    <w:tmpl w:val="A622D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EC4C23"/>
    <w:multiLevelType w:val="multilevel"/>
    <w:tmpl w:val="174C3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55F97F5D"/>
    <w:multiLevelType w:val="hybridMultilevel"/>
    <w:tmpl w:val="260889E0"/>
    <w:lvl w:ilvl="0" w:tplc="68BC5A72">
      <w:start w:val="5"/>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A1067"/>
    <w:multiLevelType w:val="hybridMultilevel"/>
    <w:tmpl w:val="340AB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927880">
    <w:abstractNumId w:val="0"/>
  </w:num>
  <w:num w:numId="2" w16cid:durableId="686055503">
    <w:abstractNumId w:val="1"/>
  </w:num>
  <w:num w:numId="3" w16cid:durableId="223025074">
    <w:abstractNumId w:val="2"/>
  </w:num>
  <w:num w:numId="4" w16cid:durableId="1002471186">
    <w:abstractNumId w:val="4"/>
  </w:num>
  <w:num w:numId="5" w16cid:durableId="113757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20"/>
    <w:rsid w:val="00000A05"/>
    <w:rsid w:val="00007FBF"/>
    <w:rsid w:val="00011DF0"/>
    <w:rsid w:val="0004475A"/>
    <w:rsid w:val="00052021"/>
    <w:rsid w:val="00055000"/>
    <w:rsid w:val="00057711"/>
    <w:rsid w:val="000632AE"/>
    <w:rsid w:val="0007218D"/>
    <w:rsid w:val="000752B8"/>
    <w:rsid w:val="00090219"/>
    <w:rsid w:val="000941F6"/>
    <w:rsid w:val="00097DCF"/>
    <w:rsid w:val="000A2346"/>
    <w:rsid w:val="000A6837"/>
    <w:rsid w:val="000B63DA"/>
    <w:rsid w:val="000B6E28"/>
    <w:rsid w:val="000C4B4C"/>
    <w:rsid w:val="000D257E"/>
    <w:rsid w:val="000D59DB"/>
    <w:rsid w:val="000E511E"/>
    <w:rsid w:val="00111B48"/>
    <w:rsid w:val="00113517"/>
    <w:rsid w:val="001213E6"/>
    <w:rsid w:val="0012482A"/>
    <w:rsid w:val="001315D1"/>
    <w:rsid w:val="00135419"/>
    <w:rsid w:val="001464EC"/>
    <w:rsid w:val="0014719A"/>
    <w:rsid w:val="00157185"/>
    <w:rsid w:val="001615BC"/>
    <w:rsid w:val="00167836"/>
    <w:rsid w:val="001678F5"/>
    <w:rsid w:val="001A07A6"/>
    <w:rsid w:val="001B0E1B"/>
    <w:rsid w:val="001B4FEF"/>
    <w:rsid w:val="001B57D0"/>
    <w:rsid w:val="001B7FA4"/>
    <w:rsid w:val="001C5188"/>
    <w:rsid w:val="001D6BE2"/>
    <w:rsid w:val="001E66D5"/>
    <w:rsid w:val="001F07F2"/>
    <w:rsid w:val="001F2D40"/>
    <w:rsid w:val="001F3670"/>
    <w:rsid w:val="001F562A"/>
    <w:rsid w:val="00214E6C"/>
    <w:rsid w:val="00222E9F"/>
    <w:rsid w:val="00231333"/>
    <w:rsid w:val="00235EC4"/>
    <w:rsid w:val="002362B1"/>
    <w:rsid w:val="00240E13"/>
    <w:rsid w:val="00242D44"/>
    <w:rsid w:val="0024740B"/>
    <w:rsid w:val="002525B9"/>
    <w:rsid w:val="00257943"/>
    <w:rsid w:val="00273A7B"/>
    <w:rsid w:val="00285EBA"/>
    <w:rsid w:val="00287356"/>
    <w:rsid w:val="0029169B"/>
    <w:rsid w:val="00291D05"/>
    <w:rsid w:val="002920A4"/>
    <w:rsid w:val="00296D8F"/>
    <w:rsid w:val="002A28E1"/>
    <w:rsid w:val="002B5D39"/>
    <w:rsid w:val="002D3DB6"/>
    <w:rsid w:val="002D46CB"/>
    <w:rsid w:val="002D5C73"/>
    <w:rsid w:val="002D5C84"/>
    <w:rsid w:val="002E7869"/>
    <w:rsid w:val="002F21FB"/>
    <w:rsid w:val="002F449B"/>
    <w:rsid w:val="00327AC1"/>
    <w:rsid w:val="00335F6F"/>
    <w:rsid w:val="00352D00"/>
    <w:rsid w:val="00353FCF"/>
    <w:rsid w:val="00355776"/>
    <w:rsid w:val="00365531"/>
    <w:rsid w:val="00366315"/>
    <w:rsid w:val="003667C5"/>
    <w:rsid w:val="00372494"/>
    <w:rsid w:val="00376A4E"/>
    <w:rsid w:val="00376DCD"/>
    <w:rsid w:val="00381690"/>
    <w:rsid w:val="00395D20"/>
    <w:rsid w:val="003A03CB"/>
    <w:rsid w:val="003A2BF9"/>
    <w:rsid w:val="003A7AC3"/>
    <w:rsid w:val="003B06E6"/>
    <w:rsid w:val="003B1104"/>
    <w:rsid w:val="003C4073"/>
    <w:rsid w:val="003C5E61"/>
    <w:rsid w:val="003D2DB6"/>
    <w:rsid w:val="003D3DB8"/>
    <w:rsid w:val="003E3A3C"/>
    <w:rsid w:val="003E4D59"/>
    <w:rsid w:val="003E54B5"/>
    <w:rsid w:val="003E6D5B"/>
    <w:rsid w:val="003F4A63"/>
    <w:rsid w:val="003F4EAE"/>
    <w:rsid w:val="003F534B"/>
    <w:rsid w:val="00400429"/>
    <w:rsid w:val="0040290B"/>
    <w:rsid w:val="00411DB4"/>
    <w:rsid w:val="00420069"/>
    <w:rsid w:val="004335C0"/>
    <w:rsid w:val="00446EDD"/>
    <w:rsid w:val="00447C26"/>
    <w:rsid w:val="0045288C"/>
    <w:rsid w:val="0045386E"/>
    <w:rsid w:val="00486FF1"/>
    <w:rsid w:val="0049099A"/>
    <w:rsid w:val="004942FE"/>
    <w:rsid w:val="00494867"/>
    <w:rsid w:val="004A2F15"/>
    <w:rsid w:val="004A60D3"/>
    <w:rsid w:val="004B0016"/>
    <w:rsid w:val="004B45BE"/>
    <w:rsid w:val="004B5B94"/>
    <w:rsid w:val="004C3822"/>
    <w:rsid w:val="004F4001"/>
    <w:rsid w:val="005014A6"/>
    <w:rsid w:val="00502C69"/>
    <w:rsid w:val="00504E22"/>
    <w:rsid w:val="00506056"/>
    <w:rsid w:val="005103A6"/>
    <w:rsid w:val="00511103"/>
    <w:rsid w:val="0051135E"/>
    <w:rsid w:val="00512E55"/>
    <w:rsid w:val="005137A8"/>
    <w:rsid w:val="00515254"/>
    <w:rsid w:val="00524F97"/>
    <w:rsid w:val="00531298"/>
    <w:rsid w:val="00562AA8"/>
    <w:rsid w:val="00567458"/>
    <w:rsid w:val="0057040C"/>
    <w:rsid w:val="00572C36"/>
    <w:rsid w:val="005751A3"/>
    <w:rsid w:val="00582529"/>
    <w:rsid w:val="005875A1"/>
    <w:rsid w:val="005878F4"/>
    <w:rsid w:val="00596FC4"/>
    <w:rsid w:val="005A1054"/>
    <w:rsid w:val="005A7F57"/>
    <w:rsid w:val="005B45D0"/>
    <w:rsid w:val="005B7431"/>
    <w:rsid w:val="005D7BAC"/>
    <w:rsid w:val="005E0026"/>
    <w:rsid w:val="005E519E"/>
    <w:rsid w:val="005E618D"/>
    <w:rsid w:val="005E6FE1"/>
    <w:rsid w:val="0060345F"/>
    <w:rsid w:val="00616776"/>
    <w:rsid w:val="00616BD8"/>
    <w:rsid w:val="006251E7"/>
    <w:rsid w:val="00630B18"/>
    <w:rsid w:val="00635DE0"/>
    <w:rsid w:val="00640291"/>
    <w:rsid w:val="00651D6C"/>
    <w:rsid w:val="00656B41"/>
    <w:rsid w:val="006577CB"/>
    <w:rsid w:val="006914F9"/>
    <w:rsid w:val="006A1671"/>
    <w:rsid w:val="006A51CC"/>
    <w:rsid w:val="006A7548"/>
    <w:rsid w:val="006B6C93"/>
    <w:rsid w:val="006F5EF7"/>
    <w:rsid w:val="006F7FF7"/>
    <w:rsid w:val="00712030"/>
    <w:rsid w:val="007135A0"/>
    <w:rsid w:val="007168C3"/>
    <w:rsid w:val="007319DD"/>
    <w:rsid w:val="0074190C"/>
    <w:rsid w:val="00746CF6"/>
    <w:rsid w:val="00754DF2"/>
    <w:rsid w:val="00762C89"/>
    <w:rsid w:val="00763DD8"/>
    <w:rsid w:val="00773DB8"/>
    <w:rsid w:val="00782145"/>
    <w:rsid w:val="007955AD"/>
    <w:rsid w:val="007A4A07"/>
    <w:rsid w:val="007B29D8"/>
    <w:rsid w:val="007B73F1"/>
    <w:rsid w:val="007C15CF"/>
    <w:rsid w:val="007D707F"/>
    <w:rsid w:val="007E4307"/>
    <w:rsid w:val="007E4D9D"/>
    <w:rsid w:val="008071F7"/>
    <w:rsid w:val="008104E5"/>
    <w:rsid w:val="00827865"/>
    <w:rsid w:val="008300B8"/>
    <w:rsid w:val="00832692"/>
    <w:rsid w:val="00835359"/>
    <w:rsid w:val="00843EF5"/>
    <w:rsid w:val="0084460B"/>
    <w:rsid w:val="00875E32"/>
    <w:rsid w:val="0088004B"/>
    <w:rsid w:val="00885D39"/>
    <w:rsid w:val="008962EE"/>
    <w:rsid w:val="008A40E8"/>
    <w:rsid w:val="008C585D"/>
    <w:rsid w:val="008D2EB2"/>
    <w:rsid w:val="008E65B8"/>
    <w:rsid w:val="0092406C"/>
    <w:rsid w:val="0092466C"/>
    <w:rsid w:val="00934E49"/>
    <w:rsid w:val="009431A5"/>
    <w:rsid w:val="00950406"/>
    <w:rsid w:val="009525F8"/>
    <w:rsid w:val="00960C1F"/>
    <w:rsid w:val="0096576A"/>
    <w:rsid w:val="00971BAD"/>
    <w:rsid w:val="00972097"/>
    <w:rsid w:val="00974115"/>
    <w:rsid w:val="00983941"/>
    <w:rsid w:val="009944BB"/>
    <w:rsid w:val="00994B19"/>
    <w:rsid w:val="009973D2"/>
    <w:rsid w:val="009B53D9"/>
    <w:rsid w:val="009C1DBD"/>
    <w:rsid w:val="009D78D4"/>
    <w:rsid w:val="009E12BF"/>
    <w:rsid w:val="009E2434"/>
    <w:rsid w:val="009E3D35"/>
    <w:rsid w:val="009F57DE"/>
    <w:rsid w:val="00A1178B"/>
    <w:rsid w:val="00A22002"/>
    <w:rsid w:val="00A30A62"/>
    <w:rsid w:val="00A43341"/>
    <w:rsid w:val="00A477EA"/>
    <w:rsid w:val="00A50C1C"/>
    <w:rsid w:val="00A51CA5"/>
    <w:rsid w:val="00A55CEE"/>
    <w:rsid w:val="00A6289F"/>
    <w:rsid w:val="00A72F85"/>
    <w:rsid w:val="00A73B2F"/>
    <w:rsid w:val="00A80232"/>
    <w:rsid w:val="00A84336"/>
    <w:rsid w:val="00AA6948"/>
    <w:rsid w:val="00AC53A0"/>
    <w:rsid w:val="00AD7784"/>
    <w:rsid w:val="00AF0551"/>
    <w:rsid w:val="00AF4096"/>
    <w:rsid w:val="00AF7982"/>
    <w:rsid w:val="00B003B0"/>
    <w:rsid w:val="00B0455E"/>
    <w:rsid w:val="00B0467D"/>
    <w:rsid w:val="00B05D2B"/>
    <w:rsid w:val="00B12F61"/>
    <w:rsid w:val="00B148A4"/>
    <w:rsid w:val="00B14F64"/>
    <w:rsid w:val="00B162CC"/>
    <w:rsid w:val="00B322FF"/>
    <w:rsid w:val="00B33AA1"/>
    <w:rsid w:val="00B36A75"/>
    <w:rsid w:val="00B50B21"/>
    <w:rsid w:val="00B56C7A"/>
    <w:rsid w:val="00B56FF4"/>
    <w:rsid w:val="00B57432"/>
    <w:rsid w:val="00B73376"/>
    <w:rsid w:val="00B75AF8"/>
    <w:rsid w:val="00B852DE"/>
    <w:rsid w:val="00B878D7"/>
    <w:rsid w:val="00B94573"/>
    <w:rsid w:val="00B9590C"/>
    <w:rsid w:val="00B95E0A"/>
    <w:rsid w:val="00BA130D"/>
    <w:rsid w:val="00BA3F0A"/>
    <w:rsid w:val="00BA51EF"/>
    <w:rsid w:val="00BA5BA8"/>
    <w:rsid w:val="00BB1B10"/>
    <w:rsid w:val="00BC2745"/>
    <w:rsid w:val="00BC3B80"/>
    <w:rsid w:val="00BC4571"/>
    <w:rsid w:val="00BD0A50"/>
    <w:rsid w:val="00BD3C9F"/>
    <w:rsid w:val="00BF6976"/>
    <w:rsid w:val="00C02318"/>
    <w:rsid w:val="00C06927"/>
    <w:rsid w:val="00C07761"/>
    <w:rsid w:val="00C171BB"/>
    <w:rsid w:val="00C17DB3"/>
    <w:rsid w:val="00C24B19"/>
    <w:rsid w:val="00C256E8"/>
    <w:rsid w:val="00C30A5F"/>
    <w:rsid w:val="00C359EF"/>
    <w:rsid w:val="00C47DEB"/>
    <w:rsid w:val="00C674BF"/>
    <w:rsid w:val="00C81E29"/>
    <w:rsid w:val="00C83AFB"/>
    <w:rsid w:val="00C9298B"/>
    <w:rsid w:val="00C96437"/>
    <w:rsid w:val="00CB34AC"/>
    <w:rsid w:val="00CC01E5"/>
    <w:rsid w:val="00CD197D"/>
    <w:rsid w:val="00CE043E"/>
    <w:rsid w:val="00CF343B"/>
    <w:rsid w:val="00CF76CF"/>
    <w:rsid w:val="00D035BB"/>
    <w:rsid w:val="00D07A72"/>
    <w:rsid w:val="00D1581B"/>
    <w:rsid w:val="00D20A53"/>
    <w:rsid w:val="00D26A3D"/>
    <w:rsid w:val="00D506CA"/>
    <w:rsid w:val="00D53592"/>
    <w:rsid w:val="00D55FB3"/>
    <w:rsid w:val="00D5685C"/>
    <w:rsid w:val="00D655E4"/>
    <w:rsid w:val="00D67367"/>
    <w:rsid w:val="00D71125"/>
    <w:rsid w:val="00D74E73"/>
    <w:rsid w:val="00D7611E"/>
    <w:rsid w:val="00D7648B"/>
    <w:rsid w:val="00D82287"/>
    <w:rsid w:val="00D8550E"/>
    <w:rsid w:val="00DA5A1D"/>
    <w:rsid w:val="00DA7334"/>
    <w:rsid w:val="00DB29F5"/>
    <w:rsid w:val="00DC216D"/>
    <w:rsid w:val="00DC27B7"/>
    <w:rsid w:val="00DD2D0F"/>
    <w:rsid w:val="00DE1E1D"/>
    <w:rsid w:val="00DE2844"/>
    <w:rsid w:val="00DE3F10"/>
    <w:rsid w:val="00DF1BBD"/>
    <w:rsid w:val="00DF5CC5"/>
    <w:rsid w:val="00E00708"/>
    <w:rsid w:val="00E25BD6"/>
    <w:rsid w:val="00E30B9A"/>
    <w:rsid w:val="00E368AC"/>
    <w:rsid w:val="00E41A99"/>
    <w:rsid w:val="00E43396"/>
    <w:rsid w:val="00E46B55"/>
    <w:rsid w:val="00E60982"/>
    <w:rsid w:val="00E61FBD"/>
    <w:rsid w:val="00E67D2E"/>
    <w:rsid w:val="00E76E18"/>
    <w:rsid w:val="00E76EF0"/>
    <w:rsid w:val="00E91B5F"/>
    <w:rsid w:val="00EC1F53"/>
    <w:rsid w:val="00ED252F"/>
    <w:rsid w:val="00EE1456"/>
    <w:rsid w:val="00F00D08"/>
    <w:rsid w:val="00F014E6"/>
    <w:rsid w:val="00F10132"/>
    <w:rsid w:val="00F228BB"/>
    <w:rsid w:val="00F24D83"/>
    <w:rsid w:val="00F35321"/>
    <w:rsid w:val="00F43D67"/>
    <w:rsid w:val="00F470EA"/>
    <w:rsid w:val="00F54588"/>
    <w:rsid w:val="00F61FCA"/>
    <w:rsid w:val="00F77062"/>
    <w:rsid w:val="00F81CA0"/>
    <w:rsid w:val="00F86A20"/>
    <w:rsid w:val="00F97F7C"/>
    <w:rsid w:val="00FA2C47"/>
    <w:rsid w:val="00FA3963"/>
    <w:rsid w:val="00FA420C"/>
    <w:rsid w:val="00FB0FBC"/>
    <w:rsid w:val="00FC3A9C"/>
    <w:rsid w:val="00FC49C9"/>
    <w:rsid w:val="00FD3596"/>
    <w:rsid w:val="00FD5255"/>
    <w:rsid w:val="00FE412C"/>
    <w:rsid w:val="00FE740D"/>
    <w:rsid w:val="00FF064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E986"/>
  <w15:chartTrackingRefBased/>
  <w15:docId w15:val="{E56B6051-F3F6-E941-B797-1817779A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231333"/>
    <w:pPr>
      <w:spacing w:before="100" w:beforeAutospacing="1" w:after="100" w:afterAutospacing="1"/>
      <w:outlineLvl w:val="0"/>
    </w:pPr>
    <w:rPr>
      <w:rFonts w:ascii="Times New Roman" w:eastAsia="Times New Roman" w:hAnsi="Times New Roman" w:cs="Times New Roman"/>
      <w:b/>
      <w:bCs/>
      <w:kern w:val="36"/>
      <w:sz w:val="48"/>
      <w:szCs w:val="48"/>
      <w:lang w:val="en-SE" w:eastAsia="en-GB"/>
      <w14:ligatures w14:val="none"/>
    </w:rPr>
  </w:style>
  <w:style w:type="paragraph" w:styleId="Heading2">
    <w:name w:val="heading 2"/>
    <w:basedOn w:val="Normal"/>
    <w:link w:val="Heading2Char"/>
    <w:uiPriority w:val="9"/>
    <w:qFormat/>
    <w:rsid w:val="00231333"/>
    <w:pPr>
      <w:spacing w:before="100" w:beforeAutospacing="1" w:after="100" w:afterAutospacing="1"/>
      <w:outlineLvl w:val="1"/>
    </w:pPr>
    <w:rPr>
      <w:rFonts w:ascii="Times New Roman" w:eastAsia="Times New Roman" w:hAnsi="Times New Roman" w:cs="Times New Roman"/>
      <w:b/>
      <w:bCs/>
      <w:kern w:val="0"/>
      <w:sz w:val="36"/>
      <w:szCs w:val="36"/>
      <w:lang w:val="en-SE"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92"/>
    <w:pPr>
      <w:ind w:left="720"/>
      <w:contextualSpacing/>
    </w:pPr>
  </w:style>
  <w:style w:type="character" w:customStyle="1" w:styleId="Heading1Char">
    <w:name w:val="Heading 1 Char"/>
    <w:basedOn w:val="DefaultParagraphFont"/>
    <w:link w:val="Heading1"/>
    <w:uiPriority w:val="9"/>
    <w:rsid w:val="00231333"/>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23133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231333"/>
    <w:pPr>
      <w:spacing w:before="100" w:beforeAutospacing="1" w:after="100" w:afterAutospacing="1"/>
    </w:pPr>
    <w:rPr>
      <w:rFonts w:ascii="Times New Roman" w:eastAsia="Times New Roman" w:hAnsi="Times New Roman" w:cs="Times New Roman"/>
      <w:kern w:val="0"/>
      <w:lang w:val="en-SE" w:eastAsia="en-GB"/>
      <w14:ligatures w14:val="none"/>
    </w:rPr>
  </w:style>
  <w:style w:type="character" w:styleId="Hyperlink">
    <w:name w:val="Hyperlink"/>
    <w:basedOn w:val="DefaultParagraphFont"/>
    <w:uiPriority w:val="99"/>
    <w:unhideWhenUsed/>
    <w:rsid w:val="00231333"/>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353FC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2">
    <w:name w:val="toc 2"/>
    <w:basedOn w:val="Normal"/>
    <w:next w:val="Normal"/>
    <w:autoRedefine/>
    <w:uiPriority w:val="39"/>
    <w:unhideWhenUsed/>
    <w:rsid w:val="00353FCF"/>
    <w:pPr>
      <w:spacing w:before="120"/>
      <w:ind w:left="240"/>
    </w:pPr>
    <w:rPr>
      <w:rFonts w:cstheme="minorHAnsi"/>
      <w:b/>
      <w:bCs/>
      <w:sz w:val="22"/>
      <w:szCs w:val="22"/>
    </w:rPr>
  </w:style>
  <w:style w:type="paragraph" w:styleId="TOC1">
    <w:name w:val="toc 1"/>
    <w:basedOn w:val="Normal"/>
    <w:next w:val="Normal"/>
    <w:autoRedefine/>
    <w:uiPriority w:val="39"/>
    <w:unhideWhenUsed/>
    <w:rsid w:val="00353FCF"/>
    <w:pPr>
      <w:spacing w:before="120"/>
    </w:pPr>
    <w:rPr>
      <w:rFonts w:cstheme="minorHAnsi"/>
      <w:b/>
      <w:bCs/>
      <w:i/>
      <w:iCs/>
    </w:rPr>
  </w:style>
  <w:style w:type="paragraph" w:styleId="TOC3">
    <w:name w:val="toc 3"/>
    <w:basedOn w:val="Normal"/>
    <w:next w:val="Normal"/>
    <w:autoRedefine/>
    <w:uiPriority w:val="39"/>
    <w:semiHidden/>
    <w:unhideWhenUsed/>
    <w:rsid w:val="00353FCF"/>
    <w:pPr>
      <w:ind w:left="480"/>
    </w:pPr>
    <w:rPr>
      <w:rFonts w:cstheme="minorHAnsi"/>
      <w:sz w:val="20"/>
      <w:szCs w:val="20"/>
    </w:rPr>
  </w:style>
  <w:style w:type="paragraph" w:styleId="TOC4">
    <w:name w:val="toc 4"/>
    <w:basedOn w:val="Normal"/>
    <w:next w:val="Normal"/>
    <w:autoRedefine/>
    <w:uiPriority w:val="39"/>
    <w:semiHidden/>
    <w:unhideWhenUsed/>
    <w:rsid w:val="00353FCF"/>
    <w:pPr>
      <w:ind w:left="720"/>
    </w:pPr>
    <w:rPr>
      <w:rFonts w:cstheme="minorHAnsi"/>
      <w:sz w:val="20"/>
      <w:szCs w:val="20"/>
    </w:rPr>
  </w:style>
  <w:style w:type="paragraph" w:styleId="TOC5">
    <w:name w:val="toc 5"/>
    <w:basedOn w:val="Normal"/>
    <w:next w:val="Normal"/>
    <w:autoRedefine/>
    <w:uiPriority w:val="39"/>
    <w:semiHidden/>
    <w:unhideWhenUsed/>
    <w:rsid w:val="00353FCF"/>
    <w:pPr>
      <w:ind w:left="960"/>
    </w:pPr>
    <w:rPr>
      <w:rFonts w:cstheme="minorHAnsi"/>
      <w:sz w:val="20"/>
      <w:szCs w:val="20"/>
    </w:rPr>
  </w:style>
  <w:style w:type="paragraph" w:styleId="TOC6">
    <w:name w:val="toc 6"/>
    <w:basedOn w:val="Normal"/>
    <w:next w:val="Normal"/>
    <w:autoRedefine/>
    <w:uiPriority w:val="39"/>
    <w:semiHidden/>
    <w:unhideWhenUsed/>
    <w:rsid w:val="00353FCF"/>
    <w:pPr>
      <w:ind w:left="1200"/>
    </w:pPr>
    <w:rPr>
      <w:rFonts w:cstheme="minorHAnsi"/>
      <w:sz w:val="20"/>
      <w:szCs w:val="20"/>
    </w:rPr>
  </w:style>
  <w:style w:type="paragraph" w:styleId="TOC7">
    <w:name w:val="toc 7"/>
    <w:basedOn w:val="Normal"/>
    <w:next w:val="Normal"/>
    <w:autoRedefine/>
    <w:uiPriority w:val="39"/>
    <w:semiHidden/>
    <w:unhideWhenUsed/>
    <w:rsid w:val="00353FCF"/>
    <w:pPr>
      <w:ind w:left="1440"/>
    </w:pPr>
    <w:rPr>
      <w:rFonts w:cstheme="minorHAnsi"/>
      <w:sz w:val="20"/>
      <w:szCs w:val="20"/>
    </w:rPr>
  </w:style>
  <w:style w:type="paragraph" w:styleId="TOC8">
    <w:name w:val="toc 8"/>
    <w:basedOn w:val="Normal"/>
    <w:next w:val="Normal"/>
    <w:autoRedefine/>
    <w:uiPriority w:val="39"/>
    <w:semiHidden/>
    <w:unhideWhenUsed/>
    <w:rsid w:val="00353FCF"/>
    <w:pPr>
      <w:ind w:left="1680"/>
    </w:pPr>
    <w:rPr>
      <w:rFonts w:cstheme="minorHAnsi"/>
      <w:sz w:val="20"/>
      <w:szCs w:val="20"/>
    </w:rPr>
  </w:style>
  <w:style w:type="paragraph" w:styleId="TOC9">
    <w:name w:val="toc 9"/>
    <w:basedOn w:val="Normal"/>
    <w:next w:val="Normal"/>
    <w:autoRedefine/>
    <w:uiPriority w:val="39"/>
    <w:semiHidden/>
    <w:unhideWhenUsed/>
    <w:rsid w:val="00353FCF"/>
    <w:pPr>
      <w:ind w:left="1920"/>
    </w:pPr>
    <w:rPr>
      <w:rFonts w:cstheme="minorHAnsi"/>
      <w:sz w:val="20"/>
      <w:szCs w:val="20"/>
    </w:rPr>
  </w:style>
  <w:style w:type="paragraph" w:styleId="Footer">
    <w:name w:val="footer"/>
    <w:basedOn w:val="Normal"/>
    <w:link w:val="FooterChar"/>
    <w:uiPriority w:val="99"/>
    <w:unhideWhenUsed/>
    <w:rsid w:val="002D3DB6"/>
    <w:pPr>
      <w:tabs>
        <w:tab w:val="center" w:pos="4513"/>
        <w:tab w:val="right" w:pos="9026"/>
      </w:tabs>
    </w:pPr>
  </w:style>
  <w:style w:type="character" w:customStyle="1" w:styleId="FooterChar">
    <w:name w:val="Footer Char"/>
    <w:basedOn w:val="DefaultParagraphFont"/>
    <w:link w:val="Footer"/>
    <w:uiPriority w:val="99"/>
    <w:rsid w:val="002D3DB6"/>
    <w:rPr>
      <w:lang w:val="en-GB"/>
    </w:rPr>
  </w:style>
  <w:style w:type="character" w:styleId="PageNumber">
    <w:name w:val="page number"/>
    <w:basedOn w:val="DefaultParagraphFont"/>
    <w:uiPriority w:val="99"/>
    <w:semiHidden/>
    <w:unhideWhenUsed/>
    <w:rsid w:val="002D3DB6"/>
  </w:style>
  <w:style w:type="paragraph" w:styleId="Header">
    <w:name w:val="header"/>
    <w:basedOn w:val="Normal"/>
    <w:link w:val="HeaderChar"/>
    <w:uiPriority w:val="99"/>
    <w:unhideWhenUsed/>
    <w:rsid w:val="005B7431"/>
    <w:pPr>
      <w:tabs>
        <w:tab w:val="center" w:pos="4513"/>
        <w:tab w:val="right" w:pos="9026"/>
      </w:tabs>
    </w:pPr>
  </w:style>
  <w:style w:type="character" w:customStyle="1" w:styleId="HeaderChar">
    <w:name w:val="Header Char"/>
    <w:basedOn w:val="DefaultParagraphFont"/>
    <w:link w:val="Header"/>
    <w:uiPriority w:val="99"/>
    <w:rsid w:val="005B7431"/>
    <w:rPr>
      <w:lang w:val="en-GB"/>
    </w:rPr>
  </w:style>
  <w:style w:type="paragraph" w:styleId="NoSpacing">
    <w:name w:val="No Spacing"/>
    <w:uiPriority w:val="1"/>
    <w:qFormat/>
    <w:rsid w:val="008E65B8"/>
    <w:rPr>
      <w:lang w:val="en-GB"/>
    </w:rPr>
  </w:style>
  <w:style w:type="paragraph" w:styleId="Bibliography">
    <w:name w:val="Bibliography"/>
    <w:basedOn w:val="Normal"/>
    <w:next w:val="Normal"/>
    <w:uiPriority w:val="37"/>
    <w:unhideWhenUsed/>
    <w:rsid w:val="00B73376"/>
    <w:pPr>
      <w:spacing w:line="480" w:lineRule="auto"/>
      <w:ind w:left="720" w:hanging="720"/>
    </w:pPr>
  </w:style>
  <w:style w:type="character" w:styleId="UnresolvedMention">
    <w:name w:val="Unresolved Mention"/>
    <w:basedOn w:val="DefaultParagraphFont"/>
    <w:uiPriority w:val="99"/>
    <w:semiHidden/>
    <w:unhideWhenUsed/>
    <w:rsid w:val="00974115"/>
    <w:rPr>
      <w:color w:val="605E5C"/>
      <w:shd w:val="clear" w:color="auto" w:fill="E1DFDD"/>
    </w:rPr>
  </w:style>
  <w:style w:type="paragraph" w:styleId="Revision">
    <w:name w:val="Revision"/>
    <w:hidden/>
    <w:uiPriority w:val="99"/>
    <w:semiHidden/>
    <w:rsid w:val="009E3D35"/>
    <w:rPr>
      <w:lang w:val="en-GB"/>
    </w:rPr>
  </w:style>
  <w:style w:type="paragraph" w:styleId="CommentSubject">
    <w:name w:val="annotation subject"/>
    <w:basedOn w:val="CommentText"/>
    <w:next w:val="CommentText"/>
    <w:link w:val="CommentSubjectChar"/>
    <w:uiPriority w:val="99"/>
    <w:semiHidden/>
    <w:unhideWhenUsed/>
    <w:rsid w:val="00DF1BBD"/>
    <w:rPr>
      <w:b/>
      <w:bCs/>
    </w:rPr>
  </w:style>
  <w:style w:type="character" w:customStyle="1" w:styleId="CommentSubjectChar">
    <w:name w:val="Comment Subject Char"/>
    <w:basedOn w:val="CommentTextChar"/>
    <w:link w:val="CommentSubject"/>
    <w:uiPriority w:val="99"/>
    <w:semiHidden/>
    <w:rsid w:val="00DF1BB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23012">
      <w:bodyDiv w:val="1"/>
      <w:marLeft w:val="0"/>
      <w:marRight w:val="0"/>
      <w:marTop w:val="0"/>
      <w:marBottom w:val="0"/>
      <w:divBdr>
        <w:top w:val="none" w:sz="0" w:space="0" w:color="auto"/>
        <w:left w:val="none" w:sz="0" w:space="0" w:color="auto"/>
        <w:bottom w:val="none" w:sz="0" w:space="0" w:color="auto"/>
        <w:right w:val="none" w:sz="0" w:space="0" w:color="auto"/>
      </w:divBdr>
    </w:div>
    <w:div w:id="1157264836">
      <w:bodyDiv w:val="1"/>
      <w:marLeft w:val="0"/>
      <w:marRight w:val="0"/>
      <w:marTop w:val="0"/>
      <w:marBottom w:val="0"/>
      <w:divBdr>
        <w:top w:val="none" w:sz="0" w:space="0" w:color="auto"/>
        <w:left w:val="none" w:sz="0" w:space="0" w:color="auto"/>
        <w:bottom w:val="none" w:sz="0" w:space="0" w:color="auto"/>
        <w:right w:val="none" w:sz="0" w:space="0" w:color="auto"/>
      </w:divBdr>
    </w:div>
    <w:div w:id="1504200992">
      <w:bodyDiv w:val="1"/>
      <w:marLeft w:val="0"/>
      <w:marRight w:val="0"/>
      <w:marTop w:val="0"/>
      <w:marBottom w:val="0"/>
      <w:divBdr>
        <w:top w:val="none" w:sz="0" w:space="0" w:color="auto"/>
        <w:left w:val="none" w:sz="0" w:space="0" w:color="auto"/>
        <w:bottom w:val="none" w:sz="0" w:space="0" w:color="auto"/>
        <w:right w:val="none" w:sz="0" w:space="0" w:color="auto"/>
      </w:divBdr>
      <w:divsChild>
        <w:div w:id="712845360">
          <w:marLeft w:val="-108"/>
          <w:marRight w:val="0"/>
          <w:marTop w:val="0"/>
          <w:marBottom w:val="0"/>
          <w:divBdr>
            <w:top w:val="none" w:sz="0" w:space="0" w:color="auto"/>
            <w:left w:val="none" w:sz="0" w:space="0" w:color="auto"/>
            <w:bottom w:val="none" w:sz="0" w:space="0" w:color="auto"/>
            <w:right w:val="none" w:sz="0" w:space="0" w:color="auto"/>
          </w:divBdr>
        </w:div>
      </w:divsChild>
    </w:div>
    <w:div w:id="18272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offood.org/principles-and-the-future-of-food/" TargetMode="External"/><Relationship Id="rId18" Type="http://schemas.openxmlformats.org/officeDocument/2006/relationships/hyperlink" Target="https://sustainablefoodlab.org/how-we-work/" TargetMode="External"/><Relationship Id="rId26" Type="http://schemas.openxmlformats.org/officeDocument/2006/relationships/hyperlink" Target="https://www.gisdalliance.org/sites/default/files/2020-09/Renewed%2C%20Recharged%20and%20Reinforced%20%28GISD%202020%29_vF.pdf" TargetMode="External"/><Relationship Id="rId3" Type="http://schemas.openxmlformats.org/officeDocument/2006/relationships/styles" Target="styles.xml"/><Relationship Id="rId21" Type="http://schemas.openxmlformats.org/officeDocument/2006/relationships/hyperlink" Target="https://op2b.org/wp-content/uploads/2020/05/OP2B_Statement_May_20-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utureoffood.org/about-us/what-we-do/" TargetMode="External"/><Relationship Id="rId17" Type="http://schemas.openxmlformats.org/officeDocument/2006/relationships/hyperlink" Target="https://futureoffood.org/report/the-future-of-food-seeds-of-resilience/synthesis-of-findings/" TargetMode="External"/><Relationship Id="rId25" Type="http://schemas.openxmlformats.org/officeDocument/2006/relationships/hyperlink" Target="https://www.gisdalliance.org/sites/default/files/2020-10/GISD_Dialogue%20with%20Member%20States%2014%20Oct_Informal%20Summary_27%20Oct.pdf" TargetMode="External"/><Relationship Id="rId33" Type="http://schemas.openxmlformats.org/officeDocument/2006/relationships/hyperlink" Target="https://futureoffood.org/wp-content/uploads/2021/02/BeaconsOfHope_Report_082019.pdf" TargetMode="External"/><Relationship Id="rId2" Type="http://schemas.openxmlformats.org/officeDocument/2006/relationships/numbering" Target="numbering.xml"/><Relationship Id="rId16" Type="http://schemas.openxmlformats.org/officeDocument/2006/relationships/hyperlink" Target="https://futureoffood.org/wp-content/uploads/2020/04/GA_FrameworksForTransformationReport_30320Web.pdf" TargetMode="External"/><Relationship Id="rId20" Type="http://schemas.openxmlformats.org/officeDocument/2006/relationships/hyperlink" Target="https://op2b.org/wp-content/uploads/2019/09/OP2B_Ambition_Statement.pdf" TargetMode="External"/><Relationship Id="rId29" Type="http://schemas.openxmlformats.org/officeDocument/2006/relationships/hyperlink" Target="https://www.gisdalliance.org/sites/default/files/2020-09/GISD%20Alliance_COVID-19%20bonds%20call%20to%20action_28%20Aug%281%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ifama.org/resources/Documents/v16ia/Hamilton.pdf" TargetMode="External"/><Relationship Id="rId32" Type="http://schemas.openxmlformats.org/officeDocument/2006/relationships/hyperlink" Target="https://futureoffood.org/wp-content/uploads/2021/05/BeaconsOfHope_COVIDStories_2021.pdf" TargetMode="External"/><Relationship Id="rId5" Type="http://schemas.openxmlformats.org/officeDocument/2006/relationships/webSettings" Target="webSettings.xml"/><Relationship Id="rId15" Type="http://schemas.openxmlformats.org/officeDocument/2006/relationships/hyperlink" Target="https://futureoffood.org/the-global-alliance-makes-history-with-formal-adoption-of-a-theory-of-transformation/" TargetMode="External"/><Relationship Id="rId23" Type="http://schemas.openxmlformats.org/officeDocument/2006/relationships/hyperlink" Target="https://doi.org/10.1016/j.cities.2015.11.011" TargetMode="External"/><Relationship Id="rId28" Type="http://schemas.openxmlformats.org/officeDocument/2006/relationships/hyperlink" Target="https://www.gisdalliance.org/sites/default/files/2020-09/GISD%20Action%20Statement%20COVID%209%20June_final.pdf" TargetMode="External"/><Relationship Id="rId10" Type="http://schemas.openxmlformats.org/officeDocument/2006/relationships/image" Target="media/image1.png"/><Relationship Id="rId19" Type="http://schemas.openxmlformats.org/officeDocument/2006/relationships/hyperlink" Target="https://op2b.org/actions/" TargetMode="External"/><Relationship Id="rId31" Type="http://schemas.openxmlformats.org/officeDocument/2006/relationships/hyperlink" Target="https://www.climateaction100.org/wp-content/uploads/2020/10/English-Progress-Report-2019.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utureoffood.org/our-approach/monitoring-and-evaluation/" TargetMode="External"/><Relationship Id="rId22" Type="http://schemas.openxmlformats.org/officeDocument/2006/relationships/hyperlink" Target="https://op2b.org/wp-content/uploads/2019/09/OP2B_Ambition_Statement.pdf" TargetMode="External"/><Relationship Id="rId27" Type="http://schemas.openxmlformats.org/officeDocument/2006/relationships/hyperlink" Target="https://www.un.org/esa/ffd/wp-content/uploads/2019/10/GISD-joint-statement.pdf" TargetMode="External"/><Relationship Id="rId30" Type="http://schemas.openxmlformats.org/officeDocument/2006/relationships/hyperlink" Target="https://www.climateaction100.org/wp-content/uploads/2021/01/Landscape-Report_CA100-Aviation-Sector-Strategy_WEB_Jan-2021.pdf"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0C0-7791-3243-9117-238BA72A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58</Pages>
  <Words>14213</Words>
  <Characters>81020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Maniatakou</dc:creator>
  <cp:keywords/>
  <dc:description/>
  <cp:lastModifiedBy>Sofia Maniatakou</cp:lastModifiedBy>
  <cp:revision>117</cp:revision>
  <dcterms:created xsi:type="dcterms:W3CDTF">2024-10-01T13:35:00Z</dcterms:created>
  <dcterms:modified xsi:type="dcterms:W3CDTF">2025-05-21T11:24:00Z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id="4uZ9zLir"/&gt;&lt;style id="http://www.zotero.org/styles/university-of-gothenburg-apa-swedish-legislations" locale="en-US" hasBibliography="1" bibliographyStyleHasBeenSet="1"/&gt;&lt;prefs&gt;&lt;pref name="fieldT</vt:lpwstr>
  </property>
  <property fmtid="{D5CDD505-2E9C-101B-9397-08002B2CF9AE}" pid="3" name="ZOTERO_PREF_2">
    <vt:lpwstr>ype" value="Field"/&gt;&lt;/prefs&gt;&lt;/data&gt;</vt:lpwstr>
  </property>
</Properties>
</file>