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C2C" w14:textId="46F48E66" w:rsidR="00640ADD" w:rsidRPr="005B54AF" w:rsidRDefault="00640ADD" w:rsidP="005B5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A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114FC"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179E9B3F" w14:textId="50BA3074" w:rsidR="00640ADD" w:rsidRDefault="00640ADD"/>
    <w:p w14:paraId="1B24DBA0" w14:textId="1D2F8D24" w:rsidR="00F96A53" w:rsidRPr="00F96A53" w:rsidRDefault="00F96A53" w:rsidP="00F96A53">
      <w:pPr>
        <w:rPr>
          <w:rFonts w:ascii="Times New Roman" w:hAnsi="Times New Roman" w:cs="Times New Roman"/>
          <w:sz w:val="24"/>
          <w:szCs w:val="24"/>
        </w:rPr>
      </w:pPr>
      <w:r w:rsidRPr="00F96A53">
        <w:rPr>
          <w:rFonts w:ascii="Times New Roman" w:hAnsi="Times New Roman" w:cs="Times New Roman"/>
          <w:b/>
          <w:bCs/>
          <w:sz w:val="24"/>
          <w:szCs w:val="24"/>
        </w:rPr>
        <w:t>Supplementary Table S1.</w:t>
      </w:r>
      <w:r w:rsidRPr="00F96A53">
        <w:rPr>
          <w:rFonts w:ascii="Times New Roman" w:hAnsi="Times New Roman" w:cs="Times New Roman"/>
          <w:sz w:val="24"/>
          <w:szCs w:val="24"/>
        </w:rPr>
        <w:t xml:space="preserve"> Resilience Principles </w:t>
      </w:r>
      <w:r w:rsidR="00E015F7">
        <w:rPr>
          <w:rFonts w:ascii="Times New Roman" w:hAnsi="Times New Roman" w:cs="Times New Roman"/>
          <w:sz w:val="24"/>
          <w:szCs w:val="24"/>
        </w:rPr>
        <w:t>A</w:t>
      </w:r>
      <w:r w:rsidRPr="00F96A53">
        <w:rPr>
          <w:rFonts w:ascii="Times New Roman" w:hAnsi="Times New Roman" w:cs="Times New Roman"/>
          <w:sz w:val="24"/>
          <w:szCs w:val="24"/>
        </w:rPr>
        <w:t xml:space="preserve">dapted from Obasi 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A5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A53" w:rsidRPr="00F96A53" w14:paraId="313A52B8" w14:textId="77777777" w:rsidTr="00BE310C">
        <w:tc>
          <w:tcPr>
            <w:tcW w:w="4675" w:type="dxa"/>
          </w:tcPr>
          <w:p w14:paraId="700A3687" w14:textId="77777777" w:rsidR="00F96A53" w:rsidRPr="00F96A53" w:rsidRDefault="00F96A53" w:rsidP="00BE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</w:t>
            </w:r>
          </w:p>
        </w:tc>
        <w:tc>
          <w:tcPr>
            <w:tcW w:w="4675" w:type="dxa"/>
          </w:tcPr>
          <w:p w14:paraId="52DADC17" w14:textId="77777777" w:rsidR="00F96A53" w:rsidRPr="00F96A53" w:rsidRDefault="00F96A53" w:rsidP="00BE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F96A53" w:rsidRPr="00F96A53" w14:paraId="00F44C5C" w14:textId="77777777" w:rsidTr="00BE310C">
        <w:tc>
          <w:tcPr>
            <w:tcW w:w="4675" w:type="dxa"/>
          </w:tcPr>
          <w:p w14:paraId="25843A0E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P1: Maintain diversity and redundancy</w:t>
            </w:r>
          </w:p>
        </w:tc>
        <w:tc>
          <w:tcPr>
            <w:tcW w:w="4675" w:type="dxa"/>
          </w:tcPr>
          <w:p w14:paraId="5CB4036D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Maintaining diversity in terms of variety, balance, and disparity, as well as maintaining redundancy from both social and ecological perspectives</w:t>
            </w:r>
          </w:p>
        </w:tc>
      </w:tr>
      <w:tr w:rsidR="00F96A53" w:rsidRPr="00F96A53" w14:paraId="04D6E746" w14:textId="77777777" w:rsidTr="00BE310C">
        <w:tc>
          <w:tcPr>
            <w:tcW w:w="4675" w:type="dxa"/>
          </w:tcPr>
          <w:p w14:paraId="37221E25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P2: Manage connectivity</w:t>
            </w:r>
          </w:p>
        </w:tc>
        <w:tc>
          <w:tcPr>
            <w:tcW w:w="4675" w:type="dxa"/>
          </w:tcPr>
          <w:p w14:paraId="32EB382D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 xml:space="preserve">Managing links between components of the system. This includes modularity and </w:t>
            </w:r>
            <w:proofErr w:type="spellStart"/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nestedness</w:t>
            </w:r>
            <w:proofErr w:type="spellEnd"/>
            <w:r w:rsidRPr="00F96A53">
              <w:rPr>
                <w:rFonts w:ascii="Times New Roman" w:hAnsi="Times New Roman" w:cs="Times New Roman"/>
                <w:sz w:val="24"/>
                <w:szCs w:val="24"/>
              </w:rPr>
              <w:t xml:space="preserve"> from both social and ecological perspectives</w:t>
            </w:r>
          </w:p>
        </w:tc>
      </w:tr>
      <w:tr w:rsidR="00F96A53" w:rsidRPr="00F96A53" w14:paraId="091C246A" w14:textId="77777777" w:rsidTr="00BE310C">
        <w:tc>
          <w:tcPr>
            <w:tcW w:w="4675" w:type="dxa"/>
          </w:tcPr>
          <w:p w14:paraId="43732280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 xml:space="preserve">P3: Manage slow variables and </w:t>
            </w:r>
            <w:proofErr w:type="gramStart"/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feedbacks</w:t>
            </w:r>
            <w:proofErr w:type="gramEnd"/>
          </w:p>
        </w:tc>
        <w:tc>
          <w:tcPr>
            <w:tcW w:w="4675" w:type="dxa"/>
          </w:tcPr>
          <w:p w14:paraId="32FF5993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 xml:space="preserve">Managing variables that change slowly and determine the underlying structure of the system. Identifying and monitoring/managing </w:t>
            </w:r>
            <w:proofErr w:type="gramStart"/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feedbacks</w:t>
            </w:r>
            <w:proofErr w:type="gramEnd"/>
            <w:r w:rsidRPr="00F96A53">
              <w:rPr>
                <w:rFonts w:ascii="Times New Roman" w:hAnsi="Times New Roman" w:cs="Times New Roman"/>
                <w:sz w:val="24"/>
                <w:szCs w:val="24"/>
              </w:rPr>
              <w:t xml:space="preserve"> is critical, from both social and ecological perspectives</w:t>
            </w:r>
          </w:p>
        </w:tc>
      </w:tr>
      <w:tr w:rsidR="00F96A53" w:rsidRPr="00F96A53" w14:paraId="1A422A8E" w14:textId="77777777" w:rsidTr="00BE310C">
        <w:tc>
          <w:tcPr>
            <w:tcW w:w="4675" w:type="dxa"/>
          </w:tcPr>
          <w:p w14:paraId="17AD98FA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P4: Foster an understanding of social-ecological systems as complex adaptive systems</w:t>
            </w:r>
          </w:p>
        </w:tc>
        <w:tc>
          <w:tcPr>
            <w:tcW w:w="4675" w:type="dxa"/>
          </w:tcPr>
          <w:p w14:paraId="79D27793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Acknowledging that systems are uncertain: they have emergent behaviour that cannot be predicted from individual parts, and are constantly evolving and adapting</w:t>
            </w:r>
          </w:p>
        </w:tc>
      </w:tr>
      <w:tr w:rsidR="00F96A53" w:rsidRPr="00F96A53" w14:paraId="011EE37A" w14:textId="77777777" w:rsidTr="00BE310C">
        <w:tc>
          <w:tcPr>
            <w:tcW w:w="4675" w:type="dxa"/>
          </w:tcPr>
          <w:p w14:paraId="77674FA4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P5: Encourage learning and experimentation</w:t>
            </w:r>
          </w:p>
        </w:tc>
        <w:tc>
          <w:tcPr>
            <w:tcW w:w="4675" w:type="dxa"/>
          </w:tcPr>
          <w:p w14:paraId="51674069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Individual and social learning and experimentation to understand potential outcomes from new approaches to management</w:t>
            </w:r>
          </w:p>
        </w:tc>
      </w:tr>
      <w:tr w:rsidR="00F96A53" w:rsidRPr="00F96A53" w14:paraId="7350B985" w14:textId="77777777" w:rsidTr="00BE310C">
        <w:tc>
          <w:tcPr>
            <w:tcW w:w="4675" w:type="dxa"/>
          </w:tcPr>
          <w:p w14:paraId="19095EF1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P6: Broaden participation</w:t>
            </w:r>
          </w:p>
        </w:tc>
        <w:tc>
          <w:tcPr>
            <w:tcW w:w="4675" w:type="dxa"/>
          </w:tcPr>
          <w:p w14:paraId="178C100E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Engagement of relevant actors in governance</w:t>
            </w:r>
          </w:p>
        </w:tc>
      </w:tr>
      <w:tr w:rsidR="00F96A53" w:rsidRPr="00F96A53" w14:paraId="167C30AA" w14:textId="77777777" w:rsidTr="00BE310C">
        <w:tc>
          <w:tcPr>
            <w:tcW w:w="4675" w:type="dxa"/>
          </w:tcPr>
          <w:p w14:paraId="7AEA0FFF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P7: Promote polycentric governance systems</w:t>
            </w:r>
          </w:p>
        </w:tc>
        <w:tc>
          <w:tcPr>
            <w:tcW w:w="4675" w:type="dxa"/>
          </w:tcPr>
          <w:p w14:paraId="0074A8CB" w14:textId="77777777" w:rsidR="00F96A53" w:rsidRPr="00F96A53" w:rsidRDefault="00F96A53" w:rsidP="00BE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</w:rPr>
              <w:t>Promote approaches that include multiple governing bodies with links among and between levels. Modularity and redundancy are important.</w:t>
            </w:r>
          </w:p>
        </w:tc>
      </w:tr>
    </w:tbl>
    <w:p w14:paraId="3563B716" w14:textId="77777777" w:rsidR="00F96A53" w:rsidRPr="00F96A53" w:rsidRDefault="00F96A53" w:rsidP="00F96A53">
      <w:pPr>
        <w:rPr>
          <w:rFonts w:ascii="Times New Roman" w:hAnsi="Times New Roman" w:cs="Times New Roman"/>
          <w:sz w:val="24"/>
          <w:szCs w:val="24"/>
        </w:rPr>
      </w:pPr>
    </w:p>
    <w:p w14:paraId="11E1B68C" w14:textId="77777777" w:rsidR="00F96A53" w:rsidRDefault="00F96A53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091"/>
        <w:gridCol w:w="2092"/>
      </w:tblGrid>
      <w:tr w:rsidR="00640ADD" w:rsidRPr="00A84490" w14:paraId="25236C39" w14:textId="77777777" w:rsidTr="00BF76A1">
        <w:trPr>
          <w:trHeight w:val="450"/>
          <w:jc w:val="center"/>
        </w:trPr>
        <w:tc>
          <w:tcPr>
            <w:tcW w:w="91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C27587" w14:textId="758E672B" w:rsidR="00640ADD" w:rsidRPr="00945095" w:rsidRDefault="00B60E80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</w:t>
            </w:r>
            <w:r w:rsidR="00640ADD"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01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0ADD"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0ADD" w:rsidRPr="0063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DD">
              <w:rPr>
                <w:rFonts w:ascii="Times New Roman" w:hAnsi="Times New Roman" w:cs="Times New Roman"/>
                <w:sz w:val="24"/>
                <w:szCs w:val="24"/>
              </w:rPr>
              <w:t xml:space="preserve">Confirmatory Factor Analysis </w:t>
            </w:r>
            <w:r w:rsidR="00DF76DF">
              <w:rPr>
                <w:rFonts w:ascii="Times New Roman" w:hAnsi="Times New Roman" w:cs="Times New Roman"/>
                <w:sz w:val="24"/>
                <w:szCs w:val="24"/>
              </w:rPr>
              <w:t xml:space="preserve">Pattern Matrix </w:t>
            </w:r>
            <w:r w:rsidR="00640AD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0ADD" w:rsidRPr="00634E44">
              <w:rPr>
                <w:rFonts w:ascii="Times New Roman" w:hAnsi="Times New Roman" w:cs="Times New Roman"/>
                <w:sz w:val="24"/>
                <w:szCs w:val="24"/>
              </w:rPr>
              <w:t xml:space="preserve">oadings for the </w:t>
            </w:r>
            <w:r w:rsidR="00DF76DF">
              <w:rPr>
                <w:rFonts w:ascii="Times New Roman" w:hAnsi="Times New Roman" w:cs="Times New Roman"/>
                <w:sz w:val="24"/>
                <w:szCs w:val="24"/>
              </w:rPr>
              <w:t xml:space="preserve">Seven </w:t>
            </w:r>
            <w:r w:rsidR="00640ADD">
              <w:rPr>
                <w:rFonts w:ascii="Times New Roman" w:hAnsi="Times New Roman" w:cs="Times New Roman"/>
                <w:sz w:val="24"/>
                <w:szCs w:val="24"/>
              </w:rPr>
              <w:t>Resilience Principles</w:t>
            </w:r>
          </w:p>
        </w:tc>
      </w:tr>
      <w:tr w:rsidR="00640ADD" w:rsidRPr="00A84490" w14:paraId="3B9BD90C" w14:textId="77777777" w:rsidTr="00BF76A1">
        <w:trPr>
          <w:jc w:val="center"/>
        </w:trPr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B98AD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sz w:val="24"/>
                <w:szCs w:val="24"/>
              </w:rPr>
              <w:t>Principle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1A1D" w14:textId="77777777" w:rsidR="00640ADD" w:rsidRPr="00634E44" w:rsidRDefault="00640ADD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F8846" w14:textId="77777777" w:rsidR="00640ADD" w:rsidRPr="00634E44" w:rsidRDefault="00640ADD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640ADD" w:rsidRPr="00A84490" w14:paraId="584D8EFD" w14:textId="77777777" w:rsidTr="00BF76A1">
        <w:trPr>
          <w:trHeight w:val="422"/>
          <w:jc w:val="center"/>
        </w:trPr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26AB6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Maintain Diversity &amp; Redundancy (P1)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4C1A6" w14:textId="73FD674F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5EEF8" w14:textId="77777777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</w:tr>
      <w:tr w:rsidR="00640ADD" w:rsidRPr="00A84490" w14:paraId="47906A82" w14:textId="77777777" w:rsidTr="00BF76A1">
        <w:trPr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32735328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Manage Connectivity (P2)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D49F7CE" w14:textId="711D38F2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9B45E3E" w14:textId="77777777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 w:rsidR="00640ADD" w:rsidRPr="00A84490" w14:paraId="68B558EC" w14:textId="77777777" w:rsidTr="00BF76A1">
        <w:trPr>
          <w:trHeight w:val="646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0A52CBFB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Manage Slow Variables &amp; </w:t>
            </w:r>
            <w:proofErr w:type="gramStart"/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Feedbacks</w:t>
            </w:r>
            <w:proofErr w:type="gramEnd"/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(P3)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5680BFD" w14:textId="034328E9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3A0BE68" w14:textId="77777777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</w:tr>
      <w:tr w:rsidR="00640ADD" w:rsidRPr="00A84490" w14:paraId="1F8A182F" w14:textId="77777777" w:rsidTr="00BF76A1">
        <w:trPr>
          <w:trHeight w:val="413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102137F8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Foster Complex Adaptive Systems Thinking (P4)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56CDD96" w14:textId="06D6B1D3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C7DC20C" w14:textId="77777777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</w:tr>
      <w:tr w:rsidR="00640ADD" w:rsidRPr="00A84490" w14:paraId="15B318DB" w14:textId="77777777" w:rsidTr="00BF76A1">
        <w:trPr>
          <w:trHeight w:val="350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0FCE840A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Encourage Learning (P5)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AC399F" w14:textId="260D552F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D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A2B2EE6" w14:textId="23789F22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640ADD" w:rsidRPr="00A84490" w14:paraId="7796EF27" w14:textId="77777777" w:rsidTr="00BF76A1">
        <w:trPr>
          <w:trHeight w:val="47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12CD4CB3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Broaden Participation (P6)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90418E9" w14:textId="3DC412AD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DF76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D3C9116" w14:textId="0DDAE4F8" w:rsidR="00640ADD" w:rsidRPr="00634E44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640ADD" w:rsidRPr="00A84490" w14:paraId="77EB02F1" w14:textId="77777777" w:rsidTr="00BF76A1">
        <w:trPr>
          <w:trHeight w:val="440"/>
          <w:jc w:val="center"/>
        </w:trPr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962A" w14:textId="77777777" w:rsidR="00640ADD" w:rsidRPr="00634E44" w:rsidRDefault="00640ADD" w:rsidP="00BF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Promote Polycentric Governance (P7)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AB1C8" w14:textId="085C7887" w:rsidR="00640ADD" w:rsidRPr="00634E44" w:rsidRDefault="00640ADD" w:rsidP="00BF76A1">
            <w:pPr>
              <w:tabs>
                <w:tab w:val="decimal" w:pos="700"/>
              </w:tabs>
              <w:autoSpaceDE w:val="0"/>
              <w:autoSpaceDN w:val="0"/>
              <w:adjustRightInd w:val="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F7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32E7C" w14:textId="385B63A7" w:rsidR="00640ADD" w:rsidRPr="00634E44" w:rsidRDefault="00DF76DF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.417</w:t>
            </w:r>
          </w:p>
        </w:tc>
      </w:tr>
      <w:tr w:rsidR="00640ADD" w:rsidRPr="00A84490" w14:paraId="6973B9B5" w14:textId="77777777" w:rsidTr="00BF76A1">
        <w:trPr>
          <w:trHeight w:val="44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DCC4BA" w14:textId="57C4F7F2" w:rsidR="00640ADD" w:rsidRPr="00945095" w:rsidRDefault="00640ADD" w:rsidP="00BF76A1">
            <w:pPr>
              <w:tabs>
                <w:tab w:val="decimal" w:pos="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5">
              <w:rPr>
                <w:rFonts w:ascii="Times New Roman" w:hAnsi="Times New Roman" w:cs="Times New Roman"/>
                <w:sz w:val="24"/>
                <w:szCs w:val="24"/>
              </w:rPr>
              <w:t xml:space="preserve">Principle Components Analysis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(PCA) </w:t>
            </w:r>
            <w:r w:rsidRPr="00945095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</w:t>
            </w:r>
            <w:r w:rsidRPr="00945095">
              <w:rPr>
                <w:rFonts w:ascii="Times New Roman" w:hAnsi="Times New Roman" w:cs="Times New Roman"/>
                <w:sz w:val="24"/>
                <w:szCs w:val="24"/>
              </w:rPr>
              <w:t>ax rotation and Kaiser normalization</w:t>
            </w:r>
          </w:p>
        </w:tc>
      </w:tr>
    </w:tbl>
    <w:p w14:paraId="08F254BB" w14:textId="782C0AAD" w:rsidR="00640ADD" w:rsidRDefault="00640ADD"/>
    <w:p w14:paraId="4CA28349" w14:textId="11936BDA" w:rsidR="006A2035" w:rsidRDefault="006A2035"/>
    <w:tbl>
      <w:tblPr>
        <w:tblStyle w:val="TableGrid"/>
        <w:tblpPr w:leftFromText="180" w:rightFromText="180" w:vertAnchor="text" w:horzAnchor="margin" w:tblpXSpec="center" w:tblpY="232"/>
        <w:tblW w:w="1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38"/>
        <w:gridCol w:w="1338"/>
        <w:gridCol w:w="1338"/>
        <w:gridCol w:w="1338"/>
        <w:gridCol w:w="1338"/>
        <w:gridCol w:w="1338"/>
        <w:gridCol w:w="1339"/>
      </w:tblGrid>
      <w:tr w:rsidR="007B55EB" w:rsidRPr="007B55EB" w14:paraId="5A5153B6" w14:textId="77777777" w:rsidTr="007D51F1">
        <w:trPr>
          <w:trHeight w:val="285"/>
        </w:trPr>
        <w:tc>
          <w:tcPr>
            <w:tcW w:w="112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4008" w14:textId="77777777" w:rsidR="007B55EB" w:rsidRPr="007B55EB" w:rsidRDefault="007B55EB" w:rsidP="007D51F1">
            <w:pPr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 xml:space="preserve">Supplementary Table S3. </w:t>
            </w:r>
            <w:r w:rsidRPr="007B55EB">
              <w:rPr>
                <w:rFonts w:ascii="Times New Roman" w:hAnsi="Times New Roman" w:cs="Times New Roman"/>
                <w:bCs/>
              </w:rPr>
              <w:t>Mean Scores for each resilience principle as a function of country</w:t>
            </w:r>
          </w:p>
        </w:tc>
      </w:tr>
      <w:tr w:rsidR="007B55EB" w:rsidRPr="007B55EB" w14:paraId="6E91CAAC" w14:textId="77777777" w:rsidTr="007D51F1">
        <w:trPr>
          <w:trHeight w:val="2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056107" w14:textId="77777777" w:rsidR="007B55EB" w:rsidRPr="007B55EB" w:rsidRDefault="007B55EB" w:rsidP="007D51F1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5EB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6849AB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DF1657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68CCB0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8167EA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P4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7C25AB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BDEAAA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E03D06" w14:textId="77777777" w:rsidR="007B55EB" w:rsidRPr="007B55EB" w:rsidRDefault="007B55EB" w:rsidP="007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EB">
              <w:rPr>
                <w:rFonts w:ascii="Times New Roman" w:hAnsi="Times New Roman" w:cs="Times New Roman"/>
                <w:b/>
              </w:rPr>
              <w:t>P7</w:t>
            </w:r>
          </w:p>
        </w:tc>
      </w:tr>
      <w:tr w:rsidR="007B55EB" w:rsidRPr="007B55EB" w14:paraId="43BC10B6" w14:textId="77777777" w:rsidTr="007D51F1">
        <w:trPr>
          <w:trHeight w:val="227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90ADD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 xml:space="preserve">Australia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2AD28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2.73 (0.85)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1079AE74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2.78 (0.88)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2726403B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2.89 (0.86)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017AD1BB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2.99 (0.99)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5FCCB28C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2.76 (1.16)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4AEA86DE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2.82 (1.07)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2244C812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3.02 (1.09)</w:t>
            </w:r>
          </w:p>
        </w:tc>
      </w:tr>
      <w:tr w:rsidR="007B55EB" w:rsidRPr="007B55EB" w14:paraId="75584DBE" w14:textId="77777777" w:rsidTr="007D51F1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0D9FC79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65B76614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2.85 (0.82)</w:t>
            </w:r>
          </w:p>
        </w:tc>
        <w:tc>
          <w:tcPr>
            <w:tcW w:w="1338" w:type="dxa"/>
            <w:vAlign w:val="center"/>
          </w:tcPr>
          <w:p w14:paraId="47D3E8FA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2.85 (0.85)</w:t>
            </w:r>
          </w:p>
        </w:tc>
        <w:tc>
          <w:tcPr>
            <w:tcW w:w="1338" w:type="dxa"/>
            <w:vAlign w:val="center"/>
          </w:tcPr>
          <w:p w14:paraId="279DA540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2.94 (0.80)</w:t>
            </w:r>
          </w:p>
        </w:tc>
        <w:tc>
          <w:tcPr>
            <w:tcW w:w="1338" w:type="dxa"/>
            <w:vAlign w:val="center"/>
          </w:tcPr>
          <w:p w14:paraId="65D94756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2.90 (1.05)</w:t>
            </w:r>
          </w:p>
        </w:tc>
        <w:tc>
          <w:tcPr>
            <w:tcW w:w="1338" w:type="dxa"/>
            <w:vAlign w:val="center"/>
          </w:tcPr>
          <w:p w14:paraId="5B92AC32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2.83 (1.12)</w:t>
            </w:r>
          </w:p>
        </w:tc>
        <w:tc>
          <w:tcPr>
            <w:tcW w:w="1338" w:type="dxa"/>
            <w:vAlign w:val="center"/>
          </w:tcPr>
          <w:p w14:paraId="24E4E0F8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2.79 (1.07)</w:t>
            </w:r>
          </w:p>
        </w:tc>
        <w:tc>
          <w:tcPr>
            <w:tcW w:w="1339" w:type="dxa"/>
            <w:vAlign w:val="center"/>
          </w:tcPr>
          <w:p w14:paraId="7B9745A9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2.87 (1.16)</w:t>
            </w:r>
          </w:p>
        </w:tc>
      </w:tr>
      <w:tr w:rsidR="007B55EB" w:rsidRPr="007B55EB" w14:paraId="7D8690CA" w14:textId="77777777" w:rsidTr="007D51F1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AB5AD9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63C9152A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2.83 (0.91)</w:t>
            </w:r>
          </w:p>
        </w:tc>
        <w:tc>
          <w:tcPr>
            <w:tcW w:w="1338" w:type="dxa"/>
            <w:vAlign w:val="center"/>
          </w:tcPr>
          <w:p w14:paraId="343DE066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2.77 (0.90)</w:t>
            </w:r>
          </w:p>
        </w:tc>
        <w:tc>
          <w:tcPr>
            <w:tcW w:w="1338" w:type="dxa"/>
            <w:vAlign w:val="center"/>
          </w:tcPr>
          <w:p w14:paraId="44D6715C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2.79 (0.86)</w:t>
            </w:r>
          </w:p>
        </w:tc>
        <w:tc>
          <w:tcPr>
            <w:tcW w:w="1338" w:type="dxa"/>
            <w:vAlign w:val="center"/>
          </w:tcPr>
          <w:p w14:paraId="71C7BB1F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2.79 (1.05)</w:t>
            </w:r>
          </w:p>
        </w:tc>
        <w:tc>
          <w:tcPr>
            <w:tcW w:w="1338" w:type="dxa"/>
            <w:vAlign w:val="center"/>
          </w:tcPr>
          <w:p w14:paraId="16629943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2.68 (1.17)</w:t>
            </w:r>
          </w:p>
        </w:tc>
        <w:tc>
          <w:tcPr>
            <w:tcW w:w="1338" w:type="dxa"/>
            <w:vAlign w:val="center"/>
          </w:tcPr>
          <w:p w14:paraId="5F9E62B3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2.65 (1.17)</w:t>
            </w:r>
          </w:p>
        </w:tc>
        <w:tc>
          <w:tcPr>
            <w:tcW w:w="1339" w:type="dxa"/>
            <w:vAlign w:val="center"/>
          </w:tcPr>
          <w:p w14:paraId="5A3D522E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2.86 (1.18)</w:t>
            </w:r>
          </w:p>
        </w:tc>
      </w:tr>
      <w:tr w:rsidR="007B55EB" w:rsidRPr="007B55EB" w14:paraId="75C74D0E" w14:textId="77777777" w:rsidTr="007D51F1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6D8CAC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3BBA5C8E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3.00 (0.80)</w:t>
            </w:r>
          </w:p>
        </w:tc>
        <w:tc>
          <w:tcPr>
            <w:tcW w:w="1338" w:type="dxa"/>
            <w:vAlign w:val="center"/>
          </w:tcPr>
          <w:p w14:paraId="777D84A8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2.86 (0.91)</w:t>
            </w:r>
          </w:p>
        </w:tc>
        <w:tc>
          <w:tcPr>
            <w:tcW w:w="1338" w:type="dxa"/>
            <w:vAlign w:val="center"/>
          </w:tcPr>
          <w:p w14:paraId="25570F67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2.88 (0.90)</w:t>
            </w:r>
          </w:p>
        </w:tc>
        <w:tc>
          <w:tcPr>
            <w:tcW w:w="1338" w:type="dxa"/>
            <w:vAlign w:val="center"/>
          </w:tcPr>
          <w:p w14:paraId="17F6AB53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3.04 (1.05)</w:t>
            </w:r>
          </w:p>
        </w:tc>
        <w:tc>
          <w:tcPr>
            <w:tcW w:w="1338" w:type="dxa"/>
            <w:vAlign w:val="center"/>
          </w:tcPr>
          <w:p w14:paraId="6D175EE0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2.88 (1.09)</w:t>
            </w:r>
          </w:p>
        </w:tc>
        <w:tc>
          <w:tcPr>
            <w:tcW w:w="1338" w:type="dxa"/>
            <w:vAlign w:val="center"/>
          </w:tcPr>
          <w:p w14:paraId="349F9B68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2.81 (1.10)</w:t>
            </w:r>
          </w:p>
        </w:tc>
        <w:tc>
          <w:tcPr>
            <w:tcW w:w="1339" w:type="dxa"/>
            <w:vAlign w:val="center"/>
          </w:tcPr>
          <w:p w14:paraId="6A19AB23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3.09 (1.08)</w:t>
            </w:r>
          </w:p>
        </w:tc>
      </w:tr>
      <w:tr w:rsidR="007B55EB" w:rsidRPr="007B55EB" w14:paraId="1E896E89" w14:textId="77777777" w:rsidTr="007D51F1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9E40F23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3D25B810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2.81 (0.84)</w:t>
            </w:r>
          </w:p>
        </w:tc>
        <w:tc>
          <w:tcPr>
            <w:tcW w:w="1338" w:type="dxa"/>
            <w:vAlign w:val="center"/>
          </w:tcPr>
          <w:p w14:paraId="6B130B83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2.90 (0.87)</w:t>
            </w:r>
          </w:p>
        </w:tc>
        <w:tc>
          <w:tcPr>
            <w:tcW w:w="1338" w:type="dxa"/>
            <w:vAlign w:val="center"/>
          </w:tcPr>
          <w:p w14:paraId="54AD884A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2.98 (0.77)</w:t>
            </w:r>
          </w:p>
        </w:tc>
        <w:tc>
          <w:tcPr>
            <w:tcW w:w="1338" w:type="dxa"/>
            <w:vAlign w:val="center"/>
          </w:tcPr>
          <w:p w14:paraId="205267B6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2.99 (1.01)</w:t>
            </w:r>
          </w:p>
        </w:tc>
        <w:tc>
          <w:tcPr>
            <w:tcW w:w="1338" w:type="dxa"/>
            <w:vAlign w:val="center"/>
          </w:tcPr>
          <w:p w14:paraId="14616904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2.74 (1.17)</w:t>
            </w:r>
          </w:p>
        </w:tc>
        <w:tc>
          <w:tcPr>
            <w:tcW w:w="1338" w:type="dxa"/>
            <w:vAlign w:val="center"/>
          </w:tcPr>
          <w:p w14:paraId="78068542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2.82 (1.10)</w:t>
            </w:r>
          </w:p>
        </w:tc>
        <w:tc>
          <w:tcPr>
            <w:tcW w:w="1339" w:type="dxa"/>
            <w:vAlign w:val="center"/>
          </w:tcPr>
          <w:p w14:paraId="2D3327C5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3.07 (1.08)</w:t>
            </w:r>
          </w:p>
        </w:tc>
      </w:tr>
      <w:tr w:rsidR="007B55EB" w:rsidRPr="007B55EB" w14:paraId="0E87889C" w14:textId="77777777" w:rsidTr="007D51F1">
        <w:trPr>
          <w:trHeight w:val="227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23991" w14:textId="77777777" w:rsidR="007B55EB" w:rsidRPr="007B55EB" w:rsidRDefault="007B55EB" w:rsidP="007D51F1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72134" w14:textId="77777777" w:rsidR="007B55EB" w:rsidRPr="007B55EB" w:rsidRDefault="007B55EB" w:rsidP="007D51F1">
            <w:pPr>
              <w:tabs>
                <w:tab w:val="decimal" w:pos="313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2.76 (0.89)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0BD1A435" w14:textId="77777777" w:rsidR="007B55EB" w:rsidRPr="007B55EB" w:rsidRDefault="007B55EB" w:rsidP="007D51F1">
            <w:pPr>
              <w:tabs>
                <w:tab w:val="decimal" w:pos="35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2.76 (0.88)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04953057" w14:textId="77777777" w:rsidR="007B55EB" w:rsidRPr="007B55EB" w:rsidRDefault="007B55EB" w:rsidP="007D51F1">
            <w:pPr>
              <w:tabs>
                <w:tab w:val="decimal" w:pos="291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2.93 (0.80)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6A6C3E16" w14:textId="77777777" w:rsidR="007B55EB" w:rsidRPr="007B55EB" w:rsidRDefault="007B55EB" w:rsidP="007D51F1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3.03 (0.95)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5596D2F1" w14:textId="77777777" w:rsidR="007B55EB" w:rsidRPr="007B55EB" w:rsidRDefault="007B55EB" w:rsidP="007D51F1">
            <w:pPr>
              <w:tabs>
                <w:tab w:val="decimal" w:pos="317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2.82 (1.14)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1627588C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2.84 (1.10)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E7CA309" w14:textId="77777777" w:rsidR="007B55EB" w:rsidRPr="007B55EB" w:rsidRDefault="007B55EB" w:rsidP="007D51F1">
            <w:pPr>
              <w:tabs>
                <w:tab w:val="decimal" w:pos="320"/>
              </w:tabs>
              <w:jc w:val="center"/>
              <w:rPr>
                <w:rFonts w:ascii="Times New Roman" w:hAnsi="Times New Roman" w:cs="Times New Roman"/>
              </w:rPr>
            </w:pPr>
            <w:r w:rsidRPr="007B55EB">
              <w:rPr>
                <w:rFonts w:ascii="Times New Roman" w:hAnsi="Times New Roman" w:cs="Times New Roman"/>
              </w:rPr>
              <w:t>3.04 (1.13)</w:t>
            </w:r>
          </w:p>
        </w:tc>
      </w:tr>
    </w:tbl>
    <w:p w14:paraId="5F9D45FD" w14:textId="2F92D2CD" w:rsidR="006A2035" w:rsidRDefault="006A2035"/>
    <w:p w14:paraId="2EADDEC9" w14:textId="396D72F3" w:rsidR="006A2035" w:rsidRDefault="006A2035">
      <w:r>
        <w:rPr>
          <w:noProof/>
        </w:rPr>
        <w:drawing>
          <wp:inline distT="0" distB="0" distL="0" distR="0" wp14:anchorId="7F499C2D" wp14:editId="273B9ACD">
            <wp:extent cx="6393044" cy="37846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081" cy="37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9F6E" w14:textId="2F07B406" w:rsidR="006A2035" w:rsidRDefault="00B6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811B5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A2035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6A2035" w:rsidRPr="00634E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2035" w:rsidRPr="00634E44">
        <w:rPr>
          <w:rFonts w:ascii="Times New Roman" w:hAnsi="Times New Roman" w:cs="Times New Roman"/>
          <w:sz w:val="24"/>
          <w:szCs w:val="24"/>
        </w:rPr>
        <w:t xml:space="preserve"> </w:t>
      </w:r>
      <w:r w:rsidR="006A2035">
        <w:rPr>
          <w:rFonts w:ascii="Times New Roman" w:hAnsi="Times New Roman" w:cs="Times New Roman"/>
          <w:sz w:val="24"/>
          <w:szCs w:val="24"/>
        </w:rPr>
        <w:t xml:space="preserve">Confirmatory Factor Analysis </w:t>
      </w:r>
      <w:r w:rsidR="001811B5">
        <w:rPr>
          <w:rFonts w:ascii="Times New Roman" w:hAnsi="Times New Roman" w:cs="Times New Roman"/>
          <w:sz w:val="24"/>
          <w:szCs w:val="24"/>
        </w:rPr>
        <w:t>Loading Plot</w:t>
      </w:r>
      <w:r w:rsidR="006A2035" w:rsidRPr="00634E44">
        <w:rPr>
          <w:rFonts w:ascii="Times New Roman" w:hAnsi="Times New Roman" w:cs="Times New Roman"/>
          <w:sz w:val="24"/>
          <w:szCs w:val="24"/>
        </w:rPr>
        <w:t xml:space="preserve"> for the </w:t>
      </w:r>
      <w:r w:rsidR="006A2035">
        <w:rPr>
          <w:rFonts w:ascii="Times New Roman" w:hAnsi="Times New Roman" w:cs="Times New Roman"/>
          <w:sz w:val="24"/>
          <w:szCs w:val="24"/>
        </w:rPr>
        <w:t>Seven Resilience Principles</w:t>
      </w:r>
      <w:r w:rsidR="00EF04D1">
        <w:rPr>
          <w:rFonts w:ascii="Times New Roman" w:hAnsi="Times New Roman" w:cs="Times New Roman"/>
          <w:sz w:val="24"/>
          <w:szCs w:val="24"/>
        </w:rPr>
        <w:t>.</w:t>
      </w:r>
      <w:r w:rsidR="00642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2345" w14:textId="625FE6C8" w:rsidR="001114FC" w:rsidRDefault="001114FC">
      <w:pPr>
        <w:rPr>
          <w:rFonts w:ascii="Times New Roman" w:hAnsi="Times New Roman" w:cs="Times New Roman"/>
          <w:sz w:val="24"/>
          <w:szCs w:val="24"/>
        </w:rPr>
      </w:pPr>
    </w:p>
    <w:p w14:paraId="142562E5" w14:textId="4F565950" w:rsidR="001114FC" w:rsidRDefault="001114FC">
      <w:r w:rsidRPr="001114FC">
        <w:rPr>
          <w:noProof/>
        </w:rPr>
        <w:lastRenderedPageBreak/>
        <w:drawing>
          <wp:inline distT="0" distB="0" distL="0" distR="0" wp14:anchorId="36B38062" wp14:editId="1006A9ED">
            <wp:extent cx="5665039" cy="3495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50" t="14199" r="16743" b="12737"/>
                    <a:stretch/>
                  </pic:blipFill>
                  <pic:spPr bwMode="auto">
                    <a:xfrm>
                      <a:off x="0" y="0"/>
                      <a:ext cx="5686065" cy="350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D3DA9" w14:textId="2B128A8A" w:rsidR="001114FC" w:rsidRPr="00413025" w:rsidRDefault="001114FC">
      <w:pPr>
        <w:rPr>
          <w:rFonts w:ascii="Times New Roman" w:hAnsi="Times New Roman" w:cs="Times New Roman"/>
          <w:sz w:val="24"/>
          <w:szCs w:val="24"/>
        </w:rPr>
      </w:pPr>
      <w:r w:rsidRPr="00413025">
        <w:rPr>
          <w:rFonts w:ascii="Times New Roman" w:hAnsi="Times New Roman" w:cs="Times New Roman"/>
          <w:b/>
          <w:bCs/>
          <w:sz w:val="24"/>
          <w:szCs w:val="24"/>
        </w:rPr>
        <w:t>Supplementary Figure S2</w:t>
      </w:r>
      <w:r w:rsidRPr="00413025">
        <w:rPr>
          <w:rFonts w:ascii="Times New Roman" w:hAnsi="Times New Roman" w:cs="Times New Roman"/>
          <w:sz w:val="24"/>
          <w:szCs w:val="24"/>
        </w:rPr>
        <w:t xml:space="preserve">. Histogram </w:t>
      </w:r>
      <w:r w:rsidR="00413025" w:rsidRPr="00413025">
        <w:rPr>
          <w:rFonts w:ascii="Times New Roman" w:hAnsi="Times New Roman" w:cs="Times New Roman"/>
          <w:sz w:val="24"/>
          <w:szCs w:val="24"/>
        </w:rPr>
        <w:t xml:space="preserve">of the frequency with which respondents ranked a stronger statement lower than a weaker statement, when multiple statements were selected for a resilience </w:t>
      </w:r>
      <w:proofErr w:type="gramStart"/>
      <w:r w:rsidR="00413025" w:rsidRPr="00413025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="00413025" w:rsidRPr="00413025">
        <w:rPr>
          <w:rFonts w:ascii="Times New Roman" w:hAnsi="Times New Roman" w:cs="Times New Roman"/>
          <w:sz w:val="24"/>
          <w:szCs w:val="24"/>
        </w:rPr>
        <w:t xml:space="preserve"> question.</w:t>
      </w:r>
    </w:p>
    <w:sectPr w:rsidR="001114FC" w:rsidRPr="0041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DD"/>
    <w:rsid w:val="001114FC"/>
    <w:rsid w:val="001811B5"/>
    <w:rsid w:val="00413025"/>
    <w:rsid w:val="004E51FE"/>
    <w:rsid w:val="005B54AF"/>
    <w:rsid w:val="00640ADD"/>
    <w:rsid w:val="00642143"/>
    <w:rsid w:val="006A2035"/>
    <w:rsid w:val="007B55EB"/>
    <w:rsid w:val="00B60E80"/>
    <w:rsid w:val="00DF76DF"/>
    <w:rsid w:val="00E015F7"/>
    <w:rsid w:val="00E93133"/>
    <w:rsid w:val="00EF04D1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15B0"/>
  <w15:chartTrackingRefBased/>
  <w15:docId w15:val="{2A7946D2-7B36-482F-BC85-FD25118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D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ADD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AD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D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DD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Dale</dc:creator>
  <cp:keywords/>
  <dc:description/>
  <cp:lastModifiedBy>Julia Baird</cp:lastModifiedBy>
  <cp:revision>2</cp:revision>
  <dcterms:created xsi:type="dcterms:W3CDTF">2023-10-23T13:42:00Z</dcterms:created>
  <dcterms:modified xsi:type="dcterms:W3CDTF">2023-10-23T13:42:00Z</dcterms:modified>
</cp:coreProperties>
</file>