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CDAB" w14:textId="77777777" w:rsidR="00162103" w:rsidRDefault="003F4BCC">
      <w:pPr>
        <w:pStyle w:val="Heading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Appendix 1: Journals</w:t>
      </w:r>
    </w:p>
    <w:tbl>
      <w:tblPr>
        <w:tblStyle w:val="a1"/>
        <w:tblW w:w="9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48"/>
        <w:gridCol w:w="2492"/>
      </w:tblGrid>
      <w:tr w:rsidR="00162103" w14:paraId="1CCED90F" w14:textId="77777777">
        <w:trPr>
          <w:cantSplit/>
          <w:trHeight w:val="360"/>
        </w:trPr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91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Theme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4E6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 of Publications</w:t>
            </w:r>
          </w:p>
        </w:tc>
      </w:tr>
      <w:tr w:rsidR="00162103" w14:paraId="5A72F913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DB0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Latin American Area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9FCA" w14:textId="77777777" w:rsidR="00162103" w:rsidRDefault="001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103" w14:paraId="6A0EBC8E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2EF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 American Perspectives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694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2103" w14:paraId="5E75C8CF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85D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 American Research Review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D61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2103" w14:paraId="1246EC4F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A8E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Bulletin of Latin American Research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A1D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2103" w14:paraId="081F72FA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4A7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Latin American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D6A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62103" w14:paraId="7394DE54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9E0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Latin American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Politics and Society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A87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2103" w14:paraId="432AC8F1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3B7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 American and Caribbean Ethnic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52D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2103" w14:paraId="3A2C88AD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AB8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3C0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62103" w14:paraId="13BA4B6E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396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Political Science/Comparative Politics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51E" w14:textId="77777777" w:rsidR="00162103" w:rsidRDefault="001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103" w14:paraId="2BC3CDB7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720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Journal of Political Science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8A2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6F3D9E9B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AD44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Political Science Review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BDA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68722F56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875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 Review of Political Science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BEC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24B5C917" w14:textId="77777777">
        <w:trPr>
          <w:cantSplit/>
          <w:trHeight w:val="701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DBE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Political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B2D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103" w14:paraId="47C54FBD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340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Politics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8F2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103" w14:paraId="155C7DF8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E29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Studies in International Comparative Development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DDD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103" w14:paraId="7749E5DE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514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Politics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2E3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103" w14:paraId="7233C1A8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797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Race, Ethnicity, and Politics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F7B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47923E5B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4CA2" w14:textId="77777777" w:rsidR="00162103" w:rsidRDefault="003F4BC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Territory, Politics, Governance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AD6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103" w14:paraId="136D6B3A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FF27" w14:textId="77777777" w:rsidR="00162103" w:rsidRDefault="003F4BC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Development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60B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077FC0E6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4C63" w14:textId="77777777" w:rsidR="00162103" w:rsidRDefault="003F4BC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Perspectives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5444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03" w14:paraId="3A318E77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E55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ED6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2A74F86A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436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Rural/Agrarian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580F" w14:textId="77777777" w:rsidR="00162103" w:rsidRDefault="001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103" w14:paraId="10FE5EBB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C07D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Peasant Studies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6E4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103" w14:paraId="43D6A531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E39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Agrarian Change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899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103" w14:paraId="1A2C87FA" w14:textId="77777777">
        <w:trPr>
          <w:cantSplit/>
          <w:trHeight w:val="360"/>
        </w:trPr>
        <w:tc>
          <w:tcPr>
            <w:tcW w:w="6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2C0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0F1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39693226" w14:textId="77777777" w:rsidR="00162103" w:rsidRDefault="001621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162103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13B5BBB7" w14:textId="77777777" w:rsidR="00162103" w:rsidRDefault="003F4BCC">
      <w:pPr>
        <w:pStyle w:val="Heading1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Appendix 2: Codebook </w:t>
      </w:r>
    </w:p>
    <w:p w14:paraId="3DEF2223" w14:textId="77777777" w:rsidR="00162103" w:rsidRDefault="001621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28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30"/>
        <w:gridCol w:w="8280"/>
        <w:gridCol w:w="1350"/>
      </w:tblGrid>
      <w:tr w:rsidR="00162103" w14:paraId="0871A1F3" w14:textId="77777777">
        <w:trPr>
          <w:trHeight w:val="844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D7D92" w14:textId="24D448D1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Concepts</w:t>
            </w:r>
          </w:p>
        </w:tc>
        <w:tc>
          <w:tcPr>
            <w:tcW w:w="8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0B6DD" w14:textId="02C4594C" w:rsidR="003A06BA" w:rsidRPr="003A06BA" w:rsidRDefault="003A06BA" w:rsidP="003A0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Definitions and Examples of Processes</w:t>
            </w:r>
          </w:p>
          <w:p w14:paraId="2CC71040" w14:textId="60C77FB4" w:rsidR="00162103" w:rsidRDefault="001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7224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 of</w:t>
            </w:r>
          </w:p>
          <w:p w14:paraId="517B762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References</w:t>
            </w:r>
          </w:p>
        </w:tc>
      </w:tr>
      <w:tr w:rsidR="00162103" w14:paraId="286E6B61" w14:textId="77777777">
        <w:trPr>
          <w:trHeight w:val="340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959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AUTONOMY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D58B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 rule of law.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Derives from self-determination.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100F4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62103" w14:paraId="73BAD28A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A40C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Practice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4ED2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Concrete actions to empower or organize own authorities and governments or to make autonomous decisions. Includes contentious political strategies that mix formal and informal means to access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 power, such as challenging predominant forms of political organization or formal actions to develop, interpret, or implement rights to self-government. De-jure and de-facto practices produce meanings, determine strategy, and delimit political boundaries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Bretón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 al.)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A2A7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62103" w14:paraId="6FFE1D48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BFFC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Administration of justice and security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F604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customary norms and traditions to adjudicate conflict.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CB95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103" w14:paraId="3C360FAE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509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Creation of subnational indigenous governments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E670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Reforms, including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decentralization and territorial rights, that open opportunities to function as Indigenous governments at the local level.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35DE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2103" w14:paraId="50663BE4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458D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Economic projects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1B0D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of cooperatives, collective activities, companies, or other economic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 independent of private markets or businesses.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8DA9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2103" w14:paraId="79AC43D6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46D1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Institutional adaptation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9442D" w14:textId="301CD426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new institutions or implementation of existing institutions to develop own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processes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936E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2103" w14:paraId="567EEDE7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3559D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Negotiation and Intermediation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83F0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Discussion, deliberation, or consultation with dominant authorities to reach agreements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rights. Brokering relationships between indigenous and non-indigenous authorities. May lead to divisions that undermine autonomy.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6C4F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2103" w14:paraId="3652F141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99D4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33E8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plans, procedures, and/or strategies to claim Indigenous rights, frame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sociopolitical or economic interests, define an ideology, and/or announce political intentions. Has political, economic, and cultural dimensions.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382E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62103" w14:paraId="0B1B09C2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E09C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Framing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9F5D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"Signifying work or meaning construction engaged in by movement adherents (e.g., leaders, activists, and rank-and-file participants) and other actors (e.g., adversaries,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institutional elites, media, social control agents, counter-movements) relevant to the interests of movements and the challenges they mount in pursuit of those interests.” (Snow et al.)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98EE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62103" w14:paraId="6CDD55AA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21DE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Identity formation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24399" w14:textId="529FA201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Evidence of growing ethnic self-identification, development of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sense of belonging to a cultural group, identification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ethnic group values, interests, attributes, involvement in cultural events, positive/negative views of own group.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7F0C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62103" w14:paraId="218A5C0C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C444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Mobilization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3683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Concerted, deliberate actions organized by indigenous activists, organizations, or communities to rally, concentrate, or find resources to make claims. Includes protests, takeovers, contentious assemblies, marches, etc.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412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2103" w14:paraId="3DE74FBD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9FAF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Networks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DE84A" w14:textId="5D039124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Establishing, redefining,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enhancing relationships with outside groups to advance or establish autonomy.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543C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2103" w14:paraId="4F346293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AE31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Vision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6FCF6" w14:textId="783046DB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Symbols or discourses underpinning the cultural and economic survival of marginalized or colonized groups.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Develop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strong moral discourse against neoliberalism, capitalism, or colonial states. It is in tension with the sovereignty claims of the state and the political visions of dominant political elites.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3634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62103" w14:paraId="4382956F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67BD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Alternative epistemologies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9CA2A" w14:textId="03784CDE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“Local”, traditional, Indigenous knowledge.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Kawsay</w:t>
            </w:r>
            <w:proofErr w:type="spellEnd"/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, or “the good life,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features prominently.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65AD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2103" w14:paraId="516DD2E0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B994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Pluri-culturalism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3ACA7" w14:textId="0DBF434C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Utilizing a range of cultural attributes (including values, institutions, norms, and customs) to shape politics is a phenomenon commonly observed. This practice is particularly noticeable in domains such as jurisprudence, conflict resolution, education, and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sources of authority.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3728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103" w14:paraId="2C5AA798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FC4C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Self-determination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DB5C1" w14:textId="18B6627E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right to freely determine their political status and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pursue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economic, social, and cultural development.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2797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411F09BC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C322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Territory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C19D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Socially constructed space. Control of people,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resources, and activities.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9397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2103" w14:paraId="7ECB543D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55A4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IMPACT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4F54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influence of de facto or de-jure Indigenous autonomy on institutions, policies, and social relations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1F04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62103" w14:paraId="577400A2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BABC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Ethnic Polarization and conflict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B0396" w14:textId="3C0E38ED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Divergence in political identities. Tensions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created by the incorporation of indigenous peoples, divisions between peasants and Indigenous groups,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conflicts surrounding rights to collective vs. private lands.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54DB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62103" w14:paraId="741F82A6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930C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Goods provisions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FC2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social programs, delivering benefits, or shaping the quality or the type of service (education, health, housing, old age, etc.)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3D35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0140690C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4168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Ideas or discourse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165E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influence or adaptation of Indigenous epistemologies, discourse, or language in regular political discourse or language.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F2A8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5CDEAA9F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AB493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Incorporation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E1C4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inclusion of previously marginalized sectors of society into the polity.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EDF7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62103" w14:paraId="65CBF801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474E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Cooptation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64F70" w14:textId="5C93AADC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efforts to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coopt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movement organizations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23D0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0F56D095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61C9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Limitation of autonomy rights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4ECE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efforts to curtail indigenous autonomy.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2593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2103" w14:paraId="2981606A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A00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Neoliberal multiculturalism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2D87E" w14:textId="10B2E9AB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Multicultural/ethnic rights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granted under the neoliberal model in efforts to streamline the state or weaken class identities. Its impacts include emphasizing individual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leaderships who are more interested in gaining electoral advantages, integrating Indigenous lands into market economies,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demobilizing class-based identity.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8585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2103" w14:paraId="54AEED63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C8A7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relations and diplomacy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7E9EA" w14:textId="30EE621E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forms of engaging with foreign partners. New forms of engaging and dealing with border issues, especially where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borders split the same Indigenous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5A02F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103" w14:paraId="0F294DE0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5BF4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Models of political representation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848F0" w14:textId="0B1C4D8F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Speak, advocate, symbolize, and act on behalf of others.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They 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elected politicians and other public authorities, but also non-state actors as increasingly NGOs, Multilateral institutions, and others represent or stand for groups or individuals within a nation-state.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2C48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2103" w14:paraId="05AA6F13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D4904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Electoral politics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6F29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elections and political parties to advance indigenous rights.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5B0C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2103" w14:paraId="0A0F0BB5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DDA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FPIC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40E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Free, prior, and informed consent. Participation instrument related to International Labor Organization Convention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 on the Rights of Indigenous and Tribal Peoples.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509A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2103" w14:paraId="16DE290A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0C44A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POLITICAL CONSTRAINTS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74B2A" w14:textId="1A748283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practices that limit or diminish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autonomy.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B3C8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62103" w14:paraId="3D3DFD8D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9333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Extractive economies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F4D08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plans that prioritize land- or resource-intensive economies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E34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2103" w14:paraId="3DF2F246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4CD4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Overlap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432CD" w14:textId="0A590B6B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autonomy is confronted with overlapping territorial authorities (municipal, departmental, state, national parks, or natural reserves, etc.), unclear territorial authority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DAEAE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2103" w14:paraId="4C0A7A2B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52F96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Violence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644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or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violence; targeting of social leaders.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61ED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103" w14:paraId="5E704095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DAFD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POLITICAL OPPORTUNITIES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EC9DB" w14:textId="2AC30BF3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3F4BCC">
              <w:rPr>
                <w:rFonts w:ascii="Times New Roman" w:eastAsia="Times New Roman" w:hAnsi="Times New Roman" w:cs="Times New Roman"/>
                <w:sz w:val="24"/>
                <w:szCs w:val="24"/>
              </w:rPr>
              <w:t>stances when the political system is susceptible to challenges, creating openings for others to drive social change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2A3B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62103" w14:paraId="11560066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A737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Constituent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assemblies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B6B52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constitutional congresses or conventions—bodies assembled to draft or significantly revise the country's constitutions. If indigenous delegates are included, they may press for indigenous rights.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12E9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2103" w14:paraId="75A10913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A07EC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Corporatist interest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aggregation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EAB6C" w14:textId="1046AA9F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Corporate forms of interest aggregation and representation. It is usually </w:t>
            </w:r>
            <w:r w:rsidR="00A4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top-down organization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most important interest groups</w:t>
            </w:r>
            <w:r w:rsidR="00A4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such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labor, capital, peasants, and</w:t>
            </w:r>
            <w:r w:rsidR="00A4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</w:t>
            </w:r>
            <w:r w:rsidR="00DB52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people.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31B09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2103" w14:paraId="38D4F2C4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611D1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Peripheral politics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658C4" w14:textId="4BAD7B9B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dynamics at the margins of the state. Indigenous authorities may have more room to negotiate or maintain autonomy. Not to be confused with decentralization, a formal reform granting some administrative, fiscal, and political rights to subnational governments.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828E0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103" w14:paraId="36A4F363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2176D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Regime and/or State consolidation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9A2B7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Nation- and state-building efforts by national government or political elites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41275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2103" w14:paraId="7E229F18" w14:textId="77777777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9F17B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Security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1F7B2" w14:textId="56C7D7C5" w:rsidR="00162103" w:rsidRDefault="00A4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states or dominant political elites accept Indigenous authorities and/or rights to the territory as a strategy to increase state presence or address public order issues.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FCF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80C74" w14:textId="77777777" w:rsidR="00162103" w:rsidRDefault="003F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13E5D93" w14:textId="77777777" w:rsidR="00162103" w:rsidRDefault="001621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162103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20987BA3" w14:textId="77777777" w:rsidR="00162103" w:rsidRDefault="00162103">
      <w:pPr>
        <w:pStyle w:val="Heading1"/>
      </w:pPr>
    </w:p>
    <w:sectPr w:rsidR="0016210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A26A" w14:textId="77777777" w:rsidR="00E65C79" w:rsidRDefault="00E65C79">
      <w:pPr>
        <w:spacing w:line="240" w:lineRule="auto"/>
      </w:pPr>
      <w:r>
        <w:separator/>
      </w:r>
    </w:p>
  </w:endnote>
  <w:endnote w:type="continuationSeparator" w:id="0">
    <w:p w14:paraId="26F0766A" w14:textId="77777777" w:rsidR="00E65C79" w:rsidRDefault="00E65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79AA" w14:textId="77777777" w:rsidR="00162103" w:rsidRDefault="00162103">
    <w:pPr>
      <w:spacing w:before="240" w:after="240"/>
      <w:rPr>
        <w:b/>
        <w:sz w:val="24"/>
        <w:szCs w:val="24"/>
      </w:rPr>
    </w:pPr>
  </w:p>
  <w:p w14:paraId="01832EFA" w14:textId="77777777" w:rsidR="00162103" w:rsidRDefault="003F4BC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3D423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808F" w14:textId="77777777" w:rsidR="00E65C79" w:rsidRDefault="00E65C79">
      <w:pPr>
        <w:spacing w:line="240" w:lineRule="auto"/>
      </w:pPr>
      <w:r>
        <w:separator/>
      </w:r>
    </w:p>
  </w:footnote>
  <w:footnote w:type="continuationSeparator" w:id="0">
    <w:p w14:paraId="5786D951" w14:textId="77777777" w:rsidR="00E65C79" w:rsidRDefault="00E65C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03"/>
    <w:rsid w:val="00162103"/>
    <w:rsid w:val="003A06BA"/>
    <w:rsid w:val="003D4239"/>
    <w:rsid w:val="003E7068"/>
    <w:rsid w:val="003F4BCC"/>
    <w:rsid w:val="00A42F83"/>
    <w:rsid w:val="00BC6014"/>
    <w:rsid w:val="00C164EA"/>
    <w:rsid w:val="00DB52AE"/>
    <w:rsid w:val="00E65C79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CA6BB"/>
  <w15:docId w15:val="{1220B34E-0476-445B-88AA-191FF57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50jDNVWN8byeCYi2LyPnMA25g==">CgMxLjA4AHIhMXY2X1kwZHhwWDZJN2JHZDFxSlB1bnRhQjhMVmtPZXUt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1130</Words>
  <Characters>7502</Characters>
  <Application>Microsoft Office Word</Application>
  <DocSecurity>0</DocSecurity>
  <Lines>62</Lines>
  <Paragraphs>17</Paragraphs>
  <ScaleCrop>false</ScaleCrop>
  <Company>Colorado State University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Velasco,Marcela</dc:creator>
  <cp:lastModifiedBy>Velasco,Marcela</cp:lastModifiedBy>
  <cp:revision>8</cp:revision>
  <dcterms:created xsi:type="dcterms:W3CDTF">2024-04-09T21:59:00Z</dcterms:created>
  <dcterms:modified xsi:type="dcterms:W3CDTF">2024-09-26T18:43:00Z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f299ab4115b110cf9e6b3cf8883297fcce2d40b1b0f4b5dd860deb5d257767b2</vt:lpwstr>
  </property>
</Properties>
</file>