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575F" w14:textId="77777777" w:rsidR="005469FB" w:rsidRPr="00D56E61" w:rsidRDefault="005469FB" w:rsidP="005469FB">
      <w:pPr>
        <w:spacing w:line="480" w:lineRule="auto"/>
        <w:jc w:val="both"/>
        <w:rPr>
          <w:b/>
          <w:sz w:val="28"/>
          <w:szCs w:val="28"/>
          <w:lang w:val="en-US"/>
        </w:rPr>
      </w:pPr>
      <w:r>
        <w:rPr>
          <w:b/>
          <w:sz w:val="28"/>
          <w:szCs w:val="28"/>
          <w:lang w:val="en-US"/>
        </w:rPr>
        <w:t>SUPPLEMENT</w:t>
      </w:r>
    </w:p>
    <w:p w14:paraId="7FB09B65" w14:textId="79EFF0C8" w:rsidR="005469FB" w:rsidRPr="002C6A5C" w:rsidRDefault="005469FB" w:rsidP="005469FB">
      <w:pPr>
        <w:tabs>
          <w:tab w:val="left" w:pos="2556"/>
        </w:tabs>
        <w:spacing w:line="480" w:lineRule="auto"/>
        <w:jc w:val="both"/>
        <w:rPr>
          <w:b/>
          <w:bCs/>
          <w:lang w:val="en-US"/>
        </w:rPr>
      </w:pPr>
      <w:r w:rsidRPr="0057179D">
        <w:rPr>
          <w:lang w:val="en-US"/>
        </w:rPr>
        <w:t>The DDD is the assumed average maintenance dose per day for a drug used for its main indication in adults.</w:t>
      </w:r>
      <w:r>
        <w:rPr>
          <w:lang w:val="en-US"/>
        </w:rPr>
        <w:t xml:space="preserve"> As such, it doesn’t represent or correlate directly to the recommended dose in clinical use. The E</w:t>
      </w:r>
      <w:r w:rsidRPr="00E61CB5">
        <w:rPr>
          <w:lang w:val="en-US"/>
        </w:rPr>
        <w:t xml:space="preserve">quivalence Table </w:t>
      </w:r>
      <w:r w:rsidR="00B54081">
        <w:rPr>
          <w:lang w:val="en-US"/>
        </w:rPr>
        <w:t xml:space="preserve">is </w:t>
      </w:r>
      <w:r w:rsidR="00B54081" w:rsidRPr="00B54081">
        <w:rPr>
          <w:lang w:val="en-US"/>
        </w:rPr>
        <w:t>based on the research of </w:t>
      </w:r>
      <w:hyperlink r:id="rId5" w:history="1">
        <w:r w:rsidR="00B54081" w:rsidRPr="00B54081">
          <w:rPr>
            <w:lang w:val="en-US"/>
          </w:rPr>
          <w:t>Professor Ashton</w:t>
        </w:r>
      </w:hyperlink>
      <w:r w:rsidR="00B54081" w:rsidRPr="00B54081">
        <w:rPr>
          <w:lang w:val="en-US"/>
        </w:rPr>
        <w:t xml:space="preserve"> </w:t>
      </w:r>
      <w:r w:rsidR="00B54081" w:rsidRPr="00B54081">
        <w:rPr>
          <w:lang w:val="en-US"/>
        </w:rPr>
        <w:fldChar w:fldCharType="begin" w:fldLock="1"/>
      </w:r>
      <w:r w:rsidR="00B54081" w:rsidRPr="00B54081">
        <w:rPr>
          <w:lang w:val="en-US"/>
        </w:rPr>
        <w:instrText>ADDIN CSL_CITATION {"citationItems":[{"id":"ITEM-1","itemData":{"DOI":"10.1111/j.1360-0443.1994.tb03755.x","ISSN":"0965-2140","abstract":"Abstract Withdrawal of benzodiazepines is currently advised for long-term benzodiazepine users because of doubts about continued efficacy, risks of adverse effects, including dependence and neuropsychological impairment and socio-economic costs. About half a million people in the UK may need advice on withdrawal. Successful withdrawal strategies should combine gradual dosage reduction and psychological support. The benzodiazepine dosage should be tapered at an individually titrated rate which should usually be under the patient's control. The whole process may take weeks or months. Withdrawal from diazepam is convenient because of available dosage strengths, but can be carried out directly from other benzodiazepines. Adjuvant medication may occasionally be required (antidepressants, propranolol) but no drugs have been proved to be of general utility in alleviating withdrawal-related symptoms. Psychological support should be available both during dosage reduction and for some months after cessation of drug use. Such support should include the provision of information about benzodiazepines, general encouragement, and measures to reduce anxiety and promote the learning of non-pharmacological ways of coping with stress. For many patients the degree of support required is minimal; a minority may need counselling or formal psychological therapy. Unwilling patients should not be forced to withdraw. With these methods, success rates of withdrawal are high and are unaffected by duration of usage, dosage or type of benzodiazepine, rate of withdrawal, symptom severity, psychiatric history or personality disorder. Longer-term outcome is less clear; a considerable proportion of patients may temporarily take benzodiazepines again and some need other psychotropic medication. However, the outcome may be improved by careful pharmacological and psychological handling of withdrawal and post-withdrawal phases.","author":[{"dropping-particle":"","family":"ASHTON","given":"HEATHER","non-dropping-particle":"","parse-names":false,"suffix":""}],"container-title":"Addiction","id":"ITEM-1","issue":"11","issued":{"date-parts":[["1994"]]},"note":"doi: 10.1111/j.1360-0443.1994.tb03755.x; 27","page":"1535-1541","publisher":"John Wiley &amp; Sons, Ltd","title":"The treatment of benzodiazepine dependence","type":"article-journal","volume":"89"},"uris":["http://www.mendeley.com/documents/?uuid=2e32a724-20fe-3ea4-be00-a79c44e0ef6e"]}],"mendeley":{"formattedCitation":"(28)","plainTextFormattedCitation":"(28)"},"properties":{"noteIndex":0},"schema":"https://github.com/citation-style-language/schema/raw/master/csl-citation.json"}</w:instrText>
      </w:r>
      <w:r w:rsidR="00B54081" w:rsidRPr="00B54081">
        <w:rPr>
          <w:lang w:val="en-US"/>
        </w:rPr>
        <w:fldChar w:fldCharType="separate"/>
      </w:r>
      <w:r w:rsidR="00B54081" w:rsidRPr="00B54081">
        <w:rPr>
          <w:noProof/>
          <w:lang w:val="en-US"/>
        </w:rPr>
        <w:t>(28)</w:t>
      </w:r>
      <w:r w:rsidR="00B54081" w:rsidRPr="00B54081">
        <w:rPr>
          <w:lang w:val="en-US"/>
        </w:rPr>
        <w:fldChar w:fldCharType="end"/>
      </w:r>
      <w:r w:rsidRPr="00B54081">
        <w:rPr>
          <w:lang w:val="en-US"/>
        </w:rPr>
        <w:t xml:space="preserve">. </w:t>
      </w:r>
      <w:bookmarkStart w:id="0" w:name="_Hlk164239664"/>
      <w:r w:rsidRPr="00B54081">
        <w:rPr>
          <w:lang w:val="en-US"/>
        </w:rPr>
        <w:t>The</w:t>
      </w:r>
      <w:r w:rsidRPr="00E61CB5">
        <w:rPr>
          <w:lang w:val="en-US"/>
        </w:rPr>
        <w:t xml:space="preserve"> approximate equivalent doses to 10mg diazepa</w:t>
      </w:r>
      <w:r>
        <w:rPr>
          <w:lang w:val="en-US"/>
        </w:rPr>
        <w:t>m</w:t>
      </w:r>
      <w:r w:rsidRPr="00E61CB5">
        <w:rPr>
          <w:lang w:val="en-US"/>
        </w:rPr>
        <w:t xml:space="preserve"> are given</w:t>
      </w:r>
      <w:r>
        <w:rPr>
          <w:lang w:val="en-US"/>
        </w:rPr>
        <w:t xml:space="preserve"> in </w:t>
      </w:r>
      <w:r w:rsidRPr="006604A8">
        <w:rPr>
          <w:b/>
          <w:bCs/>
          <w:lang w:val="en-US"/>
        </w:rPr>
        <w:t xml:space="preserve">Supplementary table </w:t>
      </w:r>
      <w:r>
        <w:rPr>
          <w:b/>
          <w:bCs/>
          <w:lang w:val="en-US"/>
        </w:rPr>
        <w:t>1.</w:t>
      </w:r>
    </w:p>
    <w:bookmarkEnd w:id="0"/>
    <w:p w14:paraId="35466143" w14:textId="0342DEB7" w:rsidR="005469FB" w:rsidRDefault="005469FB" w:rsidP="005469FB">
      <w:pPr>
        <w:spacing w:line="480" w:lineRule="auto"/>
        <w:jc w:val="both"/>
        <w:rPr>
          <w:lang w:val="en-US"/>
        </w:rPr>
      </w:pPr>
      <w:r>
        <w:rPr>
          <w:lang w:val="en-US"/>
        </w:rPr>
        <w:t xml:space="preserve">In </w:t>
      </w:r>
      <w:r>
        <w:rPr>
          <w:b/>
          <w:bCs/>
          <w:lang w:val="en-US"/>
        </w:rPr>
        <w:t>T</w:t>
      </w:r>
      <w:r w:rsidRPr="00C505E8">
        <w:rPr>
          <w:b/>
          <w:bCs/>
          <w:lang w:val="en-US"/>
        </w:rPr>
        <w:t>able 1</w:t>
      </w:r>
      <w:r>
        <w:rPr>
          <w:b/>
          <w:bCs/>
          <w:lang w:val="en-US"/>
        </w:rPr>
        <w:t xml:space="preserve"> </w:t>
      </w:r>
      <w:r w:rsidRPr="00C505E8">
        <w:rPr>
          <w:lang w:val="en-US"/>
        </w:rPr>
        <w:t>of the study</w:t>
      </w:r>
      <w:r>
        <w:rPr>
          <w:lang w:val="en-US"/>
        </w:rPr>
        <w:t>, schizophrenia, bipolar disorder, depression, anxiety disorders, and a</w:t>
      </w:r>
      <w:r w:rsidRPr="00013B25">
        <w:rPr>
          <w:lang w:val="en-US"/>
        </w:rPr>
        <w:t>ttention deficit hyperactivity disorder</w:t>
      </w:r>
      <w:r>
        <w:rPr>
          <w:lang w:val="en-US"/>
        </w:rPr>
        <w:t xml:space="preserve"> (ADHD) were selected among the psychiatric </w:t>
      </w:r>
      <w:r w:rsidR="00336B61">
        <w:rPr>
          <w:lang w:val="en-US"/>
        </w:rPr>
        <w:t>disorders</w:t>
      </w:r>
      <w:r>
        <w:rPr>
          <w:lang w:val="en-US"/>
        </w:rPr>
        <w:t xml:space="preserve">. The codes used were </w:t>
      </w:r>
      <w:r w:rsidRPr="00745AC0">
        <w:rPr>
          <w:lang w:val="en-US"/>
        </w:rPr>
        <w:t xml:space="preserve">F20-F29/112 </w:t>
      </w:r>
      <w:r>
        <w:rPr>
          <w:lang w:val="en-US"/>
        </w:rPr>
        <w:t>for</w:t>
      </w:r>
      <w:r w:rsidRPr="00745AC0">
        <w:rPr>
          <w:lang w:val="en-US"/>
        </w:rPr>
        <w:t xml:space="preserve"> schizophrenia</w:t>
      </w:r>
      <w:r>
        <w:rPr>
          <w:lang w:val="en-US"/>
        </w:rPr>
        <w:t xml:space="preserve">, </w:t>
      </w:r>
      <w:r w:rsidRPr="00745AC0">
        <w:rPr>
          <w:lang w:val="en-US"/>
        </w:rPr>
        <w:t xml:space="preserve">F30, F31/112 </w:t>
      </w:r>
      <w:r>
        <w:rPr>
          <w:lang w:val="en-US"/>
        </w:rPr>
        <w:t>for</w:t>
      </w:r>
      <w:r w:rsidRPr="00745AC0">
        <w:rPr>
          <w:lang w:val="en-US"/>
        </w:rPr>
        <w:t xml:space="preserve"> bipolar disorder</w:t>
      </w:r>
      <w:r>
        <w:rPr>
          <w:lang w:val="en-US"/>
        </w:rPr>
        <w:t xml:space="preserve">, </w:t>
      </w:r>
      <w:r w:rsidRPr="00745AC0">
        <w:rPr>
          <w:lang w:val="en-US"/>
        </w:rPr>
        <w:t>F32</w:t>
      </w:r>
      <w:r>
        <w:rPr>
          <w:lang w:val="en-US"/>
        </w:rPr>
        <w:t>-</w:t>
      </w:r>
      <w:r w:rsidRPr="00745AC0">
        <w:rPr>
          <w:lang w:val="en-US"/>
        </w:rPr>
        <w:t xml:space="preserve">F33/112 </w:t>
      </w:r>
      <w:r>
        <w:rPr>
          <w:lang w:val="en-US"/>
        </w:rPr>
        <w:t>for</w:t>
      </w:r>
      <w:r w:rsidRPr="00745AC0">
        <w:rPr>
          <w:lang w:val="en-US"/>
        </w:rPr>
        <w:t xml:space="preserve"> depression</w:t>
      </w:r>
      <w:r>
        <w:rPr>
          <w:lang w:val="en-US"/>
        </w:rPr>
        <w:t xml:space="preserve">, F40-F43 for anxiety disorders, and </w:t>
      </w:r>
      <w:r w:rsidRPr="00745AC0">
        <w:rPr>
          <w:lang w:val="en-US"/>
        </w:rPr>
        <w:t>F90/N06BA</w:t>
      </w:r>
      <w:r>
        <w:rPr>
          <w:lang w:val="en-US"/>
        </w:rPr>
        <w:t xml:space="preserve"> for ADHD. The</w:t>
      </w:r>
      <w:r>
        <w:rPr>
          <w:rFonts w:cstheme="minorHAnsi"/>
          <w:color w:val="000000"/>
          <w:lang w:val="en-US"/>
        </w:rPr>
        <w:t xml:space="preserve"> data were gathered from</w:t>
      </w:r>
      <w:r w:rsidRPr="003F597C">
        <w:rPr>
          <w:lang w:val="en-US"/>
        </w:rPr>
        <w:t xml:space="preserve"> </w:t>
      </w:r>
      <w:r>
        <w:rPr>
          <w:lang w:val="en-US"/>
        </w:rPr>
        <w:t xml:space="preserve">the </w:t>
      </w:r>
      <w:r w:rsidRPr="00402A77">
        <w:rPr>
          <w:lang w:val="en-US"/>
        </w:rPr>
        <w:t xml:space="preserve">National Health Insurance Scheme </w:t>
      </w:r>
      <w:r>
        <w:rPr>
          <w:lang w:val="en-US"/>
        </w:rPr>
        <w:t>register, Care Register for the Health Care, and Statistics Finland</w:t>
      </w:r>
      <w:r w:rsidRPr="006A7623">
        <w:rPr>
          <w:lang w:val="en-US"/>
        </w:rPr>
        <w:t>.</w:t>
      </w:r>
      <w:r>
        <w:rPr>
          <w:lang w:val="en-US"/>
        </w:rPr>
        <w:t xml:space="preserve"> Substance use disorder is also seen in </w:t>
      </w:r>
      <w:r w:rsidRPr="004A0820">
        <w:rPr>
          <w:b/>
          <w:bCs/>
          <w:lang w:val="en-US"/>
        </w:rPr>
        <w:t>Table 1</w:t>
      </w:r>
      <w:r>
        <w:rPr>
          <w:lang w:val="en-US"/>
        </w:rPr>
        <w:t>.</w:t>
      </w:r>
    </w:p>
    <w:p w14:paraId="680E0CA5" w14:textId="77777777" w:rsidR="005469FB" w:rsidRPr="002C6A5C" w:rsidRDefault="005469FB" w:rsidP="005469FB">
      <w:pPr>
        <w:spacing w:after="0" w:line="480" w:lineRule="auto"/>
        <w:jc w:val="both"/>
        <w:rPr>
          <w:b/>
          <w:bCs/>
          <w:lang w:val="en-US"/>
        </w:rPr>
      </w:pPr>
      <w:r>
        <w:rPr>
          <w:lang w:val="en-US"/>
        </w:rPr>
        <w:t xml:space="preserve">Previous diagnosis of </w:t>
      </w:r>
      <w:r w:rsidRPr="00041066">
        <w:rPr>
          <w:lang w:val="en-US"/>
        </w:rPr>
        <w:t xml:space="preserve">substance </w:t>
      </w:r>
      <w:r>
        <w:rPr>
          <w:lang w:val="en-US"/>
        </w:rPr>
        <w:t>abuse was defined as</w:t>
      </w:r>
      <w:r w:rsidRPr="00041066">
        <w:rPr>
          <w:lang w:val="en-US"/>
        </w:rPr>
        <w:t xml:space="preserve"> ICD</w:t>
      </w:r>
      <w:r>
        <w:rPr>
          <w:lang w:val="en-US"/>
        </w:rPr>
        <w:t>-</w:t>
      </w:r>
      <w:r w:rsidRPr="00041066">
        <w:rPr>
          <w:lang w:val="en-US"/>
        </w:rPr>
        <w:t>10</w:t>
      </w:r>
      <w:r>
        <w:rPr>
          <w:lang w:val="en-US"/>
        </w:rPr>
        <w:t xml:space="preserve"> </w:t>
      </w:r>
      <w:r w:rsidRPr="00041066">
        <w:rPr>
          <w:lang w:val="en-US"/>
        </w:rPr>
        <w:t>diagnoses from F10 to F19</w:t>
      </w:r>
      <w:r>
        <w:rPr>
          <w:lang w:val="en-US"/>
        </w:rPr>
        <w:t xml:space="preserve"> and seen in more detail in </w:t>
      </w:r>
      <w:r w:rsidRPr="006604A8">
        <w:rPr>
          <w:b/>
          <w:bCs/>
          <w:lang w:val="en-US"/>
        </w:rPr>
        <w:t xml:space="preserve">Supplementary table </w:t>
      </w:r>
      <w:r>
        <w:rPr>
          <w:b/>
          <w:bCs/>
          <w:lang w:val="en-US"/>
        </w:rPr>
        <w:t>2</w:t>
      </w:r>
      <w:r w:rsidRPr="00041066">
        <w:rPr>
          <w:lang w:val="en-US"/>
        </w:rPr>
        <w:t xml:space="preserve">. </w:t>
      </w:r>
      <w:r>
        <w:rPr>
          <w:lang w:val="en-US"/>
        </w:rPr>
        <w:t>D</w:t>
      </w:r>
      <w:r w:rsidRPr="00041066">
        <w:rPr>
          <w:lang w:val="en-US"/>
        </w:rPr>
        <w:t>ifferent substance abuse subgroups were explored by setting up categories for alcohol (</w:t>
      </w:r>
      <w:r w:rsidRPr="008732C4">
        <w:rPr>
          <w:lang w:val="en-US"/>
        </w:rPr>
        <w:t>F10</w:t>
      </w:r>
      <w:r w:rsidRPr="00041066">
        <w:rPr>
          <w:lang w:val="en-US"/>
        </w:rPr>
        <w:t>), cannabis (F12), opioids (F1</w:t>
      </w:r>
      <w:r>
        <w:rPr>
          <w:lang w:val="en-US"/>
        </w:rPr>
        <w:t>1</w:t>
      </w:r>
      <w:r w:rsidRPr="00041066">
        <w:rPr>
          <w:lang w:val="en-US"/>
        </w:rPr>
        <w:t>), stimulants (F14-F15)</w:t>
      </w:r>
      <w:r>
        <w:rPr>
          <w:lang w:val="en-US"/>
        </w:rPr>
        <w:t>,</w:t>
      </w:r>
      <w:r w:rsidRPr="00041066">
        <w:rPr>
          <w:lang w:val="en-US"/>
        </w:rPr>
        <w:t xml:space="preserve"> and other</w:t>
      </w:r>
      <w:r>
        <w:rPr>
          <w:lang w:val="en-US"/>
        </w:rPr>
        <w:t>/</w:t>
      </w:r>
      <w:r w:rsidRPr="00041066">
        <w:rPr>
          <w:lang w:val="en-US"/>
        </w:rPr>
        <w:t>polysubstance (F13, F16, F18, F19)</w:t>
      </w:r>
      <w:r>
        <w:rPr>
          <w:lang w:val="en-US"/>
        </w:rPr>
        <w:t xml:space="preserve"> use. Codes F1X.3 were excluded, as they represent the withdrawal state of certain substance use</w:t>
      </w:r>
      <w:r w:rsidRPr="00041066">
        <w:rPr>
          <w:lang w:val="en-US"/>
        </w:rPr>
        <w:t>.</w:t>
      </w:r>
      <w:r>
        <w:rPr>
          <w:lang w:val="en-US"/>
        </w:rPr>
        <w:t xml:space="preserve"> Only individuals with no other substance use during the defined two-year period were included in the alcohol group. However, alcohol was a possible additional substance used in the other groups (cannabis, opioids, and stimulants). </w:t>
      </w:r>
      <w:r w:rsidRPr="008732C4">
        <w:rPr>
          <w:lang w:val="en-US"/>
        </w:rPr>
        <w:t xml:space="preserve">The </w:t>
      </w:r>
      <w:r>
        <w:rPr>
          <w:lang w:val="en-US"/>
        </w:rPr>
        <w:t>abuse of</w:t>
      </w:r>
      <w:r w:rsidRPr="008732C4">
        <w:rPr>
          <w:lang w:val="en-US"/>
        </w:rPr>
        <w:t xml:space="preserve"> </w:t>
      </w:r>
      <w:r>
        <w:rPr>
          <w:lang w:val="en-US"/>
        </w:rPr>
        <w:t>BZDRs</w:t>
      </w:r>
      <w:r w:rsidRPr="008732C4">
        <w:rPr>
          <w:lang w:val="en-US"/>
        </w:rPr>
        <w:t xml:space="preserve"> w</w:t>
      </w:r>
      <w:r>
        <w:rPr>
          <w:lang w:val="en-US"/>
        </w:rPr>
        <w:t>as</w:t>
      </w:r>
      <w:r w:rsidRPr="008732C4">
        <w:rPr>
          <w:lang w:val="en-US"/>
        </w:rPr>
        <w:t xml:space="preserve"> analyzed by setting up two </w:t>
      </w:r>
      <w:r>
        <w:rPr>
          <w:lang w:val="en-US"/>
        </w:rPr>
        <w:t xml:space="preserve">groups: those who had been diagnosed with F13.1, F13.2, or F13.4-F13.9 before the start of follow-up, and those who ended up having these diagnoses during the follow-up. </w:t>
      </w:r>
    </w:p>
    <w:p w14:paraId="68B4B7E9" w14:textId="4286448D" w:rsidR="00127D9E" w:rsidRDefault="005469FB" w:rsidP="005469FB">
      <w:pPr>
        <w:tabs>
          <w:tab w:val="left" w:pos="2556"/>
        </w:tabs>
        <w:spacing w:line="480" w:lineRule="auto"/>
        <w:jc w:val="both"/>
        <w:rPr>
          <w:lang w:val="en-US"/>
        </w:rPr>
      </w:pPr>
      <w:r w:rsidRPr="0085543E">
        <w:rPr>
          <w:b/>
          <w:bCs/>
          <w:lang w:val="en-US"/>
        </w:rPr>
        <w:t xml:space="preserve">Supplementary table </w:t>
      </w:r>
      <w:r w:rsidR="005E099A">
        <w:rPr>
          <w:b/>
          <w:bCs/>
          <w:lang w:val="en-US"/>
        </w:rPr>
        <w:t>3</w:t>
      </w:r>
      <w:r>
        <w:rPr>
          <w:lang w:val="en-US"/>
        </w:rPr>
        <w:t xml:space="preserve"> shows c</w:t>
      </w:r>
      <w:r w:rsidRPr="00956084">
        <w:rPr>
          <w:lang w:val="en-US"/>
        </w:rPr>
        <w:t>oncomitant medication use</w:t>
      </w:r>
      <w:r>
        <w:rPr>
          <w:lang w:val="en-US"/>
        </w:rPr>
        <w:t>, which</w:t>
      </w:r>
      <w:r w:rsidRPr="00956084">
        <w:rPr>
          <w:lang w:val="en-US"/>
        </w:rPr>
        <w:t xml:space="preserve"> was defined during 30 days before the initiation of BZDR, </w:t>
      </w:r>
      <w:r>
        <w:rPr>
          <w:lang w:val="en-US"/>
        </w:rPr>
        <w:t xml:space="preserve">defined in groups </w:t>
      </w:r>
      <w:r w:rsidRPr="00956084">
        <w:rPr>
          <w:lang w:val="en-US"/>
        </w:rPr>
        <w:t>as antipsychotics, antidepressants, antiepileptics, opioids, non-opioid analgesics i.e., non-steroidal anti-inflammatory drugs NSAIDs and/or paracetamol</w:t>
      </w:r>
      <w:r>
        <w:rPr>
          <w:lang w:val="en-US"/>
        </w:rPr>
        <w:t>,</w:t>
      </w:r>
      <w:r w:rsidRPr="00956084">
        <w:rPr>
          <w:lang w:val="en-US"/>
        </w:rPr>
        <w:t xml:space="preserve"> and for muscle relaxants.</w:t>
      </w:r>
      <w:r w:rsidR="00F070A8">
        <w:rPr>
          <w:lang w:val="en-US"/>
        </w:rPr>
        <w:t xml:space="preserve"> </w:t>
      </w:r>
    </w:p>
    <w:p w14:paraId="1B4E3335" w14:textId="7C41BBDC" w:rsidR="00092E7B" w:rsidRPr="00092E7B" w:rsidRDefault="00092E7B" w:rsidP="005469FB">
      <w:pPr>
        <w:tabs>
          <w:tab w:val="left" w:pos="2556"/>
        </w:tabs>
        <w:spacing w:line="480" w:lineRule="auto"/>
        <w:jc w:val="both"/>
        <w:rPr>
          <w:lang w:val="en-US"/>
        </w:rPr>
      </w:pPr>
      <w:bookmarkStart w:id="1" w:name="_Hlk163285530"/>
      <w:r w:rsidRPr="000E4246">
        <w:rPr>
          <w:b/>
          <w:bCs/>
          <w:lang w:val="en-US"/>
        </w:rPr>
        <w:t xml:space="preserve">Supplementary table 4 </w:t>
      </w:r>
      <w:r w:rsidRPr="000E4246">
        <w:rPr>
          <w:lang w:val="en-US"/>
        </w:rPr>
        <w:t>shows the timing of dose escalation</w:t>
      </w:r>
      <w:bookmarkEnd w:id="1"/>
      <w:r w:rsidRPr="000E4246">
        <w:rPr>
          <w:rFonts w:ascii="Calibri" w:hAnsi="Calibri" w:cs="Calibri"/>
          <w:lang w:val="en-US"/>
          <w14:ligatures w14:val="none"/>
        </w:rPr>
        <w:t xml:space="preserve"> more precisely, in every 0.5 years up to 5 years.</w:t>
      </w:r>
    </w:p>
    <w:sectPr w:rsidR="00092E7B" w:rsidRPr="00092E7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FB"/>
    <w:rsid w:val="0001296C"/>
    <w:rsid w:val="00014A01"/>
    <w:rsid w:val="0001683E"/>
    <w:rsid w:val="000228AD"/>
    <w:rsid w:val="00023291"/>
    <w:rsid w:val="000358DB"/>
    <w:rsid w:val="000463E9"/>
    <w:rsid w:val="0007614C"/>
    <w:rsid w:val="0008204C"/>
    <w:rsid w:val="00092E7B"/>
    <w:rsid w:val="000A2CDF"/>
    <w:rsid w:val="000A5728"/>
    <w:rsid w:val="000B711B"/>
    <w:rsid w:val="000C083B"/>
    <w:rsid w:val="000C1312"/>
    <w:rsid w:val="000E4246"/>
    <w:rsid w:val="000E5C70"/>
    <w:rsid w:val="000F4E8C"/>
    <w:rsid w:val="0010161B"/>
    <w:rsid w:val="001104AB"/>
    <w:rsid w:val="00120210"/>
    <w:rsid w:val="00125F34"/>
    <w:rsid w:val="00127D9E"/>
    <w:rsid w:val="00141D3B"/>
    <w:rsid w:val="001514E4"/>
    <w:rsid w:val="00155764"/>
    <w:rsid w:val="0016105B"/>
    <w:rsid w:val="001611DA"/>
    <w:rsid w:val="00161D2B"/>
    <w:rsid w:val="00167251"/>
    <w:rsid w:val="00172D11"/>
    <w:rsid w:val="001835F2"/>
    <w:rsid w:val="001876BF"/>
    <w:rsid w:val="001B5301"/>
    <w:rsid w:val="001B5C4A"/>
    <w:rsid w:val="001D6797"/>
    <w:rsid w:val="001E1CC5"/>
    <w:rsid w:val="001F16B0"/>
    <w:rsid w:val="002033D0"/>
    <w:rsid w:val="0020514E"/>
    <w:rsid w:val="0023788E"/>
    <w:rsid w:val="00242ED3"/>
    <w:rsid w:val="00252E5D"/>
    <w:rsid w:val="00264A5E"/>
    <w:rsid w:val="00273568"/>
    <w:rsid w:val="002749D4"/>
    <w:rsid w:val="0028715F"/>
    <w:rsid w:val="00290E16"/>
    <w:rsid w:val="002A7629"/>
    <w:rsid w:val="002D3939"/>
    <w:rsid w:val="002F21B7"/>
    <w:rsid w:val="00330619"/>
    <w:rsid w:val="0033067A"/>
    <w:rsid w:val="00336B61"/>
    <w:rsid w:val="0034720E"/>
    <w:rsid w:val="0035081B"/>
    <w:rsid w:val="00357D48"/>
    <w:rsid w:val="003736F4"/>
    <w:rsid w:val="00390568"/>
    <w:rsid w:val="003D1D6F"/>
    <w:rsid w:val="00406752"/>
    <w:rsid w:val="00411120"/>
    <w:rsid w:val="0041334D"/>
    <w:rsid w:val="00420DC3"/>
    <w:rsid w:val="00421F98"/>
    <w:rsid w:val="004222C5"/>
    <w:rsid w:val="00422D19"/>
    <w:rsid w:val="00430C8A"/>
    <w:rsid w:val="00451CEC"/>
    <w:rsid w:val="00474015"/>
    <w:rsid w:val="004765E3"/>
    <w:rsid w:val="0049565E"/>
    <w:rsid w:val="004B3791"/>
    <w:rsid w:val="004C454F"/>
    <w:rsid w:val="004D5A80"/>
    <w:rsid w:val="004E4BB2"/>
    <w:rsid w:val="004F0FD9"/>
    <w:rsid w:val="004F3414"/>
    <w:rsid w:val="005077F3"/>
    <w:rsid w:val="00511A99"/>
    <w:rsid w:val="00540821"/>
    <w:rsid w:val="005412CC"/>
    <w:rsid w:val="005425AF"/>
    <w:rsid w:val="005431D1"/>
    <w:rsid w:val="005469FB"/>
    <w:rsid w:val="005504AF"/>
    <w:rsid w:val="00560013"/>
    <w:rsid w:val="00561B48"/>
    <w:rsid w:val="005665FF"/>
    <w:rsid w:val="00571422"/>
    <w:rsid w:val="0057452E"/>
    <w:rsid w:val="0057515C"/>
    <w:rsid w:val="00582F03"/>
    <w:rsid w:val="005B6EDB"/>
    <w:rsid w:val="005C0890"/>
    <w:rsid w:val="005C0EE5"/>
    <w:rsid w:val="005C7D2E"/>
    <w:rsid w:val="005D56E8"/>
    <w:rsid w:val="005E099A"/>
    <w:rsid w:val="00602EE6"/>
    <w:rsid w:val="00606375"/>
    <w:rsid w:val="0061130D"/>
    <w:rsid w:val="006120E4"/>
    <w:rsid w:val="00613828"/>
    <w:rsid w:val="006168B7"/>
    <w:rsid w:val="006175B1"/>
    <w:rsid w:val="006261B5"/>
    <w:rsid w:val="00632DB2"/>
    <w:rsid w:val="006519F2"/>
    <w:rsid w:val="00651C35"/>
    <w:rsid w:val="00666097"/>
    <w:rsid w:val="006873B6"/>
    <w:rsid w:val="006A2231"/>
    <w:rsid w:val="006B5840"/>
    <w:rsid w:val="006C203D"/>
    <w:rsid w:val="006E1E1F"/>
    <w:rsid w:val="006E3014"/>
    <w:rsid w:val="006F4CE6"/>
    <w:rsid w:val="006F56A7"/>
    <w:rsid w:val="0070110E"/>
    <w:rsid w:val="007027B9"/>
    <w:rsid w:val="007109D1"/>
    <w:rsid w:val="0071549B"/>
    <w:rsid w:val="007243FE"/>
    <w:rsid w:val="00730A7A"/>
    <w:rsid w:val="00753BBC"/>
    <w:rsid w:val="007647E4"/>
    <w:rsid w:val="0076542F"/>
    <w:rsid w:val="007753DA"/>
    <w:rsid w:val="007808FA"/>
    <w:rsid w:val="0078303D"/>
    <w:rsid w:val="00783595"/>
    <w:rsid w:val="00793EC0"/>
    <w:rsid w:val="007A24E4"/>
    <w:rsid w:val="007A6736"/>
    <w:rsid w:val="007B1576"/>
    <w:rsid w:val="007C09CB"/>
    <w:rsid w:val="007C4902"/>
    <w:rsid w:val="007E7535"/>
    <w:rsid w:val="007F0FFE"/>
    <w:rsid w:val="007F3D95"/>
    <w:rsid w:val="007F6FE5"/>
    <w:rsid w:val="0082059F"/>
    <w:rsid w:val="008360F3"/>
    <w:rsid w:val="0085328E"/>
    <w:rsid w:val="0087015C"/>
    <w:rsid w:val="008923D9"/>
    <w:rsid w:val="008B7C03"/>
    <w:rsid w:val="008B7E6F"/>
    <w:rsid w:val="008C4A4F"/>
    <w:rsid w:val="008C6016"/>
    <w:rsid w:val="008E071C"/>
    <w:rsid w:val="008E1F61"/>
    <w:rsid w:val="008E45BA"/>
    <w:rsid w:val="008E4D65"/>
    <w:rsid w:val="008E5B9A"/>
    <w:rsid w:val="008F5B34"/>
    <w:rsid w:val="008F709F"/>
    <w:rsid w:val="00946528"/>
    <w:rsid w:val="009800E4"/>
    <w:rsid w:val="0099128D"/>
    <w:rsid w:val="009A62AD"/>
    <w:rsid w:val="009C7B8A"/>
    <w:rsid w:val="009D3A40"/>
    <w:rsid w:val="009D48FB"/>
    <w:rsid w:val="009E33FC"/>
    <w:rsid w:val="009E5A76"/>
    <w:rsid w:val="009F0191"/>
    <w:rsid w:val="00A050DD"/>
    <w:rsid w:val="00A07472"/>
    <w:rsid w:val="00A2758A"/>
    <w:rsid w:val="00A275B5"/>
    <w:rsid w:val="00A37BA1"/>
    <w:rsid w:val="00A50571"/>
    <w:rsid w:val="00A578B7"/>
    <w:rsid w:val="00A621BB"/>
    <w:rsid w:val="00A76F48"/>
    <w:rsid w:val="00A774F9"/>
    <w:rsid w:val="00A8042C"/>
    <w:rsid w:val="00A90ADA"/>
    <w:rsid w:val="00AA192A"/>
    <w:rsid w:val="00AB6138"/>
    <w:rsid w:val="00AB7C40"/>
    <w:rsid w:val="00AD540E"/>
    <w:rsid w:val="00AD543E"/>
    <w:rsid w:val="00AE42B8"/>
    <w:rsid w:val="00AE6DA2"/>
    <w:rsid w:val="00AF53EA"/>
    <w:rsid w:val="00B03FE4"/>
    <w:rsid w:val="00B138C0"/>
    <w:rsid w:val="00B16933"/>
    <w:rsid w:val="00B23779"/>
    <w:rsid w:val="00B3166D"/>
    <w:rsid w:val="00B32D6A"/>
    <w:rsid w:val="00B3302F"/>
    <w:rsid w:val="00B35F69"/>
    <w:rsid w:val="00B4681B"/>
    <w:rsid w:val="00B508B6"/>
    <w:rsid w:val="00B54081"/>
    <w:rsid w:val="00B61CEC"/>
    <w:rsid w:val="00B62348"/>
    <w:rsid w:val="00B646EC"/>
    <w:rsid w:val="00B64F18"/>
    <w:rsid w:val="00B83BCC"/>
    <w:rsid w:val="00B91BBF"/>
    <w:rsid w:val="00BA5916"/>
    <w:rsid w:val="00BC38C8"/>
    <w:rsid w:val="00BD6512"/>
    <w:rsid w:val="00C02820"/>
    <w:rsid w:val="00C05600"/>
    <w:rsid w:val="00C209E8"/>
    <w:rsid w:val="00C305B5"/>
    <w:rsid w:val="00C3444C"/>
    <w:rsid w:val="00C63897"/>
    <w:rsid w:val="00C76B05"/>
    <w:rsid w:val="00C97885"/>
    <w:rsid w:val="00CA76D8"/>
    <w:rsid w:val="00CC0FC7"/>
    <w:rsid w:val="00CC5BF7"/>
    <w:rsid w:val="00CC6B57"/>
    <w:rsid w:val="00CD4CEA"/>
    <w:rsid w:val="00D01298"/>
    <w:rsid w:val="00D12169"/>
    <w:rsid w:val="00D20B72"/>
    <w:rsid w:val="00D23CC2"/>
    <w:rsid w:val="00D24B07"/>
    <w:rsid w:val="00D27F29"/>
    <w:rsid w:val="00D3351C"/>
    <w:rsid w:val="00D355A6"/>
    <w:rsid w:val="00D35E0C"/>
    <w:rsid w:val="00D365F6"/>
    <w:rsid w:val="00D63B75"/>
    <w:rsid w:val="00D8017C"/>
    <w:rsid w:val="00D967CE"/>
    <w:rsid w:val="00DA01D9"/>
    <w:rsid w:val="00DA174D"/>
    <w:rsid w:val="00DB7E02"/>
    <w:rsid w:val="00DC76E2"/>
    <w:rsid w:val="00DD3A9E"/>
    <w:rsid w:val="00DE2A68"/>
    <w:rsid w:val="00DE302A"/>
    <w:rsid w:val="00E10162"/>
    <w:rsid w:val="00E10E0D"/>
    <w:rsid w:val="00E2157A"/>
    <w:rsid w:val="00E41644"/>
    <w:rsid w:val="00E44416"/>
    <w:rsid w:val="00E54D7E"/>
    <w:rsid w:val="00E55BA6"/>
    <w:rsid w:val="00E57E4C"/>
    <w:rsid w:val="00E678A0"/>
    <w:rsid w:val="00E84EF7"/>
    <w:rsid w:val="00E91374"/>
    <w:rsid w:val="00E94901"/>
    <w:rsid w:val="00EA1A61"/>
    <w:rsid w:val="00EA4FE0"/>
    <w:rsid w:val="00EB19E1"/>
    <w:rsid w:val="00EB41F8"/>
    <w:rsid w:val="00EC255A"/>
    <w:rsid w:val="00EC4B90"/>
    <w:rsid w:val="00EF79FD"/>
    <w:rsid w:val="00F029C4"/>
    <w:rsid w:val="00F0312B"/>
    <w:rsid w:val="00F070A8"/>
    <w:rsid w:val="00F10F58"/>
    <w:rsid w:val="00F11565"/>
    <w:rsid w:val="00F23CF7"/>
    <w:rsid w:val="00F25CA9"/>
    <w:rsid w:val="00F32129"/>
    <w:rsid w:val="00F325B5"/>
    <w:rsid w:val="00F562CD"/>
    <w:rsid w:val="00FB246B"/>
    <w:rsid w:val="00FB7D22"/>
    <w:rsid w:val="00FD4142"/>
    <w:rsid w:val="00FD7C72"/>
    <w:rsid w:val="00FE5A83"/>
    <w:rsid w:val="00FF283A"/>
    <w:rsid w:val="00FF47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78F9"/>
  <w15:chartTrackingRefBased/>
  <w15:docId w15:val="{A360B3F2-7355-4293-A516-92694500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469FB"/>
    <w:rPr>
      <w:kern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enzo.org.uk/profash.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D43E-1DC5-4B48-8AC6-B55B55E4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4488</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Särkilä</dc:creator>
  <cp:keywords/>
  <dc:description/>
  <cp:lastModifiedBy>Särkilä Hanna</cp:lastModifiedBy>
  <cp:revision>2</cp:revision>
  <dcterms:created xsi:type="dcterms:W3CDTF">2025-12-01T06:21:00Z</dcterms:created>
  <dcterms:modified xsi:type="dcterms:W3CDTF">2025-12-01T06:21:00Z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c4d0e826-fc7e-30af-9707-b9e821824092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