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8FAC" w14:textId="77777777" w:rsidR="00F564C3" w:rsidRPr="00B26BC9" w:rsidRDefault="00F564C3" w:rsidP="00F564C3">
      <w:pPr>
        <w:rPr>
          <w:rFonts w:cs="Times New Roman"/>
          <w:b/>
          <w:bCs/>
          <w:szCs w:val="24"/>
          <w:lang w:val="en-US"/>
        </w:rPr>
      </w:pPr>
      <w:r w:rsidRPr="00B26BC9">
        <w:rPr>
          <w:rFonts w:cs="Times New Roman"/>
          <w:b/>
          <w:bCs/>
          <w:szCs w:val="24"/>
          <w:lang w:val="en-US"/>
        </w:rPr>
        <w:t>Eating Disorder Examination Questionnaire (Short) – EDE-QS</w:t>
      </w:r>
    </w:p>
    <w:p w14:paraId="2DA8BAE3" w14:textId="22DE7813" w:rsidR="00F564C3" w:rsidRPr="00B26BC9" w:rsidRDefault="00F564C3" w:rsidP="00F564C3">
      <w:pPr>
        <w:rPr>
          <w:rFonts w:cs="Times New Roman"/>
          <w:szCs w:val="24"/>
          <w:lang w:val="en-US"/>
        </w:rPr>
      </w:pPr>
      <w:r>
        <w:rPr>
          <w:rFonts w:cs="Times New Roman"/>
          <w:szCs w:val="24"/>
          <w:lang w:val="en-US"/>
        </w:rPr>
        <w:t xml:space="preserve">For the </w:t>
      </w:r>
      <w:r w:rsidRPr="00B26BC9">
        <w:rPr>
          <w:rFonts w:cs="Times New Roman"/>
          <w:szCs w:val="24"/>
          <w:lang w:val="en-US"/>
        </w:rPr>
        <w:t>EDE-QS</w:t>
      </w:r>
      <w:r>
        <w:rPr>
          <w:rFonts w:cs="Times New Roman"/>
          <w:szCs w:val="24"/>
          <w:lang w:val="en-US"/>
        </w:rPr>
        <w:t>,</w:t>
      </w:r>
      <w:r w:rsidRPr="00B26BC9">
        <w:rPr>
          <w:rFonts w:cs="Times New Roman"/>
          <w:szCs w:val="24"/>
          <w:lang w:val="en-US"/>
        </w:rPr>
        <w:t xml:space="preserve"> </w:t>
      </w:r>
      <w:r>
        <w:rPr>
          <w:rFonts w:cs="Times New Roman"/>
          <w:szCs w:val="24"/>
          <w:lang w:val="en-US"/>
        </w:rPr>
        <w:t>w</w:t>
      </w:r>
      <w:r w:rsidRPr="00B26BC9">
        <w:rPr>
          <w:rFonts w:cs="Times New Roman"/>
          <w:szCs w:val="24"/>
          <w:lang w:val="en-US"/>
        </w:rPr>
        <w:t xml:space="preserve">e chose to include the qualifier ‘a lot’ for the term ‘markedly’. Questions relate to eating (restriction and loss of control), compensatory behaviors, cognitive preoccupations, as well as drive for thinness, fear, and body dissatisfaction. While a score of 15 is considered symptomatic of an ED </w:t>
      </w:r>
      <w:r w:rsidRPr="00B26BC9">
        <w:rPr>
          <w:rFonts w:cs="Times New Roman"/>
          <w:szCs w:val="24"/>
          <w:lang w:val="en-US"/>
        </w:rPr>
        <w:fldChar w:fldCharType="begin"/>
      </w:r>
      <w:r>
        <w:rPr>
          <w:rFonts w:cs="Times New Roman"/>
          <w:szCs w:val="24"/>
          <w:lang w:val="en-US"/>
        </w:rPr>
        <w:instrText xml:space="preserve"> ADDIN EN.CITE &lt;EndNote&gt;&lt;Cite&gt;&lt;Author&gt;Prnjak&lt;/Author&gt;&lt;Year&gt;2020&lt;/Year&gt;&lt;RecNum&gt;224&lt;/RecNum&gt;&lt;DisplayText&gt;(1)&lt;/DisplayText&gt;&lt;record&gt;&lt;rec-number&gt;224&lt;/rec-number&gt;&lt;foreign-keys&gt;&lt;key app="EN" db-id="vvarfetvye59dee5sp250wfd2wve2sepftre" timestamp="1647930155"&gt;224&lt;/key&gt;&lt;/foreign-keys&gt;&lt;ref-type name="Journal Article"&gt;17&lt;/ref-type&gt;&lt;contributors&gt;&lt;authors&gt;&lt;author&gt;Prnjak, Katarina&lt;/author&gt;&lt;author&gt;Mitchison, Deborah&lt;/author&gt;&lt;author&gt;Griffiths, Scott&lt;/author&gt;&lt;author&gt;Mond, Jonathan&lt;/author&gt;&lt;author&gt;Gideon, Nicole&lt;/author&gt;&lt;author&gt;Serpell, Lucy&lt;/author&gt;&lt;author&gt;Hay, Phillipa&lt;/author&gt;&lt;/authors&gt;&lt;/contributors&gt;&lt;titles&gt;&lt;title&gt;Further development of the 12-item EDE-QS: identifying a cut-off for screening purposes&lt;/title&gt;&lt;secondary-title&gt;BMC psychiatry&lt;/secondary-title&gt;&lt;/titles&gt;&lt;periodical&gt;&lt;full-title&gt;BMC PSYCHIATRY&lt;/full-title&gt;&lt;/periodical&gt;&lt;pages&gt;146-146&lt;/pages&gt;&lt;volume&gt;20&lt;/volume&gt;&lt;number&gt;1&lt;/number&gt;&lt;keywords&gt;&lt;keyword&gt;Anorexia&lt;/keyword&gt;&lt;keyword&gt;Bulimia&lt;/keyword&gt;&lt;keyword&gt;Discriminant validity&lt;/keyword&gt;&lt;keyword&gt;Eating disorders&lt;/keyword&gt;&lt;keyword&gt;EDE-QS&lt;/keyword&gt;&lt;keyword&gt;Quantitative psychology&lt;/keyword&gt;&lt;keyword&gt;Questionnaires&lt;/keyword&gt;&lt;keyword&gt;ROC analysis&lt;/keyword&gt;&lt;keyword&gt;Screening&lt;/keyword&gt;&lt;/keywords&gt;&lt;dates&gt;&lt;year&gt;2020&lt;/year&gt;&lt;/dates&gt;&lt;pub-location&gt;England&lt;/pub-location&gt;&lt;publisher&gt;BioMed Central&lt;/publisher&gt;&lt;isbn&gt;1471-244X&lt;/isbn&gt;&lt;urls&gt;&lt;/urls&gt;&lt;electronic-resource-num&gt;10.1186/s12888-020-02565-5&lt;/electronic-resource-num&gt;&lt;/record&gt;&lt;/Cite&gt;&lt;/EndNote&gt;</w:instrText>
      </w:r>
      <w:r w:rsidRPr="00B26BC9">
        <w:rPr>
          <w:rFonts w:cs="Times New Roman"/>
          <w:szCs w:val="24"/>
          <w:lang w:val="en-US"/>
        </w:rPr>
        <w:fldChar w:fldCharType="separate"/>
      </w:r>
      <w:r>
        <w:rPr>
          <w:rFonts w:cs="Times New Roman"/>
          <w:noProof/>
          <w:szCs w:val="24"/>
          <w:lang w:val="en-US"/>
        </w:rPr>
        <w:t>(1)</w:t>
      </w:r>
      <w:r w:rsidRPr="00B26BC9">
        <w:rPr>
          <w:rFonts w:cs="Times New Roman"/>
          <w:szCs w:val="24"/>
          <w:lang w:val="en-US"/>
        </w:rPr>
        <w:fldChar w:fldCharType="end"/>
      </w:r>
      <w:r w:rsidRPr="00B26BC9">
        <w:rPr>
          <w:rFonts w:cs="Times New Roman"/>
          <w:szCs w:val="24"/>
          <w:lang w:val="en-US"/>
        </w:rPr>
        <w:t xml:space="preserve"> for screening purposes, a lower score, in the presence of eating disorder behaviors (restriction, binge eating, and compensation), represents clinically impactful AN symptomatology </w:t>
      </w:r>
      <w:r w:rsidRPr="00B26BC9">
        <w:rPr>
          <w:rFonts w:cs="Times New Roman"/>
          <w:szCs w:val="24"/>
          <w:lang w:val="en-US"/>
        </w:rPr>
        <w:fldChar w:fldCharType="begin"/>
      </w:r>
      <w:r>
        <w:rPr>
          <w:rFonts w:cs="Times New Roman"/>
          <w:szCs w:val="24"/>
          <w:lang w:val="en-US"/>
        </w:rPr>
        <w:instrText xml:space="preserve"> ADDIN EN.CITE &lt;EndNote&gt;&lt;Cite&gt;&lt;Author&gt;Christian&lt;/Author&gt;&lt;Year&gt;2021&lt;/Year&gt;&lt;RecNum&gt;22388&lt;/RecNum&gt;&lt;DisplayText&gt;(2)&lt;/DisplayText&gt;&lt;record&gt;&lt;rec-number&gt;22388&lt;/rec-number&gt;&lt;foreign-keys&gt;&lt;key app="EN" db-id="vvarfetvye59dee5sp250wfd2wve2sepftre" timestamp="1737018763"&gt;22388&lt;/key&gt;&lt;/foreign-keys&gt;&lt;ref-type name="Journal Article"&gt;17&lt;/ref-type&gt;&lt;contributors&gt;&lt;authors&gt;&lt;author&gt;Christian, Caroline&lt;/author&gt;&lt;author&gt;Williams, Brenna M.&lt;/author&gt;&lt;author&gt;Hunt, Rowan A.&lt;/author&gt;&lt;author&gt;Wong, Valerie Z.&lt;/author&gt;&lt;author&gt;Ernst, Sarah E.&lt;/author&gt;&lt;author&gt;Spoor, Samantha P.&lt;/author&gt;&lt;author&gt;Vanzhula, Irina A.&lt;/author&gt;&lt;author&gt;Tregarthen, Jenna P.&lt;/author&gt;&lt;author&gt;Forbush, Kelsie T.&lt;/author&gt;&lt;author&gt;Levinson, Cheri A.&lt;/author&gt;&lt;/authors&gt;&lt;/contributors&gt;&lt;titles&gt;&lt;title&gt;A network investigation of core symptoms and pathways across duration of illness using a comprehensive cognitive–behavioral model of eating-disorder symptoms&lt;/title&gt;&lt;secondary-title&gt;Psychological medicine&lt;/secondary-title&gt;&lt;/titles&gt;&lt;periodical&gt;&lt;full-title&gt;Psychological medicine&lt;/full-title&gt;&lt;/periodical&gt;&lt;pages&gt;815-824&lt;/pages&gt;&lt;volume&gt;51&lt;/volume&gt;&lt;number&gt;5&lt;/number&gt;&lt;keywords&gt;&lt;keyword&gt;Eating disorders&lt;/keyword&gt;&lt;keyword&gt;Food habits&lt;/keyword&gt;&lt;keyword&gt;Pathology&lt;/keyword&gt;&lt;keyword&gt;Psychology, Pathological&lt;/keyword&gt;&lt;keyword&gt;Research&lt;/keyword&gt;&lt;keyword&gt;Statistics&lt;/keyword&gt;&lt;keyword&gt;Symptoms&lt;/keyword&gt;&lt;keyword&gt;System analysis&lt;/keyword&gt;&lt;/keywords&gt;&lt;dates&gt;&lt;year&gt;2021&lt;/year&gt;&lt;/dates&gt;&lt;pub-location&gt;Cambridge, UK&lt;/pub-location&gt;&lt;publisher&gt;Cambridge University Press&lt;/publisher&gt;&lt;isbn&gt;0033-2917&lt;/isbn&gt;&lt;urls&gt;&lt;/urls&gt;&lt;electronic-resource-num&gt;10.1017/S0033291719003817&lt;/electronic-resource-num&gt;&lt;/record&gt;&lt;/Cite&gt;&lt;/EndNote&gt;</w:instrText>
      </w:r>
      <w:r w:rsidRPr="00B26BC9">
        <w:rPr>
          <w:rFonts w:cs="Times New Roman"/>
          <w:szCs w:val="24"/>
          <w:lang w:val="en-US"/>
        </w:rPr>
        <w:fldChar w:fldCharType="separate"/>
      </w:r>
      <w:r>
        <w:rPr>
          <w:rFonts w:cs="Times New Roman"/>
          <w:noProof/>
          <w:szCs w:val="24"/>
          <w:lang w:val="en-US"/>
        </w:rPr>
        <w:t>(2)</w:t>
      </w:r>
      <w:r w:rsidRPr="00B26BC9">
        <w:rPr>
          <w:rFonts w:cs="Times New Roman"/>
          <w:szCs w:val="24"/>
          <w:lang w:val="en-US"/>
        </w:rPr>
        <w:fldChar w:fldCharType="end"/>
      </w:r>
      <w:r w:rsidRPr="00B26BC9">
        <w:rPr>
          <w:rFonts w:cs="Times New Roman"/>
          <w:szCs w:val="24"/>
          <w:lang w:val="en-US"/>
        </w:rPr>
        <w:t xml:space="preserve">. In the present study, the internal consistency was 0.868 (Cronbach’s </w:t>
      </w:r>
      <w:r w:rsidRPr="00B26BC9">
        <w:rPr>
          <w:rFonts w:cs="Times New Roman"/>
          <w:color w:val="111111"/>
          <w:szCs w:val="24"/>
          <w:shd w:val="clear" w:color="auto" w:fill="FFFFFF"/>
        </w:rPr>
        <w:t>α)</w:t>
      </w:r>
      <w:r w:rsidRPr="00B26BC9">
        <w:rPr>
          <w:rFonts w:cs="Times New Roman"/>
          <w:szCs w:val="24"/>
        </w:rPr>
        <w:t xml:space="preserve"> for the </w:t>
      </w:r>
      <w:r w:rsidRPr="00B26BC9">
        <w:rPr>
          <w:rFonts w:cs="Times New Roman"/>
          <w:szCs w:val="24"/>
          <w:lang w:val="en-US"/>
        </w:rPr>
        <w:t>12 items.</w:t>
      </w:r>
    </w:p>
    <w:p w14:paraId="3D16649E" w14:textId="77777777" w:rsidR="00F564C3" w:rsidRPr="00B26BC9" w:rsidRDefault="00F564C3" w:rsidP="00F564C3">
      <w:pPr>
        <w:rPr>
          <w:rFonts w:cs="Times New Roman"/>
          <w:szCs w:val="24"/>
          <w:lang w:val="en-US"/>
        </w:rPr>
      </w:pPr>
    </w:p>
    <w:p w14:paraId="1F1EC62F" w14:textId="77777777" w:rsidR="00F564C3" w:rsidRPr="00B26BC9" w:rsidRDefault="00F564C3" w:rsidP="00F564C3">
      <w:pPr>
        <w:rPr>
          <w:rFonts w:cs="Times New Roman"/>
          <w:b/>
          <w:bCs/>
          <w:szCs w:val="24"/>
          <w:lang w:val="en-US"/>
        </w:rPr>
      </w:pPr>
      <w:r w:rsidRPr="00B26BC9">
        <w:rPr>
          <w:rFonts w:cs="Times New Roman"/>
          <w:b/>
          <w:bCs/>
          <w:szCs w:val="24"/>
          <w:lang w:val="en-US"/>
        </w:rPr>
        <w:t>Self-Concept and Identity Measure (SCIM)</w:t>
      </w:r>
    </w:p>
    <w:p w14:paraId="7AA5C92B" w14:textId="5E5560FF" w:rsidR="00F564C3" w:rsidRPr="00B26BC9" w:rsidRDefault="00F564C3" w:rsidP="00F564C3">
      <w:pPr>
        <w:autoSpaceDE w:val="0"/>
        <w:autoSpaceDN w:val="0"/>
        <w:adjustRightInd w:val="0"/>
        <w:rPr>
          <w:rFonts w:cs="Times New Roman"/>
          <w:szCs w:val="24"/>
        </w:rPr>
      </w:pPr>
      <w:r w:rsidRPr="00B26BC9">
        <w:rPr>
          <w:rFonts w:cs="Times New Roman"/>
          <w:color w:val="131413"/>
          <w:szCs w:val="24"/>
        </w:rPr>
        <w:t xml:space="preserve">The measure is empirically validated in clinical samples </w:t>
      </w:r>
      <w:r w:rsidRPr="00B26BC9">
        <w:rPr>
          <w:rFonts w:cs="Times New Roman"/>
          <w:color w:val="131413"/>
          <w:szCs w:val="24"/>
        </w:rPr>
        <w:fldChar w:fldCharType="begin"/>
      </w:r>
      <w:r>
        <w:rPr>
          <w:rFonts w:cs="Times New Roman"/>
          <w:color w:val="131413"/>
          <w:szCs w:val="24"/>
        </w:rPr>
        <w:instrText xml:space="preserve"> ADDIN EN.CITE &lt;EndNote&gt;&lt;Cite&gt;&lt;Author&gt;Kaufman&lt;/Author&gt;&lt;Year&gt;2019&lt;/Year&gt;&lt;RecNum&gt;22199&lt;/RecNum&gt;&lt;DisplayText&gt;(3)&lt;/DisplayText&gt;&lt;record&gt;&lt;rec-number&gt;22199&lt;/rec-number&gt;&lt;foreign-keys&gt;&lt;key app="EN" db-id="vvarfetvye59dee5sp250wfd2wve2sepftre" timestamp="1706952107"&gt;22199&lt;/key&gt;&lt;/foreign-keys&gt;&lt;ref-type name="Journal Article"&gt;17&lt;/ref-type&gt;&lt;contributors&gt;&lt;authors&gt;&lt;author&gt;Kaufman, Erin A.&lt;/author&gt;&lt;author&gt;Puzia, Megan E.&lt;/author&gt;&lt;author&gt;Crowell, Sheila E.&lt;/author&gt;&lt;author&gt;Price, Cynthia J.&lt;/author&gt;&lt;/authors&gt;&lt;/contributors&gt;&lt;titles&gt;&lt;title&gt;Replication of the Self-Concept and Identity Measure (SCIM) Among a Treatment-Seeking Sample&lt;/title&gt;&lt;secondary-title&gt;Identity (Mahwah, N.J.)&lt;/secondary-title&gt;&lt;/titles&gt;&lt;periodical&gt;&lt;full-title&gt;Identity (Mahwah, N.J.)&lt;/full-title&gt;&lt;/periodical&gt;&lt;pages&gt;18-28&lt;/pages&gt;&lt;volume&gt;19&lt;/volume&gt;&lt;number&gt;1&lt;/number&gt;&lt;keywords&gt;&lt;keyword&gt;assessment&lt;/keyword&gt;&lt;keyword&gt;chemical dependence&lt;/keyword&gt;&lt;keyword&gt;emotion dysregulation&lt;/keyword&gt;&lt;keyword&gt;factor analysis&lt;/keyword&gt;&lt;keyword&gt;Identity&lt;/keyword&gt;&lt;keyword&gt;Identity disturbance&lt;/keyword&gt;&lt;keyword&gt;Psychiatry&lt;/keyword&gt;&lt;keyword&gt;Psychological distress&lt;/keyword&gt;&lt;keyword&gt;psychopathology&lt;/keyword&gt;&lt;keyword&gt;Scores&lt;/keyword&gt;&lt;keyword&gt;Self concept&lt;/keyword&gt;&lt;keyword&gt;substance use disorders&lt;/keyword&gt;&lt;/keywords&gt;&lt;dates&gt;&lt;year&gt;2019&lt;/year&gt;&lt;/dates&gt;&lt;pub-location&gt;United States&lt;/pub-location&gt;&lt;publisher&gt;Routledge&lt;/publisher&gt;&lt;isbn&gt;1528-3488&lt;/isbn&gt;&lt;urls&gt;&lt;/urls&gt;&lt;electronic-resource-num&gt;10.1080/15283488.2019.1566068&lt;/electronic-resource-num&gt;&lt;/record&gt;&lt;/Cite&gt;&lt;/EndNote&gt;</w:instrText>
      </w:r>
      <w:r w:rsidRPr="00B26BC9">
        <w:rPr>
          <w:rFonts w:cs="Times New Roman"/>
          <w:color w:val="131413"/>
          <w:szCs w:val="24"/>
        </w:rPr>
        <w:fldChar w:fldCharType="separate"/>
      </w:r>
      <w:r>
        <w:rPr>
          <w:rFonts w:cs="Times New Roman"/>
          <w:noProof/>
          <w:color w:val="131413"/>
          <w:szCs w:val="24"/>
        </w:rPr>
        <w:t>(3)</w:t>
      </w:r>
      <w:r w:rsidRPr="00B26BC9">
        <w:rPr>
          <w:rFonts w:cs="Times New Roman"/>
          <w:color w:val="131413"/>
          <w:szCs w:val="24"/>
        </w:rPr>
        <w:fldChar w:fldCharType="end"/>
      </w:r>
      <w:r w:rsidRPr="00B26BC9">
        <w:rPr>
          <w:rFonts w:cs="Times New Roman"/>
          <w:color w:val="131413"/>
          <w:szCs w:val="24"/>
        </w:rPr>
        <w:t xml:space="preserve"> and has good internal reliability for both composite and </w:t>
      </w:r>
      <w:proofErr w:type="spellStart"/>
      <w:r w:rsidRPr="00B26BC9">
        <w:rPr>
          <w:rFonts w:cs="Times New Roman"/>
          <w:color w:val="131413"/>
          <w:szCs w:val="24"/>
        </w:rPr>
        <w:t>subscores</w:t>
      </w:r>
      <w:proofErr w:type="spellEnd"/>
      <w:r w:rsidRPr="00B26BC9">
        <w:rPr>
          <w:rFonts w:cs="Times New Roman"/>
          <w:color w:val="131413"/>
          <w:szCs w:val="24"/>
        </w:rPr>
        <w:t xml:space="preserve"> (α = 0.86;</w:t>
      </w:r>
      <w:r w:rsidRPr="00B26BC9">
        <w:rPr>
          <w:rFonts w:cs="Times New Roman"/>
          <w:szCs w:val="24"/>
        </w:rPr>
        <w:t xml:space="preserve"> </w:t>
      </w:r>
      <w:r w:rsidRPr="00B26BC9">
        <w:rPr>
          <w:rFonts w:cs="Times New Roman"/>
          <w:color w:val="131413"/>
          <w:szCs w:val="24"/>
        </w:rPr>
        <w:t xml:space="preserve">α = 0.73 to 0.86), with good retest reliability </w:t>
      </w:r>
      <w:r w:rsidRPr="00B26BC9">
        <w:rPr>
          <w:rFonts w:cs="Times New Roman"/>
          <w:color w:val="131413"/>
          <w:szCs w:val="24"/>
        </w:rPr>
        <w:fldChar w:fldCharType="begin"/>
      </w:r>
      <w:r>
        <w:rPr>
          <w:rFonts w:cs="Times New Roman"/>
          <w:color w:val="131413"/>
          <w:szCs w:val="24"/>
        </w:rPr>
        <w:instrText xml:space="preserve"> ADDIN EN.CITE &lt;EndNote&gt;&lt;Cite&gt;&lt;Author&gt;Kaufman&lt;/Author&gt;&lt;Year&gt;2019&lt;/Year&gt;&lt;RecNum&gt;22199&lt;/RecNum&gt;&lt;DisplayText&gt;(3)&lt;/DisplayText&gt;&lt;record&gt;&lt;rec-number&gt;22199&lt;/rec-number&gt;&lt;foreign-keys&gt;&lt;key app="EN" db-id="vvarfetvye59dee5sp250wfd2wve2sepftre" timestamp="1706952107"&gt;22199&lt;/key&gt;&lt;/foreign-keys&gt;&lt;ref-type name="Journal Article"&gt;17&lt;/ref-type&gt;&lt;contributors&gt;&lt;authors&gt;&lt;author&gt;Kaufman, Erin A.&lt;/author&gt;&lt;author&gt;Puzia, Megan E.&lt;/author&gt;&lt;author&gt;Crowell, Sheila E.&lt;/author&gt;&lt;author&gt;Price, Cynthia J.&lt;/author&gt;&lt;/authors&gt;&lt;/contributors&gt;&lt;titles&gt;&lt;title&gt;Replication of the Self-Concept and Identity Measure (SCIM) Among a Treatment-Seeking Sample&lt;/title&gt;&lt;secondary-title&gt;Identity (Mahwah, N.J.)&lt;/secondary-title&gt;&lt;/titles&gt;&lt;periodical&gt;&lt;full-title&gt;Identity (Mahwah, N.J.)&lt;/full-title&gt;&lt;/periodical&gt;&lt;pages&gt;18-28&lt;/pages&gt;&lt;volume&gt;19&lt;/volume&gt;&lt;number&gt;1&lt;/number&gt;&lt;keywords&gt;&lt;keyword&gt;assessment&lt;/keyword&gt;&lt;keyword&gt;chemical dependence&lt;/keyword&gt;&lt;keyword&gt;emotion dysregulation&lt;/keyword&gt;&lt;keyword&gt;factor analysis&lt;/keyword&gt;&lt;keyword&gt;Identity&lt;/keyword&gt;&lt;keyword&gt;Identity disturbance&lt;/keyword&gt;&lt;keyword&gt;Psychiatry&lt;/keyword&gt;&lt;keyword&gt;Psychological distress&lt;/keyword&gt;&lt;keyword&gt;psychopathology&lt;/keyword&gt;&lt;keyword&gt;Scores&lt;/keyword&gt;&lt;keyword&gt;Self concept&lt;/keyword&gt;&lt;keyword&gt;substance use disorders&lt;/keyword&gt;&lt;/keywords&gt;&lt;dates&gt;&lt;year&gt;2019&lt;/year&gt;&lt;/dates&gt;&lt;pub-location&gt;United States&lt;/pub-location&gt;&lt;publisher&gt;Routledge&lt;/publisher&gt;&lt;isbn&gt;1528-3488&lt;/isbn&gt;&lt;urls&gt;&lt;/urls&gt;&lt;electronic-resource-num&gt;10.1080/15283488.2019.1566068&lt;/electronic-resource-num&gt;&lt;/record&gt;&lt;/Cite&gt;&lt;/EndNote&gt;</w:instrText>
      </w:r>
      <w:r w:rsidRPr="00B26BC9">
        <w:rPr>
          <w:rFonts w:cs="Times New Roman"/>
          <w:color w:val="131413"/>
          <w:szCs w:val="24"/>
        </w:rPr>
        <w:fldChar w:fldCharType="separate"/>
      </w:r>
      <w:r>
        <w:rPr>
          <w:rFonts w:cs="Times New Roman"/>
          <w:noProof/>
          <w:color w:val="131413"/>
          <w:szCs w:val="24"/>
        </w:rPr>
        <w:t>(3)</w:t>
      </w:r>
      <w:r w:rsidRPr="00B26BC9">
        <w:rPr>
          <w:rFonts w:cs="Times New Roman"/>
          <w:color w:val="131413"/>
          <w:szCs w:val="24"/>
        </w:rPr>
        <w:fldChar w:fldCharType="end"/>
      </w:r>
      <w:r w:rsidRPr="00B26BC9">
        <w:rPr>
          <w:rFonts w:cs="Times New Roman"/>
          <w:color w:val="131413"/>
          <w:szCs w:val="24"/>
        </w:rPr>
        <w:t xml:space="preserve">. From a seven-point agreement scale, a higher total score (out of a possible 189) correlates with greater identity disturbance and psychopathology </w:t>
      </w:r>
      <w:r w:rsidRPr="00B26BC9">
        <w:rPr>
          <w:rFonts w:cs="Times New Roman"/>
          <w:color w:val="131413"/>
          <w:szCs w:val="24"/>
        </w:rPr>
        <w:fldChar w:fldCharType="begin">
          <w:fldData xml:space="preserve">PEVuZE5vdGU+PENpdGU+PEF1dGhvcj5LYXVmbWFuPC9BdXRob3I+PFllYXI+MjAxOTwvWWVhcj48
UmVjTnVtPjIyMTk5PC9SZWNOdW0+PERpc3BsYXlUZXh0PigzLCA0KTwvRGlzcGxheVRleHQ+PHJl
Y29yZD48cmVjLW51bWJlcj4yMjE5OTwvcmVjLW51bWJlcj48Zm9yZWlnbi1rZXlzPjxrZXkgYXBw
PSJFTiIgZGItaWQ9InZ2YXJmZXR2eWU1OWRlZTVzcDI1MHdmZDJ3dmUyc2VwZnRyZSIgdGltZXN0
YW1wPSIxNzA2OTUyMTA3Ij4yMjE5OTwva2V5PjwvZm9yZWlnbi1rZXlzPjxyZWYtdHlwZSBuYW1l
PSJKb3VybmFsIEFydGljbGUiPjE3PC9yZWYtdHlwZT48Y29udHJpYnV0b3JzPjxhdXRob3JzPjxh
dXRob3I+S2F1Zm1hbiwgRXJpbiBBLjwvYXV0aG9yPjxhdXRob3I+UHV6aWEsIE1lZ2FuIEUuPC9h
dXRob3I+PGF1dGhvcj5Dcm93ZWxsLCBTaGVpbGEgRS48L2F1dGhvcj48YXV0aG9yPlByaWNlLCBD
eW50aGlhIEouPC9hdXRob3I+PC9hdXRob3JzPjwvY29udHJpYnV0b3JzPjx0aXRsZXM+PHRpdGxl
PlJlcGxpY2F0aW9uIG9mIHRoZSBTZWxmLUNvbmNlcHQgYW5kIElkZW50aXR5IE1lYXN1cmUgKFND
SU0pIEFtb25nIGEgVHJlYXRtZW50LVNlZWtpbmcgU2FtcGxlPC90aXRsZT48c2Vjb25kYXJ5LXRp
dGxlPklkZW50aXR5IChNYWh3YWgsIE4uSi4pPC9zZWNvbmRhcnktdGl0bGU+PC90aXRsZXM+PHBl
cmlvZGljYWw+PGZ1bGwtdGl0bGU+SWRlbnRpdHkgKE1haHdhaCwgTi5KLik8L2Z1bGwtdGl0bGU+
PC9wZXJpb2RpY2FsPjxwYWdlcz4xOC0yODwvcGFnZXM+PHZvbHVtZT4xOTwvdm9sdW1lPjxudW1i
ZXI+MTwvbnVtYmVyPjxrZXl3b3Jkcz48a2V5d29yZD5hc3Nlc3NtZW50PC9rZXl3b3JkPjxrZXl3
b3JkPmNoZW1pY2FsIGRlcGVuZGVuY2U8L2tleXdvcmQ+PGtleXdvcmQ+ZW1vdGlvbiBkeXNyZWd1
bGF0aW9uPC9rZXl3b3JkPjxrZXl3b3JkPmZhY3RvciBhbmFseXNpczwva2V5d29yZD48a2V5d29y
ZD5JZGVudGl0eTwva2V5d29yZD48a2V5d29yZD5JZGVudGl0eSBkaXN0dXJiYW5jZTwva2V5d29y
ZD48a2V5d29yZD5Qc3ljaGlhdHJ5PC9rZXl3b3JkPjxrZXl3b3JkPlBzeWNob2xvZ2ljYWwgZGlz
dHJlc3M8L2tleXdvcmQ+PGtleXdvcmQ+cHN5Y2hvcGF0aG9sb2d5PC9rZXl3b3JkPjxrZXl3b3Jk
PlNjb3Jlczwva2V5d29yZD48a2V5d29yZD5TZWxmIGNvbmNlcHQ8L2tleXdvcmQ+PGtleXdvcmQ+
c3Vic3RhbmNlIHVzZSBkaXNvcmRlcnM8L2tleXdvcmQ+PC9rZXl3b3Jkcz48ZGF0ZXM+PHllYXI+
MjAxOTwveWVhcj48L2RhdGVzPjxwdWItbG9jYXRpb24+VW5pdGVkIFN0YXRlczwvcHViLWxvY2F0
aW9uPjxwdWJsaXNoZXI+Um91dGxlZGdlPC9wdWJsaXNoZXI+PGlzYm4+MTUyOC0zNDg4PC9pc2Ju
Pjx1cmxzPjwvdXJscz48ZWxlY3Ryb25pYy1yZXNvdXJjZS1udW0+MTAuMTA4MC8xNTI4MzQ4OC4y
MDE5LjE1NjYwNjg8L2VsZWN0cm9uaWMtcmVzb3VyY2UtbnVtPjwvcmVjb3JkPjwvQ2l0ZT48Q2l0
ZT48QXV0aG9yPkJvZ2FlcnRzPC9BdXRob3I+PFllYXI+MjAxODwvWWVhcj48UmVjTnVtPjIyMjA2
PC9SZWNOdW0+PHJlY29yZD48cmVjLW51bWJlcj4yMjIwNjwvcmVjLW51bWJlcj48Zm9yZWlnbi1r
ZXlzPjxrZXkgYXBwPSJFTiIgZGItaWQ9InZ2YXJmZXR2eWU1OWRlZTVzcDI1MHdmZDJ3dmUyc2Vw
ZnRyZSIgdGltZXN0YW1wPSIxNzA3MzcwOTMyIj4yMjIwNjwva2V5PjwvZm9yZWlnbi1rZXlzPjxy
ZWYtdHlwZSBuYW1lPSJKb3VybmFsIEFydGljbGUiPjE3PC9yZWYtdHlwZT48Y29udHJpYnV0b3Jz
PjxhdXRob3JzPjxhdXRob3I+Qm9nYWVydHMsIEFubmFiZWw8L2F1dGhvcj48YXV0aG9yPkNsYWVz
LCBMYXVyZW5jZTwvYXV0aG9yPjxhdXRob3I+VmVyc2NodWVyZW4sIE1hcmdhdXg8L2F1dGhvcj48
YXV0aG9yPkJhc3RpYWVucywgVGltPC9hdXRob3I+PGF1dGhvcj5LYXVmbWFuLCBFcmluIEEuPC9h
dXRob3I+PGF1dGhvcj5TbWl0cywgRGlyazwvYXV0aG9yPjxhdXRob3I+THV5Y2t4LCBLb2VuPC9h
dXRob3I+PC9hdXRob3JzPjwvY29udHJpYnV0b3JzPjx0aXRsZXM+PHRpdGxlPlRoZSBEdXRjaCBT
ZWxmLUNvbmNlcHQgYW5kIElkZW50aXR5IE1lYXN1cmUgKFNDSU0pOiBGYWN0b3Igc3RydWN0dXJl
IGFuZCBhc3NvY2lhdGlvbnMgd2l0aCBpZGVudGl0eSBkaW1lbnNpb25zIGFuZCBwc3ljaG9wYXRo
b2xvZ3k8L3RpdGxlPjxzZWNvbmRhcnktdGl0bGU+UGVyc29uYWxpdHkgYW5kIEluZGl2aWR1YWwg
RGlmZmVyZW5jZXM8L3NlY29uZGFyeS10aXRsZT48L3RpdGxlcz48cGVyaW9kaWNhbD48ZnVsbC10
aXRsZT5QZXJzb25hbGl0eSBhbmQgSW5kaXZpZHVhbCBEaWZmZXJlbmNlczwvZnVsbC10aXRsZT48
L3BlcmlvZGljYWw+PHBhZ2VzPjU2LTY0PC9wYWdlcz48dm9sdW1lPjEyMzwvdm9sdW1lPjxrZXl3
b3Jkcz48a2V5d29yZD5JZGVudGl0eSBmb3JtYXRpb248L2tleXdvcmQ+PGtleXdvcmQ+RmFjdG9y
IHN0cnVjdHVyZTwva2V5d29yZD48a2V5d29yZD5FeHBsb3JhdGlvbjwva2V5d29yZD48a2V5d29y
ZD5Db21taXRtZW50PC9rZXl3b3JkPjxrZXl3b3JkPkNsaW5pY2FsIGlkZW50aXR5IGRpc3R1cmJh
bmNlPC9rZXl3b3JkPjxrZXl3b3JkPkRlcHJlc3Npb248L2tleXdvcmQ+PGtleXdvcmQ+QW54aWV0
eTwva2V5d29yZD48a2V5d29yZD5Cb3JkZXJsaW5lIFBlcnNvbmFsaXR5IERpc29yZGVyPC9rZXl3
b3JkPjwva2V5d29yZHM+PGRhdGVzPjx5ZWFyPjIwMTg8L3llYXI+PHB1Yi1kYXRlcz48ZGF0ZT4y
MDE4LzAzLzAxLzwvZGF0ZT48L3B1Yi1kYXRlcz48L2RhdGVzPjxpc2JuPjAxOTEtODg2OTwvaXNi
bj48dXJscz48cmVsYXRlZC11cmxzPjx1cmw+aHR0cHM6Ly93d3cuc2NpZW5jZWRpcmVjdC5jb20v
c2NpZW5jZS9hcnRpY2xlL3BpaS9TMDE5MTg4NjkxNzMwNjYyMTwvdXJsPjwvcmVsYXRlZC11cmxz
PjwvdXJscz48ZWxlY3Ryb25pYy1yZXNvdXJjZS1udW0+aHR0cHM6Ly9kb2kub3JnLzEwLjEwMTYv
ai5wYWlkLjIwMTcuMTEuMDA3PC9lbGVjdHJvbmljLXJlc291cmNlLW51bT48L3JlY29yZD48L0Np
dGU+PC9FbmROb3RlPn==
</w:fldData>
        </w:fldChar>
      </w:r>
      <w:r>
        <w:rPr>
          <w:rFonts w:cs="Times New Roman"/>
          <w:color w:val="131413"/>
          <w:szCs w:val="24"/>
        </w:rPr>
        <w:instrText xml:space="preserve"> ADDIN EN.CITE </w:instrText>
      </w:r>
      <w:r>
        <w:rPr>
          <w:rFonts w:cs="Times New Roman"/>
          <w:color w:val="131413"/>
          <w:szCs w:val="24"/>
        </w:rPr>
        <w:fldChar w:fldCharType="begin">
          <w:fldData xml:space="preserve">PEVuZE5vdGU+PENpdGU+PEF1dGhvcj5LYXVmbWFuPC9BdXRob3I+PFllYXI+MjAxOTwvWWVhcj48
UmVjTnVtPjIyMTk5PC9SZWNOdW0+PERpc3BsYXlUZXh0PigzLCA0KTwvRGlzcGxheVRleHQ+PHJl
Y29yZD48cmVjLW51bWJlcj4yMjE5OTwvcmVjLW51bWJlcj48Zm9yZWlnbi1rZXlzPjxrZXkgYXBw
PSJFTiIgZGItaWQ9InZ2YXJmZXR2eWU1OWRlZTVzcDI1MHdmZDJ3dmUyc2VwZnRyZSIgdGltZXN0
YW1wPSIxNzA2OTUyMTA3Ij4yMjE5OTwva2V5PjwvZm9yZWlnbi1rZXlzPjxyZWYtdHlwZSBuYW1l
PSJKb3VybmFsIEFydGljbGUiPjE3PC9yZWYtdHlwZT48Y29udHJpYnV0b3JzPjxhdXRob3JzPjxh
dXRob3I+S2F1Zm1hbiwgRXJpbiBBLjwvYXV0aG9yPjxhdXRob3I+UHV6aWEsIE1lZ2FuIEUuPC9h
dXRob3I+PGF1dGhvcj5Dcm93ZWxsLCBTaGVpbGEgRS48L2F1dGhvcj48YXV0aG9yPlByaWNlLCBD
eW50aGlhIEouPC9hdXRob3I+PC9hdXRob3JzPjwvY29udHJpYnV0b3JzPjx0aXRsZXM+PHRpdGxl
PlJlcGxpY2F0aW9uIG9mIHRoZSBTZWxmLUNvbmNlcHQgYW5kIElkZW50aXR5IE1lYXN1cmUgKFND
SU0pIEFtb25nIGEgVHJlYXRtZW50LVNlZWtpbmcgU2FtcGxlPC90aXRsZT48c2Vjb25kYXJ5LXRp
dGxlPklkZW50aXR5IChNYWh3YWgsIE4uSi4pPC9zZWNvbmRhcnktdGl0bGU+PC90aXRsZXM+PHBl
cmlvZGljYWw+PGZ1bGwtdGl0bGU+SWRlbnRpdHkgKE1haHdhaCwgTi5KLik8L2Z1bGwtdGl0bGU+
PC9wZXJpb2RpY2FsPjxwYWdlcz4xOC0yODwvcGFnZXM+PHZvbHVtZT4xOTwvdm9sdW1lPjxudW1i
ZXI+MTwvbnVtYmVyPjxrZXl3b3Jkcz48a2V5d29yZD5hc3Nlc3NtZW50PC9rZXl3b3JkPjxrZXl3
b3JkPmNoZW1pY2FsIGRlcGVuZGVuY2U8L2tleXdvcmQ+PGtleXdvcmQ+ZW1vdGlvbiBkeXNyZWd1
bGF0aW9uPC9rZXl3b3JkPjxrZXl3b3JkPmZhY3RvciBhbmFseXNpczwva2V5d29yZD48a2V5d29y
ZD5JZGVudGl0eTwva2V5d29yZD48a2V5d29yZD5JZGVudGl0eSBkaXN0dXJiYW5jZTwva2V5d29y
ZD48a2V5d29yZD5Qc3ljaGlhdHJ5PC9rZXl3b3JkPjxrZXl3b3JkPlBzeWNob2xvZ2ljYWwgZGlz
dHJlc3M8L2tleXdvcmQ+PGtleXdvcmQ+cHN5Y2hvcGF0aG9sb2d5PC9rZXl3b3JkPjxrZXl3b3Jk
PlNjb3Jlczwva2V5d29yZD48a2V5d29yZD5TZWxmIGNvbmNlcHQ8L2tleXdvcmQ+PGtleXdvcmQ+
c3Vic3RhbmNlIHVzZSBkaXNvcmRlcnM8L2tleXdvcmQ+PC9rZXl3b3Jkcz48ZGF0ZXM+PHllYXI+
MjAxOTwveWVhcj48L2RhdGVzPjxwdWItbG9jYXRpb24+VW5pdGVkIFN0YXRlczwvcHViLWxvY2F0
aW9uPjxwdWJsaXNoZXI+Um91dGxlZGdlPC9wdWJsaXNoZXI+PGlzYm4+MTUyOC0zNDg4PC9pc2Ju
Pjx1cmxzPjwvdXJscz48ZWxlY3Ryb25pYy1yZXNvdXJjZS1udW0+MTAuMTA4MC8xNTI4MzQ4OC4y
MDE5LjE1NjYwNjg8L2VsZWN0cm9uaWMtcmVzb3VyY2UtbnVtPjwvcmVjb3JkPjwvQ2l0ZT48Q2l0
ZT48QXV0aG9yPkJvZ2FlcnRzPC9BdXRob3I+PFllYXI+MjAxODwvWWVhcj48UmVjTnVtPjIyMjA2
PC9SZWNOdW0+PHJlY29yZD48cmVjLW51bWJlcj4yMjIwNjwvcmVjLW51bWJlcj48Zm9yZWlnbi1r
ZXlzPjxrZXkgYXBwPSJFTiIgZGItaWQ9InZ2YXJmZXR2eWU1OWRlZTVzcDI1MHdmZDJ3dmUyc2Vw
ZnRyZSIgdGltZXN0YW1wPSIxNzA3MzcwOTMyIj4yMjIwNjwva2V5PjwvZm9yZWlnbi1rZXlzPjxy
ZWYtdHlwZSBuYW1lPSJKb3VybmFsIEFydGljbGUiPjE3PC9yZWYtdHlwZT48Y29udHJpYnV0b3Jz
PjxhdXRob3JzPjxhdXRob3I+Qm9nYWVydHMsIEFubmFiZWw8L2F1dGhvcj48YXV0aG9yPkNsYWVz
LCBMYXVyZW5jZTwvYXV0aG9yPjxhdXRob3I+VmVyc2NodWVyZW4sIE1hcmdhdXg8L2F1dGhvcj48
YXV0aG9yPkJhc3RpYWVucywgVGltPC9hdXRob3I+PGF1dGhvcj5LYXVmbWFuLCBFcmluIEEuPC9h
dXRob3I+PGF1dGhvcj5TbWl0cywgRGlyazwvYXV0aG9yPjxhdXRob3I+THV5Y2t4LCBLb2VuPC9h
dXRob3I+PC9hdXRob3JzPjwvY29udHJpYnV0b3JzPjx0aXRsZXM+PHRpdGxlPlRoZSBEdXRjaCBT
ZWxmLUNvbmNlcHQgYW5kIElkZW50aXR5IE1lYXN1cmUgKFNDSU0pOiBGYWN0b3Igc3RydWN0dXJl
IGFuZCBhc3NvY2lhdGlvbnMgd2l0aCBpZGVudGl0eSBkaW1lbnNpb25zIGFuZCBwc3ljaG9wYXRo
b2xvZ3k8L3RpdGxlPjxzZWNvbmRhcnktdGl0bGU+UGVyc29uYWxpdHkgYW5kIEluZGl2aWR1YWwg
RGlmZmVyZW5jZXM8L3NlY29uZGFyeS10aXRsZT48L3RpdGxlcz48cGVyaW9kaWNhbD48ZnVsbC10
aXRsZT5QZXJzb25hbGl0eSBhbmQgSW5kaXZpZHVhbCBEaWZmZXJlbmNlczwvZnVsbC10aXRsZT48
L3BlcmlvZGljYWw+PHBhZ2VzPjU2LTY0PC9wYWdlcz48dm9sdW1lPjEyMzwvdm9sdW1lPjxrZXl3
b3Jkcz48a2V5d29yZD5JZGVudGl0eSBmb3JtYXRpb248L2tleXdvcmQ+PGtleXdvcmQ+RmFjdG9y
IHN0cnVjdHVyZTwva2V5d29yZD48a2V5d29yZD5FeHBsb3JhdGlvbjwva2V5d29yZD48a2V5d29y
ZD5Db21taXRtZW50PC9rZXl3b3JkPjxrZXl3b3JkPkNsaW5pY2FsIGlkZW50aXR5IGRpc3R1cmJh
bmNlPC9rZXl3b3JkPjxrZXl3b3JkPkRlcHJlc3Npb248L2tleXdvcmQ+PGtleXdvcmQ+QW54aWV0
eTwva2V5d29yZD48a2V5d29yZD5Cb3JkZXJsaW5lIFBlcnNvbmFsaXR5IERpc29yZGVyPC9rZXl3
b3JkPjwva2V5d29yZHM+PGRhdGVzPjx5ZWFyPjIwMTg8L3llYXI+PHB1Yi1kYXRlcz48ZGF0ZT4y
MDE4LzAzLzAxLzwvZGF0ZT48L3B1Yi1kYXRlcz48L2RhdGVzPjxpc2JuPjAxOTEtODg2OTwvaXNi
bj48dXJscz48cmVsYXRlZC11cmxzPjx1cmw+aHR0cHM6Ly93d3cuc2NpZW5jZWRpcmVjdC5jb20v
c2NpZW5jZS9hcnRpY2xlL3BpaS9TMDE5MTg4NjkxNzMwNjYyMTwvdXJsPjwvcmVsYXRlZC11cmxz
PjwvdXJscz48ZWxlY3Ryb25pYy1yZXNvdXJjZS1udW0+aHR0cHM6Ly9kb2kub3JnLzEwLjEwMTYv
ai5wYWlkLjIwMTcuMTEuMDA3PC9lbGVjdHJvbmljLXJlc291cmNlLW51bT48L3JlY29yZD48L0Np
dGU+PC9FbmROb3RlPn==
</w:fldData>
        </w:fldChar>
      </w:r>
      <w:r>
        <w:rPr>
          <w:rFonts w:cs="Times New Roman"/>
          <w:color w:val="131413"/>
          <w:szCs w:val="24"/>
        </w:rPr>
        <w:instrText xml:space="preserve"> ADDIN EN.CITE.DATA </w:instrText>
      </w:r>
      <w:r>
        <w:rPr>
          <w:rFonts w:cs="Times New Roman"/>
          <w:color w:val="131413"/>
          <w:szCs w:val="24"/>
        </w:rPr>
      </w:r>
      <w:r>
        <w:rPr>
          <w:rFonts w:cs="Times New Roman"/>
          <w:color w:val="131413"/>
          <w:szCs w:val="24"/>
        </w:rPr>
        <w:fldChar w:fldCharType="end"/>
      </w:r>
      <w:r w:rsidRPr="00B26BC9">
        <w:rPr>
          <w:rFonts w:cs="Times New Roman"/>
          <w:color w:val="131413"/>
          <w:szCs w:val="24"/>
        </w:rPr>
      </w:r>
      <w:r w:rsidRPr="00B26BC9">
        <w:rPr>
          <w:rFonts w:cs="Times New Roman"/>
          <w:color w:val="131413"/>
          <w:szCs w:val="24"/>
        </w:rPr>
        <w:fldChar w:fldCharType="separate"/>
      </w:r>
      <w:r>
        <w:rPr>
          <w:rFonts w:cs="Times New Roman"/>
          <w:noProof/>
          <w:color w:val="131413"/>
          <w:szCs w:val="24"/>
        </w:rPr>
        <w:t>(3, 4)</w:t>
      </w:r>
      <w:r w:rsidRPr="00B26BC9">
        <w:rPr>
          <w:rFonts w:cs="Times New Roman"/>
          <w:color w:val="131413"/>
          <w:szCs w:val="24"/>
        </w:rPr>
        <w:fldChar w:fldCharType="end"/>
      </w:r>
      <w:r w:rsidRPr="00B26BC9">
        <w:rPr>
          <w:rFonts w:cs="Times New Roman"/>
          <w:color w:val="131413"/>
          <w:szCs w:val="24"/>
        </w:rPr>
        <w:t xml:space="preserve">. For this research, we chose to study composite scores of </w:t>
      </w:r>
      <w:r w:rsidRPr="00B26BC9">
        <w:rPr>
          <w:rFonts w:cs="Times New Roman"/>
          <w:color w:val="131413"/>
          <w:szCs w:val="24"/>
          <w:highlight w:val="yellow"/>
        </w:rPr>
        <w:t>identity disturbance</w:t>
      </w:r>
      <w:r w:rsidRPr="00B26BC9">
        <w:rPr>
          <w:rFonts w:cs="Times New Roman"/>
          <w:color w:val="131413"/>
          <w:szCs w:val="24"/>
        </w:rPr>
        <w:t xml:space="preserve"> only. </w:t>
      </w:r>
      <w:r w:rsidRPr="00B26BC9">
        <w:rPr>
          <w:rFonts w:cs="Times New Roman"/>
          <w:szCs w:val="24"/>
        </w:rPr>
        <w:t xml:space="preserve">A total SCIM score of 91.49 (26.58) has been reported in a sample of 74 women (mean </w:t>
      </w:r>
      <w:r w:rsidRPr="00B26BC9">
        <w:rPr>
          <w:rFonts w:cs="Times New Roman"/>
          <w:kern w:val="0"/>
          <w:szCs w:val="24"/>
          <w14:ligatures w14:val="none"/>
        </w:rPr>
        <w:t>age 28.26 years) with a current AN diagnosis of unspecified duration</w:t>
      </w:r>
      <w:r w:rsidRPr="00B26BC9">
        <w:rPr>
          <w:rFonts w:cs="Times New Roman"/>
          <w:kern w:val="0"/>
          <w:szCs w:val="24"/>
          <w14:ligatures w14:val="none"/>
        </w:rPr>
        <w:fldChar w:fldCharType="begin"/>
      </w:r>
      <w:r>
        <w:rPr>
          <w:rFonts w:cs="Times New Roman"/>
          <w:kern w:val="0"/>
          <w:szCs w:val="24"/>
          <w14:ligatures w14:val="none"/>
        </w:rPr>
        <w:instrText xml:space="preserve"> ADDIN EN.CITE &lt;EndNote&gt;&lt;Cite&gt;&lt;Author&gt;Croce&lt;/Author&gt;&lt;Year&gt;2024&lt;/Year&gt;&lt;RecNum&gt;22389&lt;/RecNum&gt;&lt;DisplayText&gt;(5)&lt;/DisplayText&gt;&lt;record&gt;&lt;rec-number&gt;22389&lt;/rec-number&gt;&lt;foreign-keys&gt;&lt;key app="EN" db-id="vvarfetvye59dee5sp250wfd2wve2sepftre" timestamp="1737018964"&gt;22389&lt;/key&gt;&lt;/foreign-keys&gt;&lt;ref-type name="Journal Article"&gt;17&lt;/ref-type&gt;&lt;contributors&gt;&lt;authors&gt;&lt;author&gt;Croce, Scarlett R.&lt;/author&gt;&lt;author&gt;Malcolm, Amy C.&lt;/author&gt;&lt;author&gt;Ralph‐Nearman, Christina&lt;/author&gt;&lt;author&gt;Phillipou, Andrea&lt;/author&gt;&lt;/authors&gt;&lt;/contributors&gt;&lt;titles&gt;&lt;title&gt;Examining Identity Functioning in Anorexia Nervosa Across Illness and Recovery Stages&lt;/title&gt;&lt;secondary-title&gt;The International journal of eating disorders&lt;/secondary-title&gt;&lt;/titles&gt;&lt;periodical&gt;&lt;full-title&gt;The International journal of eating disorders&lt;/full-title&gt;&lt;/periodical&gt;&lt;pages&gt;1959-1968&lt;/pages&gt;&lt;volume&gt;57&lt;/volume&gt;&lt;number&gt;9&lt;/number&gt;&lt;keywords&gt;&lt;keyword&gt;Anorexia&lt;/keyword&gt;&lt;keyword&gt;Anorexia nervosa&lt;/keyword&gt;&lt;/keywords&gt;&lt;dates&gt;&lt;year&gt;2024&lt;/year&gt;&lt;/dates&gt;&lt;pub-location&gt;Hoboken, USA&lt;/pub-location&gt;&lt;publisher&gt;John Wiley &amp;amp; Sons, Inc&lt;/publisher&gt;&lt;isbn&gt;0276-3478&lt;/isbn&gt;&lt;urls&gt;&lt;/urls&gt;&lt;electronic-resource-num&gt;10.1002/eat.24247&lt;/electronic-resource-num&gt;&lt;/record&gt;&lt;/Cite&gt;&lt;/EndNote&gt;</w:instrText>
      </w:r>
      <w:r w:rsidRPr="00B26BC9">
        <w:rPr>
          <w:rFonts w:cs="Times New Roman"/>
          <w:kern w:val="0"/>
          <w:szCs w:val="24"/>
          <w14:ligatures w14:val="none"/>
        </w:rPr>
        <w:fldChar w:fldCharType="separate"/>
      </w:r>
      <w:r>
        <w:rPr>
          <w:rFonts w:cs="Times New Roman"/>
          <w:noProof/>
          <w:kern w:val="0"/>
          <w:szCs w:val="24"/>
          <w14:ligatures w14:val="none"/>
        </w:rPr>
        <w:t>(5)</w:t>
      </w:r>
      <w:r w:rsidRPr="00B26BC9">
        <w:rPr>
          <w:rFonts w:cs="Times New Roman"/>
          <w:kern w:val="0"/>
          <w:szCs w:val="24"/>
          <w14:ligatures w14:val="none"/>
        </w:rPr>
        <w:fldChar w:fldCharType="end"/>
      </w:r>
      <w:r w:rsidRPr="00B26BC9">
        <w:rPr>
          <w:rFonts w:cs="Times New Roman"/>
          <w:kern w:val="0"/>
          <w:szCs w:val="24"/>
          <w14:ligatures w14:val="none"/>
        </w:rPr>
        <w:t>.</w:t>
      </w:r>
      <w:r w:rsidRPr="00B26BC9">
        <w:rPr>
          <w:rFonts w:cs="Times New Roman"/>
          <w:szCs w:val="24"/>
        </w:rPr>
        <w:t xml:space="preserve"> A clinical sample of 216 female (median age 35) treatment-seekers for substance misuse with comorbid depression, PTSD, and eating disorders </w:t>
      </w:r>
      <w:r w:rsidRPr="00B26BC9">
        <w:rPr>
          <w:rFonts w:cs="Times New Roman"/>
          <w:szCs w:val="24"/>
        </w:rPr>
        <w:fldChar w:fldCharType="begin"/>
      </w:r>
      <w:r>
        <w:rPr>
          <w:rFonts w:cs="Times New Roman"/>
          <w:szCs w:val="24"/>
        </w:rPr>
        <w:instrText xml:space="preserve"> ADDIN EN.CITE &lt;EndNote&gt;&lt;Cite&gt;&lt;Author&gt;Kaufman&lt;/Author&gt;&lt;Year&gt;2019&lt;/Year&gt;&lt;RecNum&gt;22199&lt;/RecNum&gt;&lt;DisplayText&gt;(3)&lt;/DisplayText&gt;&lt;record&gt;&lt;rec-number&gt;22199&lt;/rec-number&gt;&lt;foreign-keys&gt;&lt;key app="EN" db-id="vvarfetvye59dee5sp250wfd2wve2sepftre" timestamp="1706952107"&gt;22199&lt;/key&gt;&lt;/foreign-keys&gt;&lt;ref-type name="Journal Article"&gt;17&lt;/ref-type&gt;&lt;contributors&gt;&lt;authors&gt;&lt;author&gt;Kaufman, Erin A.&lt;/author&gt;&lt;author&gt;Puzia, Megan E.&lt;/author&gt;&lt;author&gt;Crowell, Sheila E.&lt;/author&gt;&lt;author&gt;Price, Cynthia J.&lt;/author&gt;&lt;/authors&gt;&lt;/contributors&gt;&lt;titles&gt;&lt;title&gt;Replication of the Self-Concept and Identity Measure (SCIM) Among a Treatment-Seeking Sample&lt;/title&gt;&lt;secondary-title&gt;Identity (Mahwah, N.J.)&lt;/secondary-title&gt;&lt;/titles&gt;&lt;periodical&gt;&lt;full-title&gt;Identity (Mahwah, N.J.)&lt;/full-title&gt;&lt;/periodical&gt;&lt;pages&gt;18-28&lt;/pages&gt;&lt;volume&gt;19&lt;/volume&gt;&lt;number&gt;1&lt;/number&gt;&lt;keywords&gt;&lt;keyword&gt;assessment&lt;/keyword&gt;&lt;keyword&gt;chemical dependence&lt;/keyword&gt;&lt;keyword&gt;emotion dysregulation&lt;/keyword&gt;&lt;keyword&gt;factor analysis&lt;/keyword&gt;&lt;keyword&gt;Identity&lt;/keyword&gt;&lt;keyword&gt;Identity disturbance&lt;/keyword&gt;&lt;keyword&gt;Psychiatry&lt;/keyword&gt;&lt;keyword&gt;Psychological distress&lt;/keyword&gt;&lt;keyword&gt;psychopathology&lt;/keyword&gt;&lt;keyword&gt;Scores&lt;/keyword&gt;&lt;keyword&gt;Self concept&lt;/keyword&gt;&lt;keyword&gt;substance use disorders&lt;/keyword&gt;&lt;/keywords&gt;&lt;dates&gt;&lt;year&gt;2019&lt;/year&gt;&lt;/dates&gt;&lt;pub-location&gt;United States&lt;/pub-location&gt;&lt;publisher&gt;Routledge&lt;/publisher&gt;&lt;isbn&gt;1528-3488&lt;/isbn&gt;&lt;urls&gt;&lt;/urls&gt;&lt;electronic-resource-num&gt;10.1080/15283488.2019.1566068&lt;/electronic-resource-num&gt;&lt;/record&gt;&lt;/Cite&gt;&lt;/EndNote&gt;</w:instrText>
      </w:r>
      <w:r w:rsidRPr="00B26BC9">
        <w:rPr>
          <w:rFonts w:cs="Times New Roman"/>
          <w:szCs w:val="24"/>
        </w:rPr>
        <w:fldChar w:fldCharType="separate"/>
      </w:r>
      <w:r>
        <w:rPr>
          <w:rFonts w:cs="Times New Roman"/>
          <w:noProof/>
          <w:szCs w:val="24"/>
        </w:rPr>
        <w:t>(3)</w:t>
      </w:r>
      <w:r w:rsidRPr="00B26BC9">
        <w:rPr>
          <w:rFonts w:cs="Times New Roman"/>
          <w:szCs w:val="24"/>
        </w:rPr>
        <w:fldChar w:fldCharType="end"/>
      </w:r>
      <w:r w:rsidRPr="00B26BC9">
        <w:rPr>
          <w:rFonts w:cs="Times New Roman"/>
          <w:szCs w:val="24"/>
        </w:rPr>
        <w:t xml:space="preserve"> had comparatively lower total average scores of 74.80 (19.85). The internal consistency of the measure for the present sample was Cronbach’s </w:t>
      </w:r>
      <w:r w:rsidRPr="00B26BC9">
        <w:rPr>
          <w:rFonts w:cs="Times New Roman"/>
          <w:color w:val="111111"/>
          <w:szCs w:val="24"/>
          <w:shd w:val="clear" w:color="auto" w:fill="FFFFFF"/>
        </w:rPr>
        <w:t>α</w:t>
      </w:r>
      <w:r w:rsidRPr="00B26BC9">
        <w:rPr>
          <w:rFonts w:cs="Times New Roman"/>
          <w:szCs w:val="24"/>
        </w:rPr>
        <w:t xml:space="preserve"> of 0.904.</w:t>
      </w:r>
    </w:p>
    <w:p w14:paraId="45237D7E" w14:textId="77777777" w:rsidR="00F564C3" w:rsidRDefault="00F564C3" w:rsidP="00F564C3">
      <w:pPr>
        <w:autoSpaceDE w:val="0"/>
        <w:autoSpaceDN w:val="0"/>
        <w:adjustRightInd w:val="0"/>
        <w:rPr>
          <w:rFonts w:cs="Times New Roman"/>
          <w:color w:val="131413"/>
          <w:szCs w:val="24"/>
        </w:rPr>
      </w:pPr>
    </w:p>
    <w:p w14:paraId="02C908BF" w14:textId="77777777" w:rsidR="00F564C3" w:rsidRPr="00B26BC9" w:rsidRDefault="00F564C3" w:rsidP="00F564C3">
      <w:pPr>
        <w:rPr>
          <w:rFonts w:cs="Times New Roman"/>
          <w:b/>
          <w:bCs/>
          <w:szCs w:val="24"/>
          <w:lang w:val="en-US"/>
        </w:rPr>
      </w:pPr>
      <w:r w:rsidRPr="00B26BC9">
        <w:rPr>
          <w:rFonts w:cs="Times New Roman"/>
          <w:b/>
          <w:bCs/>
          <w:szCs w:val="24"/>
          <w:lang w:val="en-US"/>
        </w:rPr>
        <w:t>Health-Related Quality of Life – Short Form 12 version (SF12v2)</w:t>
      </w:r>
    </w:p>
    <w:p w14:paraId="7D9222D0" w14:textId="3AA27945" w:rsidR="00F564C3" w:rsidRPr="00F564C3" w:rsidRDefault="00F564C3" w:rsidP="00F564C3">
      <w:pPr>
        <w:autoSpaceDE w:val="0"/>
        <w:autoSpaceDN w:val="0"/>
        <w:adjustRightInd w:val="0"/>
        <w:rPr>
          <w:rFonts w:cs="Times New Roman"/>
          <w:color w:val="131413"/>
          <w:szCs w:val="24"/>
        </w:rPr>
      </w:pPr>
      <w:r>
        <w:rPr>
          <w:rFonts w:cs="Times New Roman"/>
          <w:szCs w:val="24"/>
          <w:lang w:val="en-US"/>
        </w:rPr>
        <w:t xml:space="preserve">SF12-v2 </w:t>
      </w:r>
      <w:r w:rsidRPr="00B26BC9">
        <w:rPr>
          <w:rFonts w:cs="Times New Roman"/>
          <w:szCs w:val="24"/>
          <w:lang w:val="en-US"/>
        </w:rPr>
        <w:fldChar w:fldCharType="begin"/>
      </w:r>
      <w:r>
        <w:rPr>
          <w:rFonts w:cs="Times New Roman"/>
          <w:szCs w:val="24"/>
          <w:lang w:val="en-US"/>
        </w:rPr>
        <w:instrText xml:space="preserve"> ADDIN EN.CITE &lt;EndNote&gt;&lt;Cite&gt;&lt;Author&gt;Ware&lt;/Author&gt;&lt;Year&gt;1996&lt;/Year&gt;&lt;RecNum&gt;223&lt;/RecNum&gt;&lt;DisplayText&gt;(6)&lt;/DisplayText&gt;&lt;record&gt;&lt;rec-number&gt;223&lt;/rec-number&gt;&lt;foreign-keys&gt;&lt;key app="EN" db-id="vvarfetvye59dee5sp250wfd2wve2sepftre" timestamp="1647929800"&gt;223&lt;/key&gt;&lt;/foreign-keys&gt;&lt;ref-type name="Journal Article"&gt;17&lt;/ref-type&gt;&lt;contributors&gt;&lt;authors&gt;&lt;author&gt;Ware, John E.&lt;/author&gt;&lt;author&gt;Kosinski, Mark&lt;/author&gt;&lt;author&gt;Keller, Susan D.&lt;/author&gt;&lt;/authors&gt;&lt;/contributors&gt;&lt;titles&gt;&lt;title&gt;A 12-Item Short-Form Health Survey: Construction of Scales and Preliminary Tests of Reliability and Validity&lt;/title&gt;&lt;secondary-title&gt;Medical care&lt;/secondary-title&gt;&lt;/titles&gt;&lt;periodical&gt;&lt;full-title&gt;Medical care&lt;/full-title&gt;&lt;/periodical&gt;&lt;pages&gt;220-233&lt;/pages&gt;&lt;volume&gt;34&lt;/volume&gt;&lt;number&gt;3&lt;/number&gt;&lt;keywords&gt;&lt;keyword&gt;Congestive heart failure&lt;/keyword&gt;&lt;keyword&gt;Cross-Sectional Studies&lt;/keyword&gt;&lt;keyword&gt;Health care outcome assessment&lt;/keyword&gt;&lt;keyword&gt;Health Status&lt;/keyword&gt;&lt;keyword&gt;Health Surveys&lt;/keyword&gt;&lt;keyword&gt;Humans&lt;/keyword&gt;&lt;keyword&gt;Longitudinal Studies&lt;/keyword&gt;&lt;keyword&gt;Medical conditions&lt;/keyword&gt;&lt;keyword&gt;Mental Health&lt;/keyword&gt;&lt;keyword&gt;Outcome Assessment (Health Care)&lt;/keyword&gt;&lt;keyword&gt;Physical health&lt;/keyword&gt;&lt;keyword&gt;Questionnaires&lt;/keyword&gt;&lt;keyword&gt;Regression Analysis&lt;/keyword&gt;&lt;keyword&gt;Reproducibility of Results&lt;/keyword&gt;&lt;keyword&gt;Statistical variance&lt;/keyword&gt;&lt;keyword&gt;United States - epidemiology&lt;/keyword&gt;&lt;keyword&gt;Vitality&lt;/keyword&gt;&lt;/keywords&gt;&lt;dates&gt;&lt;year&gt;1996&lt;/year&gt;&lt;/dates&gt;&lt;pub-location&gt;United States&lt;/pub-location&gt;&lt;publisher&gt;J. B. Lippincott-Raven Publishers&lt;/publisher&gt;&lt;isbn&gt;0025-7079&lt;/isbn&gt;&lt;urls&gt;&lt;/urls&gt;&lt;electronic-resource-num&gt;10.1097/00005650-199603000-00003&lt;/electronic-resource-num&gt;&lt;/record&gt;&lt;/Cite&gt;&lt;/EndNote&gt;</w:instrText>
      </w:r>
      <w:r w:rsidRPr="00B26BC9">
        <w:rPr>
          <w:rFonts w:cs="Times New Roman"/>
          <w:szCs w:val="24"/>
          <w:lang w:val="en-US"/>
        </w:rPr>
        <w:fldChar w:fldCharType="separate"/>
      </w:r>
      <w:r>
        <w:rPr>
          <w:rFonts w:cs="Times New Roman"/>
          <w:noProof/>
          <w:szCs w:val="24"/>
          <w:lang w:val="en-US"/>
        </w:rPr>
        <w:t>(6)</w:t>
      </w:r>
      <w:r w:rsidRPr="00B26BC9">
        <w:rPr>
          <w:rFonts w:cs="Times New Roman"/>
          <w:szCs w:val="24"/>
          <w:lang w:val="en-US"/>
        </w:rPr>
        <w:fldChar w:fldCharType="end"/>
      </w:r>
      <w:r>
        <w:rPr>
          <w:rFonts w:cs="Times New Roman"/>
          <w:color w:val="131413"/>
          <w:szCs w:val="24"/>
          <w:lang w:val="en-US"/>
        </w:rPr>
        <w:t xml:space="preserve"> </w:t>
      </w:r>
      <w:r w:rsidRPr="00B26BC9">
        <w:rPr>
          <w:rFonts w:cs="Times New Roman"/>
          <w:szCs w:val="24"/>
          <w:lang w:val="en-US"/>
        </w:rPr>
        <w:t xml:space="preserve">categorizes a person’s physical </w:t>
      </w:r>
      <w:r w:rsidRPr="00B26BC9">
        <w:rPr>
          <w:rFonts w:cs="Times New Roman"/>
          <w:kern w:val="0"/>
          <w:szCs w:val="24"/>
          <w:lang w:val="en-US"/>
          <w14:ligatures w14:val="none"/>
        </w:rPr>
        <w:t>component score (PCS) and mental component score (MCS) as “Same or Better,” “Below,”</w:t>
      </w:r>
      <w:r w:rsidRPr="00B26BC9">
        <w:rPr>
          <w:rFonts w:cs="Times New Roman"/>
          <w:szCs w:val="24"/>
          <w:lang w:val="en-US"/>
        </w:rPr>
        <w:t xml:space="preserve"> or “Well Below” benchmarked scores, compared to the general population (aged 18-76 years). Numerically, a lower score further from a mean of 50 indicates poorer HR-QoL. The score has demonstrated good internal consistency (Cronbach’s </w:t>
      </w:r>
      <w:r w:rsidRPr="00B26BC9">
        <w:rPr>
          <w:rFonts w:cs="Times New Roman"/>
          <w:color w:val="111111"/>
          <w:szCs w:val="24"/>
          <w:shd w:val="clear" w:color="auto" w:fill="FFFFFF"/>
        </w:rPr>
        <w:t>α</w:t>
      </w:r>
      <w:r w:rsidRPr="00B26BC9">
        <w:rPr>
          <w:rFonts w:cs="Times New Roman"/>
          <w:szCs w:val="24"/>
          <w:lang w:val="en-US"/>
        </w:rPr>
        <w:t xml:space="preserve"> PCS = 0.87 and MCS = 0.82) </w:t>
      </w:r>
      <w:r w:rsidRPr="00B26BC9">
        <w:rPr>
          <w:rFonts w:cs="Times New Roman"/>
          <w:szCs w:val="24"/>
          <w:lang w:val="en-US"/>
        </w:rPr>
        <w:fldChar w:fldCharType="begin"/>
      </w:r>
      <w:r>
        <w:rPr>
          <w:rFonts w:cs="Times New Roman"/>
          <w:szCs w:val="24"/>
          <w:lang w:val="en-US"/>
        </w:rPr>
        <w:instrText xml:space="preserve"> ADDIN EN.CITE &lt;EndNote&gt;&lt;Cite&gt;&lt;Author&gt;Montazeri&lt;/Author&gt;&lt;Year&gt;2011&lt;/Year&gt;&lt;RecNum&gt;22341&lt;/RecNum&gt;&lt;DisplayText&gt;(7)&lt;/DisplayText&gt;&lt;record&gt;&lt;rec-number&gt;22341&lt;/rec-number&gt;&lt;foreign-keys&gt;&lt;key app="EN" db-id="vvarfetvye59dee5sp250wfd2wve2sepftre" timestamp="1732011810"&gt;22341&lt;/key&gt;&lt;/foreign-keys&gt;&lt;ref-type name="Journal Article"&gt;17&lt;/ref-type&gt;&lt;contributors&gt;&lt;authors&gt;&lt;author&gt;Montazeri, Ali&lt;/author&gt;&lt;author&gt;Vahdaninia, Mariam&lt;/author&gt;&lt;author&gt;Mousavi, Sayed Javad&lt;/author&gt;&lt;author&gt;Asadi-Lari, Mohsen&lt;/author&gt;&lt;author&gt;Omidvari, Sepideh&lt;/author&gt;&lt;author&gt;Tavousi, Mahmoud&lt;/author&gt;&lt;/authors&gt;&lt;/contributors&gt;&lt;titles&gt;&lt;title&gt;The 12-item medical outcomes study short form health survey version 2.0 (SF-12v2): a population-based validation study from Tehran, Iran&lt;/title&gt;&lt;secondary-title&gt;Health and quality of life outcomes&lt;/secondary-title&gt;&lt;/titles&gt;&lt;periodical&gt;&lt;full-title&gt;Health and Quality of Life Outcomes&lt;/full-title&gt;&lt;/periodical&gt;&lt;pages&gt;12-12&lt;/pages&gt;&lt;volume&gt;9&lt;/volume&gt;&lt;number&gt;1&lt;/number&gt;&lt;keywords&gt;&lt;keyword&gt;Data Collection&lt;/keyword&gt;&lt;keyword&gt;Diabetes&lt;/keyword&gt;&lt;keyword&gt;Evaluation&lt;/keyword&gt;&lt;keyword&gt;Factor analysis&lt;/keyword&gt;&lt;keyword&gt;Female&lt;/keyword&gt;&lt;keyword&gt;Health status indicators&lt;/keyword&gt;&lt;keyword&gt;Health surveys&lt;/keyword&gt;&lt;keyword&gt;Human beings&lt;/keyword&gt;&lt;keyword&gt;Iran&lt;/keyword&gt;&lt;keyword&gt;Male&lt;/keyword&gt;&lt;keyword&gt;Medical sciences&lt;/keyword&gt;&lt;keyword&gt;Methodology&lt;/keyword&gt;&lt;keyword&gt;Methods&lt;/keyword&gt;&lt;keyword&gt;Older people&lt;/keyword&gt;&lt;keyword&gt;Psychometrics&lt;/keyword&gt;&lt;keyword&gt;Quality of life&lt;/keyword&gt;&lt;keyword&gt;Reproducibility of Results&lt;/keyword&gt;&lt;keyword&gt;Research&lt;/keyword&gt;&lt;keyword&gt;Sickness Impact Profile&lt;/keyword&gt;&lt;keyword&gt;Software&lt;/keyword&gt;&lt;keyword&gt;Surveys&lt;/keyword&gt;&lt;keyword&gt;Validity&lt;/keyword&gt;&lt;/keywords&gt;&lt;dates&gt;&lt;year&gt;2011&lt;/year&gt;&lt;/dates&gt;&lt;pub-location&gt;England&lt;/pub-location&gt;&lt;publisher&gt;BioMed Central Ltd&lt;/publisher&gt;&lt;isbn&gt;1477-7525&lt;/isbn&gt;&lt;urls&gt;&lt;/urls&gt;&lt;electronic-resource-num&gt;10.1186/1477-7525-9-12&lt;/electronic-resource-num&gt;&lt;/record&gt;&lt;/Cite&gt;&lt;/EndNote&gt;</w:instrText>
      </w:r>
      <w:r w:rsidRPr="00B26BC9">
        <w:rPr>
          <w:rFonts w:cs="Times New Roman"/>
          <w:szCs w:val="24"/>
          <w:lang w:val="en-US"/>
        </w:rPr>
        <w:fldChar w:fldCharType="separate"/>
      </w:r>
      <w:r>
        <w:rPr>
          <w:rFonts w:cs="Times New Roman"/>
          <w:noProof/>
          <w:szCs w:val="24"/>
          <w:lang w:val="en-US"/>
        </w:rPr>
        <w:t>(7)</w:t>
      </w:r>
      <w:r w:rsidRPr="00B26BC9">
        <w:rPr>
          <w:rFonts w:cs="Times New Roman"/>
          <w:szCs w:val="24"/>
          <w:lang w:val="en-US"/>
        </w:rPr>
        <w:fldChar w:fldCharType="end"/>
      </w:r>
      <w:r w:rsidRPr="00B26BC9">
        <w:rPr>
          <w:rFonts w:cs="Times New Roman"/>
          <w:szCs w:val="24"/>
          <w:lang w:val="en-US"/>
        </w:rPr>
        <w:t xml:space="preserve"> and construct validity, as well as cross-cultural sensitivity </w:t>
      </w:r>
      <w:r w:rsidRPr="00B26BC9">
        <w:rPr>
          <w:rFonts w:cs="Times New Roman"/>
          <w:szCs w:val="24"/>
          <w:lang w:val="en-US"/>
        </w:rPr>
        <w:fldChar w:fldCharType="begin"/>
      </w:r>
      <w:r>
        <w:rPr>
          <w:rFonts w:cs="Times New Roman"/>
          <w:szCs w:val="24"/>
          <w:lang w:val="en-US"/>
        </w:rPr>
        <w:instrText xml:space="preserve"> ADDIN EN.CITE &lt;EndNote&gt;&lt;Cite&gt;&lt;Author&gt;Lam&lt;/Author&gt;&lt;Year&gt;2013&lt;/Year&gt;&lt;RecNum&gt;22342&lt;/RecNum&gt;&lt;DisplayText&gt;(8)&lt;/DisplayText&gt;&lt;record&gt;&lt;rec-number&gt;22342&lt;/rec-number&gt;&lt;foreign-keys&gt;&lt;key app="EN" db-id="vvarfetvye59dee5sp250wfd2wve2sepftre" timestamp="1732011887"&gt;22342&lt;/key&gt;&lt;/foreign-keys&gt;&lt;ref-type name="Journal Article"&gt;17&lt;/ref-type&gt;&lt;contributors&gt;&lt;authors&gt;&lt;author&gt;Lam, Elegance T. P.&lt;/author&gt;&lt;author&gt;Lam, Cindy L. K.&lt;/author&gt;&lt;author&gt;Fong, Daniel Y. T.&lt;/author&gt;&lt;author&gt;Huang, Wen Wei&lt;/author&gt;&lt;/authors&gt;&lt;/contributors&gt;&lt;titles&gt;&lt;title&gt;Is the SF-12 version 2 Health Survey a valid and equivalent substitute for the SF-36 version 2 Health Survey for the Chinese?&lt;/title&gt;&lt;secondary-title&gt;Journal of evaluation in clinical practice&lt;/secondary-title&gt;&lt;/titles&gt;&lt;periodical&gt;&lt;full-title&gt;Journal of evaluation in clinical practice&lt;/full-title&gt;&lt;/periodical&gt;&lt;pages&gt;200-208&lt;/pages&gt;&lt;volume&gt;19&lt;/volume&gt;&lt;number&gt;1&lt;/number&gt;&lt;keywords&gt;&lt;keyword&gt;Aged, 80 and over&lt;/keyword&gt;&lt;keyword&gt;Chinese&lt;/keyword&gt;&lt;keyword&gt;Culture&lt;/keyword&gt;&lt;keyword&gt;Female&lt;/keyword&gt;&lt;keyword&gt;Health Status&lt;/keyword&gt;&lt;keyword&gt;Hong Kong&lt;/keyword&gt;&lt;keyword&gt;Human beings&lt;/keyword&gt;&lt;keyword&gt;Male&lt;/keyword&gt;&lt;keyword&gt;Older people&lt;/keyword&gt;&lt;keyword&gt;Psychometrics&lt;/keyword&gt;&lt;keyword&gt;Reproducibility of Results&lt;/keyword&gt;&lt;keyword&gt;Validity&lt;/keyword&gt;&lt;/keywords&gt;&lt;dates&gt;&lt;year&gt;2013&lt;/year&gt;&lt;/dates&gt;&lt;pub-location&gt;Oxford, UK&lt;/pub-location&gt;&lt;publisher&gt;Blackwell Publishing Ltd&lt;/publisher&gt;&lt;isbn&gt;1356-1294&lt;/isbn&gt;&lt;urls&gt;&lt;/urls&gt;&lt;electronic-resource-num&gt;10.1111/j.1365-2753.2011.01800.x&lt;/electronic-resource-num&gt;&lt;/record&gt;&lt;/Cite&gt;&lt;/EndNote&gt;</w:instrText>
      </w:r>
      <w:r w:rsidRPr="00B26BC9">
        <w:rPr>
          <w:rFonts w:cs="Times New Roman"/>
          <w:szCs w:val="24"/>
          <w:lang w:val="en-US"/>
        </w:rPr>
        <w:fldChar w:fldCharType="separate"/>
      </w:r>
      <w:r>
        <w:rPr>
          <w:rFonts w:cs="Times New Roman"/>
          <w:noProof/>
          <w:szCs w:val="24"/>
          <w:lang w:val="en-US"/>
        </w:rPr>
        <w:t>(8)</w:t>
      </w:r>
      <w:r w:rsidRPr="00B26BC9">
        <w:rPr>
          <w:rFonts w:cs="Times New Roman"/>
          <w:szCs w:val="24"/>
          <w:lang w:val="en-US"/>
        </w:rPr>
        <w:fldChar w:fldCharType="end"/>
      </w:r>
      <w:r w:rsidRPr="00B26BC9">
        <w:rPr>
          <w:rFonts w:cs="Times New Roman"/>
          <w:szCs w:val="24"/>
          <w:lang w:val="en-US"/>
        </w:rPr>
        <w:t xml:space="preserve">. In the present study, Cronbach’s </w:t>
      </w:r>
      <w:r w:rsidRPr="00B26BC9">
        <w:rPr>
          <w:rFonts w:cs="Times New Roman"/>
          <w:color w:val="111111"/>
          <w:szCs w:val="24"/>
          <w:shd w:val="clear" w:color="auto" w:fill="FFFFFF"/>
        </w:rPr>
        <w:t>α</w:t>
      </w:r>
      <w:r w:rsidRPr="00B26BC9">
        <w:rPr>
          <w:rFonts w:cs="Times New Roman"/>
          <w:szCs w:val="24"/>
          <w:lang w:val="en-US"/>
        </w:rPr>
        <w:t xml:space="preserve"> was 0.909 for the 12 items.</w:t>
      </w:r>
    </w:p>
    <w:p w14:paraId="6A4E6FCF" w14:textId="77777777" w:rsidR="00F564C3" w:rsidRDefault="00F564C3" w:rsidP="00F564C3">
      <w:pPr>
        <w:rPr>
          <w:rFonts w:cs="Times New Roman"/>
          <w:szCs w:val="24"/>
          <w:lang w:val="en-US"/>
        </w:rPr>
      </w:pPr>
    </w:p>
    <w:p w14:paraId="33C74A15" w14:textId="1B61CC9A" w:rsidR="00F564C3" w:rsidRPr="00F564C3" w:rsidRDefault="00F564C3" w:rsidP="00F564C3">
      <w:pPr>
        <w:rPr>
          <w:rFonts w:cs="Times New Roman"/>
          <w:b/>
          <w:bCs/>
          <w:szCs w:val="24"/>
          <w:lang w:val="en-US"/>
        </w:rPr>
      </w:pPr>
      <w:r w:rsidRPr="00F564C3">
        <w:rPr>
          <w:rFonts w:cs="Times New Roman"/>
          <w:b/>
          <w:bCs/>
          <w:szCs w:val="24"/>
          <w:lang w:val="en-US"/>
        </w:rPr>
        <w:t>Hospital Anxiety and Depression Score (HADS)</w:t>
      </w:r>
    </w:p>
    <w:p w14:paraId="5E2447EA" w14:textId="300040CE" w:rsidR="00F564C3" w:rsidRPr="00B26BC9" w:rsidRDefault="00F564C3" w:rsidP="00F564C3">
      <w:pPr>
        <w:rPr>
          <w:rFonts w:cs="Times New Roman"/>
          <w:szCs w:val="24"/>
          <w:lang w:val="en-US"/>
        </w:rPr>
      </w:pPr>
      <w:r w:rsidRPr="00B26BC9">
        <w:rPr>
          <w:rFonts w:cs="Times New Roman"/>
          <w:szCs w:val="24"/>
        </w:rPr>
        <w:t>It is widely validated in healthy and clinical adult populations internationally, across the lifespan</w:t>
      </w:r>
      <w:r w:rsidRPr="00B26BC9">
        <w:rPr>
          <w:rFonts w:cs="Times New Roman"/>
          <w:szCs w:val="24"/>
          <w:lang w:val="en-US"/>
        </w:rPr>
        <w:t xml:space="preserve">. A score of &gt;10 is pathological for either depression or anxiety </w:t>
      </w:r>
      <w:r w:rsidRPr="00B26BC9">
        <w:rPr>
          <w:rFonts w:cs="Times New Roman"/>
          <w:szCs w:val="24"/>
          <w:lang w:val="en-US"/>
        </w:rPr>
        <w:fldChar w:fldCharType="begin"/>
      </w:r>
      <w:r>
        <w:rPr>
          <w:rFonts w:cs="Times New Roman"/>
          <w:szCs w:val="24"/>
          <w:lang w:val="en-US"/>
        </w:rPr>
        <w:instrText xml:space="preserve"> ADDIN EN.CITE &lt;EndNote&gt;&lt;Cite&gt;&lt;Author&gt;Vodermaier&lt;/Author&gt;&lt;Year&gt;2011&lt;/Year&gt;&lt;RecNum&gt;22390&lt;/RecNum&gt;&lt;DisplayText&gt;(9)&lt;/DisplayText&gt;&lt;record&gt;&lt;rec-number&gt;22390&lt;/rec-number&gt;&lt;foreign-keys&gt;&lt;key app="EN" db-id="vvarfetvye59dee5sp250wfd2wve2sepftre" timestamp="1737020396"&gt;22390&lt;/key&gt;&lt;/foreign-keys&gt;&lt;ref-type name="Journal Article"&gt;17&lt;/ref-type&gt;&lt;contributors&gt;&lt;authors&gt;&lt;author&gt;Vodermaier, Andrea&lt;/author&gt;&lt;author&gt;Millman, Roanne D.&lt;/author&gt;&lt;/authors&gt;&lt;/contributors&gt;&lt;titles&gt;&lt;title&gt;Accuracy of the Hospital Anxiety and Depression Scale as a screening tool in cancer patients: a systematic review and meta-analysis&lt;/title&gt;&lt;secondary-title&gt;Supportive care in cancer&lt;/secondary-title&gt;&lt;/titles&gt;&lt;periodical&gt;&lt;full-title&gt;Supportive care in cancer&lt;/full-title&gt;&lt;/periodical&gt;&lt;pages&gt;1899-1908&lt;/pages&gt;&lt;volume&gt;19&lt;/volume&gt;&lt;number&gt;12&lt;/number&gt;&lt;keywords&gt;&lt;keyword&gt;Anxiety&lt;/keyword&gt;&lt;keyword&gt;Cancer&lt;/keyword&gt;&lt;keyword&gt;Depression, Mental&lt;/keyword&gt;&lt;keyword&gt;Female&lt;/keyword&gt;&lt;keyword&gt;Human beings&lt;/keyword&gt;&lt;keyword&gt;Male&lt;/keyword&gt;&lt;keyword&gt;Medical rehabilitation&lt;/keyword&gt;&lt;keyword&gt;Medical screening&lt;/keyword&gt;&lt;keyword&gt;Medicine&lt;/keyword&gt;&lt;keyword&gt;Nursing&lt;/keyword&gt;&lt;keyword&gt;Oncology&lt;/keyword&gt;&lt;keyword&gt;Pain medicine&lt;/keyword&gt;&lt;keyword&gt;Psychiatric rating scales&lt;/keyword&gt;&lt;keyword&gt;Tumors&lt;/keyword&gt;&lt;/keywords&gt;&lt;dates&gt;&lt;year&gt;2011&lt;/year&gt;&lt;/dates&gt;&lt;pub-location&gt;Berlin/Heidelberg&lt;/pub-location&gt;&lt;publisher&gt;Springer-Verlag&lt;/publisher&gt;&lt;isbn&gt;0941-4355&lt;/isbn&gt;&lt;urls&gt;&lt;/urls&gt;&lt;electronic-resource-num&gt;10.1007/s00520-011-1251-4&lt;/electronic-resource-num&gt;&lt;/record&gt;&lt;/Cite&gt;&lt;/EndNote&gt;</w:instrText>
      </w:r>
      <w:r w:rsidRPr="00B26BC9">
        <w:rPr>
          <w:rFonts w:cs="Times New Roman"/>
          <w:szCs w:val="24"/>
          <w:lang w:val="en-US"/>
        </w:rPr>
        <w:fldChar w:fldCharType="separate"/>
      </w:r>
      <w:r>
        <w:rPr>
          <w:rFonts w:cs="Times New Roman"/>
          <w:noProof/>
          <w:szCs w:val="24"/>
          <w:lang w:val="en-US"/>
        </w:rPr>
        <w:t>(9)</w:t>
      </w:r>
      <w:r w:rsidRPr="00B26BC9">
        <w:rPr>
          <w:rFonts w:cs="Times New Roman"/>
          <w:szCs w:val="24"/>
          <w:lang w:val="en-US"/>
        </w:rPr>
        <w:fldChar w:fldCharType="end"/>
      </w:r>
      <w:r w:rsidRPr="00B26BC9">
        <w:rPr>
          <w:rFonts w:cs="Times New Roman"/>
          <w:szCs w:val="24"/>
          <w:lang w:val="en-US"/>
        </w:rPr>
        <w:t xml:space="preserve">. Given its relative age (i.e., 1983), some nouns were replaced to be more contemporary (e.g., “listening to a </w:t>
      </w:r>
      <w:r w:rsidRPr="00B26BC9">
        <w:rPr>
          <w:rFonts w:cs="Times New Roman"/>
          <w:szCs w:val="24"/>
          <w:lang w:val="en-US"/>
        </w:rPr>
        <w:lastRenderedPageBreak/>
        <w:t xml:space="preserve">Podcast or audiobook” instead of “radio”). In the present study, the internal </w:t>
      </w:r>
      <w:r w:rsidRPr="00B26BC9">
        <w:rPr>
          <w:rFonts w:cs="Times New Roman"/>
          <w:kern w:val="0"/>
          <w:szCs w:val="24"/>
          <w:lang w:val="en-US"/>
          <w14:ligatures w14:val="none"/>
        </w:rPr>
        <w:t xml:space="preserve">consistency, as measured by Cronbach’s </w:t>
      </w:r>
      <w:r w:rsidRPr="00B26BC9">
        <w:rPr>
          <w:rFonts w:cs="Times New Roman"/>
          <w:color w:val="111111"/>
          <w:kern w:val="0"/>
          <w:szCs w:val="24"/>
          <w:shd w:val="clear" w:color="auto" w:fill="FFFFFF"/>
          <w14:ligatures w14:val="none"/>
        </w:rPr>
        <w:t xml:space="preserve">α, was 0.671 for the </w:t>
      </w:r>
      <w:r w:rsidRPr="00B26BC9">
        <w:rPr>
          <w:rFonts w:cs="Times New Roman"/>
          <w:kern w:val="0"/>
          <w:szCs w:val="24"/>
          <w:lang w:val="en-US"/>
          <w14:ligatures w14:val="none"/>
        </w:rPr>
        <w:t>14 items.</w:t>
      </w:r>
    </w:p>
    <w:p w14:paraId="30E7D58B" w14:textId="77777777" w:rsidR="00F564C3" w:rsidRDefault="00F564C3" w:rsidP="00F564C3">
      <w:pPr>
        <w:rPr>
          <w:rFonts w:cs="Times New Roman"/>
          <w:szCs w:val="24"/>
          <w:lang w:val="en-US"/>
        </w:rPr>
      </w:pPr>
    </w:p>
    <w:p w14:paraId="09656EB4" w14:textId="77777777" w:rsidR="00F564C3" w:rsidRDefault="00F564C3" w:rsidP="00F564C3">
      <w:pPr>
        <w:rPr>
          <w:rFonts w:cs="Times New Roman"/>
          <w:b/>
          <w:bCs/>
          <w:szCs w:val="24"/>
          <w:lang w:val="en-US"/>
        </w:rPr>
      </w:pPr>
      <w:r w:rsidRPr="00B26BC9">
        <w:rPr>
          <w:rFonts w:cs="Times New Roman"/>
          <w:b/>
          <w:bCs/>
          <w:szCs w:val="24"/>
          <w:lang w:val="en-US"/>
        </w:rPr>
        <w:t>Treatment Experiences Sliding Scale Rater (TESSR)</w:t>
      </w:r>
    </w:p>
    <w:p w14:paraId="48F800CC" w14:textId="3EEA317E" w:rsidR="00F564C3" w:rsidRPr="00F564C3" w:rsidRDefault="00F564C3" w:rsidP="00F564C3">
      <w:pPr>
        <w:rPr>
          <w:rFonts w:cs="Times New Roman"/>
          <w:szCs w:val="24"/>
          <w:lang w:val="en-US"/>
        </w:rPr>
      </w:pPr>
      <w:r w:rsidRPr="00F564C3">
        <w:rPr>
          <w:rFonts w:cs="Times New Roman"/>
          <w:szCs w:val="24"/>
          <w:lang w:val="en-US"/>
        </w:rPr>
        <w:t xml:space="preserve">The TESSR </w:t>
      </w:r>
      <w:r w:rsidRPr="00F564C3">
        <w:rPr>
          <w:rFonts w:cs="Times New Roman"/>
          <w:szCs w:val="24"/>
          <w:lang w:val="en-US"/>
        </w:rPr>
        <w:fldChar w:fldCharType="begin"/>
      </w:r>
      <w:r>
        <w:rPr>
          <w:rFonts w:cs="Times New Roman"/>
          <w:szCs w:val="24"/>
          <w:lang w:val="en-US"/>
        </w:rPr>
        <w:instrText xml:space="preserve"> ADDIN EN.CITE &lt;EndNote&gt;&lt;Cite&gt;&lt;Author&gt;Mital&lt;/Author&gt;&lt;Year&gt;2022&lt;/Year&gt;&lt;RecNum&gt;22419&lt;/RecNum&gt;&lt;DisplayText&gt;(10)&lt;/DisplayText&gt;&lt;record&gt;&lt;rec-number&gt;22419&lt;/rec-number&gt;&lt;foreign-keys&gt;&lt;key app="EN" db-id="vvarfetvye59dee5sp250wfd2wve2sepftre" timestamp="1738197179"&gt;22419&lt;/key&gt;&lt;/foreign-keys&gt;&lt;ref-type name="Journal Article"&gt;17&lt;/ref-type&gt;&lt;contributors&gt;&lt;authors&gt;&lt;author&gt;Mital, Rahul&lt;/author&gt;&lt;author&gt;Hay, Phillipa&lt;/author&gt;&lt;author&gt;Conti, Janet E.&lt;/author&gt;&lt;author&gt;Mannan, Haider&lt;/author&gt;&lt;/authors&gt;&lt;/contributors&gt;&lt;titles&gt;&lt;title&gt;Associations between therapy experiences and perceived helpfulness of treatment for people with eating disorders&lt;/title&gt;&lt;secondary-title&gt;Journal of eating disorders&lt;/secondary-title&gt;&lt;/titles&gt;&lt;periodical&gt;&lt;full-title&gt;Journal of eating disorders&lt;/full-title&gt;&lt;/periodical&gt;&lt;pages&gt;80-80&lt;/pages&gt;&lt;volume&gt;10&lt;/volume&gt;&lt;number&gt;1&lt;/number&gt;&lt;keywords&gt;&lt;keyword&gt;Anxiety&lt;/keyword&gt;&lt;keyword&gt;Depression, Mental&lt;/keyword&gt;&lt;keyword&gt;Eating disorders&lt;/keyword&gt;&lt;keyword&gt;Evidence-based medicine&lt;/keyword&gt;&lt;keyword&gt;Health aspects&lt;/keyword&gt;&lt;keyword&gt;Multivariate analysis&lt;/keyword&gt;&lt;keyword&gt;Patient participation&lt;/keyword&gt;&lt;keyword&gt;Psychotherapy&lt;/keyword&gt;&lt;keyword&gt;Questionnaires&lt;/keyword&gt;&lt;keyword&gt;Research&lt;/keyword&gt;&lt;keyword&gt;Social networks&lt;/keyword&gt;&lt;keyword&gt;Surveys&lt;/keyword&gt;&lt;keyword&gt;Therapeutic alliance&lt;/keyword&gt;&lt;keyword&gt;Therapeutics&lt;/keyword&gt;&lt;keyword&gt;Treatment Failure&lt;/keyword&gt;&lt;/keywords&gt;&lt;dates&gt;&lt;year&gt;2022&lt;/year&gt;&lt;/dates&gt;&lt;pub-location&gt;England&lt;/pub-location&gt;&lt;publisher&gt;BioMed Central Ltd&lt;/publisher&gt;&lt;isbn&gt;2050-2974&lt;/isbn&gt;&lt;urls&gt;&lt;/urls&gt;&lt;electronic-resource-num&gt;10.1186/s40337-022-00601-1&lt;/electronic-resource-num&gt;&lt;/record&gt;&lt;/Cite&gt;&lt;/EndNote&gt;</w:instrText>
      </w:r>
      <w:r w:rsidRPr="00F564C3">
        <w:rPr>
          <w:rFonts w:cs="Times New Roman"/>
          <w:szCs w:val="24"/>
          <w:lang w:val="en-US"/>
        </w:rPr>
        <w:fldChar w:fldCharType="separate"/>
      </w:r>
      <w:r>
        <w:rPr>
          <w:rFonts w:cs="Times New Roman"/>
          <w:noProof/>
          <w:szCs w:val="24"/>
          <w:lang w:val="en-US"/>
        </w:rPr>
        <w:t>(10)</w:t>
      </w:r>
      <w:r w:rsidRPr="00F564C3">
        <w:rPr>
          <w:rFonts w:cs="Times New Roman"/>
          <w:szCs w:val="24"/>
          <w:lang w:val="en-US"/>
        </w:rPr>
        <w:fldChar w:fldCharType="end"/>
      </w:r>
      <w:bookmarkStart w:id="0" w:name="_Hlk204938354"/>
      <w:r>
        <w:rPr>
          <w:rFonts w:cs="Times New Roman"/>
          <w:szCs w:val="24"/>
          <w:lang w:val="en-US"/>
        </w:rPr>
        <w:t xml:space="preserve"> explores several domains of the treatment experience </w:t>
      </w:r>
      <w:r w:rsidRPr="00B26BC9">
        <w:rPr>
          <w:rFonts w:cs="Times New Roman"/>
          <w:szCs w:val="24"/>
        </w:rPr>
        <w:t>related to perceived freedom of choice, preferences, therapeutic relationship, readiness to change, hope, and perceived overall helpfulness.</w:t>
      </w:r>
      <w:r>
        <w:rPr>
          <w:rFonts w:cs="Times New Roman"/>
          <w:szCs w:val="24"/>
        </w:rPr>
        <w:t xml:space="preserve"> A copy of the instrument is included below.</w:t>
      </w:r>
      <w:r w:rsidRPr="00B26BC9">
        <w:rPr>
          <w:rFonts w:cs="Times New Roman"/>
          <w:szCs w:val="24"/>
        </w:rPr>
        <w:t xml:space="preserve"> For example, participants were asked “</w:t>
      </w:r>
      <w:r w:rsidRPr="00B26BC9">
        <w:rPr>
          <w:rFonts w:cs="Times New Roman"/>
          <w:i/>
          <w:iCs/>
          <w:szCs w:val="24"/>
        </w:rPr>
        <w:t>Overall, how helpful do you think this eating disorder treatment was?</w:t>
      </w:r>
      <w:r w:rsidRPr="00B26BC9">
        <w:rPr>
          <w:rFonts w:cs="Times New Roman"/>
          <w:szCs w:val="24"/>
        </w:rPr>
        <w:t>” and responded via a sliding scale: “</w:t>
      </w:r>
      <w:r w:rsidRPr="00B26BC9">
        <w:rPr>
          <w:rFonts w:cs="Times New Roman"/>
          <w:i/>
          <w:iCs/>
          <w:szCs w:val="24"/>
        </w:rPr>
        <w:t>not helpful at all</w:t>
      </w:r>
      <w:r w:rsidRPr="00B26BC9">
        <w:rPr>
          <w:rFonts w:cs="Times New Roman"/>
          <w:szCs w:val="24"/>
        </w:rPr>
        <w:t>” (-50) to “</w:t>
      </w:r>
      <w:r w:rsidRPr="00B26BC9">
        <w:rPr>
          <w:rFonts w:cs="Times New Roman"/>
          <w:i/>
          <w:iCs/>
          <w:szCs w:val="24"/>
        </w:rPr>
        <w:t>extremely helpful</w:t>
      </w:r>
      <w:r w:rsidRPr="00B26BC9">
        <w:rPr>
          <w:rFonts w:cs="Times New Roman"/>
          <w:szCs w:val="24"/>
        </w:rPr>
        <w:t xml:space="preserve">” (+50). </w:t>
      </w:r>
      <w:r w:rsidRPr="00B26BC9">
        <w:rPr>
          <w:rFonts w:cs="Times New Roman"/>
          <w:szCs w:val="24"/>
          <w:lang w:val="en-US"/>
        </w:rPr>
        <w:t xml:space="preserve">To further contextualize the findings, the written descriptions of L-AN participants’ treatments were categorized by treatment type (e.g., outpatient CBT or residential ED program). The internal consistency for this measure (Cronbach’s </w:t>
      </w:r>
      <w:r w:rsidRPr="00B26BC9">
        <w:rPr>
          <w:rFonts w:cs="Times New Roman"/>
          <w:color w:val="111111"/>
          <w:szCs w:val="24"/>
          <w:shd w:val="clear" w:color="auto" w:fill="FFFFFF"/>
        </w:rPr>
        <w:t>α)</w:t>
      </w:r>
      <w:r w:rsidRPr="00B26BC9">
        <w:rPr>
          <w:rFonts w:cs="Times New Roman"/>
          <w:szCs w:val="24"/>
          <w:lang w:val="en-US"/>
        </w:rPr>
        <w:t xml:space="preserve"> </w:t>
      </w:r>
      <w:r>
        <w:rPr>
          <w:rFonts w:cs="Times New Roman"/>
          <w:szCs w:val="24"/>
          <w:lang w:val="en-US"/>
        </w:rPr>
        <w:t xml:space="preserve">in the present sample </w:t>
      </w:r>
      <w:r w:rsidRPr="00B26BC9">
        <w:rPr>
          <w:rFonts w:cs="Times New Roman"/>
          <w:szCs w:val="24"/>
          <w:lang w:val="en-US"/>
        </w:rPr>
        <w:t>for the 11 most and least helpful items was 0.908 and 0.902, respectively.</w:t>
      </w:r>
      <w:r>
        <w:rPr>
          <w:rFonts w:cs="Times New Roman"/>
          <w:szCs w:val="24"/>
          <w:lang w:val="en-US"/>
        </w:rPr>
        <w:t xml:space="preserve"> </w:t>
      </w:r>
      <w:r w:rsidRPr="004E23E6">
        <w:rPr>
          <w:rFonts w:cs="Times New Roman"/>
          <w:szCs w:val="24"/>
          <w:highlight w:val="yellow"/>
          <w:lang w:val="en-US"/>
        </w:rPr>
        <w:t xml:space="preserve">TESSR has been found to have high internal consistency (for most helpful items α = 0.926 and for least helpful items α = 0.868) </w:t>
      </w:r>
      <w:r>
        <w:rPr>
          <w:rFonts w:cs="Times New Roman"/>
          <w:szCs w:val="24"/>
          <w:highlight w:val="yellow"/>
          <w:lang w:val="en-US"/>
        </w:rPr>
        <w:fldChar w:fldCharType="begin"/>
      </w:r>
      <w:r>
        <w:rPr>
          <w:rFonts w:cs="Times New Roman"/>
          <w:szCs w:val="24"/>
          <w:highlight w:val="yellow"/>
          <w:lang w:val="en-US"/>
        </w:rPr>
        <w:instrText xml:space="preserve"> ADDIN EN.CITE &lt;EndNote&gt;&lt;Cite&gt;&lt;Author&gt;Mital&lt;/Author&gt;&lt;Year&gt;2022&lt;/Year&gt;&lt;RecNum&gt;22419&lt;/RecNum&gt;&lt;DisplayText&gt;(10)&lt;/DisplayText&gt;&lt;record&gt;&lt;rec-number&gt;22419&lt;/rec-number&gt;&lt;foreign-keys&gt;&lt;key app="EN" db-id="vvarfetvye59dee5sp250wfd2wve2sepftre" timestamp="1738197179"&gt;22419&lt;/key&gt;&lt;/foreign-keys&gt;&lt;ref-type name="Journal Article"&gt;17&lt;/ref-type&gt;&lt;contributors&gt;&lt;authors&gt;&lt;author&gt;Mital, Rahul&lt;/author&gt;&lt;author&gt;Hay, Phillipa&lt;/author&gt;&lt;author&gt;Conti, Janet E.&lt;/author&gt;&lt;author&gt;Mannan, Haider&lt;/author&gt;&lt;/authors&gt;&lt;/contributors&gt;&lt;titles&gt;&lt;title&gt;Associations between therapy experiences and perceived helpfulness of treatment for people with eating disorders&lt;/title&gt;&lt;secondary-title&gt;Journal of eating disorders&lt;/secondary-title&gt;&lt;/titles&gt;&lt;periodical&gt;&lt;full-title&gt;Journal of eating disorders&lt;/full-title&gt;&lt;/periodical&gt;&lt;pages&gt;80-80&lt;/pages&gt;&lt;volume&gt;10&lt;/volume&gt;&lt;number&gt;1&lt;/number&gt;&lt;keywords&gt;&lt;keyword&gt;Anxiety&lt;/keyword&gt;&lt;keyword&gt;Depression, Mental&lt;/keyword&gt;&lt;keyword&gt;Eating disorders&lt;/keyword&gt;&lt;keyword&gt;Evidence-based medicine&lt;/keyword&gt;&lt;keyword&gt;Health aspects&lt;/keyword&gt;&lt;keyword&gt;Multivariate analysis&lt;/keyword&gt;&lt;keyword&gt;Patient participation&lt;/keyword&gt;&lt;keyword&gt;Psychotherapy&lt;/keyword&gt;&lt;keyword&gt;Questionnaires&lt;/keyword&gt;&lt;keyword&gt;Research&lt;/keyword&gt;&lt;keyword&gt;Social networks&lt;/keyword&gt;&lt;keyword&gt;Surveys&lt;/keyword&gt;&lt;keyword&gt;Therapeutic alliance&lt;/keyword&gt;&lt;keyword&gt;Therapeutics&lt;/keyword&gt;&lt;keyword&gt;Treatment Failure&lt;/keyword&gt;&lt;/keywords&gt;&lt;dates&gt;&lt;year&gt;2022&lt;/year&gt;&lt;/dates&gt;&lt;pub-location&gt;England&lt;/pub-location&gt;&lt;publisher&gt;BioMed Central Ltd&lt;/publisher&gt;&lt;isbn&gt;2050-2974&lt;/isbn&gt;&lt;urls&gt;&lt;/urls&gt;&lt;electronic-resource-num&gt;10.1186/s40337-022-00601-1&lt;/electronic-resource-num&gt;&lt;/record&gt;&lt;/Cite&gt;&lt;/EndNote&gt;</w:instrText>
      </w:r>
      <w:r>
        <w:rPr>
          <w:rFonts w:cs="Times New Roman"/>
          <w:szCs w:val="24"/>
          <w:highlight w:val="yellow"/>
          <w:lang w:val="en-US"/>
        </w:rPr>
        <w:fldChar w:fldCharType="separate"/>
      </w:r>
      <w:r>
        <w:rPr>
          <w:rFonts w:cs="Times New Roman"/>
          <w:noProof/>
          <w:szCs w:val="24"/>
          <w:highlight w:val="yellow"/>
          <w:lang w:val="en-US"/>
        </w:rPr>
        <w:t>(10)</w:t>
      </w:r>
      <w:r>
        <w:rPr>
          <w:rFonts w:cs="Times New Roman"/>
          <w:szCs w:val="24"/>
          <w:highlight w:val="yellow"/>
          <w:lang w:val="en-US"/>
        </w:rPr>
        <w:fldChar w:fldCharType="end"/>
      </w:r>
      <w:r w:rsidRPr="004E23E6">
        <w:rPr>
          <w:rFonts w:cs="Times New Roman"/>
          <w:szCs w:val="24"/>
          <w:highlight w:val="yellow"/>
          <w:lang w:val="en-US"/>
        </w:rPr>
        <w:t xml:space="preserve">. </w:t>
      </w:r>
    </w:p>
    <w:bookmarkEnd w:id="0"/>
    <w:p w14:paraId="6D438100" w14:textId="22F668E6" w:rsidR="006B1AA5" w:rsidRDefault="006B1AA5">
      <w:pPr>
        <w:spacing w:after="160" w:line="259" w:lineRule="auto"/>
        <w:jc w:val="left"/>
        <w:rPr>
          <w:rFonts w:cs="Times New Roman"/>
          <w:szCs w:val="24"/>
          <w:lang w:val="en-US"/>
        </w:rPr>
      </w:pPr>
      <w:r>
        <w:rPr>
          <w:rFonts w:cs="Times New Roman"/>
          <w:szCs w:val="24"/>
          <w:lang w:val="en-US"/>
        </w:rPr>
        <w:br w:type="page"/>
      </w:r>
    </w:p>
    <w:p w14:paraId="6222F893" w14:textId="77777777" w:rsidR="00F564C3" w:rsidRDefault="00F564C3" w:rsidP="00F564C3">
      <w:pPr>
        <w:rPr>
          <w:rFonts w:cs="Times New Roman"/>
          <w:szCs w:val="24"/>
          <w:lang w:val="en-US"/>
        </w:rPr>
      </w:pPr>
    </w:p>
    <w:p w14:paraId="4FC257F6" w14:textId="6296F91E" w:rsidR="00F564C3" w:rsidRDefault="00F564C3" w:rsidP="00F564C3">
      <w:pPr>
        <w:rPr>
          <w:rFonts w:ascii="Arial" w:hAnsi="Arial" w:cs="Arial"/>
          <w:b/>
          <w:bCs/>
        </w:rPr>
      </w:pPr>
      <w:r>
        <w:rPr>
          <w:rFonts w:ascii="Arial" w:hAnsi="Arial" w:cs="Arial"/>
          <w:b/>
          <w:bCs/>
        </w:rPr>
        <w:t xml:space="preserve">The </w:t>
      </w:r>
      <w:r w:rsidRPr="007C0B82">
        <w:rPr>
          <w:rFonts w:ascii="Arial" w:hAnsi="Arial" w:cs="Arial"/>
          <w:b/>
          <w:bCs/>
        </w:rPr>
        <w:t>Treatment Experiences Sliding Scale Rater (TESSR)</w:t>
      </w:r>
      <w:r>
        <w:rPr>
          <w:rFonts w:ascii="Arial" w:hAnsi="Arial" w:cs="Arial"/>
          <w:b/>
          <w:bCs/>
        </w:rPr>
        <w:t xml:space="preserve"> © instrument </w:t>
      </w:r>
    </w:p>
    <w:p w14:paraId="2D7F33C6" w14:textId="77777777" w:rsidR="00F564C3" w:rsidRDefault="00F564C3" w:rsidP="00F564C3">
      <w:pPr>
        <w:rPr>
          <w:rFonts w:ascii="Arial" w:hAnsi="Arial" w:cs="Arial"/>
          <w:b/>
          <w:bCs/>
        </w:rPr>
      </w:pPr>
    </w:p>
    <w:p w14:paraId="10526392" w14:textId="77777777" w:rsidR="00F564C3" w:rsidRPr="007C0B82" w:rsidRDefault="00F564C3" w:rsidP="00F564C3">
      <w:pPr>
        <w:rPr>
          <w:rFonts w:ascii="Arial" w:hAnsi="Arial" w:cs="Arial"/>
          <w:b/>
          <w:bCs/>
        </w:rPr>
      </w:pPr>
      <w:r w:rsidRPr="007C0B82">
        <w:rPr>
          <w:rFonts w:ascii="Arial" w:hAnsi="Arial" w:cs="Arial"/>
          <w:b/>
          <w:bCs/>
        </w:rPr>
        <w:t>Ten questions for</w:t>
      </w:r>
      <w:r>
        <w:rPr>
          <w:rFonts w:ascii="Arial" w:hAnsi="Arial" w:cs="Arial"/>
          <w:b/>
          <w:bCs/>
        </w:rPr>
        <w:t xml:space="preserve"> perceived</w:t>
      </w:r>
      <w:r w:rsidRPr="007C0B82">
        <w:rPr>
          <w:rFonts w:ascii="Arial" w:hAnsi="Arial" w:cs="Arial"/>
          <w:b/>
          <w:bCs/>
        </w:rPr>
        <w:t xml:space="preserve"> </w:t>
      </w:r>
      <w:r>
        <w:rPr>
          <w:rFonts w:ascii="Arial" w:hAnsi="Arial" w:cs="Arial"/>
          <w:b/>
          <w:bCs/>
        </w:rPr>
        <w:t>l</w:t>
      </w:r>
      <w:r w:rsidRPr="007C0B82">
        <w:rPr>
          <w:rFonts w:ascii="Arial" w:hAnsi="Arial" w:cs="Arial"/>
          <w:b/>
          <w:bCs/>
        </w:rPr>
        <w:t xml:space="preserve">east and </w:t>
      </w:r>
      <w:r>
        <w:rPr>
          <w:rFonts w:ascii="Arial" w:hAnsi="Arial" w:cs="Arial"/>
          <w:b/>
          <w:bCs/>
        </w:rPr>
        <w:t>m</w:t>
      </w:r>
      <w:r w:rsidRPr="007C0B82">
        <w:rPr>
          <w:rFonts w:ascii="Arial" w:hAnsi="Arial" w:cs="Arial"/>
          <w:b/>
          <w:bCs/>
        </w:rPr>
        <w:t>ost helpful treatment experiences</w:t>
      </w:r>
    </w:p>
    <w:p w14:paraId="4BAA93D7" w14:textId="77777777" w:rsidR="006B1AA5" w:rsidRPr="006B1AA5" w:rsidRDefault="006B1AA5" w:rsidP="006B1AA5">
      <w:pPr>
        <w:spacing w:line="276" w:lineRule="auto"/>
        <w:jc w:val="left"/>
        <w:rPr>
          <w:rFonts w:ascii="Arial" w:eastAsiaTheme="minorEastAsia" w:hAnsi="Arial" w:cs="Arial"/>
          <w:b/>
          <w:bCs/>
          <w:kern w:val="0"/>
          <w:sz w:val="22"/>
          <w:lang w:val="en-US"/>
          <w14:ligatures w14:val="none"/>
        </w:rPr>
      </w:pPr>
      <w:bookmarkStart w:id="1" w:name="_Hlk205278571"/>
      <w:r w:rsidRPr="006B1AA5">
        <w:rPr>
          <w:rFonts w:ascii="Arial" w:eastAsiaTheme="minorEastAsia" w:hAnsi="Arial" w:cs="Arial"/>
          <w:b/>
          <w:bCs/>
          <w:kern w:val="0"/>
          <w:sz w:val="22"/>
          <w:lang w:val="en-US"/>
          <w14:ligatures w14:val="none"/>
        </w:rPr>
        <w:t>Treatment Experiences Sliding Scale Rater (TESSR) ©</w:t>
      </w:r>
    </w:p>
    <w:p w14:paraId="69F673FF" w14:textId="77777777" w:rsidR="006B1AA5" w:rsidRPr="006B1AA5" w:rsidRDefault="006B1AA5" w:rsidP="006B1AA5">
      <w:pPr>
        <w:spacing w:line="276" w:lineRule="auto"/>
        <w:jc w:val="left"/>
        <w:rPr>
          <w:rFonts w:ascii="Arial" w:eastAsiaTheme="minorEastAsia" w:hAnsi="Arial" w:cs="Arial"/>
          <w:b/>
          <w:bCs/>
          <w:kern w:val="0"/>
          <w:sz w:val="22"/>
          <w:lang w:val="en-US"/>
          <w14:ligatures w14:val="none"/>
        </w:rPr>
      </w:pPr>
    </w:p>
    <w:p w14:paraId="2443FAF2"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5EFEE3EA"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737A6537" w14:textId="77777777" w:rsidR="006B1AA5" w:rsidRPr="006B1AA5" w:rsidRDefault="006B1AA5" w:rsidP="006B1AA5">
      <w:pPr>
        <w:keepNext/>
        <w:numPr>
          <w:ilvl w:val="0"/>
          <w:numId w:val="1"/>
        </w:numPr>
        <w:spacing w:after="160" w:line="259" w:lineRule="auto"/>
        <w:contextualSpacing/>
        <w:jc w:val="left"/>
        <w:rPr>
          <w:rFonts w:ascii="Arial" w:hAnsi="Arial" w:cs="Arial"/>
          <w:sz w:val="22"/>
        </w:rPr>
      </w:pPr>
      <w:r w:rsidRPr="006B1AA5">
        <w:rPr>
          <w:rFonts w:ascii="Arial" w:hAnsi="Arial" w:cs="Arial"/>
          <w:sz w:val="22"/>
        </w:rPr>
        <w:t>When I sought this treatment </w:t>
      </w:r>
    </w:p>
    <w:tbl>
      <w:tblPr>
        <w:tblStyle w:val="QSliderLabelsTable"/>
        <w:tblW w:w="9576" w:type="auto"/>
        <w:tblInd w:w="0" w:type="dxa"/>
        <w:tblLook w:val="07E0" w:firstRow="1" w:lastRow="1" w:firstColumn="1" w:lastColumn="1" w:noHBand="1" w:noVBand="1"/>
      </w:tblPr>
      <w:tblGrid>
        <w:gridCol w:w="4448"/>
        <w:gridCol w:w="2289"/>
        <w:gridCol w:w="2289"/>
      </w:tblGrid>
      <w:tr w:rsidR="006B1AA5" w:rsidRPr="006B1AA5" w14:paraId="3CC8C581" w14:textId="77777777" w:rsidTr="00C531A8">
        <w:tc>
          <w:tcPr>
            <w:tcW w:w="4788" w:type="dxa"/>
          </w:tcPr>
          <w:p w14:paraId="3989EDAF" w14:textId="77777777" w:rsidR="006B1AA5" w:rsidRPr="006B1AA5" w:rsidRDefault="006B1AA5" w:rsidP="006B1AA5">
            <w:pPr>
              <w:keepNext/>
              <w:spacing w:line="276" w:lineRule="auto"/>
              <w:jc w:val="left"/>
              <w:rPr>
                <w:rFonts w:ascii="Arial" w:hAnsi="Arial" w:cs="Arial"/>
                <w:sz w:val="22"/>
              </w:rPr>
            </w:pPr>
          </w:p>
        </w:tc>
        <w:tc>
          <w:tcPr>
            <w:tcW w:w="2394" w:type="dxa"/>
          </w:tcPr>
          <w:p w14:paraId="7B703267"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I did NOT think change was important or possible</w:t>
            </w:r>
          </w:p>
        </w:tc>
        <w:tc>
          <w:tcPr>
            <w:tcW w:w="2394" w:type="dxa"/>
          </w:tcPr>
          <w:p w14:paraId="1A4AA5D6"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I thought change was important or possible</w:t>
            </w:r>
          </w:p>
        </w:tc>
      </w:tr>
    </w:tbl>
    <w:p w14:paraId="7D4DB9A1"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tbl>
      <w:tblPr>
        <w:tblStyle w:val="QStandardSliderTable"/>
        <w:tblW w:w="9576" w:type="auto"/>
        <w:tblLook w:val="07E0" w:firstRow="1" w:lastRow="1" w:firstColumn="1" w:lastColumn="1" w:noHBand="1" w:noVBand="1"/>
      </w:tblPr>
      <w:tblGrid>
        <w:gridCol w:w="4378"/>
        <w:gridCol w:w="4648"/>
      </w:tblGrid>
      <w:tr w:rsidR="006B1AA5" w:rsidRPr="006B1AA5" w14:paraId="6CB0198F" w14:textId="77777777" w:rsidTr="00C531A8">
        <w:tc>
          <w:tcPr>
            <w:cnfStyle w:val="001000000000" w:firstRow="0" w:lastRow="0" w:firstColumn="1" w:lastColumn="0" w:oddVBand="0" w:evenVBand="0" w:oddHBand="0" w:evenHBand="0" w:firstRowFirstColumn="0" w:firstRowLastColumn="0" w:lastRowFirstColumn="0" w:lastRowLastColumn="0"/>
            <w:tcW w:w="4788" w:type="dxa"/>
          </w:tcPr>
          <w:p w14:paraId="29D7588A" w14:textId="77777777" w:rsidR="006B1AA5" w:rsidRPr="006B1AA5" w:rsidRDefault="006B1AA5" w:rsidP="006B1AA5">
            <w:pPr>
              <w:keepNext/>
              <w:spacing w:line="276" w:lineRule="auto"/>
              <w:jc w:val="left"/>
              <w:rPr>
                <w:rFonts w:ascii="Arial" w:hAnsi="Arial" w:cs="Arial"/>
                <w:sz w:val="22"/>
              </w:rPr>
            </w:pPr>
          </w:p>
        </w:tc>
        <w:tc>
          <w:tcPr>
            <w:tcW w:w="4788" w:type="dxa"/>
          </w:tcPr>
          <w:p w14:paraId="456C7422" w14:textId="77777777" w:rsidR="006B1AA5" w:rsidRPr="006B1AA5" w:rsidRDefault="006B1AA5" w:rsidP="006B1AA5">
            <w:pPr>
              <w:keepNext/>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6B1AA5">
              <w:rPr>
                <w:rFonts w:ascii="Arial" w:hAnsi="Arial" w:cs="Arial"/>
                <w:noProof/>
                <w:sz w:val="22"/>
              </w:rPr>
              <w:drawing>
                <wp:inline distT="0" distB="0" distL="0" distR="0" wp14:anchorId="40AFB951" wp14:editId="3065356A">
                  <wp:extent cx="1905000" cy="304800"/>
                  <wp:effectExtent l="0" t="0" r="0" b="0"/>
                  <wp:docPr id="3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3AD181A7"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1267C381"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31C3EB8E" w14:textId="77777777" w:rsidR="006B1AA5" w:rsidRPr="006B1AA5" w:rsidRDefault="006B1AA5" w:rsidP="006B1AA5">
      <w:pPr>
        <w:pBdr>
          <w:top w:val="dashed" w:sz="8" w:space="0" w:color="CCCCCC"/>
        </w:pBdr>
        <w:spacing w:before="120" w:after="120" w:line="120" w:lineRule="auto"/>
        <w:jc w:val="left"/>
        <w:rPr>
          <w:rFonts w:ascii="Arial" w:eastAsiaTheme="minorEastAsia" w:hAnsi="Arial" w:cs="Arial"/>
          <w:kern w:val="0"/>
          <w:sz w:val="22"/>
          <w:lang w:val="en-US"/>
          <w14:ligatures w14:val="none"/>
        </w:rPr>
      </w:pPr>
    </w:p>
    <w:p w14:paraId="44306932"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10408F5D" w14:textId="77777777" w:rsidR="006B1AA5" w:rsidRPr="006B1AA5" w:rsidRDefault="006B1AA5" w:rsidP="006B1AA5">
      <w:pPr>
        <w:keepNext/>
        <w:numPr>
          <w:ilvl w:val="0"/>
          <w:numId w:val="1"/>
        </w:numPr>
        <w:spacing w:after="160" w:line="259" w:lineRule="auto"/>
        <w:contextualSpacing/>
        <w:jc w:val="left"/>
        <w:rPr>
          <w:rFonts w:ascii="Arial" w:hAnsi="Arial" w:cs="Arial"/>
          <w:sz w:val="22"/>
        </w:rPr>
      </w:pPr>
      <w:r w:rsidRPr="006B1AA5">
        <w:rPr>
          <w:rFonts w:ascii="Arial" w:hAnsi="Arial" w:cs="Arial"/>
          <w:sz w:val="22"/>
        </w:rPr>
        <w:t>The treatment approach</w:t>
      </w:r>
    </w:p>
    <w:tbl>
      <w:tblPr>
        <w:tblStyle w:val="QSliderLabelsTable"/>
        <w:tblW w:w="9576" w:type="auto"/>
        <w:tblInd w:w="0" w:type="dxa"/>
        <w:tblLook w:val="07E0" w:firstRow="1" w:lastRow="1" w:firstColumn="1" w:lastColumn="1" w:noHBand="1" w:noVBand="1"/>
      </w:tblPr>
      <w:tblGrid>
        <w:gridCol w:w="4473"/>
        <w:gridCol w:w="2267"/>
        <w:gridCol w:w="2286"/>
      </w:tblGrid>
      <w:tr w:rsidR="006B1AA5" w:rsidRPr="006B1AA5" w14:paraId="67D3E0EB" w14:textId="77777777" w:rsidTr="00C531A8">
        <w:tc>
          <w:tcPr>
            <w:tcW w:w="4788" w:type="dxa"/>
          </w:tcPr>
          <w:p w14:paraId="17C8A15A" w14:textId="77777777" w:rsidR="006B1AA5" w:rsidRPr="006B1AA5" w:rsidRDefault="006B1AA5" w:rsidP="006B1AA5">
            <w:pPr>
              <w:keepNext/>
              <w:spacing w:line="276" w:lineRule="auto"/>
              <w:jc w:val="left"/>
              <w:rPr>
                <w:rFonts w:ascii="Arial" w:hAnsi="Arial" w:cs="Arial"/>
                <w:sz w:val="22"/>
              </w:rPr>
            </w:pPr>
          </w:p>
        </w:tc>
        <w:tc>
          <w:tcPr>
            <w:tcW w:w="2394" w:type="dxa"/>
          </w:tcPr>
          <w:p w14:paraId="06E2C6E0"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Did NOT work for me</w:t>
            </w:r>
          </w:p>
        </w:tc>
        <w:tc>
          <w:tcPr>
            <w:tcW w:w="2394" w:type="dxa"/>
          </w:tcPr>
          <w:p w14:paraId="44F4364C"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Worked well for me</w:t>
            </w:r>
          </w:p>
        </w:tc>
      </w:tr>
    </w:tbl>
    <w:p w14:paraId="46687302"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tbl>
      <w:tblPr>
        <w:tblStyle w:val="QStandardSliderTable"/>
        <w:tblW w:w="9576" w:type="auto"/>
        <w:tblLook w:val="07E0" w:firstRow="1" w:lastRow="1" w:firstColumn="1" w:lastColumn="1" w:noHBand="1" w:noVBand="1"/>
      </w:tblPr>
      <w:tblGrid>
        <w:gridCol w:w="4378"/>
        <w:gridCol w:w="4648"/>
      </w:tblGrid>
      <w:tr w:rsidR="006B1AA5" w:rsidRPr="006B1AA5" w14:paraId="75532685" w14:textId="77777777" w:rsidTr="00C531A8">
        <w:tc>
          <w:tcPr>
            <w:cnfStyle w:val="001000000000" w:firstRow="0" w:lastRow="0" w:firstColumn="1" w:lastColumn="0" w:oddVBand="0" w:evenVBand="0" w:oddHBand="0" w:evenHBand="0" w:firstRowFirstColumn="0" w:firstRowLastColumn="0" w:lastRowFirstColumn="0" w:lastRowLastColumn="0"/>
            <w:tcW w:w="4788" w:type="dxa"/>
          </w:tcPr>
          <w:p w14:paraId="3010F330" w14:textId="77777777" w:rsidR="006B1AA5" w:rsidRPr="006B1AA5" w:rsidRDefault="006B1AA5" w:rsidP="006B1AA5">
            <w:pPr>
              <w:keepNext/>
              <w:spacing w:line="276" w:lineRule="auto"/>
              <w:jc w:val="center"/>
              <w:rPr>
                <w:rFonts w:ascii="Arial" w:hAnsi="Arial" w:cs="Arial"/>
                <w:sz w:val="22"/>
              </w:rPr>
            </w:pPr>
          </w:p>
        </w:tc>
        <w:tc>
          <w:tcPr>
            <w:tcW w:w="4788" w:type="dxa"/>
          </w:tcPr>
          <w:p w14:paraId="154E3BA7" w14:textId="77777777" w:rsidR="006B1AA5" w:rsidRPr="006B1AA5" w:rsidRDefault="006B1AA5" w:rsidP="006B1AA5">
            <w:pPr>
              <w:keepNext/>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6B1AA5">
              <w:rPr>
                <w:rFonts w:ascii="Arial" w:hAnsi="Arial" w:cs="Arial"/>
                <w:noProof/>
                <w:sz w:val="22"/>
              </w:rPr>
              <w:drawing>
                <wp:inline distT="0" distB="0" distL="0" distR="0" wp14:anchorId="35BEE6F2" wp14:editId="77AE97AB">
                  <wp:extent cx="1905000" cy="304800"/>
                  <wp:effectExtent l="0" t="0" r="0" b="0"/>
                  <wp:docPr id="3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11F9A6A5"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317AB1D4"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4B04DA19" w14:textId="77777777" w:rsidR="006B1AA5" w:rsidRPr="006B1AA5" w:rsidRDefault="006B1AA5" w:rsidP="006B1AA5">
      <w:pPr>
        <w:pBdr>
          <w:top w:val="dashed" w:sz="8" w:space="0" w:color="CCCCCC"/>
        </w:pBdr>
        <w:spacing w:before="120" w:after="120" w:line="120" w:lineRule="auto"/>
        <w:jc w:val="left"/>
        <w:rPr>
          <w:rFonts w:ascii="Arial" w:eastAsiaTheme="minorEastAsia" w:hAnsi="Arial" w:cs="Arial"/>
          <w:kern w:val="0"/>
          <w:sz w:val="22"/>
          <w:lang w:val="en-US"/>
          <w14:ligatures w14:val="none"/>
        </w:rPr>
      </w:pPr>
    </w:p>
    <w:p w14:paraId="142FC0E2"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070762BD" w14:textId="77777777" w:rsidR="006B1AA5" w:rsidRPr="006B1AA5" w:rsidRDefault="006B1AA5" w:rsidP="006B1AA5">
      <w:pPr>
        <w:keepNext/>
        <w:numPr>
          <w:ilvl w:val="0"/>
          <w:numId w:val="1"/>
        </w:numPr>
        <w:spacing w:after="160" w:line="259" w:lineRule="auto"/>
        <w:contextualSpacing/>
        <w:jc w:val="left"/>
        <w:rPr>
          <w:rFonts w:ascii="Arial" w:hAnsi="Arial" w:cs="Arial"/>
          <w:sz w:val="22"/>
        </w:rPr>
      </w:pPr>
      <w:r w:rsidRPr="006B1AA5">
        <w:rPr>
          <w:rFonts w:ascii="Arial" w:hAnsi="Arial" w:cs="Arial"/>
          <w:sz w:val="22"/>
        </w:rPr>
        <w:t>The treatment approach</w:t>
      </w:r>
    </w:p>
    <w:tbl>
      <w:tblPr>
        <w:tblStyle w:val="QSliderLabelsTable"/>
        <w:tblW w:w="9576" w:type="auto"/>
        <w:tblInd w:w="0" w:type="dxa"/>
        <w:tblLook w:val="07E0" w:firstRow="1" w:lastRow="1" w:firstColumn="1" w:lastColumn="1" w:noHBand="1" w:noVBand="1"/>
      </w:tblPr>
      <w:tblGrid>
        <w:gridCol w:w="4418"/>
        <w:gridCol w:w="2304"/>
        <w:gridCol w:w="2304"/>
      </w:tblGrid>
      <w:tr w:rsidR="006B1AA5" w:rsidRPr="006B1AA5" w14:paraId="19811C07" w14:textId="77777777" w:rsidTr="00C531A8">
        <w:tc>
          <w:tcPr>
            <w:tcW w:w="4788" w:type="dxa"/>
          </w:tcPr>
          <w:p w14:paraId="4163AED2" w14:textId="77777777" w:rsidR="006B1AA5" w:rsidRPr="006B1AA5" w:rsidRDefault="006B1AA5" w:rsidP="006B1AA5">
            <w:pPr>
              <w:keepNext/>
              <w:spacing w:line="276" w:lineRule="auto"/>
              <w:jc w:val="left"/>
              <w:rPr>
                <w:rFonts w:ascii="Arial" w:hAnsi="Arial" w:cs="Arial"/>
                <w:sz w:val="22"/>
              </w:rPr>
            </w:pPr>
          </w:p>
        </w:tc>
        <w:tc>
          <w:tcPr>
            <w:tcW w:w="2394" w:type="dxa"/>
          </w:tcPr>
          <w:p w14:paraId="2836970A"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Did NOT meet my hopes and expectations</w:t>
            </w:r>
          </w:p>
        </w:tc>
        <w:tc>
          <w:tcPr>
            <w:tcW w:w="2394" w:type="dxa"/>
          </w:tcPr>
          <w:p w14:paraId="514D31EC"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Met my hopes and expectations</w:t>
            </w:r>
          </w:p>
        </w:tc>
      </w:tr>
    </w:tbl>
    <w:p w14:paraId="091D0499"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tbl>
      <w:tblPr>
        <w:tblStyle w:val="QStandardSliderTable"/>
        <w:tblW w:w="9576" w:type="auto"/>
        <w:tblLook w:val="07E0" w:firstRow="1" w:lastRow="1" w:firstColumn="1" w:lastColumn="1" w:noHBand="1" w:noVBand="1"/>
      </w:tblPr>
      <w:tblGrid>
        <w:gridCol w:w="4378"/>
        <w:gridCol w:w="4648"/>
      </w:tblGrid>
      <w:tr w:rsidR="006B1AA5" w:rsidRPr="006B1AA5" w14:paraId="1A078235" w14:textId="77777777" w:rsidTr="00C531A8">
        <w:tc>
          <w:tcPr>
            <w:cnfStyle w:val="001000000000" w:firstRow="0" w:lastRow="0" w:firstColumn="1" w:lastColumn="0" w:oddVBand="0" w:evenVBand="0" w:oddHBand="0" w:evenHBand="0" w:firstRowFirstColumn="0" w:firstRowLastColumn="0" w:lastRowFirstColumn="0" w:lastRowLastColumn="0"/>
            <w:tcW w:w="4788" w:type="dxa"/>
          </w:tcPr>
          <w:p w14:paraId="39462312" w14:textId="77777777" w:rsidR="006B1AA5" w:rsidRPr="006B1AA5" w:rsidRDefault="006B1AA5" w:rsidP="006B1AA5">
            <w:pPr>
              <w:keepNext/>
              <w:spacing w:line="276" w:lineRule="auto"/>
              <w:jc w:val="left"/>
              <w:rPr>
                <w:rFonts w:ascii="Arial" w:hAnsi="Arial" w:cs="Arial"/>
                <w:sz w:val="22"/>
              </w:rPr>
            </w:pPr>
          </w:p>
        </w:tc>
        <w:tc>
          <w:tcPr>
            <w:tcW w:w="4788" w:type="dxa"/>
          </w:tcPr>
          <w:p w14:paraId="52BC39F0" w14:textId="77777777" w:rsidR="006B1AA5" w:rsidRPr="006B1AA5" w:rsidRDefault="006B1AA5" w:rsidP="006B1AA5">
            <w:pPr>
              <w:keepNext/>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6B1AA5">
              <w:rPr>
                <w:rFonts w:ascii="Arial" w:hAnsi="Arial" w:cs="Arial"/>
                <w:noProof/>
                <w:sz w:val="22"/>
              </w:rPr>
              <w:drawing>
                <wp:inline distT="0" distB="0" distL="0" distR="0" wp14:anchorId="7FFD7F71" wp14:editId="3B0F09DD">
                  <wp:extent cx="1905000" cy="304800"/>
                  <wp:effectExtent l="0" t="0" r="0" b="0"/>
                  <wp:docPr id="3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2D1AF2D0"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7DE1DAF1"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5C995765" w14:textId="77777777" w:rsidR="006B1AA5" w:rsidRPr="006B1AA5" w:rsidRDefault="006B1AA5" w:rsidP="006B1AA5">
      <w:pPr>
        <w:pBdr>
          <w:top w:val="dashed" w:sz="8" w:space="0" w:color="CCCCCC"/>
        </w:pBdr>
        <w:spacing w:before="120" w:after="120" w:line="120" w:lineRule="auto"/>
        <w:jc w:val="left"/>
        <w:rPr>
          <w:rFonts w:ascii="Arial" w:eastAsiaTheme="minorEastAsia" w:hAnsi="Arial" w:cs="Arial"/>
          <w:kern w:val="0"/>
          <w:sz w:val="22"/>
          <w:lang w:val="en-US"/>
          <w14:ligatures w14:val="none"/>
        </w:rPr>
      </w:pPr>
    </w:p>
    <w:p w14:paraId="01BAA3AC"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7025B920" w14:textId="77777777" w:rsidR="006B1AA5" w:rsidRPr="006B1AA5" w:rsidRDefault="006B1AA5" w:rsidP="006B1AA5">
      <w:pPr>
        <w:keepNext/>
        <w:numPr>
          <w:ilvl w:val="0"/>
          <w:numId w:val="1"/>
        </w:numPr>
        <w:spacing w:after="160" w:line="259" w:lineRule="auto"/>
        <w:contextualSpacing/>
        <w:jc w:val="left"/>
        <w:rPr>
          <w:rFonts w:ascii="Arial" w:hAnsi="Arial" w:cs="Arial"/>
          <w:sz w:val="22"/>
        </w:rPr>
      </w:pPr>
      <w:r w:rsidRPr="006B1AA5">
        <w:rPr>
          <w:rFonts w:ascii="Arial" w:hAnsi="Arial" w:cs="Arial"/>
          <w:sz w:val="22"/>
        </w:rPr>
        <w:t>The treatment approach</w:t>
      </w:r>
    </w:p>
    <w:tbl>
      <w:tblPr>
        <w:tblStyle w:val="QSliderLabelsTable"/>
        <w:tblW w:w="9576" w:type="auto"/>
        <w:tblInd w:w="0" w:type="dxa"/>
        <w:tblLook w:val="07E0" w:firstRow="1" w:lastRow="1" w:firstColumn="1" w:lastColumn="1" w:noHBand="1" w:noVBand="1"/>
      </w:tblPr>
      <w:tblGrid>
        <w:gridCol w:w="4428"/>
        <w:gridCol w:w="2299"/>
        <w:gridCol w:w="2299"/>
      </w:tblGrid>
      <w:tr w:rsidR="006B1AA5" w:rsidRPr="006B1AA5" w14:paraId="13FC5110" w14:textId="77777777" w:rsidTr="00C531A8">
        <w:tc>
          <w:tcPr>
            <w:tcW w:w="4788" w:type="dxa"/>
          </w:tcPr>
          <w:p w14:paraId="723BF0F1" w14:textId="77777777" w:rsidR="006B1AA5" w:rsidRPr="006B1AA5" w:rsidRDefault="006B1AA5" w:rsidP="006B1AA5">
            <w:pPr>
              <w:keepNext/>
              <w:spacing w:line="276" w:lineRule="auto"/>
              <w:jc w:val="left"/>
              <w:rPr>
                <w:rFonts w:ascii="Arial" w:hAnsi="Arial" w:cs="Arial"/>
                <w:sz w:val="22"/>
              </w:rPr>
            </w:pPr>
          </w:p>
        </w:tc>
        <w:tc>
          <w:tcPr>
            <w:tcW w:w="2394" w:type="dxa"/>
          </w:tcPr>
          <w:p w14:paraId="0097491D"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Did NOT assist me in shifting my relationship with difficult emotions</w:t>
            </w:r>
          </w:p>
        </w:tc>
        <w:tc>
          <w:tcPr>
            <w:tcW w:w="2394" w:type="dxa"/>
          </w:tcPr>
          <w:p w14:paraId="46DC7EE1"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Assisted me in shifting my relationship with difficult emotions</w:t>
            </w:r>
          </w:p>
        </w:tc>
      </w:tr>
    </w:tbl>
    <w:p w14:paraId="51BE9127"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tbl>
      <w:tblPr>
        <w:tblStyle w:val="QStandardSliderTable"/>
        <w:tblW w:w="9576" w:type="auto"/>
        <w:tblLook w:val="07E0" w:firstRow="1" w:lastRow="1" w:firstColumn="1" w:lastColumn="1" w:noHBand="1" w:noVBand="1"/>
      </w:tblPr>
      <w:tblGrid>
        <w:gridCol w:w="4378"/>
        <w:gridCol w:w="4648"/>
      </w:tblGrid>
      <w:tr w:rsidR="006B1AA5" w:rsidRPr="006B1AA5" w14:paraId="4D071872" w14:textId="77777777" w:rsidTr="00C531A8">
        <w:tc>
          <w:tcPr>
            <w:cnfStyle w:val="001000000000" w:firstRow="0" w:lastRow="0" w:firstColumn="1" w:lastColumn="0" w:oddVBand="0" w:evenVBand="0" w:oddHBand="0" w:evenHBand="0" w:firstRowFirstColumn="0" w:firstRowLastColumn="0" w:lastRowFirstColumn="0" w:lastRowLastColumn="0"/>
            <w:tcW w:w="4788" w:type="dxa"/>
          </w:tcPr>
          <w:p w14:paraId="16D363CE" w14:textId="77777777" w:rsidR="006B1AA5" w:rsidRPr="006B1AA5" w:rsidRDefault="006B1AA5" w:rsidP="006B1AA5">
            <w:pPr>
              <w:keepNext/>
              <w:spacing w:line="276" w:lineRule="auto"/>
              <w:jc w:val="left"/>
              <w:rPr>
                <w:rFonts w:ascii="Arial" w:hAnsi="Arial" w:cs="Arial"/>
                <w:sz w:val="22"/>
              </w:rPr>
            </w:pPr>
          </w:p>
        </w:tc>
        <w:tc>
          <w:tcPr>
            <w:tcW w:w="4788" w:type="dxa"/>
          </w:tcPr>
          <w:p w14:paraId="46A8991F" w14:textId="77777777" w:rsidR="006B1AA5" w:rsidRPr="006B1AA5" w:rsidRDefault="006B1AA5" w:rsidP="006B1AA5">
            <w:pPr>
              <w:keepNext/>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6B1AA5">
              <w:rPr>
                <w:rFonts w:ascii="Arial" w:hAnsi="Arial" w:cs="Arial"/>
                <w:noProof/>
                <w:sz w:val="22"/>
              </w:rPr>
              <w:drawing>
                <wp:inline distT="0" distB="0" distL="0" distR="0" wp14:anchorId="4AFA27D8" wp14:editId="79D76B06">
                  <wp:extent cx="1905000" cy="304800"/>
                  <wp:effectExtent l="0" t="0" r="0" b="0"/>
                  <wp:docPr id="3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2441B39E"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079484F3"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67BD1BDE" w14:textId="77777777" w:rsidR="006B1AA5" w:rsidRPr="006B1AA5" w:rsidRDefault="006B1AA5" w:rsidP="006B1AA5">
      <w:pPr>
        <w:pBdr>
          <w:top w:val="dashed" w:sz="8" w:space="0" w:color="CCCCCC"/>
        </w:pBdr>
        <w:spacing w:before="120" w:after="120" w:line="120" w:lineRule="auto"/>
        <w:jc w:val="left"/>
        <w:rPr>
          <w:rFonts w:ascii="Arial" w:eastAsiaTheme="minorEastAsia" w:hAnsi="Arial" w:cs="Arial"/>
          <w:kern w:val="0"/>
          <w:sz w:val="22"/>
          <w:lang w:val="en-US"/>
          <w14:ligatures w14:val="none"/>
        </w:rPr>
      </w:pPr>
    </w:p>
    <w:p w14:paraId="5CE2F953"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0A83D1A7" w14:textId="77777777" w:rsidR="006B1AA5" w:rsidRPr="006B1AA5" w:rsidRDefault="006B1AA5" w:rsidP="006B1AA5">
      <w:pPr>
        <w:keepNext/>
        <w:numPr>
          <w:ilvl w:val="0"/>
          <w:numId w:val="1"/>
        </w:numPr>
        <w:spacing w:after="160" w:line="259" w:lineRule="auto"/>
        <w:contextualSpacing/>
        <w:jc w:val="left"/>
        <w:rPr>
          <w:rFonts w:ascii="Arial" w:hAnsi="Arial" w:cs="Arial"/>
          <w:sz w:val="22"/>
        </w:rPr>
      </w:pPr>
      <w:r w:rsidRPr="006B1AA5">
        <w:rPr>
          <w:rFonts w:ascii="Arial" w:hAnsi="Arial" w:cs="Arial"/>
          <w:sz w:val="22"/>
        </w:rPr>
        <w:t>The treatment approach</w:t>
      </w:r>
    </w:p>
    <w:tbl>
      <w:tblPr>
        <w:tblStyle w:val="QSliderLabelsTable"/>
        <w:tblW w:w="9576" w:type="auto"/>
        <w:tblInd w:w="0" w:type="dxa"/>
        <w:tblLook w:val="07E0" w:firstRow="1" w:lastRow="1" w:firstColumn="1" w:lastColumn="1" w:noHBand="1" w:noVBand="1"/>
      </w:tblPr>
      <w:tblGrid>
        <w:gridCol w:w="4438"/>
        <w:gridCol w:w="2294"/>
        <w:gridCol w:w="2294"/>
      </w:tblGrid>
      <w:tr w:rsidR="006B1AA5" w:rsidRPr="006B1AA5" w14:paraId="58F2A8AF" w14:textId="77777777" w:rsidTr="00C531A8">
        <w:tc>
          <w:tcPr>
            <w:tcW w:w="4788" w:type="dxa"/>
          </w:tcPr>
          <w:p w14:paraId="7E0EA7BD" w14:textId="77777777" w:rsidR="006B1AA5" w:rsidRPr="006B1AA5" w:rsidRDefault="006B1AA5" w:rsidP="006B1AA5">
            <w:pPr>
              <w:keepNext/>
              <w:spacing w:line="276" w:lineRule="auto"/>
              <w:jc w:val="left"/>
              <w:rPr>
                <w:rFonts w:ascii="Arial" w:hAnsi="Arial" w:cs="Arial"/>
                <w:sz w:val="22"/>
              </w:rPr>
            </w:pPr>
          </w:p>
        </w:tc>
        <w:tc>
          <w:tcPr>
            <w:tcW w:w="2394" w:type="dxa"/>
          </w:tcPr>
          <w:p w14:paraId="13460715"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Did NOT assist me in recovering from the eating disorder</w:t>
            </w:r>
          </w:p>
        </w:tc>
        <w:tc>
          <w:tcPr>
            <w:tcW w:w="2394" w:type="dxa"/>
          </w:tcPr>
          <w:p w14:paraId="008A6934"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Assisted me in recovering from the eating disorder</w:t>
            </w:r>
          </w:p>
        </w:tc>
      </w:tr>
    </w:tbl>
    <w:p w14:paraId="703E35A3"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tbl>
      <w:tblPr>
        <w:tblStyle w:val="QStandardSliderTable"/>
        <w:tblW w:w="9576" w:type="auto"/>
        <w:tblLook w:val="07E0" w:firstRow="1" w:lastRow="1" w:firstColumn="1" w:lastColumn="1" w:noHBand="1" w:noVBand="1"/>
      </w:tblPr>
      <w:tblGrid>
        <w:gridCol w:w="4378"/>
        <w:gridCol w:w="4648"/>
      </w:tblGrid>
      <w:tr w:rsidR="006B1AA5" w:rsidRPr="006B1AA5" w14:paraId="079A64C9" w14:textId="77777777" w:rsidTr="00C531A8">
        <w:tc>
          <w:tcPr>
            <w:cnfStyle w:val="001000000000" w:firstRow="0" w:lastRow="0" w:firstColumn="1" w:lastColumn="0" w:oddVBand="0" w:evenVBand="0" w:oddHBand="0" w:evenHBand="0" w:firstRowFirstColumn="0" w:firstRowLastColumn="0" w:lastRowFirstColumn="0" w:lastRowLastColumn="0"/>
            <w:tcW w:w="4788" w:type="dxa"/>
          </w:tcPr>
          <w:p w14:paraId="1D9CA162" w14:textId="77777777" w:rsidR="006B1AA5" w:rsidRPr="006B1AA5" w:rsidRDefault="006B1AA5" w:rsidP="006B1AA5">
            <w:pPr>
              <w:keepNext/>
              <w:spacing w:line="276" w:lineRule="auto"/>
              <w:jc w:val="left"/>
              <w:rPr>
                <w:rFonts w:ascii="Arial" w:hAnsi="Arial" w:cs="Arial"/>
                <w:sz w:val="22"/>
              </w:rPr>
            </w:pPr>
          </w:p>
        </w:tc>
        <w:tc>
          <w:tcPr>
            <w:tcW w:w="4788" w:type="dxa"/>
          </w:tcPr>
          <w:p w14:paraId="1CE7E71F" w14:textId="77777777" w:rsidR="006B1AA5" w:rsidRPr="006B1AA5" w:rsidRDefault="006B1AA5" w:rsidP="006B1AA5">
            <w:pPr>
              <w:keepNext/>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6B1AA5">
              <w:rPr>
                <w:rFonts w:ascii="Arial" w:hAnsi="Arial" w:cs="Arial"/>
                <w:noProof/>
                <w:sz w:val="22"/>
              </w:rPr>
              <w:drawing>
                <wp:inline distT="0" distB="0" distL="0" distR="0" wp14:anchorId="5831B20D" wp14:editId="058873B8">
                  <wp:extent cx="1905000" cy="304800"/>
                  <wp:effectExtent l="0" t="0" r="0" b="0"/>
                  <wp:docPr id="3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4919224D"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6445AF0D"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60595FB6" w14:textId="77777777" w:rsidR="006B1AA5" w:rsidRPr="006B1AA5" w:rsidRDefault="006B1AA5" w:rsidP="006B1AA5">
      <w:pPr>
        <w:pBdr>
          <w:top w:val="dashed" w:sz="8" w:space="0" w:color="CCCCCC"/>
        </w:pBdr>
        <w:spacing w:before="120" w:after="120" w:line="120" w:lineRule="auto"/>
        <w:jc w:val="left"/>
        <w:rPr>
          <w:rFonts w:ascii="Arial" w:eastAsiaTheme="minorEastAsia" w:hAnsi="Arial" w:cs="Arial"/>
          <w:kern w:val="0"/>
          <w:sz w:val="22"/>
          <w:lang w:val="en-US"/>
          <w14:ligatures w14:val="none"/>
        </w:rPr>
      </w:pPr>
    </w:p>
    <w:p w14:paraId="5FB9A8B9"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708AB8B7" w14:textId="77777777" w:rsidR="006B1AA5" w:rsidRPr="006B1AA5" w:rsidRDefault="006B1AA5" w:rsidP="006B1AA5">
      <w:pPr>
        <w:keepNext/>
        <w:numPr>
          <w:ilvl w:val="0"/>
          <w:numId w:val="1"/>
        </w:numPr>
        <w:spacing w:after="160" w:line="259" w:lineRule="auto"/>
        <w:contextualSpacing/>
        <w:jc w:val="left"/>
        <w:rPr>
          <w:rFonts w:ascii="Arial" w:hAnsi="Arial" w:cs="Arial"/>
          <w:sz w:val="22"/>
        </w:rPr>
      </w:pPr>
      <w:r w:rsidRPr="006B1AA5">
        <w:rPr>
          <w:rFonts w:ascii="Arial" w:hAnsi="Arial" w:cs="Arial"/>
          <w:sz w:val="22"/>
        </w:rPr>
        <w:t>The treatment approach</w:t>
      </w:r>
    </w:p>
    <w:tbl>
      <w:tblPr>
        <w:tblStyle w:val="QSliderLabelsTable"/>
        <w:tblW w:w="9576" w:type="auto"/>
        <w:tblInd w:w="0" w:type="dxa"/>
        <w:tblLook w:val="07E0" w:firstRow="1" w:lastRow="1" w:firstColumn="1" w:lastColumn="1" w:noHBand="1" w:noVBand="1"/>
      </w:tblPr>
      <w:tblGrid>
        <w:gridCol w:w="4410"/>
        <w:gridCol w:w="2308"/>
        <w:gridCol w:w="2308"/>
      </w:tblGrid>
      <w:tr w:rsidR="006B1AA5" w:rsidRPr="006B1AA5" w14:paraId="6AB8B165" w14:textId="77777777" w:rsidTr="00C531A8">
        <w:tc>
          <w:tcPr>
            <w:tcW w:w="4788" w:type="dxa"/>
          </w:tcPr>
          <w:p w14:paraId="14DD39D2" w14:textId="77777777" w:rsidR="006B1AA5" w:rsidRPr="006B1AA5" w:rsidRDefault="006B1AA5" w:rsidP="006B1AA5">
            <w:pPr>
              <w:keepNext/>
              <w:spacing w:line="276" w:lineRule="auto"/>
              <w:jc w:val="left"/>
              <w:rPr>
                <w:rFonts w:ascii="Arial" w:hAnsi="Arial" w:cs="Arial"/>
                <w:sz w:val="22"/>
              </w:rPr>
            </w:pPr>
          </w:p>
        </w:tc>
        <w:tc>
          <w:tcPr>
            <w:tcW w:w="2394" w:type="dxa"/>
          </w:tcPr>
          <w:p w14:paraId="05FFF227"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Did NOT take into consideration my treatment preferences</w:t>
            </w:r>
          </w:p>
        </w:tc>
        <w:tc>
          <w:tcPr>
            <w:tcW w:w="2394" w:type="dxa"/>
          </w:tcPr>
          <w:p w14:paraId="46F972DF"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Took into consideration my treatment preferences</w:t>
            </w:r>
          </w:p>
        </w:tc>
      </w:tr>
    </w:tbl>
    <w:p w14:paraId="4A7A6E78"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tbl>
      <w:tblPr>
        <w:tblStyle w:val="QStandardSliderTable"/>
        <w:tblW w:w="9576" w:type="auto"/>
        <w:tblLook w:val="07E0" w:firstRow="1" w:lastRow="1" w:firstColumn="1" w:lastColumn="1" w:noHBand="1" w:noVBand="1"/>
      </w:tblPr>
      <w:tblGrid>
        <w:gridCol w:w="4378"/>
        <w:gridCol w:w="4648"/>
      </w:tblGrid>
      <w:tr w:rsidR="006B1AA5" w:rsidRPr="006B1AA5" w14:paraId="29115F39" w14:textId="77777777" w:rsidTr="00C531A8">
        <w:tc>
          <w:tcPr>
            <w:cnfStyle w:val="001000000000" w:firstRow="0" w:lastRow="0" w:firstColumn="1" w:lastColumn="0" w:oddVBand="0" w:evenVBand="0" w:oddHBand="0" w:evenHBand="0" w:firstRowFirstColumn="0" w:firstRowLastColumn="0" w:lastRowFirstColumn="0" w:lastRowLastColumn="0"/>
            <w:tcW w:w="4788" w:type="dxa"/>
          </w:tcPr>
          <w:p w14:paraId="55ECD852" w14:textId="77777777" w:rsidR="006B1AA5" w:rsidRPr="006B1AA5" w:rsidRDefault="006B1AA5" w:rsidP="006B1AA5">
            <w:pPr>
              <w:keepNext/>
              <w:spacing w:line="276" w:lineRule="auto"/>
              <w:jc w:val="left"/>
              <w:rPr>
                <w:rFonts w:ascii="Arial" w:hAnsi="Arial" w:cs="Arial"/>
                <w:sz w:val="22"/>
              </w:rPr>
            </w:pPr>
          </w:p>
        </w:tc>
        <w:tc>
          <w:tcPr>
            <w:tcW w:w="4788" w:type="dxa"/>
          </w:tcPr>
          <w:p w14:paraId="7A339CC0" w14:textId="77777777" w:rsidR="006B1AA5" w:rsidRPr="006B1AA5" w:rsidRDefault="006B1AA5" w:rsidP="006B1AA5">
            <w:pPr>
              <w:keepNext/>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6B1AA5">
              <w:rPr>
                <w:rFonts w:ascii="Arial" w:hAnsi="Arial" w:cs="Arial"/>
                <w:noProof/>
                <w:sz w:val="22"/>
              </w:rPr>
              <w:drawing>
                <wp:inline distT="0" distB="0" distL="0" distR="0" wp14:anchorId="5ECC08E6" wp14:editId="547E3C17">
                  <wp:extent cx="1905000" cy="304800"/>
                  <wp:effectExtent l="0" t="0" r="0" b="0"/>
                  <wp:docPr id="3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1A7ECFB9"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0DF3A0A9"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56672C90" w14:textId="77777777" w:rsidR="006B1AA5" w:rsidRPr="006B1AA5" w:rsidRDefault="006B1AA5" w:rsidP="006B1AA5">
      <w:pPr>
        <w:pBdr>
          <w:top w:val="dashed" w:sz="8" w:space="0" w:color="CCCCCC"/>
        </w:pBdr>
        <w:spacing w:before="120" w:after="120" w:line="120" w:lineRule="auto"/>
        <w:jc w:val="left"/>
        <w:rPr>
          <w:rFonts w:ascii="Arial" w:eastAsiaTheme="minorEastAsia" w:hAnsi="Arial" w:cs="Arial"/>
          <w:kern w:val="0"/>
          <w:sz w:val="22"/>
          <w:lang w:val="en-US"/>
          <w14:ligatures w14:val="none"/>
        </w:rPr>
      </w:pPr>
    </w:p>
    <w:p w14:paraId="4F2580DB"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6CCD24A7" w14:textId="77777777" w:rsidR="006B1AA5" w:rsidRPr="006B1AA5" w:rsidRDefault="006B1AA5" w:rsidP="006B1AA5">
      <w:pPr>
        <w:keepNext/>
        <w:numPr>
          <w:ilvl w:val="0"/>
          <w:numId w:val="1"/>
        </w:numPr>
        <w:spacing w:after="160" w:line="259" w:lineRule="auto"/>
        <w:contextualSpacing/>
        <w:jc w:val="left"/>
        <w:rPr>
          <w:rFonts w:ascii="Arial" w:hAnsi="Arial" w:cs="Arial"/>
          <w:sz w:val="22"/>
        </w:rPr>
      </w:pPr>
      <w:r w:rsidRPr="006B1AA5">
        <w:rPr>
          <w:rFonts w:ascii="Arial" w:hAnsi="Arial" w:cs="Arial"/>
          <w:sz w:val="22"/>
        </w:rPr>
        <w:t>The treatment approach</w:t>
      </w:r>
    </w:p>
    <w:tbl>
      <w:tblPr>
        <w:tblStyle w:val="QSliderLabelsTable"/>
        <w:tblW w:w="9576" w:type="auto"/>
        <w:tblInd w:w="0" w:type="dxa"/>
        <w:tblLook w:val="07E0" w:firstRow="1" w:lastRow="1" w:firstColumn="1" w:lastColumn="1" w:noHBand="1" w:noVBand="1"/>
      </w:tblPr>
      <w:tblGrid>
        <w:gridCol w:w="4458"/>
        <w:gridCol w:w="2284"/>
        <w:gridCol w:w="2284"/>
      </w:tblGrid>
      <w:tr w:rsidR="006B1AA5" w:rsidRPr="006B1AA5" w14:paraId="5B7F0FC3" w14:textId="77777777" w:rsidTr="00C531A8">
        <w:tc>
          <w:tcPr>
            <w:tcW w:w="4788" w:type="dxa"/>
          </w:tcPr>
          <w:p w14:paraId="1504055E" w14:textId="77777777" w:rsidR="006B1AA5" w:rsidRPr="006B1AA5" w:rsidRDefault="006B1AA5" w:rsidP="006B1AA5">
            <w:pPr>
              <w:keepNext/>
              <w:spacing w:line="276" w:lineRule="auto"/>
              <w:jc w:val="left"/>
              <w:rPr>
                <w:rFonts w:ascii="Arial" w:hAnsi="Arial" w:cs="Arial"/>
                <w:sz w:val="22"/>
              </w:rPr>
            </w:pPr>
          </w:p>
        </w:tc>
        <w:tc>
          <w:tcPr>
            <w:tcW w:w="2394" w:type="dxa"/>
          </w:tcPr>
          <w:p w14:paraId="564EB3CD"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Did NOT give me freedom to make my own choices around change</w:t>
            </w:r>
          </w:p>
        </w:tc>
        <w:tc>
          <w:tcPr>
            <w:tcW w:w="2394" w:type="dxa"/>
          </w:tcPr>
          <w:p w14:paraId="24549258" w14:textId="77777777" w:rsidR="006B1AA5" w:rsidRPr="006B1AA5" w:rsidRDefault="006B1AA5" w:rsidP="006B1AA5">
            <w:pPr>
              <w:spacing w:line="276" w:lineRule="auto"/>
              <w:jc w:val="left"/>
              <w:rPr>
                <w:rFonts w:ascii="Arial" w:hAnsi="Arial" w:cs="Arial"/>
                <w:sz w:val="22"/>
              </w:rPr>
            </w:pPr>
            <w:proofErr w:type="gramStart"/>
            <w:r w:rsidRPr="006B1AA5">
              <w:rPr>
                <w:rFonts w:ascii="Arial" w:hAnsi="Arial" w:cs="Arial"/>
                <w:sz w:val="22"/>
              </w:rPr>
              <w:t>Gave</w:t>
            </w:r>
            <w:proofErr w:type="gramEnd"/>
            <w:r w:rsidRPr="006B1AA5">
              <w:rPr>
                <w:rFonts w:ascii="Arial" w:hAnsi="Arial" w:cs="Arial"/>
                <w:sz w:val="22"/>
              </w:rPr>
              <w:t xml:space="preserve"> me freedom to make my own choices around change</w:t>
            </w:r>
          </w:p>
        </w:tc>
      </w:tr>
    </w:tbl>
    <w:p w14:paraId="348C84DB"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tbl>
      <w:tblPr>
        <w:tblStyle w:val="QStandardSliderTable"/>
        <w:tblW w:w="9576" w:type="auto"/>
        <w:tblLook w:val="07E0" w:firstRow="1" w:lastRow="1" w:firstColumn="1" w:lastColumn="1" w:noHBand="1" w:noVBand="1"/>
      </w:tblPr>
      <w:tblGrid>
        <w:gridCol w:w="4378"/>
        <w:gridCol w:w="4648"/>
      </w:tblGrid>
      <w:tr w:rsidR="006B1AA5" w:rsidRPr="006B1AA5" w14:paraId="577E55C4" w14:textId="77777777" w:rsidTr="00C531A8">
        <w:tc>
          <w:tcPr>
            <w:cnfStyle w:val="001000000000" w:firstRow="0" w:lastRow="0" w:firstColumn="1" w:lastColumn="0" w:oddVBand="0" w:evenVBand="0" w:oddHBand="0" w:evenHBand="0" w:firstRowFirstColumn="0" w:firstRowLastColumn="0" w:lastRowFirstColumn="0" w:lastRowLastColumn="0"/>
            <w:tcW w:w="4788" w:type="dxa"/>
          </w:tcPr>
          <w:p w14:paraId="0DD1974F" w14:textId="77777777" w:rsidR="006B1AA5" w:rsidRPr="006B1AA5" w:rsidRDefault="006B1AA5" w:rsidP="006B1AA5">
            <w:pPr>
              <w:keepNext/>
              <w:spacing w:line="276" w:lineRule="auto"/>
              <w:jc w:val="left"/>
              <w:rPr>
                <w:rFonts w:ascii="Arial" w:hAnsi="Arial" w:cs="Arial"/>
                <w:sz w:val="22"/>
              </w:rPr>
            </w:pPr>
          </w:p>
        </w:tc>
        <w:tc>
          <w:tcPr>
            <w:tcW w:w="4788" w:type="dxa"/>
          </w:tcPr>
          <w:p w14:paraId="3CA66BB2" w14:textId="77777777" w:rsidR="006B1AA5" w:rsidRPr="006B1AA5" w:rsidRDefault="006B1AA5" w:rsidP="006B1AA5">
            <w:pPr>
              <w:keepNext/>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6B1AA5">
              <w:rPr>
                <w:rFonts w:ascii="Arial" w:hAnsi="Arial" w:cs="Arial"/>
                <w:noProof/>
                <w:sz w:val="22"/>
              </w:rPr>
              <w:drawing>
                <wp:inline distT="0" distB="0" distL="0" distR="0" wp14:anchorId="09D424B6" wp14:editId="2A91123D">
                  <wp:extent cx="1905000" cy="304800"/>
                  <wp:effectExtent l="0" t="0" r="0" b="0"/>
                  <wp:docPr id="3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24AD32B2"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237E9F1F"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4BAB348A" w14:textId="77777777" w:rsidR="006B1AA5" w:rsidRPr="006B1AA5" w:rsidRDefault="006B1AA5" w:rsidP="006B1AA5">
      <w:pPr>
        <w:pBdr>
          <w:top w:val="dashed" w:sz="8" w:space="0" w:color="CCCCCC"/>
        </w:pBdr>
        <w:spacing w:before="120" w:after="120" w:line="120" w:lineRule="auto"/>
        <w:jc w:val="left"/>
        <w:rPr>
          <w:rFonts w:ascii="Arial" w:eastAsiaTheme="minorEastAsia" w:hAnsi="Arial" w:cs="Arial"/>
          <w:kern w:val="0"/>
          <w:sz w:val="22"/>
          <w:lang w:val="en-US"/>
          <w14:ligatures w14:val="none"/>
        </w:rPr>
      </w:pPr>
    </w:p>
    <w:p w14:paraId="020B6887"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0AB5C715" w14:textId="77777777" w:rsidR="006B1AA5" w:rsidRPr="006B1AA5" w:rsidRDefault="006B1AA5" w:rsidP="006B1AA5">
      <w:pPr>
        <w:keepNext/>
        <w:numPr>
          <w:ilvl w:val="0"/>
          <w:numId w:val="1"/>
        </w:numPr>
        <w:spacing w:after="160" w:line="259" w:lineRule="auto"/>
        <w:contextualSpacing/>
        <w:jc w:val="left"/>
        <w:rPr>
          <w:rFonts w:ascii="Arial" w:hAnsi="Arial" w:cs="Arial"/>
          <w:sz w:val="22"/>
        </w:rPr>
      </w:pPr>
      <w:r w:rsidRPr="006B1AA5">
        <w:rPr>
          <w:rFonts w:ascii="Arial" w:hAnsi="Arial" w:cs="Arial"/>
          <w:sz w:val="22"/>
        </w:rPr>
        <w:t>The treatment approach</w:t>
      </w:r>
    </w:p>
    <w:tbl>
      <w:tblPr>
        <w:tblStyle w:val="QSliderLabelsTable"/>
        <w:tblW w:w="9576" w:type="auto"/>
        <w:tblInd w:w="0" w:type="dxa"/>
        <w:tblLook w:val="07E0" w:firstRow="1" w:lastRow="1" w:firstColumn="1" w:lastColumn="1" w:noHBand="1" w:noVBand="1"/>
      </w:tblPr>
      <w:tblGrid>
        <w:gridCol w:w="4432"/>
        <w:gridCol w:w="2297"/>
        <w:gridCol w:w="2297"/>
      </w:tblGrid>
      <w:tr w:rsidR="006B1AA5" w:rsidRPr="006B1AA5" w14:paraId="6FC1BBF1" w14:textId="77777777" w:rsidTr="00C531A8">
        <w:tc>
          <w:tcPr>
            <w:tcW w:w="4788" w:type="dxa"/>
          </w:tcPr>
          <w:p w14:paraId="7AA32168" w14:textId="77777777" w:rsidR="006B1AA5" w:rsidRPr="006B1AA5" w:rsidRDefault="006B1AA5" w:rsidP="006B1AA5">
            <w:pPr>
              <w:keepNext/>
              <w:spacing w:line="276" w:lineRule="auto"/>
              <w:jc w:val="left"/>
              <w:rPr>
                <w:rFonts w:ascii="Arial" w:hAnsi="Arial" w:cs="Arial"/>
                <w:sz w:val="22"/>
              </w:rPr>
            </w:pPr>
          </w:p>
        </w:tc>
        <w:tc>
          <w:tcPr>
            <w:tcW w:w="2394" w:type="dxa"/>
          </w:tcPr>
          <w:p w14:paraId="5F458D21"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I did NOT feel understood by the therapist</w:t>
            </w:r>
          </w:p>
        </w:tc>
        <w:tc>
          <w:tcPr>
            <w:tcW w:w="2394" w:type="dxa"/>
          </w:tcPr>
          <w:p w14:paraId="0A440D5F"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I felt understood by the therapist</w:t>
            </w:r>
          </w:p>
        </w:tc>
      </w:tr>
    </w:tbl>
    <w:p w14:paraId="765402DC"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tbl>
      <w:tblPr>
        <w:tblStyle w:val="QStandardSliderTable"/>
        <w:tblW w:w="9576" w:type="auto"/>
        <w:tblLook w:val="07E0" w:firstRow="1" w:lastRow="1" w:firstColumn="1" w:lastColumn="1" w:noHBand="1" w:noVBand="1"/>
      </w:tblPr>
      <w:tblGrid>
        <w:gridCol w:w="4378"/>
        <w:gridCol w:w="4648"/>
      </w:tblGrid>
      <w:tr w:rsidR="006B1AA5" w:rsidRPr="006B1AA5" w14:paraId="19CB325E" w14:textId="77777777" w:rsidTr="00C531A8">
        <w:tc>
          <w:tcPr>
            <w:cnfStyle w:val="001000000000" w:firstRow="0" w:lastRow="0" w:firstColumn="1" w:lastColumn="0" w:oddVBand="0" w:evenVBand="0" w:oddHBand="0" w:evenHBand="0" w:firstRowFirstColumn="0" w:firstRowLastColumn="0" w:lastRowFirstColumn="0" w:lastRowLastColumn="0"/>
            <w:tcW w:w="4788" w:type="dxa"/>
          </w:tcPr>
          <w:p w14:paraId="0FFEAAEF" w14:textId="77777777" w:rsidR="006B1AA5" w:rsidRPr="006B1AA5" w:rsidRDefault="006B1AA5" w:rsidP="006B1AA5">
            <w:pPr>
              <w:keepNext/>
              <w:spacing w:line="276" w:lineRule="auto"/>
              <w:jc w:val="left"/>
              <w:rPr>
                <w:rFonts w:ascii="Arial" w:hAnsi="Arial" w:cs="Arial"/>
                <w:sz w:val="22"/>
              </w:rPr>
            </w:pPr>
          </w:p>
        </w:tc>
        <w:tc>
          <w:tcPr>
            <w:tcW w:w="4788" w:type="dxa"/>
          </w:tcPr>
          <w:p w14:paraId="37F053CA" w14:textId="77777777" w:rsidR="006B1AA5" w:rsidRPr="006B1AA5" w:rsidRDefault="006B1AA5" w:rsidP="006B1AA5">
            <w:pPr>
              <w:keepNext/>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6B1AA5">
              <w:rPr>
                <w:rFonts w:ascii="Arial" w:hAnsi="Arial" w:cs="Arial"/>
                <w:noProof/>
                <w:sz w:val="22"/>
              </w:rPr>
              <w:drawing>
                <wp:inline distT="0" distB="0" distL="0" distR="0" wp14:anchorId="1A7589E0" wp14:editId="2A371671">
                  <wp:extent cx="1905000" cy="304800"/>
                  <wp:effectExtent l="0" t="0" r="0" b="0"/>
                  <wp:docPr id="3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23580CA7"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03EA279B"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48FE1CFB" w14:textId="77777777" w:rsidR="006B1AA5" w:rsidRPr="006B1AA5" w:rsidRDefault="006B1AA5" w:rsidP="006B1AA5">
      <w:pPr>
        <w:pBdr>
          <w:top w:val="dashed" w:sz="8" w:space="0" w:color="CCCCCC"/>
        </w:pBdr>
        <w:spacing w:before="120" w:after="120" w:line="120" w:lineRule="auto"/>
        <w:jc w:val="left"/>
        <w:rPr>
          <w:rFonts w:ascii="Arial" w:eastAsiaTheme="minorEastAsia" w:hAnsi="Arial" w:cs="Arial"/>
          <w:kern w:val="0"/>
          <w:sz w:val="22"/>
          <w:lang w:val="en-US"/>
          <w14:ligatures w14:val="none"/>
        </w:rPr>
      </w:pPr>
    </w:p>
    <w:p w14:paraId="57AAA173"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48009191" w14:textId="77777777" w:rsidR="006B1AA5" w:rsidRPr="006B1AA5" w:rsidRDefault="006B1AA5" w:rsidP="006B1AA5">
      <w:pPr>
        <w:keepNext/>
        <w:numPr>
          <w:ilvl w:val="0"/>
          <w:numId w:val="1"/>
        </w:numPr>
        <w:spacing w:after="160" w:line="259" w:lineRule="auto"/>
        <w:contextualSpacing/>
        <w:jc w:val="left"/>
        <w:rPr>
          <w:rFonts w:ascii="Arial" w:hAnsi="Arial" w:cs="Arial"/>
          <w:sz w:val="22"/>
        </w:rPr>
      </w:pPr>
      <w:r w:rsidRPr="006B1AA5">
        <w:rPr>
          <w:rFonts w:ascii="Arial" w:hAnsi="Arial" w:cs="Arial"/>
          <w:sz w:val="22"/>
        </w:rPr>
        <w:t>The treatment approach</w:t>
      </w:r>
    </w:p>
    <w:tbl>
      <w:tblPr>
        <w:tblStyle w:val="QSliderLabelsTable"/>
        <w:tblW w:w="9576" w:type="auto"/>
        <w:tblInd w:w="0" w:type="dxa"/>
        <w:tblLook w:val="07E0" w:firstRow="1" w:lastRow="1" w:firstColumn="1" w:lastColumn="1" w:noHBand="1" w:noVBand="1"/>
      </w:tblPr>
      <w:tblGrid>
        <w:gridCol w:w="4444"/>
        <w:gridCol w:w="2286"/>
        <w:gridCol w:w="2296"/>
      </w:tblGrid>
      <w:tr w:rsidR="006B1AA5" w:rsidRPr="006B1AA5" w14:paraId="39BDCC86" w14:textId="77777777" w:rsidTr="00C531A8">
        <w:tc>
          <w:tcPr>
            <w:tcW w:w="4788" w:type="dxa"/>
          </w:tcPr>
          <w:p w14:paraId="58DD4AE1" w14:textId="77777777" w:rsidR="006B1AA5" w:rsidRPr="006B1AA5" w:rsidRDefault="006B1AA5" w:rsidP="006B1AA5">
            <w:pPr>
              <w:keepNext/>
              <w:spacing w:line="276" w:lineRule="auto"/>
              <w:jc w:val="left"/>
              <w:rPr>
                <w:rFonts w:ascii="Arial" w:hAnsi="Arial" w:cs="Arial"/>
                <w:sz w:val="22"/>
              </w:rPr>
            </w:pPr>
          </w:p>
        </w:tc>
        <w:tc>
          <w:tcPr>
            <w:tcW w:w="2394" w:type="dxa"/>
          </w:tcPr>
          <w:p w14:paraId="3C8E8676"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The therapist did NOT address my concerns</w:t>
            </w:r>
          </w:p>
        </w:tc>
        <w:tc>
          <w:tcPr>
            <w:tcW w:w="2394" w:type="dxa"/>
          </w:tcPr>
          <w:p w14:paraId="42C925D9"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The therapist addressed my concerns</w:t>
            </w:r>
          </w:p>
        </w:tc>
      </w:tr>
    </w:tbl>
    <w:p w14:paraId="415C1097"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tbl>
      <w:tblPr>
        <w:tblStyle w:val="QStandardSliderTable"/>
        <w:tblW w:w="9576" w:type="auto"/>
        <w:tblLook w:val="07E0" w:firstRow="1" w:lastRow="1" w:firstColumn="1" w:lastColumn="1" w:noHBand="1" w:noVBand="1"/>
      </w:tblPr>
      <w:tblGrid>
        <w:gridCol w:w="4378"/>
        <w:gridCol w:w="4648"/>
      </w:tblGrid>
      <w:tr w:rsidR="006B1AA5" w:rsidRPr="006B1AA5" w14:paraId="77F5B89E" w14:textId="77777777" w:rsidTr="00C531A8">
        <w:tc>
          <w:tcPr>
            <w:cnfStyle w:val="001000000000" w:firstRow="0" w:lastRow="0" w:firstColumn="1" w:lastColumn="0" w:oddVBand="0" w:evenVBand="0" w:oddHBand="0" w:evenHBand="0" w:firstRowFirstColumn="0" w:firstRowLastColumn="0" w:lastRowFirstColumn="0" w:lastRowLastColumn="0"/>
            <w:tcW w:w="4788" w:type="dxa"/>
          </w:tcPr>
          <w:p w14:paraId="03F53784" w14:textId="77777777" w:rsidR="006B1AA5" w:rsidRPr="006B1AA5" w:rsidRDefault="006B1AA5" w:rsidP="006B1AA5">
            <w:pPr>
              <w:keepNext/>
              <w:spacing w:line="276" w:lineRule="auto"/>
              <w:jc w:val="left"/>
              <w:rPr>
                <w:rFonts w:ascii="Arial" w:hAnsi="Arial" w:cs="Arial"/>
                <w:sz w:val="22"/>
              </w:rPr>
            </w:pPr>
          </w:p>
        </w:tc>
        <w:tc>
          <w:tcPr>
            <w:tcW w:w="4788" w:type="dxa"/>
          </w:tcPr>
          <w:p w14:paraId="715F8171" w14:textId="77777777" w:rsidR="006B1AA5" w:rsidRPr="006B1AA5" w:rsidRDefault="006B1AA5" w:rsidP="006B1AA5">
            <w:pPr>
              <w:keepNext/>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6B1AA5">
              <w:rPr>
                <w:rFonts w:ascii="Arial" w:hAnsi="Arial" w:cs="Arial"/>
                <w:noProof/>
                <w:sz w:val="22"/>
              </w:rPr>
              <w:drawing>
                <wp:inline distT="0" distB="0" distL="0" distR="0" wp14:anchorId="1E64AC25" wp14:editId="172CB8AC">
                  <wp:extent cx="1905000" cy="304800"/>
                  <wp:effectExtent l="0" t="0" r="0" b="0"/>
                  <wp:docPr id="3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28B88D3F"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4B0F6980"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294F3582" w14:textId="77777777" w:rsidR="006B1AA5" w:rsidRPr="006B1AA5" w:rsidRDefault="006B1AA5" w:rsidP="006B1AA5">
      <w:pPr>
        <w:pBdr>
          <w:top w:val="dashed" w:sz="8" w:space="0" w:color="CCCCCC"/>
        </w:pBdr>
        <w:spacing w:before="120" w:after="120" w:line="120" w:lineRule="auto"/>
        <w:jc w:val="left"/>
        <w:rPr>
          <w:rFonts w:ascii="Arial" w:eastAsiaTheme="minorEastAsia" w:hAnsi="Arial" w:cs="Arial"/>
          <w:kern w:val="0"/>
          <w:sz w:val="22"/>
          <w:lang w:val="en-US"/>
          <w14:ligatures w14:val="none"/>
        </w:rPr>
      </w:pPr>
    </w:p>
    <w:p w14:paraId="5EC4862E"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345C7744" w14:textId="77777777" w:rsidR="006B1AA5" w:rsidRPr="006B1AA5" w:rsidRDefault="006B1AA5" w:rsidP="006B1AA5">
      <w:pPr>
        <w:keepNext/>
        <w:numPr>
          <w:ilvl w:val="0"/>
          <w:numId w:val="1"/>
        </w:numPr>
        <w:spacing w:after="160" w:line="259" w:lineRule="auto"/>
        <w:contextualSpacing/>
        <w:jc w:val="left"/>
        <w:rPr>
          <w:rFonts w:ascii="Arial" w:hAnsi="Arial" w:cs="Arial"/>
          <w:sz w:val="22"/>
        </w:rPr>
      </w:pPr>
      <w:r w:rsidRPr="006B1AA5">
        <w:rPr>
          <w:rFonts w:ascii="Arial" w:hAnsi="Arial" w:cs="Arial"/>
          <w:sz w:val="22"/>
        </w:rPr>
        <w:t>The treatment approach</w:t>
      </w:r>
    </w:p>
    <w:tbl>
      <w:tblPr>
        <w:tblStyle w:val="QSliderLabelsTable"/>
        <w:tblW w:w="9576" w:type="auto"/>
        <w:tblInd w:w="0" w:type="dxa"/>
        <w:tblLook w:val="07E0" w:firstRow="1" w:lastRow="1" w:firstColumn="1" w:lastColumn="1" w:noHBand="1" w:noVBand="1"/>
      </w:tblPr>
      <w:tblGrid>
        <w:gridCol w:w="4454"/>
        <w:gridCol w:w="2286"/>
        <w:gridCol w:w="2286"/>
      </w:tblGrid>
      <w:tr w:rsidR="006B1AA5" w:rsidRPr="006B1AA5" w14:paraId="536DF694" w14:textId="77777777" w:rsidTr="00C531A8">
        <w:tc>
          <w:tcPr>
            <w:tcW w:w="4788" w:type="dxa"/>
          </w:tcPr>
          <w:p w14:paraId="5A583C66" w14:textId="77777777" w:rsidR="006B1AA5" w:rsidRPr="006B1AA5" w:rsidRDefault="006B1AA5" w:rsidP="006B1AA5">
            <w:pPr>
              <w:keepNext/>
              <w:spacing w:line="276" w:lineRule="auto"/>
              <w:jc w:val="left"/>
              <w:rPr>
                <w:rFonts w:ascii="Arial" w:hAnsi="Arial" w:cs="Arial"/>
                <w:sz w:val="22"/>
              </w:rPr>
            </w:pPr>
          </w:p>
        </w:tc>
        <w:tc>
          <w:tcPr>
            <w:tcW w:w="2394" w:type="dxa"/>
          </w:tcPr>
          <w:p w14:paraId="061206F3"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 xml:space="preserve">The therapist DID NOT </w:t>
            </w:r>
            <w:proofErr w:type="spellStart"/>
            <w:r w:rsidRPr="006B1AA5">
              <w:rPr>
                <w:rFonts w:ascii="Arial" w:hAnsi="Arial" w:cs="Arial"/>
                <w:sz w:val="22"/>
              </w:rPr>
              <w:t>instil</w:t>
            </w:r>
            <w:proofErr w:type="spellEnd"/>
            <w:r w:rsidRPr="006B1AA5">
              <w:rPr>
                <w:rFonts w:ascii="Arial" w:hAnsi="Arial" w:cs="Arial"/>
                <w:sz w:val="22"/>
              </w:rPr>
              <w:t xml:space="preserve"> hope for recovery</w:t>
            </w:r>
          </w:p>
        </w:tc>
        <w:tc>
          <w:tcPr>
            <w:tcW w:w="2394" w:type="dxa"/>
          </w:tcPr>
          <w:p w14:paraId="7CA14F59"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 xml:space="preserve">The therapist DID </w:t>
            </w:r>
            <w:proofErr w:type="spellStart"/>
            <w:r w:rsidRPr="006B1AA5">
              <w:rPr>
                <w:rFonts w:ascii="Arial" w:hAnsi="Arial" w:cs="Arial"/>
                <w:sz w:val="22"/>
              </w:rPr>
              <w:t>instil</w:t>
            </w:r>
            <w:proofErr w:type="spellEnd"/>
            <w:r w:rsidRPr="006B1AA5">
              <w:rPr>
                <w:rFonts w:ascii="Arial" w:hAnsi="Arial" w:cs="Arial"/>
                <w:sz w:val="22"/>
              </w:rPr>
              <w:t xml:space="preserve"> hope for recovery</w:t>
            </w:r>
          </w:p>
        </w:tc>
      </w:tr>
    </w:tbl>
    <w:p w14:paraId="3C995F50"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tbl>
      <w:tblPr>
        <w:tblStyle w:val="QStandardSliderTable"/>
        <w:tblW w:w="9576" w:type="auto"/>
        <w:tblLook w:val="07E0" w:firstRow="1" w:lastRow="1" w:firstColumn="1" w:lastColumn="1" w:noHBand="1" w:noVBand="1"/>
      </w:tblPr>
      <w:tblGrid>
        <w:gridCol w:w="4378"/>
        <w:gridCol w:w="4648"/>
      </w:tblGrid>
      <w:tr w:rsidR="006B1AA5" w:rsidRPr="006B1AA5" w14:paraId="4A43FE98" w14:textId="77777777" w:rsidTr="00C531A8">
        <w:tc>
          <w:tcPr>
            <w:cnfStyle w:val="001000000000" w:firstRow="0" w:lastRow="0" w:firstColumn="1" w:lastColumn="0" w:oddVBand="0" w:evenVBand="0" w:oddHBand="0" w:evenHBand="0" w:firstRowFirstColumn="0" w:firstRowLastColumn="0" w:lastRowFirstColumn="0" w:lastRowLastColumn="0"/>
            <w:tcW w:w="4788" w:type="dxa"/>
          </w:tcPr>
          <w:p w14:paraId="62EA47D8" w14:textId="77777777" w:rsidR="006B1AA5" w:rsidRPr="006B1AA5" w:rsidRDefault="006B1AA5" w:rsidP="006B1AA5">
            <w:pPr>
              <w:keepNext/>
              <w:spacing w:line="276" w:lineRule="auto"/>
              <w:jc w:val="left"/>
              <w:rPr>
                <w:rFonts w:ascii="Arial" w:hAnsi="Arial" w:cs="Arial"/>
                <w:sz w:val="22"/>
              </w:rPr>
            </w:pPr>
          </w:p>
        </w:tc>
        <w:tc>
          <w:tcPr>
            <w:tcW w:w="4788" w:type="dxa"/>
          </w:tcPr>
          <w:p w14:paraId="50D303C2" w14:textId="77777777" w:rsidR="006B1AA5" w:rsidRPr="006B1AA5" w:rsidRDefault="006B1AA5" w:rsidP="006B1AA5">
            <w:pPr>
              <w:keepNext/>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6B1AA5">
              <w:rPr>
                <w:rFonts w:ascii="Arial" w:hAnsi="Arial" w:cs="Arial"/>
                <w:noProof/>
                <w:sz w:val="22"/>
              </w:rPr>
              <w:drawing>
                <wp:inline distT="0" distB="0" distL="0" distR="0" wp14:anchorId="29B55EED" wp14:editId="2E0765AB">
                  <wp:extent cx="1905000" cy="304800"/>
                  <wp:effectExtent l="0" t="0" r="0" b="0"/>
                  <wp:docPr id="4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2D8AF43F"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46C8E55C"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2413D769" w14:textId="77777777" w:rsidR="006B1AA5" w:rsidRPr="006B1AA5" w:rsidRDefault="006B1AA5" w:rsidP="006B1AA5">
      <w:pPr>
        <w:pBdr>
          <w:top w:val="dashed" w:sz="8" w:space="0" w:color="CCCCCC"/>
        </w:pBdr>
        <w:spacing w:before="120" w:after="120" w:line="120" w:lineRule="auto"/>
        <w:jc w:val="left"/>
        <w:rPr>
          <w:rFonts w:ascii="Arial" w:eastAsiaTheme="minorEastAsia" w:hAnsi="Arial" w:cs="Arial"/>
          <w:kern w:val="0"/>
          <w:sz w:val="22"/>
          <w:lang w:val="en-US"/>
          <w14:ligatures w14:val="none"/>
        </w:rPr>
      </w:pPr>
    </w:p>
    <w:p w14:paraId="283B9A95"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11A60BE4" w14:textId="77777777" w:rsidR="006B1AA5" w:rsidRPr="006B1AA5" w:rsidRDefault="006B1AA5" w:rsidP="006B1AA5">
      <w:pPr>
        <w:keepNext/>
        <w:numPr>
          <w:ilvl w:val="0"/>
          <w:numId w:val="1"/>
        </w:numPr>
        <w:spacing w:after="160" w:line="259" w:lineRule="auto"/>
        <w:contextualSpacing/>
        <w:jc w:val="left"/>
        <w:rPr>
          <w:rFonts w:ascii="Arial" w:hAnsi="Arial" w:cs="Arial"/>
          <w:sz w:val="22"/>
        </w:rPr>
      </w:pPr>
      <w:r w:rsidRPr="006B1AA5">
        <w:rPr>
          <w:rFonts w:ascii="Arial" w:hAnsi="Arial" w:cs="Arial"/>
          <w:sz w:val="22"/>
        </w:rPr>
        <w:t xml:space="preserve">Overall, how helpful do you think </w:t>
      </w:r>
      <w:proofErr w:type="spellStart"/>
      <w:r w:rsidRPr="006B1AA5">
        <w:rPr>
          <w:rFonts w:ascii="Arial" w:hAnsi="Arial" w:cs="Arial"/>
          <w:sz w:val="22"/>
        </w:rPr>
        <w:t>your</w:t>
      </w:r>
      <w:proofErr w:type="spellEnd"/>
      <w:r w:rsidRPr="006B1AA5">
        <w:rPr>
          <w:rFonts w:ascii="Arial" w:hAnsi="Arial" w:cs="Arial"/>
          <w:sz w:val="22"/>
        </w:rPr>
        <w:t xml:space="preserve"> eating disorder treatment was?</w:t>
      </w:r>
    </w:p>
    <w:tbl>
      <w:tblPr>
        <w:tblStyle w:val="QSliderLabelsTable"/>
        <w:tblW w:w="9576" w:type="auto"/>
        <w:tblInd w:w="0" w:type="dxa"/>
        <w:tblLook w:val="07E0" w:firstRow="1" w:lastRow="1" w:firstColumn="1" w:lastColumn="1" w:noHBand="1" w:noVBand="1"/>
      </w:tblPr>
      <w:tblGrid>
        <w:gridCol w:w="4457"/>
        <w:gridCol w:w="2273"/>
        <w:gridCol w:w="2296"/>
      </w:tblGrid>
      <w:tr w:rsidR="006B1AA5" w:rsidRPr="006B1AA5" w14:paraId="2A6FB947" w14:textId="77777777" w:rsidTr="00C531A8">
        <w:tc>
          <w:tcPr>
            <w:tcW w:w="4788" w:type="dxa"/>
          </w:tcPr>
          <w:p w14:paraId="2A22E16D" w14:textId="77777777" w:rsidR="006B1AA5" w:rsidRPr="006B1AA5" w:rsidRDefault="006B1AA5" w:rsidP="006B1AA5">
            <w:pPr>
              <w:keepNext/>
              <w:spacing w:line="276" w:lineRule="auto"/>
              <w:jc w:val="left"/>
              <w:rPr>
                <w:rFonts w:ascii="Arial" w:hAnsi="Arial" w:cs="Arial"/>
                <w:sz w:val="22"/>
              </w:rPr>
            </w:pPr>
          </w:p>
        </w:tc>
        <w:tc>
          <w:tcPr>
            <w:tcW w:w="2394" w:type="dxa"/>
          </w:tcPr>
          <w:p w14:paraId="172EE3E6"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Not helpful at all</w:t>
            </w:r>
          </w:p>
        </w:tc>
        <w:tc>
          <w:tcPr>
            <w:tcW w:w="2394" w:type="dxa"/>
          </w:tcPr>
          <w:p w14:paraId="7CE9A519" w14:textId="77777777" w:rsidR="006B1AA5" w:rsidRPr="006B1AA5" w:rsidRDefault="006B1AA5" w:rsidP="006B1AA5">
            <w:pPr>
              <w:spacing w:line="276" w:lineRule="auto"/>
              <w:jc w:val="left"/>
              <w:rPr>
                <w:rFonts w:ascii="Arial" w:hAnsi="Arial" w:cs="Arial"/>
                <w:sz w:val="22"/>
              </w:rPr>
            </w:pPr>
            <w:r w:rsidRPr="006B1AA5">
              <w:rPr>
                <w:rFonts w:ascii="Arial" w:hAnsi="Arial" w:cs="Arial"/>
                <w:sz w:val="22"/>
              </w:rPr>
              <w:t>Extremely helpful</w:t>
            </w:r>
          </w:p>
        </w:tc>
      </w:tr>
    </w:tbl>
    <w:p w14:paraId="1B23A2C0"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tbl>
      <w:tblPr>
        <w:tblStyle w:val="QStandardSliderTable"/>
        <w:tblW w:w="9576" w:type="auto"/>
        <w:tblLook w:val="07E0" w:firstRow="1" w:lastRow="1" w:firstColumn="1" w:lastColumn="1" w:noHBand="1" w:noVBand="1"/>
      </w:tblPr>
      <w:tblGrid>
        <w:gridCol w:w="4378"/>
        <w:gridCol w:w="4648"/>
      </w:tblGrid>
      <w:tr w:rsidR="006B1AA5" w:rsidRPr="006B1AA5" w14:paraId="59C1DDC7" w14:textId="77777777" w:rsidTr="00C531A8">
        <w:tc>
          <w:tcPr>
            <w:cnfStyle w:val="001000000000" w:firstRow="0" w:lastRow="0" w:firstColumn="1" w:lastColumn="0" w:oddVBand="0" w:evenVBand="0" w:oddHBand="0" w:evenHBand="0" w:firstRowFirstColumn="0" w:firstRowLastColumn="0" w:lastRowFirstColumn="0" w:lastRowLastColumn="0"/>
            <w:tcW w:w="4788" w:type="dxa"/>
          </w:tcPr>
          <w:p w14:paraId="41275DF1" w14:textId="77777777" w:rsidR="006B1AA5" w:rsidRPr="006B1AA5" w:rsidRDefault="006B1AA5" w:rsidP="006B1AA5">
            <w:pPr>
              <w:keepNext/>
              <w:spacing w:line="276" w:lineRule="auto"/>
              <w:jc w:val="left"/>
              <w:rPr>
                <w:rFonts w:ascii="Arial" w:hAnsi="Arial" w:cs="Arial"/>
                <w:sz w:val="22"/>
              </w:rPr>
            </w:pPr>
            <w:r w:rsidRPr="006B1AA5">
              <w:rPr>
                <w:rFonts w:ascii="Arial" w:hAnsi="Arial" w:cs="Arial"/>
                <w:sz w:val="22"/>
              </w:rPr>
              <w:t xml:space="preserve"> </w:t>
            </w:r>
          </w:p>
        </w:tc>
        <w:tc>
          <w:tcPr>
            <w:tcW w:w="4788" w:type="dxa"/>
          </w:tcPr>
          <w:p w14:paraId="1E4BB740" w14:textId="77777777" w:rsidR="006B1AA5" w:rsidRPr="006B1AA5" w:rsidRDefault="006B1AA5" w:rsidP="006B1AA5">
            <w:pPr>
              <w:keepNext/>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6B1AA5">
              <w:rPr>
                <w:rFonts w:ascii="Arial" w:hAnsi="Arial" w:cs="Arial"/>
                <w:noProof/>
                <w:sz w:val="22"/>
              </w:rPr>
              <w:drawing>
                <wp:inline distT="0" distB="0" distL="0" distR="0" wp14:anchorId="6CD4141B" wp14:editId="1F14387C">
                  <wp:extent cx="1905000" cy="304800"/>
                  <wp:effectExtent l="0" t="0" r="0" b="0"/>
                  <wp:docPr id="4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7D65F8BA"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4C03E4D1"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4C6DF978"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32085EBD"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r w:rsidRPr="006B1AA5">
        <w:rPr>
          <w:rFonts w:ascii="Arial" w:eastAsiaTheme="minorEastAsia" w:hAnsi="Arial" w:cs="Arial"/>
          <w:kern w:val="0"/>
          <w:sz w:val="22"/>
          <w:lang w:val="en-US"/>
          <w14:ligatures w14:val="none"/>
        </w:rPr>
        <w:t xml:space="preserve">Questions 1-10 </w:t>
      </w:r>
      <w:proofErr w:type="spellStart"/>
      <w:r w:rsidRPr="006B1AA5">
        <w:rPr>
          <w:rFonts w:ascii="Arial" w:eastAsiaTheme="minorEastAsia" w:hAnsi="Arial" w:cs="Arial"/>
          <w:kern w:val="0"/>
          <w:sz w:val="22"/>
          <w:lang w:val="en-US"/>
          <w14:ligatures w14:val="none"/>
        </w:rPr>
        <w:t>utilise</w:t>
      </w:r>
      <w:proofErr w:type="spellEnd"/>
      <w:r w:rsidRPr="006B1AA5">
        <w:rPr>
          <w:rFonts w:ascii="Arial" w:eastAsiaTheme="minorEastAsia" w:hAnsi="Arial" w:cs="Arial"/>
          <w:kern w:val="0"/>
          <w:sz w:val="22"/>
          <w:lang w:val="en-US"/>
          <w14:ligatures w14:val="none"/>
        </w:rPr>
        <w:t xml:space="preserve"> a Likert sliding scale response ( -50 to 50, range= 100) </w:t>
      </w:r>
    </w:p>
    <w:p w14:paraId="062752F4"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2DA60966" w14:textId="77777777" w:rsidR="006B1AA5" w:rsidRPr="006B1AA5" w:rsidRDefault="006B1AA5" w:rsidP="006B1AA5">
      <w:pPr>
        <w:spacing w:line="276" w:lineRule="auto"/>
        <w:jc w:val="left"/>
        <w:rPr>
          <w:rFonts w:ascii="Arial" w:eastAsiaTheme="minorEastAsia" w:hAnsi="Arial" w:cs="Arial"/>
          <w:kern w:val="0"/>
          <w:sz w:val="22"/>
          <w:lang w:val="en-US"/>
          <w14:ligatures w14:val="none"/>
        </w:rPr>
      </w:pPr>
    </w:p>
    <w:p w14:paraId="55C34EB8" w14:textId="77777777" w:rsidR="006B1AA5" w:rsidRPr="006B1AA5" w:rsidRDefault="006B1AA5" w:rsidP="006B1AA5">
      <w:pPr>
        <w:spacing w:line="276" w:lineRule="auto"/>
        <w:jc w:val="left"/>
        <w:rPr>
          <w:rFonts w:asciiTheme="minorHAnsi" w:eastAsiaTheme="minorEastAsia" w:hAnsiTheme="minorHAnsi"/>
          <w:kern w:val="0"/>
          <w:sz w:val="22"/>
          <w:lang w:val="en-US"/>
          <w14:ligatures w14:val="none"/>
        </w:rPr>
      </w:pPr>
      <w:bookmarkStart w:id="2" w:name="_Hlk185336079"/>
      <w:r w:rsidRPr="006B1AA5">
        <w:rPr>
          <w:rFonts w:ascii="Arial" w:eastAsiaTheme="minorEastAsia" w:hAnsi="Arial" w:cs="Arial"/>
          <w:kern w:val="0"/>
          <w:sz w:val="22"/>
          <w:lang w:val="en-US"/>
          <w14:ligatures w14:val="none"/>
        </w:rPr>
        <w:t>© The Treatment Experiences Sliding Scale Rater (TESSR) can be used and reproduced with permission from the author: J.Conti@westernsydney.edu.au</w:t>
      </w:r>
      <w:bookmarkEnd w:id="1"/>
      <w:bookmarkEnd w:id="2"/>
    </w:p>
    <w:p w14:paraId="43C29D1F" w14:textId="77777777" w:rsidR="00F564C3" w:rsidRPr="006B1AA5" w:rsidRDefault="00F564C3" w:rsidP="00F564C3">
      <w:pPr>
        <w:rPr>
          <w:rFonts w:ascii="Arial" w:hAnsi="Arial" w:cs="Arial"/>
          <w:lang w:val="en-US"/>
        </w:rPr>
      </w:pPr>
    </w:p>
    <w:p w14:paraId="1CE94FEB" w14:textId="77777777" w:rsidR="00F564C3" w:rsidRPr="006B1AA5" w:rsidRDefault="00F564C3"/>
    <w:p w14:paraId="7BC50026" w14:textId="77777777" w:rsidR="00F564C3" w:rsidRDefault="00F564C3">
      <w:pPr>
        <w:rPr>
          <w:lang w:val="en-US"/>
        </w:rPr>
      </w:pPr>
    </w:p>
    <w:p w14:paraId="50984CF0" w14:textId="77777777" w:rsidR="00C1613B" w:rsidRDefault="00C1613B">
      <w:pPr>
        <w:rPr>
          <w:lang w:val="en-US"/>
        </w:rPr>
      </w:pPr>
    </w:p>
    <w:p w14:paraId="281D6498" w14:textId="77777777" w:rsidR="00C1613B" w:rsidRDefault="00C1613B">
      <w:pPr>
        <w:rPr>
          <w:lang w:val="en-US"/>
        </w:rPr>
      </w:pPr>
    </w:p>
    <w:p w14:paraId="4B197753" w14:textId="77777777" w:rsidR="00FB46C8" w:rsidRPr="00B26BC9" w:rsidRDefault="00FB46C8" w:rsidP="00FB46C8">
      <w:pPr>
        <w:rPr>
          <w:rFonts w:cs="Times New Roman"/>
          <w:szCs w:val="24"/>
          <w:lang w:val="en-US"/>
        </w:rPr>
      </w:pPr>
      <w:r w:rsidRPr="00B26BC9">
        <w:rPr>
          <w:rFonts w:cs="Times New Roman"/>
          <w:b/>
          <w:bCs/>
          <w:szCs w:val="24"/>
          <w:lang w:val="en-US"/>
        </w:rPr>
        <w:lastRenderedPageBreak/>
        <w:t xml:space="preserve">Data Analysis – Statistical Analyses </w:t>
      </w:r>
    </w:p>
    <w:p w14:paraId="778AFF1D" w14:textId="6AC2464E" w:rsidR="00FB46C8" w:rsidRDefault="00FB46C8" w:rsidP="00C1613B">
      <w:pPr>
        <w:rPr>
          <w:rFonts w:cs="Times New Roman"/>
          <w:b/>
          <w:bCs/>
          <w:szCs w:val="24"/>
          <w:highlight w:val="yellow"/>
        </w:rPr>
      </w:pPr>
      <w:r w:rsidRPr="00B26BC9">
        <w:rPr>
          <w:rFonts w:cs="Times New Roman"/>
          <w:szCs w:val="24"/>
        </w:rPr>
        <w:t xml:space="preserve">Quantitative statistical methods (correlations and between-group comparisons) were employed to test the presence of putative defining features related to the currently proposed definition of L-AN. IBM® SPSS® Statistics 26 was used for all statistical analyses. Data were exported from Qualtrics, inspected, cleaned, and tested for normality. </w:t>
      </w:r>
      <w:r w:rsidRPr="00B26BC9">
        <w:rPr>
          <w:rFonts w:cs="Times New Roman"/>
          <w:szCs w:val="24"/>
          <w:highlight w:val="yellow"/>
        </w:rPr>
        <w:t>Nonparametric</w:t>
      </w:r>
      <w:r w:rsidRPr="00B26BC9">
        <w:rPr>
          <w:rFonts w:cs="Times New Roman"/>
          <w:szCs w:val="24"/>
        </w:rPr>
        <w:t xml:space="preserve"> descriptives and continuous data utilized </w:t>
      </w:r>
      <w:r w:rsidRPr="00B26BC9">
        <w:rPr>
          <w:rFonts w:cs="Times New Roman"/>
          <w:kern w:val="0"/>
          <w:szCs w:val="24"/>
          <w14:ligatures w14:val="none"/>
        </w:rPr>
        <w:t xml:space="preserve">the median and interquartile range (IQR), while for categorical data, the mean and standard deviation, or </w:t>
      </w:r>
      <w:r w:rsidRPr="00443737">
        <w:rPr>
          <w:rFonts w:cs="Times New Roman"/>
          <w:kern w:val="0"/>
          <w:szCs w:val="24"/>
          <w14:ligatures w14:val="none"/>
        </w:rPr>
        <w:t>N%, were used</w:t>
      </w:r>
      <w:r w:rsidRPr="00B26BC9">
        <w:rPr>
          <w:rFonts w:cs="Times New Roman"/>
          <w:kern w:val="0"/>
          <w:szCs w:val="24"/>
          <w14:ligatures w14:val="none"/>
        </w:rPr>
        <w:t>.</w:t>
      </w:r>
      <w:r w:rsidRPr="00B26BC9">
        <w:rPr>
          <w:rFonts w:cs="Times New Roman"/>
          <w:szCs w:val="24"/>
          <w:lang w:val="en-US"/>
        </w:rPr>
        <w:t xml:space="preserve"> </w:t>
      </w:r>
      <w:r w:rsidRPr="00B26BC9">
        <w:rPr>
          <w:rFonts w:cs="Times New Roman"/>
          <w:szCs w:val="24"/>
        </w:rPr>
        <w:t xml:space="preserve">Inferential statistics, e.g., </w:t>
      </w:r>
      <w:r w:rsidRPr="00B26BC9">
        <w:rPr>
          <w:rFonts w:cs="Times New Roman"/>
          <w:szCs w:val="24"/>
          <w:lang w:val="en-US"/>
        </w:rPr>
        <w:t xml:space="preserve">correlation coefficient (Spearman </w:t>
      </w:r>
      <w:proofErr w:type="spellStart"/>
      <w:r w:rsidRPr="00B26BC9">
        <w:rPr>
          <w:rFonts w:cs="Times New Roman"/>
          <w:szCs w:val="24"/>
          <w:lang w:val="en-US"/>
        </w:rPr>
        <w:t>r</w:t>
      </w:r>
      <w:r w:rsidRPr="00B26BC9">
        <w:rPr>
          <w:rFonts w:cs="Times New Roman"/>
          <w:szCs w:val="24"/>
          <w:vertAlign w:val="subscript"/>
          <w:lang w:val="en-US"/>
        </w:rPr>
        <w:t>s</w:t>
      </w:r>
      <w:proofErr w:type="spellEnd"/>
      <w:r w:rsidRPr="00B26BC9">
        <w:rPr>
          <w:rFonts w:cs="Times New Roman"/>
          <w:szCs w:val="24"/>
          <w:lang w:val="en-US"/>
        </w:rPr>
        <w:t xml:space="preserve">) </w:t>
      </w:r>
      <w:r w:rsidRPr="00B26BC9">
        <w:rPr>
          <w:rFonts w:cs="Times New Roman"/>
          <w:szCs w:val="24"/>
        </w:rPr>
        <w:t xml:space="preserve">were used to </w:t>
      </w:r>
      <w:r w:rsidRPr="00B26BC9">
        <w:rPr>
          <w:rFonts w:cs="Times New Roman"/>
          <w:szCs w:val="24"/>
          <w:lang w:val="en-US"/>
        </w:rPr>
        <w:t xml:space="preserve">explore associations between the putative features of L-AN and </w:t>
      </w:r>
      <w:proofErr w:type="spellStart"/>
      <w:r w:rsidRPr="00B26BC9">
        <w:rPr>
          <w:rFonts w:cs="Times New Roman"/>
          <w:szCs w:val="24"/>
          <w:lang w:val="en-US"/>
        </w:rPr>
        <w:t>DoI</w:t>
      </w:r>
      <w:proofErr w:type="spellEnd"/>
      <w:r w:rsidRPr="00B26BC9">
        <w:rPr>
          <w:rFonts w:cs="Times New Roman"/>
          <w:szCs w:val="24"/>
          <w:lang w:val="en-US"/>
        </w:rPr>
        <w:t xml:space="preserve">. </w:t>
      </w:r>
      <w:r w:rsidRPr="00B26BC9">
        <w:rPr>
          <w:rFonts w:cs="Times New Roman"/>
          <w:szCs w:val="24"/>
        </w:rPr>
        <w:t xml:space="preserve">Between-group comparisons </w:t>
      </w:r>
      <w:r w:rsidRPr="00B26BC9">
        <w:rPr>
          <w:rFonts w:cs="Times New Roman"/>
          <w:kern w:val="0"/>
          <w:szCs w:val="24"/>
          <w14:ligatures w14:val="none"/>
        </w:rPr>
        <w:t>employed univariate statistical tests as appropriate, such as the t-test or Mann-Whitney U test</w:t>
      </w:r>
      <w:r>
        <w:rPr>
          <w:rStyle w:val="FootnoteReference"/>
          <w:rFonts w:cs="Times New Roman"/>
          <w:kern w:val="0"/>
          <w:szCs w:val="24"/>
          <w14:ligatures w14:val="none"/>
        </w:rPr>
        <w:footnoteReference w:id="1"/>
      </w:r>
      <w:r w:rsidRPr="00B26BC9">
        <w:rPr>
          <w:rFonts w:cs="Times New Roman"/>
          <w:kern w:val="0"/>
          <w:szCs w:val="24"/>
          <w14:ligatures w14:val="none"/>
        </w:rPr>
        <w:t xml:space="preserve"> for continuous data, or the Chi-square (</w:t>
      </w:r>
      <w:r w:rsidRPr="00B26BC9">
        <w:rPr>
          <w:rFonts w:cs="Times New Roman"/>
          <w:kern w:val="0"/>
          <w:szCs w:val="24"/>
          <w:lang w:val="en-US"/>
          <w14:ligatures w14:val="none"/>
        </w:rPr>
        <w:t>χ</w:t>
      </w:r>
      <w:r w:rsidRPr="00B26BC9">
        <w:rPr>
          <w:rFonts w:cs="Times New Roman"/>
          <w:kern w:val="0"/>
          <w:szCs w:val="24"/>
          <w:vertAlign w:val="superscript"/>
          <w:lang w:val="en-US"/>
          <w14:ligatures w14:val="none"/>
        </w:rPr>
        <w:t>2</w:t>
      </w:r>
      <w:r w:rsidRPr="00B26BC9">
        <w:rPr>
          <w:rFonts w:cs="Times New Roman"/>
          <w:kern w:val="0"/>
          <w:szCs w:val="24"/>
          <w:lang w:val="en-US"/>
          <w14:ligatures w14:val="none"/>
        </w:rPr>
        <w:t>) test</w:t>
      </w:r>
      <w:r w:rsidRPr="00B26BC9">
        <w:rPr>
          <w:rFonts w:cs="Times New Roman"/>
          <w:kern w:val="0"/>
          <w:szCs w:val="24"/>
          <w14:ligatures w14:val="none"/>
        </w:rPr>
        <w:t xml:space="preserve"> for</w:t>
      </w:r>
      <w:r w:rsidRPr="00B26BC9" w:rsidDel="001F2AB2">
        <w:rPr>
          <w:rFonts w:cs="Times New Roman"/>
          <w:szCs w:val="24"/>
        </w:rPr>
        <w:t xml:space="preserve"> </w:t>
      </w:r>
      <w:r w:rsidRPr="00B26BC9">
        <w:rPr>
          <w:rFonts w:cs="Times New Roman"/>
          <w:szCs w:val="24"/>
        </w:rPr>
        <w:t xml:space="preserve">categorical data. The Mann-Whitney U test was also used when sample sizes were less than 10 as a more conservative approach. </w:t>
      </w:r>
      <w:r w:rsidRPr="00B26BC9">
        <w:rPr>
          <w:rFonts w:cs="Times New Roman"/>
          <w:szCs w:val="24"/>
          <w:highlight w:val="yellow"/>
        </w:rPr>
        <w:t>In the case of underpowered samples, correlations were not reported</w:t>
      </w:r>
      <w:r w:rsidRPr="00B26BC9">
        <w:rPr>
          <w:rFonts w:cs="Times New Roman"/>
          <w:szCs w:val="24"/>
        </w:rPr>
        <w:t>.</w:t>
      </w:r>
      <w:r>
        <w:rPr>
          <w:rFonts w:cs="Times New Roman"/>
          <w:szCs w:val="24"/>
        </w:rPr>
        <w:t xml:space="preserve"> </w:t>
      </w:r>
      <w:r w:rsidRPr="00B26BC9">
        <w:rPr>
          <w:rFonts w:cs="Times New Roman"/>
          <w:szCs w:val="24"/>
        </w:rPr>
        <w:t xml:space="preserve">No imputations were made for responses that were missing. Statistical significance was set at p&lt;0.05, and Cronbach’s </w:t>
      </w:r>
      <w:r w:rsidRPr="00B26BC9">
        <w:rPr>
          <w:rFonts w:cs="Times New Roman"/>
          <w:color w:val="111111"/>
          <w:szCs w:val="24"/>
          <w:shd w:val="clear" w:color="auto" w:fill="FFFFFF"/>
        </w:rPr>
        <w:t>α</w:t>
      </w:r>
      <w:r w:rsidRPr="00B26BC9">
        <w:rPr>
          <w:rFonts w:cs="Times New Roman"/>
          <w:szCs w:val="24"/>
        </w:rPr>
        <w:t xml:space="preserve"> was used to assess the reliability of quantitative measures.</w:t>
      </w:r>
    </w:p>
    <w:p w14:paraId="3F66EDEC" w14:textId="77777777" w:rsidR="00FB46C8" w:rsidRPr="00FB46C8" w:rsidRDefault="00FB46C8" w:rsidP="00C1613B">
      <w:pPr>
        <w:rPr>
          <w:rFonts w:cs="Times New Roman"/>
          <w:b/>
          <w:bCs/>
          <w:szCs w:val="24"/>
          <w:highlight w:val="yellow"/>
        </w:rPr>
      </w:pPr>
    </w:p>
    <w:p w14:paraId="17125B7A" w14:textId="7AD428B3" w:rsidR="00C1613B" w:rsidRPr="00B26BC9" w:rsidRDefault="00C1613B" w:rsidP="00C1613B">
      <w:pPr>
        <w:rPr>
          <w:rFonts w:cs="Times New Roman"/>
          <w:szCs w:val="24"/>
          <w:highlight w:val="yellow"/>
        </w:rPr>
      </w:pPr>
      <w:r w:rsidRPr="00B26BC9">
        <w:rPr>
          <w:rFonts w:cs="Times New Roman"/>
          <w:szCs w:val="24"/>
          <w:highlight w:val="yellow"/>
        </w:rPr>
        <w:t xml:space="preserve">We did not have pilot data on which to base </w:t>
      </w:r>
      <w:proofErr w:type="spellStart"/>
      <w:r w:rsidRPr="00B26BC9">
        <w:rPr>
          <w:rFonts w:cs="Times New Roman"/>
          <w:szCs w:val="24"/>
          <w:highlight w:val="yellow"/>
        </w:rPr>
        <w:t>an</w:t>
      </w:r>
      <w:proofErr w:type="spellEnd"/>
      <w:r w:rsidRPr="00B26BC9">
        <w:rPr>
          <w:rFonts w:cs="Times New Roman"/>
          <w:szCs w:val="24"/>
          <w:highlight w:val="yellow"/>
        </w:rPr>
        <w:t xml:space="preserve"> </w:t>
      </w:r>
      <w:r w:rsidRPr="00B26BC9">
        <w:rPr>
          <w:rFonts w:cs="Times New Roman"/>
          <w:i/>
          <w:iCs/>
          <w:szCs w:val="24"/>
          <w:highlight w:val="yellow"/>
        </w:rPr>
        <w:t>a priori</w:t>
      </w:r>
      <w:r w:rsidRPr="00B26BC9">
        <w:rPr>
          <w:rFonts w:cs="Times New Roman"/>
          <w:szCs w:val="24"/>
          <w:highlight w:val="yellow"/>
        </w:rPr>
        <w:t xml:space="preserve"> power estimate. However, regarding </w:t>
      </w:r>
      <w:r w:rsidRPr="00B26BC9">
        <w:rPr>
          <w:rFonts w:cs="Times New Roman"/>
          <w:kern w:val="0"/>
          <w:szCs w:val="24"/>
          <w:highlight w:val="yellow"/>
          <w14:ligatures w14:val="none"/>
        </w:rPr>
        <w:t>the statistics in Table 3, for the parametric t-test, according to Cohen’s estimate, for a power of 0.2 and a one-sided alpha of 0.05, the minimum sample size per group is 21 for a standardized effect size (ES) of 0.8 (a large effect size) and 51 for a medium</w:t>
      </w:r>
      <w:r w:rsidRPr="00B26BC9">
        <w:rPr>
          <w:rFonts w:cs="Times New Roman"/>
          <w:szCs w:val="24"/>
          <w:highlight w:val="yellow"/>
        </w:rPr>
        <w:t xml:space="preserve"> ES. We have added Cohen’s </w:t>
      </w:r>
      <w:r w:rsidRPr="009F69AE">
        <w:rPr>
          <w:rFonts w:cs="Times New Roman"/>
          <w:i/>
          <w:iCs/>
          <w:szCs w:val="24"/>
          <w:highlight w:val="yellow"/>
        </w:rPr>
        <w:t>d</w:t>
      </w:r>
      <w:r w:rsidRPr="00B26BC9">
        <w:rPr>
          <w:rFonts w:cs="Times New Roman"/>
          <w:szCs w:val="24"/>
          <w:highlight w:val="yellow"/>
        </w:rPr>
        <w:t xml:space="preserve"> to Table 3. We have conducted a retrospective </w:t>
      </w:r>
      <w:r w:rsidRPr="00FD35A7">
        <w:rPr>
          <w:rFonts w:cs="Times New Roman"/>
          <w:szCs w:val="24"/>
          <w:highlight w:val="yellow"/>
        </w:rPr>
        <w:t xml:space="preserve">power analysis for the Mann-Whitney U tests, with a 95% probability of preventing Type 1 error and 80% </w:t>
      </w:r>
      <w:r w:rsidRPr="00B26BC9">
        <w:rPr>
          <w:rFonts w:cs="Times New Roman"/>
          <w:szCs w:val="24"/>
          <w:highlight w:val="yellow"/>
        </w:rPr>
        <w:t xml:space="preserve">probability of preventing Type 2 error. For </w:t>
      </w:r>
      <w:proofErr w:type="spellStart"/>
      <w:r w:rsidRPr="00B26BC9">
        <w:rPr>
          <w:rFonts w:cs="Times New Roman"/>
          <w:szCs w:val="24"/>
          <w:highlight w:val="yellow"/>
        </w:rPr>
        <w:t>MHRQoL</w:t>
      </w:r>
      <w:proofErr w:type="spellEnd"/>
      <w:r w:rsidRPr="00B26BC9">
        <w:rPr>
          <w:rFonts w:cs="Times New Roman"/>
          <w:szCs w:val="24"/>
          <w:highlight w:val="yellow"/>
        </w:rPr>
        <w:t xml:space="preserve">, the minimum sample size should be 58 per group; </w:t>
      </w:r>
      <w:r>
        <w:rPr>
          <w:rFonts w:cs="Times New Roman"/>
          <w:szCs w:val="24"/>
          <w:highlight w:val="yellow"/>
        </w:rPr>
        <w:t xml:space="preserve">thus, </w:t>
      </w:r>
      <w:r w:rsidRPr="00B26BC9">
        <w:rPr>
          <w:rFonts w:cs="Times New Roman"/>
          <w:szCs w:val="24"/>
          <w:highlight w:val="yellow"/>
        </w:rPr>
        <w:t>we acknowledge that we were underpowered.</w:t>
      </w:r>
      <w:r>
        <w:rPr>
          <w:rStyle w:val="FootnoteReference"/>
          <w:rFonts w:cs="Times New Roman"/>
          <w:szCs w:val="24"/>
          <w:highlight w:val="yellow"/>
        </w:rPr>
        <w:footnoteReference w:id="2"/>
      </w:r>
      <w:r w:rsidRPr="00B26BC9">
        <w:rPr>
          <w:rFonts w:cs="Times New Roman"/>
          <w:szCs w:val="24"/>
          <w:highlight w:val="yellow"/>
        </w:rPr>
        <w:t xml:space="preserve">  </w:t>
      </w:r>
    </w:p>
    <w:p w14:paraId="364C1C41" w14:textId="77777777" w:rsidR="00C1613B" w:rsidRPr="00B26BC9" w:rsidRDefault="00C1613B" w:rsidP="00C1613B">
      <w:pPr>
        <w:rPr>
          <w:rFonts w:cs="Times New Roman"/>
          <w:szCs w:val="24"/>
          <w:highlight w:val="yellow"/>
        </w:rPr>
      </w:pPr>
    </w:p>
    <w:p w14:paraId="20E4C7A7" w14:textId="69EE7420" w:rsidR="00C1613B" w:rsidRPr="00FD35A7" w:rsidRDefault="00C1613B" w:rsidP="00C1613B">
      <w:pPr>
        <w:rPr>
          <w:rFonts w:cs="Times New Roman"/>
          <w:szCs w:val="24"/>
          <w:highlight w:val="yellow"/>
        </w:rPr>
      </w:pPr>
      <w:r w:rsidRPr="00B26BC9">
        <w:rPr>
          <w:rFonts w:cs="Times New Roman"/>
          <w:szCs w:val="24"/>
          <w:highlight w:val="yellow"/>
        </w:rPr>
        <w:t>Regarding the statistics in Table 4, for Spearman rank (</w:t>
      </w:r>
      <w:proofErr w:type="spellStart"/>
      <w:r w:rsidRPr="00B26BC9">
        <w:rPr>
          <w:rFonts w:cs="Times New Roman"/>
          <w:szCs w:val="24"/>
          <w:highlight w:val="yellow"/>
        </w:rPr>
        <w:t>rs</w:t>
      </w:r>
      <w:proofErr w:type="spellEnd"/>
      <w:r w:rsidRPr="00B26BC9">
        <w:rPr>
          <w:rFonts w:cs="Times New Roman"/>
          <w:szCs w:val="24"/>
          <w:highlight w:val="yellow"/>
        </w:rPr>
        <w:t xml:space="preserve">) correlational statistics </w:t>
      </w:r>
      <w:r w:rsidRPr="00B26BC9">
        <w:rPr>
          <w:rFonts w:cs="Times New Roman"/>
          <w:szCs w:val="24"/>
          <w:highlight w:val="yellow"/>
        </w:rPr>
        <w:fldChar w:fldCharType="begin"/>
      </w:r>
      <w:r>
        <w:rPr>
          <w:rFonts w:cs="Times New Roman"/>
          <w:szCs w:val="24"/>
          <w:highlight w:val="yellow"/>
        </w:rPr>
        <w:instrText xml:space="preserve"> ADDIN EN.CITE &lt;EndNote&gt;&lt;Cite&gt;&lt;Author&gt;Mohamad Adam&lt;/Author&gt;&lt;Year&gt;2024&lt;/Year&gt;&lt;RecNum&gt;22571&lt;/RecNum&gt;&lt;DisplayText&gt;(11)&lt;/DisplayText&gt;&lt;record&gt;&lt;rec-number&gt;22571&lt;/rec-number&gt;&lt;foreign-keys&gt;&lt;key app="EN" db-id="vvarfetvye59dee5sp250wfd2wve2sepftre" timestamp="1753150733"&gt;22571&lt;/key&gt;&lt;/foreign-keys&gt;&lt;ref-type name="Journal Article"&gt;17&lt;/ref-type&gt;&lt;contributors&gt;&lt;authors&gt;&lt;author&gt;Mohamad Adam, Bujang&lt;/author&gt;&lt;/authors&gt;&lt;/contributors&gt;&lt;titles&gt;&lt;title&gt;An elaboration on sample size determination for correlations based on effect sizes and confidence interval width: a guide for researchers&lt;/title&gt;&lt;secondary-title&gt;Restorative dentistry &amp;amp; endodontics&lt;/secondary-title&gt;&lt;/titles&gt;&lt;periodical&gt;&lt;full-title&gt;Restorative dentistry &amp;amp; endodontics&lt;/full-title&gt;&lt;/periodical&gt;&lt;pages&gt;21.1-21.8&lt;/pages&gt;&lt;volume&gt;49&lt;/volume&gt;&lt;number&gt;2&lt;/number&gt;&lt;dates&gt;&lt;year&gt;2024&lt;/year&gt;&lt;/dates&gt;&lt;isbn&gt;2234-7658&lt;/isbn&gt;&lt;urls&gt;&lt;/urls&gt;&lt;/record&gt;&lt;/Cite&gt;&lt;/EndNote&gt;</w:instrText>
      </w:r>
      <w:r w:rsidRPr="00B26BC9">
        <w:rPr>
          <w:rFonts w:cs="Times New Roman"/>
          <w:szCs w:val="24"/>
          <w:highlight w:val="yellow"/>
        </w:rPr>
        <w:fldChar w:fldCharType="separate"/>
      </w:r>
      <w:r>
        <w:rPr>
          <w:rFonts w:cs="Times New Roman"/>
          <w:noProof/>
          <w:szCs w:val="24"/>
          <w:highlight w:val="yellow"/>
        </w:rPr>
        <w:t>(11)</w:t>
      </w:r>
      <w:r w:rsidRPr="00B26BC9">
        <w:rPr>
          <w:rFonts w:cs="Times New Roman"/>
          <w:szCs w:val="24"/>
          <w:highlight w:val="yellow"/>
        </w:rPr>
        <w:fldChar w:fldCharType="end"/>
      </w:r>
      <w:r w:rsidRPr="00B26BC9">
        <w:rPr>
          <w:rFonts w:cs="Times New Roman"/>
          <w:szCs w:val="24"/>
          <w:highlight w:val="yellow"/>
        </w:rPr>
        <w:t xml:space="preserve"> with 95% confidence interval (CI) and medium precision (CI width of 0.3), the recommended sample size is between 35 (for </w:t>
      </w:r>
      <w:proofErr w:type="spellStart"/>
      <w:r w:rsidRPr="00B26BC9">
        <w:rPr>
          <w:rFonts w:cs="Times New Roman"/>
          <w:szCs w:val="24"/>
          <w:highlight w:val="yellow"/>
        </w:rPr>
        <w:t>rs</w:t>
      </w:r>
      <w:proofErr w:type="spellEnd"/>
      <w:r w:rsidRPr="00B26BC9">
        <w:rPr>
          <w:rFonts w:cs="Times New Roman"/>
          <w:szCs w:val="24"/>
          <w:highlight w:val="yellow"/>
        </w:rPr>
        <w:t xml:space="preserve"> = 0.8) and 111 (for </w:t>
      </w:r>
      <w:proofErr w:type="spellStart"/>
      <w:r w:rsidRPr="00B26BC9">
        <w:rPr>
          <w:rFonts w:cs="Times New Roman"/>
          <w:szCs w:val="24"/>
          <w:highlight w:val="yellow"/>
        </w:rPr>
        <w:t>rs</w:t>
      </w:r>
      <w:proofErr w:type="spellEnd"/>
      <w:r w:rsidRPr="00B26BC9">
        <w:rPr>
          <w:rFonts w:cs="Times New Roman"/>
          <w:szCs w:val="24"/>
          <w:highlight w:val="yellow"/>
        </w:rPr>
        <w:t xml:space="preserve"> = 0.3). Thus, power was adequate for the Spearman rank correlations (sample n=199).</w:t>
      </w:r>
      <w:r>
        <w:rPr>
          <w:rFonts w:cs="Times New Roman"/>
          <w:szCs w:val="24"/>
        </w:rPr>
        <w:t xml:space="preserve"> </w:t>
      </w:r>
      <w:r w:rsidRPr="00FD35A7">
        <w:rPr>
          <w:rFonts w:cs="Times New Roman"/>
          <w:szCs w:val="24"/>
          <w:highlight w:val="yellow"/>
        </w:rPr>
        <w:t>Regarding Table 5, we only presented statistics for groups with a sample size greater than 30. The post-hoc power calculation for an alpha of 0.05 was 5.6%.</w:t>
      </w:r>
    </w:p>
    <w:p w14:paraId="69529858" w14:textId="77777777" w:rsidR="00C1613B" w:rsidRDefault="00C1613B">
      <w:pPr>
        <w:rPr>
          <w:lang w:val="en-US"/>
        </w:rPr>
      </w:pPr>
    </w:p>
    <w:p w14:paraId="697AC0A8" w14:textId="77777777" w:rsidR="00C1613B" w:rsidRDefault="00C1613B">
      <w:pPr>
        <w:rPr>
          <w:lang w:val="en-US"/>
        </w:rPr>
      </w:pPr>
    </w:p>
    <w:p w14:paraId="64660987" w14:textId="77777777" w:rsidR="00C1613B" w:rsidRPr="00C1613B" w:rsidRDefault="00F564C3" w:rsidP="00C1613B">
      <w:pPr>
        <w:pStyle w:val="EndNoteBibliography"/>
      </w:pPr>
      <w:r>
        <w:fldChar w:fldCharType="begin"/>
      </w:r>
      <w:r>
        <w:instrText xml:space="preserve"> ADDIN EN.REFLIST </w:instrText>
      </w:r>
      <w:r>
        <w:fldChar w:fldCharType="separate"/>
      </w:r>
      <w:r w:rsidR="00C1613B" w:rsidRPr="00C1613B">
        <w:t>1.</w:t>
      </w:r>
      <w:r w:rsidR="00C1613B" w:rsidRPr="00C1613B">
        <w:tab/>
        <w:t>Prnjak K, Mitchison D, Griffiths S, Mond J, Gideon N, Serpell L, et al. Further development of the 12-item EDE-QS: identifying a cut-off for screening purposes. BMC psychiatry. 2020;20(1):146-.DOI: 10.1186/s12888-020-02565-5.</w:t>
      </w:r>
    </w:p>
    <w:p w14:paraId="3ABD1C85" w14:textId="77777777" w:rsidR="00C1613B" w:rsidRPr="00C1613B" w:rsidRDefault="00C1613B" w:rsidP="00C1613B">
      <w:pPr>
        <w:pStyle w:val="EndNoteBibliography"/>
      </w:pPr>
      <w:r w:rsidRPr="00C1613B">
        <w:t>2.</w:t>
      </w:r>
      <w:r w:rsidRPr="00C1613B">
        <w:tab/>
        <w:t>Christian C, Williams BM, Hunt RA, Wong VZ, Ernst SE, Spoor SP, et al. A network investigation of core symptoms and pathways across duration of illness using a comprehensive cognitive–behavioral model of eating-disorder symptoms. Psychological medicine. 2021;51(5):815-24.DOI: 10.1017/S0033291719003817.</w:t>
      </w:r>
    </w:p>
    <w:p w14:paraId="705A3C2A" w14:textId="77777777" w:rsidR="00C1613B" w:rsidRPr="00C1613B" w:rsidRDefault="00C1613B" w:rsidP="00C1613B">
      <w:pPr>
        <w:pStyle w:val="EndNoteBibliography"/>
      </w:pPr>
      <w:r w:rsidRPr="00C1613B">
        <w:t>3.</w:t>
      </w:r>
      <w:r w:rsidRPr="00C1613B">
        <w:tab/>
        <w:t>Kaufman EA, Puzia ME, Crowell SE, Price CJ. Replication of the Self-Concept and Identity Measure (SCIM) Among a Treatment-Seeking Sample. Identity (Mahwah, NJ). 2019;19(1):18-28.DOI: 10.1080/15283488.2019.1566068.</w:t>
      </w:r>
    </w:p>
    <w:p w14:paraId="4CAB9BF2" w14:textId="1118B0DD" w:rsidR="00C1613B" w:rsidRPr="00C1613B" w:rsidRDefault="00C1613B" w:rsidP="00C1613B">
      <w:pPr>
        <w:pStyle w:val="EndNoteBibliography"/>
      </w:pPr>
      <w:r w:rsidRPr="00C1613B">
        <w:t>4.</w:t>
      </w:r>
      <w:r w:rsidRPr="00C1613B">
        <w:tab/>
        <w:t xml:space="preserve">Bogaerts A, Claes L, Verschueren M, Bastiaens T, Kaufman EA, Smits D, et al. The Dutch Self-Concept and Identity Measure (SCIM): Factor structure and associations with identity dimensions and psychopathology. Personality and Individual Differences. 2018;123:56-64.DOI: </w:t>
      </w:r>
      <w:hyperlink r:id="rId8" w:history="1">
        <w:r w:rsidRPr="00C1613B">
          <w:rPr>
            <w:rStyle w:val="Hyperlink"/>
          </w:rPr>
          <w:t>https://doi.org/10.1016/j.paid.2017.11.007</w:t>
        </w:r>
      </w:hyperlink>
      <w:r w:rsidRPr="00C1613B">
        <w:t>.</w:t>
      </w:r>
    </w:p>
    <w:p w14:paraId="5747B220" w14:textId="77777777" w:rsidR="00C1613B" w:rsidRPr="00C1613B" w:rsidRDefault="00C1613B" w:rsidP="00C1613B">
      <w:pPr>
        <w:pStyle w:val="EndNoteBibliography"/>
      </w:pPr>
      <w:r w:rsidRPr="00C1613B">
        <w:t>5.</w:t>
      </w:r>
      <w:r w:rsidRPr="00C1613B">
        <w:tab/>
        <w:t>Croce SR, Malcolm AC, Ralph‐Nearman C, Phillipou A. Examining Identity Functioning in Anorexia Nervosa Across Illness and Recovery Stages. The International journal of eating disorders. 2024;57(9):1959-68.DOI: 10.1002/eat.24247.</w:t>
      </w:r>
    </w:p>
    <w:p w14:paraId="54C8623C" w14:textId="77777777" w:rsidR="00C1613B" w:rsidRPr="00C1613B" w:rsidRDefault="00C1613B" w:rsidP="00C1613B">
      <w:pPr>
        <w:pStyle w:val="EndNoteBibliography"/>
      </w:pPr>
      <w:r w:rsidRPr="00C1613B">
        <w:t>6.</w:t>
      </w:r>
      <w:r w:rsidRPr="00C1613B">
        <w:tab/>
        <w:t>Ware JE, Kosinski M, Keller SD. A 12-Item Short-Form Health Survey: Construction of Scales and Preliminary Tests of Reliability and Validity. Medical care. 1996;34(3):220-33.DOI: 10.1097/00005650-199603000-00003.</w:t>
      </w:r>
    </w:p>
    <w:p w14:paraId="151E0E42" w14:textId="77777777" w:rsidR="00C1613B" w:rsidRPr="00C1613B" w:rsidRDefault="00C1613B" w:rsidP="00C1613B">
      <w:pPr>
        <w:pStyle w:val="EndNoteBibliography"/>
      </w:pPr>
      <w:r w:rsidRPr="00C1613B">
        <w:t>7.</w:t>
      </w:r>
      <w:r w:rsidRPr="00C1613B">
        <w:tab/>
        <w:t>Montazeri A, Vahdaninia M, Mousavi SJ, Asadi-Lari M, Omidvari S, Tavousi M. The 12-item medical outcomes study short form health survey version 2.0 (SF-12v2): a population-based validation study from Tehran, Iran. Health and quality of life outcomes. 2011;9(1):12-.DOI: 10.1186/1477-7525-9-12.</w:t>
      </w:r>
    </w:p>
    <w:p w14:paraId="04076789" w14:textId="77777777" w:rsidR="00C1613B" w:rsidRPr="00C1613B" w:rsidRDefault="00C1613B" w:rsidP="00C1613B">
      <w:pPr>
        <w:pStyle w:val="EndNoteBibliography"/>
      </w:pPr>
      <w:r w:rsidRPr="00C1613B">
        <w:t>8.</w:t>
      </w:r>
      <w:r w:rsidRPr="00C1613B">
        <w:tab/>
        <w:t>Lam ETP, Lam CLK, Fong DYT, Huang WW. Is the SF-12 version 2 Health Survey a valid and equivalent substitute for the SF-36 version 2 Health Survey for the Chinese? Journal of evaluation in clinical practice. 2013;19(1):200-8.DOI: 10.1111/j.1365-2753.2011.01800.x.</w:t>
      </w:r>
    </w:p>
    <w:p w14:paraId="5C095D20" w14:textId="77777777" w:rsidR="00C1613B" w:rsidRPr="00C1613B" w:rsidRDefault="00C1613B" w:rsidP="00C1613B">
      <w:pPr>
        <w:pStyle w:val="EndNoteBibliography"/>
      </w:pPr>
      <w:r w:rsidRPr="00C1613B">
        <w:t>9.</w:t>
      </w:r>
      <w:r w:rsidRPr="00C1613B">
        <w:tab/>
        <w:t>Vodermaier A, Millman RD. Accuracy of the Hospital Anxiety and Depression Scale as a screening tool in cancer patients: a systematic review and meta-analysis. Supportive care in cancer. 2011;19(12):1899-908.DOI: 10.1007/s00520-011-1251-4.</w:t>
      </w:r>
    </w:p>
    <w:p w14:paraId="55CB1B3D" w14:textId="77777777" w:rsidR="00C1613B" w:rsidRPr="00C1613B" w:rsidRDefault="00C1613B" w:rsidP="00C1613B">
      <w:pPr>
        <w:pStyle w:val="EndNoteBibliography"/>
      </w:pPr>
      <w:r w:rsidRPr="00C1613B">
        <w:t>10.</w:t>
      </w:r>
      <w:r w:rsidRPr="00C1613B">
        <w:tab/>
        <w:t>Mital R, Hay P, Conti JE, Mannan H. Associations between therapy experiences and perceived helpfulness of treatment for people with eating disorders. Journal of eating disorders. 2022;10(1):80-.DOI: 10.1186/s40337-022-00601-1.</w:t>
      </w:r>
    </w:p>
    <w:p w14:paraId="2E3E7B78" w14:textId="77777777" w:rsidR="00C1613B" w:rsidRPr="00C1613B" w:rsidRDefault="00C1613B" w:rsidP="00C1613B">
      <w:pPr>
        <w:pStyle w:val="EndNoteBibliography"/>
      </w:pPr>
      <w:r w:rsidRPr="00C1613B">
        <w:t>11.</w:t>
      </w:r>
      <w:r w:rsidRPr="00C1613B">
        <w:tab/>
        <w:t>Mohamad Adam B. An elaboration on sample size determination for correlations based on effect sizes and confidence interval width: a guide for researchers. Restorative dentistry &amp; endodontics. 2024;49(2):21.1-.8.</w:t>
      </w:r>
    </w:p>
    <w:p w14:paraId="59A07E43" w14:textId="6BE0E858" w:rsidR="007F609C" w:rsidRPr="00F564C3" w:rsidRDefault="00F564C3">
      <w:pPr>
        <w:rPr>
          <w:lang w:val="en-US"/>
        </w:rPr>
      </w:pPr>
      <w:r>
        <w:rPr>
          <w:lang w:val="en-US"/>
        </w:rPr>
        <w:fldChar w:fldCharType="end"/>
      </w:r>
    </w:p>
    <w:sectPr w:rsidR="007F609C" w:rsidRPr="00F564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D874" w14:textId="77777777" w:rsidR="00A30DFB" w:rsidRDefault="00A30DFB" w:rsidP="00C1613B">
      <w:pPr>
        <w:spacing w:line="240" w:lineRule="auto"/>
      </w:pPr>
      <w:r>
        <w:separator/>
      </w:r>
    </w:p>
  </w:endnote>
  <w:endnote w:type="continuationSeparator" w:id="0">
    <w:p w14:paraId="522B611B" w14:textId="77777777" w:rsidR="00A30DFB" w:rsidRDefault="00A30DFB" w:rsidP="00C16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2F9C" w14:textId="77777777" w:rsidR="00A30DFB" w:rsidRDefault="00A30DFB" w:rsidP="00C1613B">
      <w:pPr>
        <w:spacing w:line="240" w:lineRule="auto"/>
      </w:pPr>
      <w:r>
        <w:separator/>
      </w:r>
    </w:p>
  </w:footnote>
  <w:footnote w:type="continuationSeparator" w:id="0">
    <w:p w14:paraId="18E9BC5D" w14:textId="77777777" w:rsidR="00A30DFB" w:rsidRDefault="00A30DFB" w:rsidP="00C1613B">
      <w:pPr>
        <w:spacing w:line="240" w:lineRule="auto"/>
      </w:pPr>
      <w:r>
        <w:continuationSeparator/>
      </w:r>
    </w:p>
  </w:footnote>
  <w:footnote w:id="1">
    <w:p w14:paraId="3A101ACB" w14:textId="77777777" w:rsidR="00FB46C8" w:rsidRDefault="00FB46C8" w:rsidP="00FB46C8">
      <w:pPr>
        <w:pStyle w:val="FootnoteText"/>
      </w:pPr>
      <w:r>
        <w:rPr>
          <w:rStyle w:val="FootnoteReference"/>
        </w:rPr>
        <w:footnoteRef/>
      </w:r>
      <w:r>
        <w:t xml:space="preserve"> See Benchmark Six Sigma. </w:t>
      </w:r>
      <w:r w:rsidRPr="003A03AD">
        <w:t>Sample Size Calculator for Mann Whitney Test</w:t>
      </w:r>
      <w:r>
        <w:t xml:space="preserve">. 2025 </w:t>
      </w:r>
      <w:r w:rsidRPr="003A03AD">
        <w:t>https://www.benchmarksixsigma.com/calculators/sample-size-calculator-for-mann-whitney-test/</w:t>
      </w:r>
    </w:p>
  </w:footnote>
  <w:footnote w:id="2">
    <w:p w14:paraId="03CC0393" w14:textId="77777777" w:rsidR="00C1613B" w:rsidRDefault="00C1613B" w:rsidP="00C1613B">
      <w:pPr>
        <w:pStyle w:val="FootnoteText"/>
      </w:pPr>
      <w:r>
        <w:rPr>
          <w:rStyle w:val="FootnoteReference"/>
        </w:rPr>
        <w:footnoteRef/>
      </w:r>
      <w:r>
        <w:t xml:space="preserve"> See </w:t>
      </w:r>
      <w:proofErr w:type="spellStart"/>
      <w:r>
        <w:t>ClinCalc</w:t>
      </w:r>
      <w:proofErr w:type="spellEnd"/>
      <w:r>
        <w:t xml:space="preserve">. </w:t>
      </w:r>
      <w:r w:rsidRPr="003A03AD">
        <w:t>Post-hoc Power Calculator</w:t>
      </w:r>
      <w:r>
        <w:t xml:space="preserve">. 2025. </w:t>
      </w:r>
      <w:r w:rsidRPr="003A03AD">
        <w:t>https://clincalc.com/stats/power.aspx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E31D9"/>
    <w:multiLevelType w:val="hybridMultilevel"/>
    <w:tmpl w:val="71402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438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arfetvye59dee5sp250wfd2wve2sepftre&quot;&gt;My EndNote Library&lt;record-ids&gt;&lt;item&gt;223&lt;/item&gt;&lt;item&gt;224&lt;/item&gt;&lt;item&gt;22199&lt;/item&gt;&lt;item&gt;22206&lt;/item&gt;&lt;item&gt;22341&lt;/item&gt;&lt;item&gt;22342&lt;/item&gt;&lt;item&gt;22388&lt;/item&gt;&lt;item&gt;22389&lt;/item&gt;&lt;item&gt;22390&lt;/item&gt;&lt;item&gt;22419&lt;/item&gt;&lt;item&gt;22571&lt;/item&gt;&lt;/record-ids&gt;&lt;/item&gt;&lt;/Libraries&gt;"/>
  </w:docVars>
  <w:rsids>
    <w:rsidRoot w:val="00F564C3"/>
    <w:rsid w:val="001402F3"/>
    <w:rsid w:val="003C6E81"/>
    <w:rsid w:val="004518DF"/>
    <w:rsid w:val="00575D5D"/>
    <w:rsid w:val="006B1AA5"/>
    <w:rsid w:val="00770D39"/>
    <w:rsid w:val="007F609C"/>
    <w:rsid w:val="00846FA9"/>
    <w:rsid w:val="008C4BCA"/>
    <w:rsid w:val="00985DAF"/>
    <w:rsid w:val="00A30DFB"/>
    <w:rsid w:val="00C1613B"/>
    <w:rsid w:val="00CF63A7"/>
    <w:rsid w:val="00F564C3"/>
    <w:rsid w:val="00FB46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1CBA"/>
  <w15:chartTrackingRefBased/>
  <w15:docId w15:val="{E1784F88-D431-4039-A140-4C706FD1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4C3"/>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F56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4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4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4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4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4C3"/>
    <w:rPr>
      <w:rFonts w:eastAsiaTheme="majorEastAsia" w:cstheme="majorBidi"/>
      <w:color w:val="272727" w:themeColor="text1" w:themeTint="D8"/>
    </w:rPr>
  </w:style>
  <w:style w:type="paragraph" w:styleId="Title">
    <w:name w:val="Title"/>
    <w:basedOn w:val="Normal"/>
    <w:next w:val="Normal"/>
    <w:link w:val="TitleChar"/>
    <w:uiPriority w:val="10"/>
    <w:qFormat/>
    <w:rsid w:val="00F56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4C3"/>
    <w:pPr>
      <w:spacing w:before="160"/>
      <w:jc w:val="center"/>
    </w:pPr>
    <w:rPr>
      <w:i/>
      <w:iCs/>
      <w:color w:val="404040" w:themeColor="text1" w:themeTint="BF"/>
    </w:rPr>
  </w:style>
  <w:style w:type="character" w:customStyle="1" w:styleId="QuoteChar">
    <w:name w:val="Quote Char"/>
    <w:basedOn w:val="DefaultParagraphFont"/>
    <w:link w:val="Quote"/>
    <w:uiPriority w:val="29"/>
    <w:rsid w:val="00F564C3"/>
    <w:rPr>
      <w:i/>
      <w:iCs/>
      <w:color w:val="404040" w:themeColor="text1" w:themeTint="BF"/>
    </w:rPr>
  </w:style>
  <w:style w:type="paragraph" w:styleId="ListParagraph">
    <w:name w:val="List Paragraph"/>
    <w:basedOn w:val="Normal"/>
    <w:uiPriority w:val="34"/>
    <w:qFormat/>
    <w:rsid w:val="00F564C3"/>
    <w:pPr>
      <w:ind w:left="720"/>
      <w:contextualSpacing/>
    </w:pPr>
  </w:style>
  <w:style w:type="character" w:styleId="IntenseEmphasis">
    <w:name w:val="Intense Emphasis"/>
    <w:basedOn w:val="DefaultParagraphFont"/>
    <w:uiPriority w:val="21"/>
    <w:qFormat/>
    <w:rsid w:val="00F564C3"/>
    <w:rPr>
      <w:i/>
      <w:iCs/>
      <w:color w:val="0F4761" w:themeColor="accent1" w:themeShade="BF"/>
    </w:rPr>
  </w:style>
  <w:style w:type="paragraph" w:styleId="IntenseQuote">
    <w:name w:val="Intense Quote"/>
    <w:basedOn w:val="Normal"/>
    <w:next w:val="Normal"/>
    <w:link w:val="IntenseQuoteChar"/>
    <w:uiPriority w:val="30"/>
    <w:qFormat/>
    <w:rsid w:val="00F56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4C3"/>
    <w:rPr>
      <w:i/>
      <w:iCs/>
      <w:color w:val="0F4761" w:themeColor="accent1" w:themeShade="BF"/>
    </w:rPr>
  </w:style>
  <w:style w:type="character" w:styleId="IntenseReference">
    <w:name w:val="Intense Reference"/>
    <w:basedOn w:val="DefaultParagraphFont"/>
    <w:uiPriority w:val="32"/>
    <w:qFormat/>
    <w:rsid w:val="00F564C3"/>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F564C3"/>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F564C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F564C3"/>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F564C3"/>
    <w:rPr>
      <w:rFonts w:ascii="Times New Roman" w:hAnsi="Times New Roman" w:cs="Times New Roman"/>
      <w:noProof/>
      <w:sz w:val="24"/>
      <w:lang w:val="en-US"/>
    </w:rPr>
  </w:style>
  <w:style w:type="character" w:styleId="Hyperlink">
    <w:name w:val="Hyperlink"/>
    <w:basedOn w:val="DefaultParagraphFont"/>
    <w:uiPriority w:val="99"/>
    <w:unhideWhenUsed/>
    <w:rsid w:val="00F564C3"/>
    <w:rPr>
      <w:color w:val="467886" w:themeColor="hyperlink"/>
      <w:u w:val="single"/>
    </w:rPr>
  </w:style>
  <w:style w:type="character" w:styleId="UnresolvedMention">
    <w:name w:val="Unresolved Mention"/>
    <w:basedOn w:val="DefaultParagraphFont"/>
    <w:uiPriority w:val="99"/>
    <w:semiHidden/>
    <w:unhideWhenUsed/>
    <w:rsid w:val="00F564C3"/>
    <w:rPr>
      <w:color w:val="605E5C"/>
      <w:shd w:val="clear" w:color="auto" w:fill="E1DFDD"/>
    </w:rPr>
  </w:style>
  <w:style w:type="table" w:customStyle="1" w:styleId="QStandardSliderTable">
    <w:name w:val="QStandardSliderTable"/>
    <w:uiPriority w:val="99"/>
    <w:qFormat/>
    <w:rsid w:val="00F564C3"/>
    <w:pPr>
      <w:spacing w:after="0" w:line="240" w:lineRule="auto"/>
      <w:jc w:val="center"/>
    </w:pPr>
    <w:rPr>
      <w:rFonts w:eastAsiaTheme="minorEastAsia"/>
      <w:kern w:val="0"/>
      <w:sz w:val="20"/>
      <w:szCs w:val="20"/>
      <w:lang w:val="en-US" w:eastAsia="en-AU"/>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F564C3"/>
    <w:pPr>
      <w:spacing w:after="0" w:line="240" w:lineRule="auto"/>
      <w:jc w:val="center"/>
    </w:pPr>
    <w:rPr>
      <w:rFonts w:eastAsiaTheme="minorEastAsia"/>
      <w:kern w:val="0"/>
      <w:lang w:val="en-US"/>
      <w14:ligatures w14:val="none"/>
    </w:rPr>
    <w:tblPr>
      <w:tblCellMar>
        <w:top w:w="0" w:type="dxa"/>
        <w:left w:w="0" w:type="dxa"/>
        <w:bottom w:w="0" w:type="dxa"/>
        <w:right w:w="0" w:type="dxa"/>
      </w:tblCellMar>
    </w:tblPr>
  </w:style>
  <w:style w:type="paragraph" w:customStyle="1" w:styleId="QuestionSeparator">
    <w:name w:val="QuestionSeparator"/>
    <w:basedOn w:val="Normal"/>
    <w:qFormat/>
    <w:rsid w:val="00F564C3"/>
    <w:pPr>
      <w:pBdr>
        <w:top w:val="dashed" w:sz="8" w:space="0" w:color="CCCCCC"/>
      </w:pBdr>
      <w:spacing w:before="120" w:after="120" w:line="120" w:lineRule="auto"/>
      <w:jc w:val="left"/>
    </w:pPr>
    <w:rPr>
      <w:rFonts w:asciiTheme="minorHAnsi" w:eastAsiaTheme="minorEastAsia" w:hAnsiTheme="minorHAnsi"/>
      <w:kern w:val="0"/>
      <w:sz w:val="22"/>
      <w:lang w:val="en-US"/>
      <w14:ligatures w14:val="none"/>
    </w:rPr>
  </w:style>
  <w:style w:type="paragraph" w:styleId="FootnoteText">
    <w:name w:val="footnote text"/>
    <w:basedOn w:val="Normal"/>
    <w:link w:val="FootnoteTextChar"/>
    <w:uiPriority w:val="99"/>
    <w:semiHidden/>
    <w:unhideWhenUsed/>
    <w:rsid w:val="00C1613B"/>
    <w:pPr>
      <w:spacing w:line="240" w:lineRule="auto"/>
    </w:pPr>
    <w:rPr>
      <w:sz w:val="20"/>
      <w:szCs w:val="20"/>
    </w:rPr>
  </w:style>
  <w:style w:type="character" w:customStyle="1" w:styleId="FootnoteTextChar">
    <w:name w:val="Footnote Text Char"/>
    <w:basedOn w:val="DefaultParagraphFont"/>
    <w:link w:val="FootnoteText"/>
    <w:uiPriority w:val="99"/>
    <w:semiHidden/>
    <w:rsid w:val="00C1613B"/>
    <w:rPr>
      <w:rFonts w:ascii="Times New Roman" w:hAnsi="Times New Roman"/>
      <w:sz w:val="20"/>
      <w:szCs w:val="20"/>
    </w:rPr>
  </w:style>
  <w:style w:type="character" w:styleId="FootnoteReference">
    <w:name w:val="footnote reference"/>
    <w:basedOn w:val="DefaultParagraphFont"/>
    <w:uiPriority w:val="99"/>
    <w:semiHidden/>
    <w:unhideWhenUsed/>
    <w:rsid w:val="00C16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aid.2017.11.00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4530</Words>
  <Characters>25827</Characters>
  <Application>Microsoft Office Word</Application>
  <DocSecurity>0</DocSecurity>
  <Lines>215</Lines>
  <Paragraphs>60</Paragraphs>
  <ScaleCrop>false</ScaleCrop>
  <Company/>
  <LinksUpToDate>false</LinksUpToDate>
  <CharactersWithSpaces>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Kiely</dc:creator>
  <cp:keywords/>
  <dc:description/>
  <cp:lastModifiedBy>Laura Kiely</cp:lastModifiedBy>
  <cp:revision>6</cp:revision>
  <dcterms:created xsi:type="dcterms:W3CDTF">2025-08-05T01:22:00Z</dcterms:created>
  <dcterms:modified xsi:type="dcterms:W3CDTF">2025-08-05T05:40:00Z</dcterms:modified>
</cp:coreProperties>
</file>