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8346E7">
      <w:pPr>
        <w:keepNext w:val="0"/>
        <w:keepLines w:val="0"/>
        <w:widowControl/>
        <w:suppressLineNumbers w:val="0"/>
        <w:jc w:val="center"/>
        <w:rPr>
          <w:rFonts w:hint="default" w:ascii="Times New Roman" w:hAnsi="Times New Roman" w:cs="Times New Roman"/>
          <w:lang w:val="en-US"/>
        </w:rPr>
      </w:pPr>
      <w:bookmarkStart w:id="0" w:name="OLE_LINK2"/>
      <w:bookmarkStart w:id="1" w:name="OLE_LINK6"/>
      <w:r>
        <w:rPr>
          <w:rFonts w:hint="default" w:ascii="Times New Roman" w:hAnsi="Times New Roman" w:eastAsia="宋体" w:cs="Times New Roman"/>
          <w:b/>
          <w:bCs/>
          <w:color w:val="000000"/>
          <w:kern w:val="0"/>
          <w:sz w:val="28"/>
          <w:szCs w:val="28"/>
          <w:lang w:val="en-US" w:eastAsia="zh-CN" w:bidi="ar"/>
        </w:rPr>
        <w:t>Supplementa</w:t>
      </w:r>
      <w:r>
        <w:rPr>
          <w:rFonts w:hint="eastAsia" w:ascii="Times New Roman" w:hAnsi="Times New Roman" w:eastAsia="宋体" w:cs="Times New Roman"/>
          <w:b/>
          <w:bCs/>
          <w:color w:val="000000"/>
          <w:kern w:val="0"/>
          <w:sz w:val="28"/>
          <w:szCs w:val="28"/>
          <w:lang w:val="en-US" w:eastAsia="zh-CN" w:bidi="ar"/>
        </w:rPr>
        <w:t>l</w:t>
      </w:r>
      <w:r>
        <w:rPr>
          <w:rFonts w:hint="default" w:ascii="Times New Roman" w:hAnsi="Times New Roman" w:eastAsia="宋体" w:cs="Times New Roman"/>
          <w:b/>
          <w:bCs/>
          <w:color w:val="000000"/>
          <w:kern w:val="0"/>
          <w:sz w:val="28"/>
          <w:szCs w:val="28"/>
          <w:lang w:val="en-US" w:eastAsia="zh-CN" w:bidi="ar"/>
        </w:rPr>
        <w:t xml:space="preserve"> Materials</w:t>
      </w:r>
      <w:bookmarkEnd w:id="0"/>
    </w:p>
    <w:bookmarkEnd w:id="1"/>
    <w:p w14:paraId="5681A084">
      <w:pPr>
        <w:keepNext w:val="0"/>
        <w:keepLines w:val="0"/>
        <w:widowControl/>
        <w:suppressLineNumbers w:val="0"/>
        <w:jc w:val="left"/>
        <w:rPr>
          <w:rFonts w:hint="default" w:ascii="Times New Roman" w:hAnsi="Times New Roman" w:eastAsia="宋体" w:cs="Times New Roman"/>
          <w:b/>
          <w:bCs/>
          <w:i w:val="0"/>
          <w:iCs w:val="0"/>
          <w:color w:val="000000"/>
          <w:kern w:val="0"/>
          <w:sz w:val="20"/>
          <w:szCs w:val="20"/>
          <w:lang w:val="en-US" w:eastAsia="zh-CN" w:bidi="ar"/>
        </w:rPr>
      </w:pPr>
      <w:r>
        <w:rPr>
          <w:rFonts w:hint="default" w:ascii="Times New Roman" w:hAnsi="Times New Roman" w:eastAsia="宋体" w:cs="Times New Roman"/>
          <w:b/>
          <w:bCs/>
          <w:i w:val="0"/>
          <w:iCs w:val="0"/>
          <w:color w:val="000000"/>
          <w:kern w:val="0"/>
          <w:sz w:val="20"/>
          <w:szCs w:val="20"/>
          <w:lang w:val="en-US" w:eastAsia="zh-CN" w:bidi="ar"/>
        </w:rPr>
        <w:t>Comparative the risk of QTc prolongation induced by second-generation antipsychotics in the real world: a retrospective cohort study based on Hospital Information System</w:t>
      </w:r>
    </w:p>
    <w:p w14:paraId="1C10C034">
      <w:pPr>
        <w:keepNext w:val="0"/>
        <w:keepLines w:val="0"/>
        <w:widowControl/>
        <w:suppressLineNumbers w:val="0"/>
        <w:jc w:val="left"/>
        <w:rPr>
          <w:rFonts w:hint="default" w:ascii="Times New Roman" w:hAnsi="Times New Roman" w:eastAsia="宋体" w:cs="Times New Roman"/>
          <w:b/>
          <w:bCs/>
          <w:i w:val="0"/>
          <w:iCs w:val="0"/>
          <w:color w:val="000000"/>
          <w:kern w:val="0"/>
          <w:sz w:val="18"/>
          <w:szCs w:val="18"/>
          <w:lang w:val="en-US" w:eastAsia="zh-CN" w:bidi="ar"/>
        </w:rPr>
      </w:pPr>
    </w:p>
    <w:p w14:paraId="2AF05ACA">
      <w:pPr>
        <w:rPr>
          <w:rFonts w:hint="default" w:ascii="Times New Roman" w:hAnsi="Times New Roman" w:eastAsia="宋体" w:cs="Times New Roman"/>
          <w:b/>
          <w:bCs/>
          <w:i w:val="0"/>
          <w:iCs w:val="0"/>
          <w:color w:val="000000"/>
          <w:kern w:val="0"/>
          <w:sz w:val="18"/>
          <w:szCs w:val="18"/>
          <w:lang w:val="en-US" w:eastAsia="zh-CN" w:bidi="ar"/>
        </w:rPr>
      </w:pPr>
    </w:p>
    <w:sdt>
      <w:sdtPr>
        <w:rPr>
          <w:rFonts w:ascii="宋体" w:hAnsi="宋体" w:eastAsia="宋体" w:cstheme="minorBidi"/>
          <w:kern w:val="2"/>
          <w:sz w:val="21"/>
          <w:szCs w:val="24"/>
          <w:lang w:val="en-US" w:eastAsia="zh-CN" w:bidi="ar-SA"/>
        </w:rPr>
        <w:id w:val="147463842"/>
        <w15:color w:val="DBDBDB"/>
        <w:docPartObj>
          <w:docPartGallery w:val="Table of Contents"/>
          <w:docPartUnique/>
        </w:docPartObj>
      </w:sdtPr>
      <w:sdtEndPr>
        <w:rPr>
          <w:rFonts w:ascii="宋体" w:hAnsi="宋体" w:eastAsia="宋体" w:cstheme="minorBidi"/>
          <w:kern w:val="2"/>
          <w:sz w:val="21"/>
          <w:szCs w:val="24"/>
          <w:lang w:val="en-US" w:eastAsia="zh-CN" w:bidi="ar-SA"/>
        </w:rPr>
      </w:sdtEndPr>
      <w:sdtContent>
        <w:p w14:paraId="2132159E">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pPr>
        </w:p>
        <w:p w14:paraId="393C916A">
          <w:pPr>
            <w:pStyle w:val="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b/>
              <w:bCs/>
              <w:sz w:val="18"/>
              <w:szCs w:val="18"/>
            </w:rPr>
            <w:fldChar w:fldCharType="begin"/>
          </w:r>
          <w:r>
            <w:rPr>
              <w:b/>
              <w:bCs/>
              <w:sz w:val="18"/>
              <w:szCs w:val="18"/>
            </w:rPr>
            <w:instrText xml:space="preserve">TOC \o "1-3" \h \u </w:instrText>
          </w:r>
          <w:r>
            <w:rPr>
              <w:b/>
              <w:bCs/>
              <w:sz w:val="18"/>
              <w:szCs w:val="18"/>
            </w:rPr>
            <w:fldChar w:fldCharType="separate"/>
          </w:r>
          <w:r>
            <w:rPr>
              <w:bCs/>
              <w:szCs w:val="18"/>
            </w:rPr>
            <w:fldChar w:fldCharType="begin"/>
          </w:r>
          <w:r>
            <w:rPr>
              <w:bCs/>
              <w:szCs w:val="18"/>
            </w:rPr>
            <w:instrText xml:space="preserve"> HYPERLINK \l _Toc23350 </w:instrText>
          </w:r>
          <w:r>
            <w:rPr>
              <w:bCs/>
              <w:szCs w:val="18"/>
            </w:rPr>
            <w:fldChar w:fldCharType="separate"/>
          </w:r>
          <w:r>
            <w:rPr>
              <w:rFonts w:hint="default" w:ascii="Times New Roman" w:hAnsi="Times New Roman" w:eastAsia="宋体" w:cs="Times New Roman"/>
              <w:bCs/>
              <w:i w:val="0"/>
              <w:iCs w:val="0"/>
              <w:kern w:val="0"/>
              <w:szCs w:val="18"/>
              <w:lang w:val="en-US" w:eastAsia="zh-CN" w:bidi="ar"/>
            </w:rPr>
            <w:t>Table S1. The list of drugs with known TdP risk and avoid in congenital Long QT</w:t>
          </w:r>
          <w:r>
            <w:tab/>
          </w:r>
          <w:r>
            <w:fldChar w:fldCharType="begin"/>
          </w:r>
          <w:r>
            <w:instrText xml:space="preserve"> PAGEREF _Toc23350 \h </w:instrText>
          </w:r>
          <w:r>
            <w:fldChar w:fldCharType="separate"/>
          </w:r>
          <w:r>
            <w:t>2</w:t>
          </w:r>
          <w:r>
            <w:fldChar w:fldCharType="end"/>
          </w:r>
          <w:r>
            <w:rPr>
              <w:bCs/>
              <w:szCs w:val="18"/>
            </w:rPr>
            <w:fldChar w:fldCharType="end"/>
          </w:r>
        </w:p>
        <w:p w14:paraId="39B7D5DC">
          <w:pPr>
            <w:pStyle w:val="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bCs/>
              <w:szCs w:val="18"/>
            </w:rPr>
            <w:fldChar w:fldCharType="begin"/>
          </w:r>
          <w:r>
            <w:rPr>
              <w:bCs/>
              <w:szCs w:val="18"/>
            </w:rPr>
            <w:instrText xml:space="preserve"> HYPERLINK \l _Toc13791 </w:instrText>
          </w:r>
          <w:r>
            <w:rPr>
              <w:bCs/>
              <w:szCs w:val="18"/>
            </w:rPr>
            <w:fldChar w:fldCharType="separate"/>
          </w:r>
          <w:r>
            <w:rPr>
              <w:rFonts w:hint="default" w:ascii="Times New Roman" w:hAnsi="Times New Roman" w:eastAsia="宋体" w:cs="Times New Roman"/>
              <w:bCs/>
              <w:i w:val="0"/>
              <w:iCs w:val="0"/>
              <w:kern w:val="0"/>
              <w:szCs w:val="18"/>
              <w:lang w:val="en-US" w:eastAsia="zh-CN" w:bidi="ar"/>
            </w:rPr>
            <w:t>Table S2. List of Baseline and Time-Varying Covariates</w:t>
          </w:r>
          <w:r>
            <w:tab/>
          </w:r>
          <w:r>
            <w:fldChar w:fldCharType="begin"/>
          </w:r>
          <w:r>
            <w:instrText xml:space="preserve"> PAGEREF _Toc13791 \h </w:instrText>
          </w:r>
          <w:r>
            <w:fldChar w:fldCharType="separate"/>
          </w:r>
          <w:r>
            <w:t>5</w:t>
          </w:r>
          <w:r>
            <w:fldChar w:fldCharType="end"/>
          </w:r>
          <w:r>
            <w:rPr>
              <w:bCs/>
              <w:szCs w:val="18"/>
            </w:rPr>
            <w:fldChar w:fldCharType="end"/>
          </w:r>
        </w:p>
        <w:p w14:paraId="33E27B95">
          <w:pPr>
            <w:pStyle w:val="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bCs/>
              <w:szCs w:val="18"/>
            </w:rPr>
            <w:fldChar w:fldCharType="begin"/>
          </w:r>
          <w:r>
            <w:rPr>
              <w:bCs/>
              <w:szCs w:val="18"/>
            </w:rPr>
            <w:instrText xml:space="preserve"> HYPERLINK \l _Toc13223 </w:instrText>
          </w:r>
          <w:r>
            <w:rPr>
              <w:bCs/>
              <w:szCs w:val="18"/>
            </w:rPr>
            <w:fldChar w:fldCharType="separate"/>
          </w:r>
          <w:r>
            <w:rPr>
              <w:rFonts w:hint="eastAsia" w:ascii="Times New Roman" w:hAnsi="Times New Roman" w:eastAsia="宋体" w:cs="Times New Roman"/>
              <w:bCs/>
              <w:i w:val="0"/>
              <w:iCs w:val="0"/>
              <w:kern w:val="0"/>
              <w:szCs w:val="18"/>
              <w:lang w:val="en-US" w:eastAsia="zh-CN" w:bidi="ar"/>
            </w:rPr>
            <w:t>Table S3. The number of patients who developed their first QTc prolongation over the study period</w:t>
          </w:r>
          <w:r>
            <w:tab/>
          </w:r>
          <w:r>
            <w:fldChar w:fldCharType="begin"/>
          </w:r>
          <w:r>
            <w:instrText xml:space="preserve"> PAGEREF _Toc13223 \h </w:instrText>
          </w:r>
          <w:r>
            <w:fldChar w:fldCharType="separate"/>
          </w:r>
          <w:r>
            <w:t>6</w:t>
          </w:r>
          <w:r>
            <w:fldChar w:fldCharType="end"/>
          </w:r>
          <w:r>
            <w:rPr>
              <w:bCs/>
              <w:szCs w:val="18"/>
            </w:rPr>
            <w:fldChar w:fldCharType="end"/>
          </w:r>
        </w:p>
        <w:p w14:paraId="0772FAFB">
          <w:pPr>
            <w:pStyle w:val="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pPr>
          <w:r>
            <w:rPr>
              <w:bCs/>
              <w:szCs w:val="18"/>
            </w:rPr>
            <w:fldChar w:fldCharType="begin"/>
          </w:r>
          <w:r>
            <w:rPr>
              <w:bCs/>
              <w:szCs w:val="18"/>
            </w:rPr>
            <w:instrText xml:space="preserve"> HYPERLINK \l _Toc18485 </w:instrText>
          </w:r>
          <w:r>
            <w:rPr>
              <w:bCs/>
              <w:szCs w:val="18"/>
            </w:rPr>
            <w:fldChar w:fldCharType="separate"/>
          </w:r>
          <w:r>
            <w:rPr>
              <w:rFonts w:hint="default" w:ascii="Times New Roman" w:hAnsi="Times New Roman" w:eastAsia="宋体" w:cs="Times New Roman"/>
              <w:bCs/>
              <w:i w:val="0"/>
              <w:iCs w:val="0"/>
              <w:kern w:val="0"/>
              <w:szCs w:val="18"/>
              <w:lang w:val="en-US" w:eastAsia="zh-CN" w:bidi="ar"/>
            </w:rPr>
            <w:t>Figure S1. Distribution of stabilized weights at any point in the study period</w:t>
          </w:r>
          <w:r>
            <w:tab/>
          </w:r>
          <w:r>
            <w:fldChar w:fldCharType="begin"/>
          </w:r>
          <w:r>
            <w:instrText xml:space="preserve"> PAGEREF _Toc18485 \h </w:instrText>
          </w:r>
          <w:r>
            <w:fldChar w:fldCharType="separate"/>
          </w:r>
          <w:r>
            <w:t>7</w:t>
          </w:r>
          <w:r>
            <w:fldChar w:fldCharType="end"/>
          </w:r>
          <w:r>
            <w:rPr>
              <w:bCs/>
              <w:szCs w:val="18"/>
            </w:rPr>
            <w:fldChar w:fldCharType="end"/>
          </w:r>
          <w:bookmarkStart w:id="10" w:name="_GoBack"/>
          <w:bookmarkEnd w:id="10"/>
        </w:p>
        <w:p w14:paraId="47050652">
          <w:pPr>
            <w:pStyle w:val="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b w:val="0"/>
              <w:bCs/>
            </w:rPr>
          </w:pPr>
          <w:r>
            <w:rPr>
              <w:b w:val="0"/>
              <w:bCs/>
              <w:szCs w:val="18"/>
            </w:rPr>
            <w:fldChar w:fldCharType="begin"/>
          </w:r>
          <w:r>
            <w:rPr>
              <w:b w:val="0"/>
              <w:bCs/>
              <w:szCs w:val="18"/>
            </w:rPr>
            <w:instrText xml:space="preserve"> HYPERLINK \l _Toc31566 </w:instrText>
          </w:r>
          <w:r>
            <w:rPr>
              <w:b w:val="0"/>
              <w:bCs/>
              <w:szCs w:val="18"/>
            </w:rPr>
            <w:fldChar w:fldCharType="separate"/>
          </w:r>
          <w:r>
            <w:rPr>
              <w:rFonts w:hint="eastAsia" w:ascii="Times New Roman" w:hAnsi="Times New Roman" w:eastAsia="宋体" w:cs="Times New Roman"/>
              <w:b w:val="0"/>
              <w:bCs/>
              <w:i w:val="0"/>
              <w:iCs w:val="0"/>
              <w:kern w:val="0"/>
              <w:szCs w:val="18"/>
              <w:lang w:val="en-US" w:eastAsia="zh-CN" w:bidi="ar"/>
            </w:rPr>
            <w:t>Figure S2. The survival curves for the eight medications</w:t>
          </w:r>
          <w:r>
            <w:rPr>
              <w:b w:val="0"/>
              <w:bCs/>
            </w:rPr>
            <w:tab/>
          </w:r>
          <w:r>
            <w:rPr>
              <w:b w:val="0"/>
              <w:bCs/>
            </w:rPr>
            <w:fldChar w:fldCharType="begin"/>
          </w:r>
          <w:r>
            <w:rPr>
              <w:b w:val="0"/>
              <w:bCs/>
            </w:rPr>
            <w:instrText xml:space="preserve"> PAGEREF _Toc31566 \h </w:instrText>
          </w:r>
          <w:r>
            <w:rPr>
              <w:b w:val="0"/>
              <w:bCs/>
            </w:rPr>
            <w:fldChar w:fldCharType="separate"/>
          </w:r>
          <w:r>
            <w:rPr>
              <w:b w:val="0"/>
              <w:bCs/>
            </w:rPr>
            <w:t>8</w:t>
          </w:r>
          <w:r>
            <w:rPr>
              <w:b w:val="0"/>
              <w:bCs/>
            </w:rPr>
            <w:fldChar w:fldCharType="end"/>
          </w:r>
          <w:r>
            <w:rPr>
              <w:b w:val="0"/>
              <w:bCs/>
              <w:szCs w:val="18"/>
            </w:rPr>
            <w:fldChar w:fldCharType="end"/>
          </w:r>
        </w:p>
        <w:p w14:paraId="68EAC24F">
          <w:pPr>
            <w:keepNext w:val="0"/>
            <w:keepLines w:val="0"/>
            <w:pageBreakBefore w:val="0"/>
            <w:widowControl w:val="0"/>
            <w:kinsoku/>
            <w:wordWrap/>
            <w:overflowPunct/>
            <w:topLinePunct w:val="0"/>
            <w:autoSpaceDE/>
            <w:autoSpaceDN/>
            <w:bidi w:val="0"/>
            <w:adjustRightInd/>
            <w:snapToGrid/>
            <w:spacing w:line="360" w:lineRule="auto"/>
            <w:textAlignment w:val="auto"/>
          </w:pPr>
          <w:r>
            <w:rPr>
              <w:bCs/>
              <w:szCs w:val="18"/>
            </w:rPr>
            <w:fldChar w:fldCharType="end"/>
          </w:r>
        </w:p>
      </w:sdtContent>
    </w:sdt>
    <w:p w14:paraId="63E57B22">
      <w:pPr>
        <w:rPr>
          <w:rFonts w:hint="default" w:ascii="Times New Roman" w:hAnsi="Times New Roman" w:eastAsia="宋体" w:cs="Times New Roman"/>
          <w:b/>
          <w:bCs/>
          <w:i w:val="0"/>
          <w:iCs w:val="0"/>
          <w:color w:val="000000"/>
          <w:kern w:val="0"/>
          <w:sz w:val="18"/>
          <w:szCs w:val="18"/>
          <w:lang w:val="en-US" w:eastAsia="zh-CN" w:bidi="ar"/>
        </w:rPr>
      </w:pPr>
      <w:r>
        <w:rPr>
          <w:rFonts w:hint="default" w:ascii="Times New Roman" w:hAnsi="Times New Roman" w:eastAsia="宋体" w:cs="Times New Roman"/>
          <w:b/>
          <w:bCs/>
          <w:i w:val="0"/>
          <w:iCs w:val="0"/>
          <w:color w:val="000000"/>
          <w:kern w:val="0"/>
          <w:sz w:val="18"/>
          <w:szCs w:val="18"/>
          <w:lang w:val="en-US" w:eastAsia="zh-CN" w:bidi="ar"/>
        </w:rPr>
        <w:br w:type="page"/>
      </w:r>
    </w:p>
    <w:p w14:paraId="7C94E4C2">
      <w:pPr>
        <w:keepNext w:val="0"/>
        <w:keepLines w:val="0"/>
        <w:pageBreakBefore w:val="0"/>
        <w:widowControl/>
        <w:suppressLineNumbers w:val="0"/>
        <w:kinsoku/>
        <w:wordWrap/>
        <w:overflowPunct/>
        <w:topLinePunct w:val="0"/>
        <w:autoSpaceDE/>
        <w:autoSpaceDN/>
        <w:bidi w:val="0"/>
        <w:adjustRightInd/>
        <w:snapToGrid/>
        <w:jc w:val="left"/>
        <w:textAlignment w:val="auto"/>
        <w:outlineLvl w:val="0"/>
        <w:rPr>
          <w:rFonts w:hint="default" w:ascii="Times New Roman" w:hAnsi="Times New Roman" w:eastAsia="宋体" w:cs="Times New Roman"/>
          <w:b/>
          <w:bCs/>
          <w:i w:val="0"/>
          <w:iCs w:val="0"/>
          <w:color w:val="000000"/>
          <w:kern w:val="0"/>
          <w:sz w:val="18"/>
          <w:szCs w:val="18"/>
          <w:lang w:val="en-US" w:eastAsia="zh-CN" w:bidi="ar"/>
        </w:rPr>
      </w:pPr>
      <w:bookmarkStart w:id="2" w:name="_Toc23350"/>
      <w:r>
        <w:rPr>
          <w:rFonts w:hint="default" w:ascii="Times New Roman" w:hAnsi="Times New Roman" w:eastAsia="宋体" w:cs="Times New Roman"/>
          <w:b/>
          <w:bCs/>
          <w:i w:val="0"/>
          <w:iCs w:val="0"/>
          <w:color w:val="000000"/>
          <w:kern w:val="0"/>
          <w:sz w:val="18"/>
          <w:szCs w:val="18"/>
          <w:lang w:val="en-US" w:eastAsia="zh-CN" w:bidi="ar"/>
        </w:rPr>
        <w:t>Table S1. The list of drugs with known TdP risk and avoid in congenital Long QT</w:t>
      </w:r>
      <w:bookmarkEnd w:id="2"/>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9"/>
        <w:gridCol w:w="2600"/>
        <w:gridCol w:w="2192"/>
        <w:gridCol w:w="2031"/>
      </w:tblGrid>
      <w:tr w14:paraId="77A3E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699" w:type="dxa"/>
          </w:tcPr>
          <w:p w14:paraId="1DD5A848">
            <w:pPr>
              <w:keepNext w:val="0"/>
              <w:keepLines w:val="0"/>
              <w:widowControl/>
              <w:suppressLineNumbers w:val="0"/>
              <w:jc w:val="left"/>
              <w:rPr>
                <w:rFonts w:hint="default" w:ascii="Times New Roman" w:hAnsi="Times New Roman" w:eastAsia="宋体" w:cs="Times New Roman"/>
                <w:b/>
                <w:bCs/>
                <w:i w:val="0"/>
                <w:iCs w:val="0"/>
                <w:color w:val="000000"/>
                <w:kern w:val="0"/>
                <w:sz w:val="16"/>
                <w:szCs w:val="16"/>
                <w:vertAlign w:val="baseline"/>
                <w:lang w:val="en-US" w:eastAsia="zh-CN" w:bidi="ar"/>
              </w:rPr>
            </w:pPr>
            <w:r>
              <w:rPr>
                <w:rFonts w:hint="default" w:ascii="Times New Roman" w:hAnsi="Times New Roman" w:eastAsia="宋体" w:cs="Times New Roman"/>
                <w:b/>
                <w:bCs/>
                <w:i w:val="0"/>
                <w:iCs w:val="0"/>
                <w:color w:val="000000"/>
                <w:kern w:val="0"/>
                <w:sz w:val="16"/>
                <w:szCs w:val="16"/>
                <w:vertAlign w:val="baseline"/>
                <w:lang w:val="en-US" w:eastAsia="zh-CN" w:bidi="ar"/>
              </w:rPr>
              <w:t>Generic Name</w:t>
            </w:r>
          </w:p>
        </w:tc>
        <w:tc>
          <w:tcPr>
            <w:tcW w:w="2600" w:type="dxa"/>
          </w:tcPr>
          <w:p w14:paraId="41C0EAB8">
            <w:pPr>
              <w:keepNext w:val="0"/>
              <w:keepLines w:val="0"/>
              <w:widowControl/>
              <w:suppressLineNumbers w:val="0"/>
              <w:jc w:val="left"/>
              <w:rPr>
                <w:rFonts w:hint="default" w:ascii="Times New Roman" w:hAnsi="Times New Roman" w:eastAsia="宋体" w:cs="Times New Roman"/>
                <w:b/>
                <w:bCs/>
                <w:i w:val="0"/>
                <w:iCs w:val="0"/>
                <w:color w:val="000000"/>
                <w:kern w:val="0"/>
                <w:sz w:val="16"/>
                <w:szCs w:val="16"/>
                <w:vertAlign w:val="baseline"/>
                <w:lang w:val="en-US" w:eastAsia="zh-CN" w:bidi="ar"/>
              </w:rPr>
            </w:pPr>
            <w:r>
              <w:rPr>
                <w:rFonts w:hint="default" w:ascii="Times New Roman" w:hAnsi="Times New Roman" w:eastAsia="宋体" w:cs="Times New Roman"/>
                <w:b/>
                <w:bCs/>
                <w:i w:val="0"/>
                <w:iCs w:val="0"/>
                <w:color w:val="000000"/>
                <w:kern w:val="0"/>
                <w:sz w:val="16"/>
                <w:szCs w:val="16"/>
                <w:vertAlign w:val="baseline"/>
                <w:lang w:val="en-US" w:eastAsia="zh-CN" w:bidi="ar"/>
              </w:rPr>
              <w:t>Brand Names (Partial List)</w:t>
            </w:r>
          </w:p>
        </w:tc>
        <w:tc>
          <w:tcPr>
            <w:tcW w:w="2192" w:type="dxa"/>
          </w:tcPr>
          <w:p w14:paraId="6D16D5D3">
            <w:pPr>
              <w:keepNext w:val="0"/>
              <w:keepLines w:val="0"/>
              <w:widowControl/>
              <w:suppressLineNumbers w:val="0"/>
              <w:jc w:val="left"/>
              <w:rPr>
                <w:rFonts w:hint="default" w:ascii="Times New Roman" w:hAnsi="Times New Roman" w:eastAsia="宋体" w:cs="Times New Roman"/>
                <w:b/>
                <w:bCs/>
                <w:i w:val="0"/>
                <w:iCs w:val="0"/>
                <w:color w:val="000000"/>
                <w:kern w:val="0"/>
                <w:sz w:val="16"/>
                <w:szCs w:val="16"/>
                <w:vertAlign w:val="baseline"/>
                <w:lang w:val="en-US" w:eastAsia="zh-CN" w:bidi="ar"/>
              </w:rPr>
            </w:pPr>
            <w:r>
              <w:rPr>
                <w:rFonts w:hint="default" w:ascii="Times New Roman" w:hAnsi="Times New Roman" w:eastAsia="宋体" w:cs="Times New Roman"/>
                <w:b/>
                <w:bCs/>
                <w:i w:val="0"/>
                <w:iCs w:val="0"/>
                <w:color w:val="000000"/>
                <w:kern w:val="0"/>
                <w:sz w:val="16"/>
                <w:szCs w:val="16"/>
                <w:vertAlign w:val="baseline"/>
                <w:lang w:val="en-US" w:eastAsia="zh-CN" w:bidi="ar"/>
              </w:rPr>
              <w:t>Drug Class</w:t>
            </w:r>
          </w:p>
        </w:tc>
        <w:tc>
          <w:tcPr>
            <w:tcW w:w="2031" w:type="dxa"/>
          </w:tcPr>
          <w:p w14:paraId="6BD4AF8F">
            <w:pPr>
              <w:keepNext w:val="0"/>
              <w:keepLines w:val="0"/>
              <w:widowControl/>
              <w:suppressLineNumbers w:val="0"/>
              <w:jc w:val="left"/>
              <w:rPr>
                <w:rFonts w:hint="default" w:ascii="Times New Roman" w:hAnsi="Times New Roman" w:eastAsia="宋体" w:cs="Times New Roman"/>
                <w:b/>
                <w:bCs/>
                <w:i w:val="0"/>
                <w:iCs w:val="0"/>
                <w:color w:val="000000"/>
                <w:kern w:val="0"/>
                <w:sz w:val="16"/>
                <w:szCs w:val="16"/>
                <w:vertAlign w:val="baseline"/>
                <w:lang w:val="en-US" w:eastAsia="zh-CN" w:bidi="ar"/>
              </w:rPr>
            </w:pPr>
            <w:r>
              <w:rPr>
                <w:rFonts w:hint="default" w:ascii="Times New Roman" w:hAnsi="Times New Roman" w:eastAsia="宋体" w:cs="Times New Roman"/>
                <w:b/>
                <w:bCs/>
                <w:i w:val="0"/>
                <w:iCs w:val="0"/>
                <w:color w:val="000000"/>
                <w:kern w:val="0"/>
                <w:sz w:val="16"/>
                <w:szCs w:val="16"/>
                <w:vertAlign w:val="baseline"/>
                <w:lang w:val="en-US" w:eastAsia="zh-CN" w:bidi="ar"/>
              </w:rPr>
              <w:t>Therapeutic Use</w:t>
            </w:r>
          </w:p>
        </w:tc>
      </w:tr>
      <w:tr w14:paraId="6CDDE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1699" w:type="dxa"/>
          </w:tcPr>
          <w:p w14:paraId="4065B7DD">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Aclarubicin</w:t>
            </w:r>
          </w:p>
          <w:p w14:paraId="10DD2A9E">
            <w:pPr>
              <w:keepNext w:val="0"/>
              <w:keepLines w:val="0"/>
              <w:widowControl/>
              <w:suppressLineNumbers w:val="0"/>
              <w:jc w:val="left"/>
              <w:rPr>
                <w:rFonts w:hint="default" w:ascii="Times New Roman" w:hAnsi="Times New Roman" w:eastAsia="宋体" w:cs="Times New Roman"/>
                <w:b w:val="0"/>
                <w:bCs w:val="0"/>
                <w:i/>
                <w:iCs/>
                <w:color w:val="000000"/>
                <w:kern w:val="0"/>
                <w:sz w:val="11"/>
                <w:szCs w:val="11"/>
                <w:vertAlign w:val="baseline"/>
                <w:lang w:val="en-US" w:eastAsia="zh-CN" w:bidi="ar"/>
              </w:rPr>
            </w:pPr>
            <w:r>
              <w:rPr>
                <w:rFonts w:hint="default" w:ascii="Times New Roman" w:hAnsi="Times New Roman" w:eastAsia="宋体" w:cs="Times New Roman"/>
                <w:b w:val="0"/>
                <w:bCs w:val="0"/>
                <w:i/>
                <w:iCs/>
                <w:color w:val="000000"/>
                <w:kern w:val="0"/>
                <w:sz w:val="11"/>
                <w:szCs w:val="11"/>
                <w:vertAlign w:val="baseline"/>
                <w:lang w:val="en-US" w:eastAsia="zh-CN" w:bidi="ar"/>
              </w:rPr>
              <w:t>(Only on Non US Market)</w:t>
            </w:r>
          </w:p>
          <w:p w14:paraId="764C35A9">
            <w:pPr>
              <w:keepNext w:val="0"/>
              <w:keepLines w:val="0"/>
              <w:widowControl/>
              <w:suppressLineNumbers w:val="0"/>
              <w:jc w:val="left"/>
              <w:rPr>
                <w:rFonts w:hint="default" w:ascii="Times New Roman" w:hAnsi="Times New Roman" w:eastAsia="宋体" w:cs="Times New Roman"/>
                <w:b w:val="0"/>
                <w:bCs w:val="0"/>
                <w:i w:val="0"/>
                <w:iCs w:val="0"/>
                <w:color w:val="000000"/>
                <w:kern w:val="0"/>
                <w:sz w:val="20"/>
                <w:szCs w:val="20"/>
                <w:vertAlign w:val="baseline"/>
                <w:lang w:val="en-US" w:eastAsia="zh-CN" w:bidi="ar"/>
              </w:rPr>
            </w:pPr>
          </w:p>
        </w:tc>
        <w:tc>
          <w:tcPr>
            <w:tcW w:w="2600" w:type="dxa"/>
          </w:tcPr>
          <w:p w14:paraId="6548F49A">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Aclacin, Aclacinomycine, Aclacinon, Aclaplastin, Jaclacin</w:t>
            </w:r>
          </w:p>
        </w:tc>
        <w:tc>
          <w:tcPr>
            <w:tcW w:w="2192" w:type="dxa"/>
          </w:tcPr>
          <w:p w14:paraId="367C8D0F">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Anti-cancer</w:t>
            </w:r>
          </w:p>
        </w:tc>
        <w:tc>
          <w:tcPr>
            <w:tcW w:w="2031" w:type="dxa"/>
          </w:tcPr>
          <w:p w14:paraId="56AAB263">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Cancer</w:t>
            </w:r>
          </w:p>
        </w:tc>
      </w:tr>
      <w:tr w14:paraId="14C84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635774F4">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Amiodarone</w:t>
            </w:r>
          </w:p>
        </w:tc>
        <w:tc>
          <w:tcPr>
            <w:tcW w:w="2600" w:type="dxa"/>
          </w:tcPr>
          <w:p w14:paraId="66E081EC">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Cordarone, Pacerone, Nexterone</w:t>
            </w:r>
          </w:p>
        </w:tc>
        <w:tc>
          <w:tcPr>
            <w:tcW w:w="2192" w:type="dxa"/>
          </w:tcPr>
          <w:p w14:paraId="4AC48F55">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Antiarrhythmic</w:t>
            </w:r>
          </w:p>
        </w:tc>
        <w:tc>
          <w:tcPr>
            <w:tcW w:w="2031" w:type="dxa"/>
          </w:tcPr>
          <w:p w14:paraId="7E90ED32">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Arrhythmia</w:t>
            </w:r>
          </w:p>
        </w:tc>
      </w:tr>
      <w:tr w14:paraId="35D9F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377A7779">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Anagrelide</w:t>
            </w:r>
          </w:p>
        </w:tc>
        <w:tc>
          <w:tcPr>
            <w:tcW w:w="2600" w:type="dxa"/>
          </w:tcPr>
          <w:p w14:paraId="69F53A01">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Agrylin, Xagrid</w:t>
            </w:r>
          </w:p>
        </w:tc>
        <w:tc>
          <w:tcPr>
            <w:tcW w:w="2192" w:type="dxa"/>
          </w:tcPr>
          <w:p w14:paraId="57096CD6">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Phosphodiesterase 3 inhibitor</w:t>
            </w:r>
          </w:p>
        </w:tc>
        <w:tc>
          <w:tcPr>
            <w:tcW w:w="2031" w:type="dxa"/>
          </w:tcPr>
          <w:p w14:paraId="0087F3BF">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Thrombocythemia</w:t>
            </w:r>
          </w:p>
        </w:tc>
      </w:tr>
      <w:tr w14:paraId="112D9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015AD4BE">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Arsenic trioxide</w:t>
            </w:r>
          </w:p>
        </w:tc>
        <w:tc>
          <w:tcPr>
            <w:tcW w:w="2600" w:type="dxa"/>
          </w:tcPr>
          <w:p w14:paraId="2FA4FDAD">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Trisenox</w:t>
            </w:r>
          </w:p>
        </w:tc>
        <w:tc>
          <w:tcPr>
            <w:tcW w:w="2192" w:type="dxa"/>
          </w:tcPr>
          <w:p w14:paraId="0733ADAC">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Anti-cancer</w:t>
            </w:r>
          </w:p>
        </w:tc>
        <w:tc>
          <w:tcPr>
            <w:tcW w:w="2031" w:type="dxa"/>
          </w:tcPr>
          <w:p w14:paraId="1E9FC214">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Cancer (leukemia)</w:t>
            </w:r>
          </w:p>
        </w:tc>
      </w:tr>
      <w:tr w14:paraId="1004D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7A5AF7A7">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Astemizole</w:t>
            </w:r>
            <w:r>
              <w:rPr>
                <w:rFonts w:hint="default" w:ascii="Times New Roman" w:hAnsi="Times New Roman" w:eastAsia="宋体" w:cs="Times New Roman"/>
                <w:b w:val="0"/>
                <w:bCs w:val="0"/>
                <w:i w:val="0"/>
                <w:iCs w:val="0"/>
                <w:color w:val="000000"/>
                <w:kern w:val="0"/>
                <w:sz w:val="15"/>
                <w:szCs w:val="15"/>
                <w:vertAlign w:val="baseline"/>
                <w:lang w:val="en-US" w:eastAsia="zh-CN" w:bidi="ar"/>
              </w:rPr>
              <w:br w:type="textWrapping"/>
            </w:r>
            <w:r>
              <w:rPr>
                <w:rFonts w:hint="default" w:ascii="Times New Roman" w:hAnsi="Times New Roman" w:eastAsia="宋体" w:cs="Times New Roman"/>
                <w:b w:val="0"/>
                <w:bCs w:val="0"/>
                <w:i/>
                <w:iCs/>
                <w:color w:val="000000"/>
                <w:kern w:val="0"/>
                <w:sz w:val="11"/>
                <w:szCs w:val="11"/>
                <w:vertAlign w:val="baseline"/>
                <w:lang w:val="en-US" w:eastAsia="zh-CN" w:bidi="ar"/>
              </w:rPr>
              <w:t>(Removed from US Market)</w:t>
            </w:r>
          </w:p>
        </w:tc>
        <w:tc>
          <w:tcPr>
            <w:tcW w:w="2600" w:type="dxa"/>
          </w:tcPr>
          <w:p w14:paraId="105B8826">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Hismanal</w:t>
            </w:r>
          </w:p>
        </w:tc>
        <w:tc>
          <w:tcPr>
            <w:tcW w:w="2192" w:type="dxa"/>
          </w:tcPr>
          <w:p w14:paraId="4D1F6FFC">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Antihistamine</w:t>
            </w:r>
          </w:p>
        </w:tc>
        <w:tc>
          <w:tcPr>
            <w:tcW w:w="2031" w:type="dxa"/>
          </w:tcPr>
          <w:p w14:paraId="701A8BB1">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Allergic rhinitis</w:t>
            </w:r>
          </w:p>
        </w:tc>
      </w:tr>
      <w:tr w14:paraId="65C29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060325FE">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Azithromycin</w:t>
            </w:r>
          </w:p>
        </w:tc>
        <w:tc>
          <w:tcPr>
            <w:tcW w:w="2600" w:type="dxa"/>
          </w:tcPr>
          <w:p w14:paraId="3A46FD03">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Zithromax, Zmax</w:t>
            </w:r>
          </w:p>
        </w:tc>
        <w:tc>
          <w:tcPr>
            <w:tcW w:w="2192" w:type="dxa"/>
          </w:tcPr>
          <w:p w14:paraId="150D6DA7">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Antibiotic</w:t>
            </w:r>
          </w:p>
        </w:tc>
        <w:tc>
          <w:tcPr>
            <w:tcW w:w="2031" w:type="dxa"/>
          </w:tcPr>
          <w:p w14:paraId="7BA1BC8D">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Bacterial infection</w:t>
            </w:r>
          </w:p>
        </w:tc>
      </w:tr>
      <w:tr w14:paraId="29AF9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2A02AAE7">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Bepridil</w:t>
            </w:r>
          </w:p>
        </w:tc>
        <w:tc>
          <w:tcPr>
            <w:tcW w:w="2600" w:type="dxa"/>
          </w:tcPr>
          <w:p w14:paraId="778B99E8">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Vascor</w:t>
            </w:r>
          </w:p>
        </w:tc>
        <w:tc>
          <w:tcPr>
            <w:tcW w:w="2192" w:type="dxa"/>
          </w:tcPr>
          <w:p w14:paraId="15DAE774">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Antianginal</w:t>
            </w:r>
          </w:p>
        </w:tc>
        <w:tc>
          <w:tcPr>
            <w:tcW w:w="2031" w:type="dxa"/>
          </w:tcPr>
          <w:p w14:paraId="0275A386">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Angina Pectoris (heart pain)</w:t>
            </w:r>
          </w:p>
        </w:tc>
      </w:tr>
      <w:tr w14:paraId="1F11C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4EB7ED3C">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Cesium Chloride</w:t>
            </w:r>
          </w:p>
        </w:tc>
        <w:tc>
          <w:tcPr>
            <w:tcW w:w="2600" w:type="dxa"/>
          </w:tcPr>
          <w:p w14:paraId="4326A6C8">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Energy Catalyst</w:t>
            </w:r>
          </w:p>
        </w:tc>
        <w:tc>
          <w:tcPr>
            <w:tcW w:w="2192" w:type="dxa"/>
          </w:tcPr>
          <w:p w14:paraId="0EECC2E7">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Toxin</w:t>
            </w:r>
          </w:p>
        </w:tc>
        <w:tc>
          <w:tcPr>
            <w:tcW w:w="2031" w:type="dxa"/>
          </w:tcPr>
          <w:p w14:paraId="5BB04E65">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Alternative therapy cancer</w:t>
            </w:r>
          </w:p>
        </w:tc>
      </w:tr>
      <w:tr w14:paraId="40700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4446BDD4">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Chloroquine</w:t>
            </w:r>
          </w:p>
        </w:tc>
        <w:tc>
          <w:tcPr>
            <w:tcW w:w="2600" w:type="dxa"/>
          </w:tcPr>
          <w:p w14:paraId="5A49DC06">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Aralen</w:t>
            </w:r>
          </w:p>
        </w:tc>
        <w:tc>
          <w:tcPr>
            <w:tcW w:w="2192" w:type="dxa"/>
          </w:tcPr>
          <w:p w14:paraId="2A56E10A">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Antimalarial</w:t>
            </w:r>
          </w:p>
        </w:tc>
        <w:tc>
          <w:tcPr>
            <w:tcW w:w="2031" w:type="dxa"/>
          </w:tcPr>
          <w:p w14:paraId="7DBC164C">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Malaria</w:t>
            </w:r>
          </w:p>
        </w:tc>
      </w:tr>
      <w:tr w14:paraId="6401D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223510CE">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Chlorpromazine</w:t>
            </w:r>
          </w:p>
        </w:tc>
        <w:tc>
          <w:tcPr>
            <w:tcW w:w="2600" w:type="dxa"/>
          </w:tcPr>
          <w:p w14:paraId="4059F71B">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Thorazine, Largactil, Megaphen</w:t>
            </w:r>
          </w:p>
        </w:tc>
        <w:tc>
          <w:tcPr>
            <w:tcW w:w="2192" w:type="dxa"/>
          </w:tcPr>
          <w:p w14:paraId="73DD2201">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Antipsychotic / Antiemetic</w:t>
            </w:r>
          </w:p>
        </w:tc>
        <w:tc>
          <w:tcPr>
            <w:tcW w:w="2031" w:type="dxa"/>
          </w:tcPr>
          <w:p w14:paraId="044BE357">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Nausea, Schizophrenia, many others</w:t>
            </w:r>
          </w:p>
        </w:tc>
      </w:tr>
      <w:tr w14:paraId="6E13E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00B57324">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Chlorprothixene</w:t>
            </w:r>
            <w:r>
              <w:rPr>
                <w:rFonts w:hint="default" w:ascii="Times New Roman" w:hAnsi="Times New Roman" w:eastAsia="宋体" w:cs="Times New Roman"/>
                <w:b w:val="0"/>
                <w:bCs w:val="0"/>
                <w:i w:val="0"/>
                <w:iCs w:val="0"/>
                <w:color w:val="000000"/>
                <w:kern w:val="0"/>
                <w:sz w:val="15"/>
                <w:szCs w:val="15"/>
                <w:vertAlign w:val="baseline"/>
                <w:lang w:val="en-US" w:eastAsia="zh-CN" w:bidi="ar"/>
              </w:rPr>
              <w:br w:type="textWrapping"/>
            </w:r>
            <w:r>
              <w:rPr>
                <w:rFonts w:hint="default" w:ascii="Times New Roman" w:hAnsi="Times New Roman" w:eastAsia="宋体" w:cs="Times New Roman"/>
                <w:b w:val="0"/>
                <w:bCs w:val="0"/>
                <w:i/>
                <w:iCs/>
                <w:color w:val="000000"/>
                <w:kern w:val="0"/>
                <w:sz w:val="11"/>
                <w:szCs w:val="11"/>
                <w:vertAlign w:val="baseline"/>
                <w:lang w:val="en-US" w:eastAsia="zh-CN" w:bidi="ar"/>
              </w:rPr>
              <w:t>(Only on Non US Market)</w:t>
            </w:r>
          </w:p>
        </w:tc>
        <w:tc>
          <w:tcPr>
            <w:tcW w:w="2600" w:type="dxa"/>
          </w:tcPr>
          <w:p w14:paraId="5B738C17">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Truxal</w:t>
            </w:r>
          </w:p>
        </w:tc>
        <w:tc>
          <w:tcPr>
            <w:tcW w:w="2192" w:type="dxa"/>
          </w:tcPr>
          <w:p w14:paraId="3FA28462">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Antipsychotic</w:t>
            </w:r>
          </w:p>
        </w:tc>
        <w:tc>
          <w:tcPr>
            <w:tcW w:w="2031" w:type="dxa"/>
          </w:tcPr>
          <w:p w14:paraId="263FB8EA">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Schizophrenia</w:t>
            </w:r>
          </w:p>
        </w:tc>
      </w:tr>
      <w:tr w14:paraId="5BC6B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795D745B">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Cilostazol</w:t>
            </w:r>
          </w:p>
        </w:tc>
        <w:tc>
          <w:tcPr>
            <w:tcW w:w="2600" w:type="dxa"/>
          </w:tcPr>
          <w:p w14:paraId="649E31A7">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Pletal</w:t>
            </w:r>
          </w:p>
        </w:tc>
        <w:tc>
          <w:tcPr>
            <w:tcW w:w="2192" w:type="dxa"/>
          </w:tcPr>
          <w:p w14:paraId="43DB542B">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Phosphodiesterase 3 inhibitor</w:t>
            </w:r>
          </w:p>
        </w:tc>
        <w:tc>
          <w:tcPr>
            <w:tcW w:w="2031" w:type="dxa"/>
          </w:tcPr>
          <w:p w14:paraId="29D17501">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Intermittent claudication</w:t>
            </w:r>
          </w:p>
        </w:tc>
      </w:tr>
      <w:tr w14:paraId="31571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6992A559">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Ciprofloxacin</w:t>
            </w:r>
          </w:p>
        </w:tc>
        <w:tc>
          <w:tcPr>
            <w:tcW w:w="2600" w:type="dxa"/>
          </w:tcPr>
          <w:p w14:paraId="4A53C8B3">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Cipro, Cipro-XR, Neofloxin</w:t>
            </w:r>
          </w:p>
        </w:tc>
        <w:tc>
          <w:tcPr>
            <w:tcW w:w="2192" w:type="dxa"/>
          </w:tcPr>
          <w:p w14:paraId="057D2987">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Antibiotic</w:t>
            </w:r>
          </w:p>
        </w:tc>
        <w:tc>
          <w:tcPr>
            <w:tcW w:w="2031" w:type="dxa"/>
          </w:tcPr>
          <w:p w14:paraId="630B4168">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Bacterial infection</w:t>
            </w:r>
          </w:p>
        </w:tc>
      </w:tr>
      <w:tr w14:paraId="56574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3A30C014">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Cisapride</w:t>
            </w:r>
            <w:r>
              <w:rPr>
                <w:rFonts w:hint="default" w:ascii="Times New Roman" w:hAnsi="Times New Roman" w:eastAsia="宋体" w:cs="Times New Roman"/>
                <w:b w:val="0"/>
                <w:bCs w:val="0"/>
                <w:i w:val="0"/>
                <w:iCs w:val="0"/>
                <w:color w:val="000000"/>
                <w:kern w:val="0"/>
                <w:sz w:val="15"/>
                <w:szCs w:val="15"/>
                <w:vertAlign w:val="baseline"/>
                <w:lang w:val="en-US" w:eastAsia="zh-CN" w:bidi="ar"/>
              </w:rPr>
              <w:br w:type="textWrapping"/>
            </w:r>
            <w:r>
              <w:rPr>
                <w:rFonts w:hint="default" w:ascii="Times New Roman" w:hAnsi="Times New Roman" w:eastAsia="宋体" w:cs="Times New Roman"/>
                <w:b w:val="0"/>
                <w:bCs w:val="0"/>
                <w:i/>
                <w:iCs/>
                <w:color w:val="000000"/>
                <w:kern w:val="0"/>
                <w:sz w:val="11"/>
                <w:szCs w:val="11"/>
                <w:vertAlign w:val="baseline"/>
                <w:lang w:val="en-US" w:eastAsia="zh-CN" w:bidi="ar"/>
              </w:rPr>
              <w:t>(Removed from US Market)</w:t>
            </w:r>
          </w:p>
        </w:tc>
        <w:tc>
          <w:tcPr>
            <w:tcW w:w="2600" w:type="dxa"/>
          </w:tcPr>
          <w:p w14:paraId="4FD1F909">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Propulsid</w:t>
            </w:r>
          </w:p>
        </w:tc>
        <w:tc>
          <w:tcPr>
            <w:tcW w:w="2192" w:type="dxa"/>
          </w:tcPr>
          <w:p w14:paraId="3ECEA879">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GI stimulant</w:t>
            </w:r>
          </w:p>
        </w:tc>
        <w:tc>
          <w:tcPr>
            <w:tcW w:w="2031" w:type="dxa"/>
          </w:tcPr>
          <w:p w14:paraId="3D21F240">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Increase GI motility</w:t>
            </w:r>
          </w:p>
        </w:tc>
      </w:tr>
      <w:tr w14:paraId="4E40D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612E3150">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Citalopram</w:t>
            </w:r>
          </w:p>
        </w:tc>
        <w:tc>
          <w:tcPr>
            <w:tcW w:w="2600" w:type="dxa"/>
          </w:tcPr>
          <w:p w14:paraId="0FF950E0">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Celexa, Cipramil</w:t>
            </w:r>
          </w:p>
        </w:tc>
        <w:tc>
          <w:tcPr>
            <w:tcW w:w="2192" w:type="dxa"/>
          </w:tcPr>
          <w:p w14:paraId="0A80E9B2">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Antidepressant, SSRI</w:t>
            </w:r>
          </w:p>
        </w:tc>
        <w:tc>
          <w:tcPr>
            <w:tcW w:w="2031" w:type="dxa"/>
          </w:tcPr>
          <w:p w14:paraId="54E74697">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Depression</w:t>
            </w:r>
          </w:p>
        </w:tc>
      </w:tr>
      <w:tr w14:paraId="24953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3EFD52CD">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Clarithromycin</w:t>
            </w:r>
          </w:p>
        </w:tc>
        <w:tc>
          <w:tcPr>
            <w:tcW w:w="2600" w:type="dxa"/>
          </w:tcPr>
          <w:p w14:paraId="6CEABDE9">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Biaxin, Prevpac</w:t>
            </w:r>
          </w:p>
        </w:tc>
        <w:tc>
          <w:tcPr>
            <w:tcW w:w="2192" w:type="dxa"/>
          </w:tcPr>
          <w:p w14:paraId="6968D172">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Antibiotic</w:t>
            </w:r>
          </w:p>
        </w:tc>
        <w:tc>
          <w:tcPr>
            <w:tcW w:w="2031" w:type="dxa"/>
          </w:tcPr>
          <w:p w14:paraId="3BDE4353">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Bacterial infection</w:t>
            </w:r>
          </w:p>
        </w:tc>
      </w:tr>
      <w:tr w14:paraId="4BD95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039808A0">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Cocaine</w:t>
            </w:r>
          </w:p>
        </w:tc>
        <w:tc>
          <w:tcPr>
            <w:tcW w:w="2600" w:type="dxa"/>
          </w:tcPr>
          <w:p w14:paraId="725F2B57">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Cocaine</w:t>
            </w:r>
          </w:p>
        </w:tc>
        <w:tc>
          <w:tcPr>
            <w:tcW w:w="2192" w:type="dxa"/>
          </w:tcPr>
          <w:p w14:paraId="5B393E35">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Local anesthetic</w:t>
            </w:r>
          </w:p>
        </w:tc>
        <w:tc>
          <w:tcPr>
            <w:tcW w:w="2031" w:type="dxa"/>
          </w:tcPr>
          <w:p w14:paraId="13C62EA2">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Anesthesia (topical)</w:t>
            </w:r>
          </w:p>
        </w:tc>
      </w:tr>
      <w:tr w14:paraId="29884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18C07A28">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Disopyramide</w:t>
            </w:r>
          </w:p>
        </w:tc>
        <w:tc>
          <w:tcPr>
            <w:tcW w:w="2600" w:type="dxa"/>
          </w:tcPr>
          <w:p w14:paraId="3593A8B7">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Norpace</w:t>
            </w:r>
          </w:p>
        </w:tc>
        <w:tc>
          <w:tcPr>
            <w:tcW w:w="2192" w:type="dxa"/>
          </w:tcPr>
          <w:p w14:paraId="4A04FF44">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Antiarrhythmic</w:t>
            </w:r>
          </w:p>
        </w:tc>
        <w:tc>
          <w:tcPr>
            <w:tcW w:w="2031" w:type="dxa"/>
          </w:tcPr>
          <w:p w14:paraId="28725B8B">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Arrhythmia</w:t>
            </w:r>
          </w:p>
        </w:tc>
      </w:tr>
      <w:tr w14:paraId="7B0F4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76244917">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Dofetilide</w:t>
            </w:r>
          </w:p>
        </w:tc>
        <w:tc>
          <w:tcPr>
            <w:tcW w:w="2600" w:type="dxa"/>
          </w:tcPr>
          <w:p w14:paraId="46648B2F">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Tikosyn</w:t>
            </w:r>
          </w:p>
        </w:tc>
        <w:tc>
          <w:tcPr>
            <w:tcW w:w="2192" w:type="dxa"/>
          </w:tcPr>
          <w:p w14:paraId="2C39F5F1">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Antiarrhythmic</w:t>
            </w:r>
          </w:p>
        </w:tc>
        <w:tc>
          <w:tcPr>
            <w:tcW w:w="2031" w:type="dxa"/>
          </w:tcPr>
          <w:p w14:paraId="2F41BCAF">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Arrhythmia</w:t>
            </w:r>
          </w:p>
        </w:tc>
      </w:tr>
      <w:tr w14:paraId="52FC4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722C7515">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Domperidone</w:t>
            </w:r>
            <w:r>
              <w:rPr>
                <w:rFonts w:hint="default" w:ascii="Times New Roman" w:hAnsi="Times New Roman" w:eastAsia="宋体" w:cs="Times New Roman"/>
                <w:b w:val="0"/>
                <w:bCs w:val="0"/>
                <w:i w:val="0"/>
                <w:iCs w:val="0"/>
                <w:color w:val="000000"/>
                <w:kern w:val="0"/>
                <w:sz w:val="15"/>
                <w:szCs w:val="15"/>
                <w:vertAlign w:val="baseline"/>
                <w:lang w:val="en-US" w:eastAsia="zh-CN" w:bidi="ar"/>
              </w:rPr>
              <w:br w:type="textWrapping"/>
            </w:r>
            <w:r>
              <w:rPr>
                <w:rFonts w:hint="default" w:ascii="Times New Roman" w:hAnsi="Times New Roman" w:eastAsia="宋体" w:cs="Times New Roman"/>
                <w:b w:val="0"/>
                <w:bCs w:val="0"/>
                <w:i/>
                <w:iCs/>
                <w:color w:val="000000"/>
                <w:kern w:val="0"/>
                <w:sz w:val="11"/>
                <w:szCs w:val="11"/>
                <w:vertAlign w:val="baseline"/>
                <w:lang w:val="en-US" w:eastAsia="zh-CN" w:bidi="ar"/>
              </w:rPr>
              <w:t>(Only on Non US Market)</w:t>
            </w:r>
          </w:p>
        </w:tc>
        <w:tc>
          <w:tcPr>
            <w:tcW w:w="2600" w:type="dxa"/>
          </w:tcPr>
          <w:p w14:paraId="612AE368">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Motilium, Motillium, Motinorm Costi, Nomit</w:t>
            </w:r>
          </w:p>
        </w:tc>
        <w:tc>
          <w:tcPr>
            <w:tcW w:w="2192" w:type="dxa"/>
          </w:tcPr>
          <w:p w14:paraId="367121B2">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Antiemetic</w:t>
            </w:r>
          </w:p>
        </w:tc>
        <w:tc>
          <w:tcPr>
            <w:tcW w:w="2031" w:type="dxa"/>
          </w:tcPr>
          <w:p w14:paraId="7C2BB64A">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Nausea, vomiting</w:t>
            </w:r>
          </w:p>
        </w:tc>
      </w:tr>
      <w:tr w14:paraId="774A9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5FC694B3">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Donepezil</w:t>
            </w:r>
          </w:p>
        </w:tc>
        <w:tc>
          <w:tcPr>
            <w:tcW w:w="2600" w:type="dxa"/>
          </w:tcPr>
          <w:p w14:paraId="03A83386">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Aricept</w:t>
            </w:r>
          </w:p>
        </w:tc>
        <w:tc>
          <w:tcPr>
            <w:tcW w:w="2192" w:type="dxa"/>
          </w:tcPr>
          <w:p w14:paraId="69B2A7CC">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Cholinesterase inhibitor</w:t>
            </w:r>
          </w:p>
        </w:tc>
        <w:tc>
          <w:tcPr>
            <w:tcW w:w="2031" w:type="dxa"/>
          </w:tcPr>
          <w:p w14:paraId="6B607373">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Dementia (Alzheimer's Disease)</w:t>
            </w:r>
          </w:p>
        </w:tc>
      </w:tr>
      <w:tr w14:paraId="7A2DD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3072426C">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Dronedarone</w:t>
            </w:r>
          </w:p>
        </w:tc>
        <w:tc>
          <w:tcPr>
            <w:tcW w:w="2600" w:type="dxa"/>
          </w:tcPr>
          <w:p w14:paraId="0875AF5B">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Multaq</w:t>
            </w:r>
          </w:p>
        </w:tc>
        <w:tc>
          <w:tcPr>
            <w:tcW w:w="2192" w:type="dxa"/>
          </w:tcPr>
          <w:p w14:paraId="20431C40">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Antiarrhythmic</w:t>
            </w:r>
          </w:p>
        </w:tc>
        <w:tc>
          <w:tcPr>
            <w:tcW w:w="2031" w:type="dxa"/>
          </w:tcPr>
          <w:p w14:paraId="47060C35">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Arrhythmia</w:t>
            </w:r>
          </w:p>
        </w:tc>
      </w:tr>
      <w:tr w14:paraId="7C160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4B2F8945">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Droperidol</w:t>
            </w:r>
          </w:p>
        </w:tc>
        <w:tc>
          <w:tcPr>
            <w:tcW w:w="2600" w:type="dxa"/>
          </w:tcPr>
          <w:p w14:paraId="4E2853E4">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Inapsine, Droleptan, Dridol, Xomolix</w:t>
            </w:r>
          </w:p>
        </w:tc>
        <w:tc>
          <w:tcPr>
            <w:tcW w:w="2192" w:type="dxa"/>
          </w:tcPr>
          <w:p w14:paraId="5F7DE9C1">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Antipsychotic / Antiemetic</w:t>
            </w:r>
          </w:p>
        </w:tc>
        <w:tc>
          <w:tcPr>
            <w:tcW w:w="2031" w:type="dxa"/>
          </w:tcPr>
          <w:p w14:paraId="131C99D5">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Anesthesia (adjunct), nausea</w:t>
            </w:r>
          </w:p>
        </w:tc>
      </w:tr>
      <w:tr w14:paraId="36111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3C9BEB16">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Erythromycin</w:t>
            </w:r>
          </w:p>
        </w:tc>
        <w:tc>
          <w:tcPr>
            <w:tcW w:w="2600" w:type="dxa"/>
          </w:tcPr>
          <w:p w14:paraId="42982C79">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E.E.S., Robimycin, EMycin, Erymax, Ery-Tab, Eryc Ranbaxy, Erypar, Eryped, Erythrocin Stearate Filmtab, Erythrocot, E-Base, Erythroped, Ilosone, MY-E, Pediamycin, Abboticin, Abboticin-ES, Erycin, PCE Dispertab, Stiemycine, Acnasol, Tiloryth</w:t>
            </w:r>
          </w:p>
        </w:tc>
        <w:tc>
          <w:tcPr>
            <w:tcW w:w="2192" w:type="dxa"/>
          </w:tcPr>
          <w:p w14:paraId="6E64FDB6">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Antibiotic</w:t>
            </w:r>
          </w:p>
        </w:tc>
        <w:tc>
          <w:tcPr>
            <w:tcW w:w="2031" w:type="dxa"/>
          </w:tcPr>
          <w:p w14:paraId="19AB961B">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Bacterial infection, increase GI motility</w:t>
            </w:r>
          </w:p>
        </w:tc>
      </w:tr>
      <w:tr w14:paraId="383E8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7433BB97">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Escitalopram</w:t>
            </w:r>
          </w:p>
        </w:tc>
        <w:tc>
          <w:tcPr>
            <w:tcW w:w="2600" w:type="dxa"/>
          </w:tcPr>
          <w:p w14:paraId="1ED5B7D9">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Cipralex, Lexapro, Nexito, Anxiset-E, Exodus, Esto, Seroplex, Elicea, Lexamil, Lexam, Entact, Losita, Reposil, Animaxen, Esitalo, Lexamil</w:t>
            </w:r>
          </w:p>
        </w:tc>
        <w:tc>
          <w:tcPr>
            <w:tcW w:w="2192" w:type="dxa"/>
          </w:tcPr>
          <w:p w14:paraId="31DB1737">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Antidepressant, SSRI</w:t>
            </w:r>
          </w:p>
        </w:tc>
        <w:tc>
          <w:tcPr>
            <w:tcW w:w="2031" w:type="dxa"/>
          </w:tcPr>
          <w:p w14:paraId="46E2E97D">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Depression (major), anxiety disorders</w:t>
            </w:r>
          </w:p>
        </w:tc>
      </w:tr>
      <w:tr w14:paraId="4C551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6C8CA92B">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Flecainide</w:t>
            </w:r>
          </w:p>
        </w:tc>
        <w:tc>
          <w:tcPr>
            <w:tcW w:w="2600" w:type="dxa"/>
          </w:tcPr>
          <w:p w14:paraId="6CBF2A30">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Tambocor, Almarytm, Apocard, Ecrinal, Flécaine</w:t>
            </w:r>
          </w:p>
        </w:tc>
        <w:tc>
          <w:tcPr>
            <w:tcW w:w="2192" w:type="dxa"/>
          </w:tcPr>
          <w:p w14:paraId="7C0FFAC4">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Antiarrhythmic</w:t>
            </w:r>
          </w:p>
        </w:tc>
        <w:tc>
          <w:tcPr>
            <w:tcW w:w="2031" w:type="dxa"/>
          </w:tcPr>
          <w:p w14:paraId="7D7036E3">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Arrhythmia</w:t>
            </w:r>
          </w:p>
        </w:tc>
      </w:tr>
      <w:tr w14:paraId="68A8D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1AF7EC42">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Fluconazole</w:t>
            </w:r>
          </w:p>
        </w:tc>
        <w:tc>
          <w:tcPr>
            <w:tcW w:w="2600" w:type="dxa"/>
          </w:tcPr>
          <w:p w14:paraId="376A0B2A">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Diflucan, Trican</w:t>
            </w:r>
          </w:p>
        </w:tc>
        <w:tc>
          <w:tcPr>
            <w:tcW w:w="2192" w:type="dxa"/>
          </w:tcPr>
          <w:p w14:paraId="75D4FAAF">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Antifungal</w:t>
            </w:r>
          </w:p>
        </w:tc>
        <w:tc>
          <w:tcPr>
            <w:tcW w:w="2031" w:type="dxa"/>
          </w:tcPr>
          <w:p w14:paraId="643B28D8">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Fungal infection</w:t>
            </w:r>
          </w:p>
        </w:tc>
      </w:tr>
      <w:tr w14:paraId="72B8B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2E188E3F">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Gatifloxacin</w:t>
            </w:r>
            <w:r>
              <w:rPr>
                <w:rFonts w:hint="default" w:ascii="Times New Roman" w:hAnsi="Times New Roman" w:eastAsia="宋体" w:cs="Times New Roman"/>
                <w:b w:val="0"/>
                <w:bCs w:val="0"/>
                <w:i w:val="0"/>
                <w:iCs w:val="0"/>
                <w:color w:val="000000"/>
                <w:kern w:val="0"/>
                <w:sz w:val="15"/>
                <w:szCs w:val="15"/>
                <w:vertAlign w:val="baseline"/>
                <w:lang w:val="en-US" w:eastAsia="zh-CN" w:bidi="ar"/>
              </w:rPr>
              <w:br w:type="textWrapping"/>
            </w:r>
            <w:r>
              <w:rPr>
                <w:rFonts w:hint="default" w:ascii="Times New Roman" w:hAnsi="Times New Roman" w:eastAsia="宋体" w:cs="Times New Roman"/>
                <w:b w:val="0"/>
                <w:bCs w:val="0"/>
                <w:i/>
                <w:iCs/>
                <w:color w:val="000000"/>
                <w:kern w:val="0"/>
                <w:sz w:val="11"/>
                <w:szCs w:val="11"/>
                <w:vertAlign w:val="baseline"/>
                <w:lang w:val="en-US" w:eastAsia="zh-CN" w:bidi="ar"/>
              </w:rPr>
              <w:t>(Removed from US Market)</w:t>
            </w:r>
          </w:p>
        </w:tc>
        <w:tc>
          <w:tcPr>
            <w:tcW w:w="2600" w:type="dxa"/>
          </w:tcPr>
          <w:p w14:paraId="0971C828">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Tequin</w:t>
            </w:r>
          </w:p>
        </w:tc>
        <w:tc>
          <w:tcPr>
            <w:tcW w:w="2192" w:type="dxa"/>
          </w:tcPr>
          <w:p w14:paraId="405E67BF">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Antibiotic</w:t>
            </w:r>
          </w:p>
        </w:tc>
        <w:tc>
          <w:tcPr>
            <w:tcW w:w="2031" w:type="dxa"/>
          </w:tcPr>
          <w:p w14:paraId="0906373E">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Bacterial infection</w:t>
            </w:r>
          </w:p>
        </w:tc>
      </w:tr>
      <w:tr w14:paraId="29DBA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17B77310">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Grepafloxacin</w:t>
            </w:r>
            <w:r>
              <w:rPr>
                <w:rFonts w:hint="default" w:ascii="Times New Roman" w:hAnsi="Times New Roman" w:eastAsia="宋体" w:cs="Times New Roman"/>
                <w:b w:val="0"/>
                <w:bCs w:val="0"/>
                <w:i w:val="0"/>
                <w:iCs w:val="0"/>
                <w:color w:val="000000"/>
                <w:kern w:val="0"/>
                <w:sz w:val="15"/>
                <w:szCs w:val="15"/>
                <w:vertAlign w:val="baseline"/>
                <w:lang w:val="en-US" w:eastAsia="zh-CN" w:bidi="ar"/>
              </w:rPr>
              <w:br w:type="textWrapping"/>
            </w:r>
            <w:r>
              <w:rPr>
                <w:rFonts w:hint="default" w:ascii="Times New Roman" w:hAnsi="Times New Roman" w:eastAsia="宋体" w:cs="Times New Roman"/>
                <w:b w:val="0"/>
                <w:bCs w:val="0"/>
                <w:i/>
                <w:iCs/>
                <w:color w:val="000000"/>
                <w:kern w:val="0"/>
                <w:sz w:val="11"/>
                <w:szCs w:val="11"/>
                <w:vertAlign w:val="baseline"/>
                <w:lang w:val="en-US" w:eastAsia="zh-CN" w:bidi="ar"/>
              </w:rPr>
              <w:t>(Removed from US Market)</w:t>
            </w:r>
          </w:p>
        </w:tc>
        <w:tc>
          <w:tcPr>
            <w:tcW w:w="2600" w:type="dxa"/>
          </w:tcPr>
          <w:p w14:paraId="5BB9ED59">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Raxar</w:t>
            </w:r>
          </w:p>
        </w:tc>
        <w:tc>
          <w:tcPr>
            <w:tcW w:w="2192" w:type="dxa"/>
          </w:tcPr>
          <w:p w14:paraId="05B88988">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Antibiotic</w:t>
            </w:r>
          </w:p>
        </w:tc>
        <w:tc>
          <w:tcPr>
            <w:tcW w:w="2031" w:type="dxa"/>
          </w:tcPr>
          <w:p w14:paraId="3570633C">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Bacterial infection</w:t>
            </w:r>
          </w:p>
        </w:tc>
      </w:tr>
      <w:tr w14:paraId="109F8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53FCB84B">
            <w:pPr>
              <w:keepNext w:val="0"/>
              <w:keepLines w:val="0"/>
              <w:widowControl/>
              <w:suppressLineNumbers w:val="0"/>
              <w:jc w:val="left"/>
              <w:rPr>
                <w:rFonts w:hint="default" w:ascii="Times New Roman" w:hAnsi="Times New Roman" w:eastAsia="宋体" w:cs="Times New Roman"/>
                <w:b w:val="0"/>
                <w:bCs w:val="0"/>
                <w:i/>
                <w:iCs/>
                <w:color w:val="000000"/>
                <w:kern w:val="0"/>
                <w:sz w:val="11"/>
                <w:szCs w:val="11"/>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Halofantrine</w:t>
            </w:r>
            <w:r>
              <w:rPr>
                <w:rFonts w:hint="default" w:ascii="Times New Roman" w:hAnsi="Times New Roman" w:eastAsia="宋体" w:cs="Times New Roman"/>
                <w:b w:val="0"/>
                <w:bCs w:val="0"/>
                <w:i/>
                <w:iCs/>
                <w:color w:val="000000"/>
                <w:kern w:val="0"/>
                <w:sz w:val="11"/>
                <w:szCs w:val="11"/>
                <w:vertAlign w:val="baseline"/>
                <w:lang w:val="en-US" w:eastAsia="zh-CN" w:bidi="ar"/>
              </w:rPr>
              <w:br w:type="textWrapping"/>
            </w:r>
            <w:r>
              <w:rPr>
                <w:rFonts w:hint="default" w:ascii="Times New Roman" w:hAnsi="Times New Roman" w:eastAsia="宋体" w:cs="Times New Roman"/>
                <w:b w:val="0"/>
                <w:bCs w:val="0"/>
                <w:i/>
                <w:iCs/>
                <w:color w:val="000000"/>
                <w:kern w:val="0"/>
                <w:sz w:val="11"/>
                <w:szCs w:val="11"/>
                <w:vertAlign w:val="baseline"/>
                <w:lang w:val="en-US" w:eastAsia="zh-CN" w:bidi="ar"/>
              </w:rPr>
              <w:t>(Only on Non US Market)</w:t>
            </w:r>
          </w:p>
        </w:tc>
        <w:tc>
          <w:tcPr>
            <w:tcW w:w="2600" w:type="dxa"/>
          </w:tcPr>
          <w:p w14:paraId="47F86905">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Halfan</w:t>
            </w:r>
          </w:p>
        </w:tc>
        <w:tc>
          <w:tcPr>
            <w:tcW w:w="2192" w:type="dxa"/>
          </w:tcPr>
          <w:p w14:paraId="6C2C2273">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Antimalarial</w:t>
            </w:r>
          </w:p>
        </w:tc>
        <w:tc>
          <w:tcPr>
            <w:tcW w:w="2031" w:type="dxa"/>
          </w:tcPr>
          <w:p w14:paraId="138C9C3C">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Malaria</w:t>
            </w:r>
          </w:p>
        </w:tc>
      </w:tr>
      <w:tr w14:paraId="07416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4EEA90B6">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Haloperidol</w:t>
            </w:r>
          </w:p>
        </w:tc>
        <w:tc>
          <w:tcPr>
            <w:tcW w:w="2600" w:type="dxa"/>
          </w:tcPr>
          <w:p w14:paraId="567956A2">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Haldol, Aloperidin, Bioperidolo, Brotopon, Dozic, Duraperidol, Einalon S, Eukystol, Halosten, Keselan, Linton, Peluces, Serenace, Serenase, Sigaperidol</w:t>
            </w:r>
          </w:p>
        </w:tc>
        <w:tc>
          <w:tcPr>
            <w:tcW w:w="2192" w:type="dxa"/>
          </w:tcPr>
          <w:p w14:paraId="62FCF1CA">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Antipsychotic</w:t>
            </w:r>
          </w:p>
        </w:tc>
        <w:tc>
          <w:tcPr>
            <w:tcW w:w="2031" w:type="dxa"/>
          </w:tcPr>
          <w:p w14:paraId="1C532A1A">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Schizophrenia, agitation</w:t>
            </w:r>
          </w:p>
        </w:tc>
      </w:tr>
      <w:tr w14:paraId="7DFF9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65EAB958">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Hydroquinidine (Dihydroquinidine)</w:t>
            </w:r>
            <w:r>
              <w:rPr>
                <w:rFonts w:hint="default" w:ascii="Times New Roman" w:hAnsi="Times New Roman" w:eastAsia="宋体" w:cs="Times New Roman"/>
                <w:b w:val="0"/>
                <w:bCs w:val="0"/>
                <w:i w:val="0"/>
                <w:iCs w:val="0"/>
                <w:color w:val="000000"/>
                <w:kern w:val="0"/>
                <w:sz w:val="15"/>
                <w:szCs w:val="15"/>
                <w:vertAlign w:val="baseline"/>
                <w:lang w:val="en-US" w:eastAsia="zh-CN" w:bidi="ar"/>
              </w:rPr>
              <w:br w:type="textWrapping"/>
            </w:r>
            <w:r>
              <w:rPr>
                <w:rFonts w:hint="default" w:ascii="Times New Roman" w:hAnsi="Times New Roman" w:eastAsia="宋体" w:cs="Times New Roman"/>
                <w:b w:val="0"/>
                <w:bCs w:val="0"/>
                <w:i/>
                <w:iCs/>
                <w:color w:val="000000"/>
                <w:kern w:val="0"/>
                <w:sz w:val="11"/>
                <w:szCs w:val="11"/>
                <w:vertAlign w:val="baseline"/>
                <w:lang w:val="en-US" w:eastAsia="zh-CN" w:bidi="ar"/>
              </w:rPr>
              <w:t>(Only on Non US Market)</w:t>
            </w:r>
          </w:p>
        </w:tc>
        <w:tc>
          <w:tcPr>
            <w:tcW w:w="2600" w:type="dxa"/>
          </w:tcPr>
          <w:p w14:paraId="7A9958C6">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Serecor</w:t>
            </w:r>
          </w:p>
        </w:tc>
        <w:tc>
          <w:tcPr>
            <w:tcW w:w="2192" w:type="dxa"/>
          </w:tcPr>
          <w:p w14:paraId="22217A62">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Antiarrhythmic</w:t>
            </w:r>
          </w:p>
        </w:tc>
        <w:tc>
          <w:tcPr>
            <w:tcW w:w="2031" w:type="dxa"/>
          </w:tcPr>
          <w:p w14:paraId="683702FF">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Arrhythmia</w:t>
            </w:r>
          </w:p>
        </w:tc>
      </w:tr>
      <w:tr w14:paraId="1B061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1F1D5330">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Hydroxychloroquine</w:t>
            </w:r>
          </w:p>
        </w:tc>
        <w:tc>
          <w:tcPr>
            <w:tcW w:w="2600" w:type="dxa"/>
          </w:tcPr>
          <w:p w14:paraId="5EC0DF34">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Plaquenil, Quineprox</w:t>
            </w:r>
          </w:p>
        </w:tc>
        <w:tc>
          <w:tcPr>
            <w:tcW w:w="2192" w:type="dxa"/>
          </w:tcPr>
          <w:p w14:paraId="6EFEF836">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Antimalarial, Anti-inflammatory</w:t>
            </w:r>
          </w:p>
        </w:tc>
        <w:tc>
          <w:tcPr>
            <w:tcW w:w="2031" w:type="dxa"/>
          </w:tcPr>
          <w:p w14:paraId="7985150F">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Malaria, SLE, rheumatoid arthritis</w:t>
            </w:r>
          </w:p>
        </w:tc>
      </w:tr>
      <w:tr w14:paraId="4FE9B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58373598">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Ibogaine</w:t>
            </w:r>
            <w:r>
              <w:rPr>
                <w:rFonts w:hint="default" w:ascii="Times New Roman" w:hAnsi="Times New Roman" w:eastAsia="宋体" w:cs="Times New Roman"/>
                <w:b w:val="0"/>
                <w:bCs w:val="0"/>
                <w:i w:val="0"/>
                <w:iCs w:val="0"/>
                <w:color w:val="000000"/>
                <w:kern w:val="0"/>
                <w:sz w:val="15"/>
                <w:szCs w:val="15"/>
                <w:vertAlign w:val="baseline"/>
                <w:lang w:val="en-US" w:eastAsia="zh-CN" w:bidi="ar"/>
              </w:rPr>
              <w:br w:type="textWrapping"/>
            </w:r>
            <w:r>
              <w:rPr>
                <w:rFonts w:hint="default" w:ascii="Times New Roman" w:hAnsi="Times New Roman" w:eastAsia="宋体" w:cs="Times New Roman"/>
                <w:b w:val="0"/>
                <w:bCs w:val="0"/>
                <w:i/>
                <w:iCs/>
                <w:color w:val="000000"/>
                <w:kern w:val="0"/>
                <w:sz w:val="11"/>
                <w:szCs w:val="11"/>
                <w:vertAlign w:val="baseline"/>
                <w:lang w:val="en-US" w:eastAsia="zh-CN" w:bidi="ar"/>
              </w:rPr>
              <w:t>(Only on Non US Market)</w:t>
            </w:r>
          </w:p>
        </w:tc>
        <w:tc>
          <w:tcPr>
            <w:tcW w:w="2600" w:type="dxa"/>
          </w:tcPr>
          <w:p w14:paraId="37E67978">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p>
        </w:tc>
        <w:tc>
          <w:tcPr>
            <w:tcW w:w="2192" w:type="dxa"/>
          </w:tcPr>
          <w:p w14:paraId="7D259646">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Psychedelic</w:t>
            </w:r>
          </w:p>
        </w:tc>
        <w:tc>
          <w:tcPr>
            <w:tcW w:w="2031" w:type="dxa"/>
          </w:tcPr>
          <w:p w14:paraId="483D3047">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Narcotic addiction, unproven</w:t>
            </w:r>
          </w:p>
        </w:tc>
      </w:tr>
      <w:tr w14:paraId="2F5EF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2034F4C7">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Ibutilide</w:t>
            </w:r>
          </w:p>
        </w:tc>
        <w:tc>
          <w:tcPr>
            <w:tcW w:w="2600" w:type="dxa"/>
          </w:tcPr>
          <w:p w14:paraId="76AD7641">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Corvert</w:t>
            </w:r>
          </w:p>
        </w:tc>
        <w:tc>
          <w:tcPr>
            <w:tcW w:w="2192" w:type="dxa"/>
          </w:tcPr>
          <w:p w14:paraId="55FC97A4">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Antiarrhythmic</w:t>
            </w:r>
          </w:p>
        </w:tc>
        <w:tc>
          <w:tcPr>
            <w:tcW w:w="2031" w:type="dxa"/>
          </w:tcPr>
          <w:p w14:paraId="7D247EAC">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Arrhythmia</w:t>
            </w:r>
          </w:p>
        </w:tc>
      </w:tr>
      <w:tr w14:paraId="58809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2D7C53FD">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Levofloxacin</w:t>
            </w:r>
          </w:p>
        </w:tc>
        <w:tc>
          <w:tcPr>
            <w:tcW w:w="2600" w:type="dxa"/>
          </w:tcPr>
          <w:p w14:paraId="36F34DD5">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Levaquin, Tavanic</w:t>
            </w:r>
          </w:p>
        </w:tc>
        <w:tc>
          <w:tcPr>
            <w:tcW w:w="2192" w:type="dxa"/>
          </w:tcPr>
          <w:p w14:paraId="5A2C2478">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Antibiotic</w:t>
            </w:r>
          </w:p>
        </w:tc>
        <w:tc>
          <w:tcPr>
            <w:tcW w:w="2031" w:type="dxa"/>
          </w:tcPr>
          <w:p w14:paraId="75A12349">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Bacterial infection</w:t>
            </w:r>
          </w:p>
        </w:tc>
      </w:tr>
      <w:tr w14:paraId="311A0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538D5CD2">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Levomepromazine (Methotrimeprazine)</w:t>
            </w:r>
            <w:r>
              <w:rPr>
                <w:rFonts w:hint="default" w:ascii="Times New Roman" w:hAnsi="Times New Roman" w:eastAsia="宋体" w:cs="Times New Roman"/>
                <w:b w:val="0"/>
                <w:bCs w:val="0"/>
                <w:i w:val="0"/>
                <w:iCs w:val="0"/>
                <w:color w:val="000000"/>
                <w:kern w:val="0"/>
                <w:sz w:val="15"/>
                <w:szCs w:val="15"/>
                <w:vertAlign w:val="baseline"/>
                <w:lang w:val="en-US" w:eastAsia="zh-CN" w:bidi="ar"/>
              </w:rPr>
              <w:br w:type="textWrapping"/>
            </w:r>
            <w:r>
              <w:rPr>
                <w:rFonts w:hint="default" w:ascii="Times New Roman" w:hAnsi="Times New Roman" w:eastAsia="宋体" w:cs="Times New Roman"/>
                <w:b w:val="0"/>
                <w:bCs w:val="0"/>
                <w:i/>
                <w:iCs/>
                <w:color w:val="000000"/>
                <w:kern w:val="0"/>
                <w:sz w:val="11"/>
                <w:szCs w:val="11"/>
                <w:vertAlign w:val="baseline"/>
                <w:lang w:val="en-US" w:eastAsia="zh-CN" w:bidi="ar"/>
              </w:rPr>
              <w:t>(Only on Non US Market)</w:t>
            </w:r>
          </w:p>
        </w:tc>
        <w:tc>
          <w:tcPr>
            <w:tcW w:w="2600" w:type="dxa"/>
          </w:tcPr>
          <w:p w14:paraId="4DB261CB">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Nosinan, Nozinan, Levoprome</w:t>
            </w:r>
          </w:p>
        </w:tc>
        <w:tc>
          <w:tcPr>
            <w:tcW w:w="2192" w:type="dxa"/>
          </w:tcPr>
          <w:p w14:paraId="0E156653">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Antipsychotic</w:t>
            </w:r>
          </w:p>
        </w:tc>
        <w:tc>
          <w:tcPr>
            <w:tcW w:w="2031" w:type="dxa"/>
          </w:tcPr>
          <w:p w14:paraId="233C5FD9">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Schizophrenia</w:t>
            </w:r>
          </w:p>
        </w:tc>
      </w:tr>
      <w:tr w14:paraId="25930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3514441C">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Levomethadyl acetate</w:t>
            </w:r>
            <w:r>
              <w:rPr>
                <w:rFonts w:hint="default" w:ascii="Times New Roman" w:hAnsi="Times New Roman" w:eastAsia="宋体" w:cs="Times New Roman"/>
                <w:b w:val="0"/>
                <w:bCs w:val="0"/>
                <w:i w:val="0"/>
                <w:iCs w:val="0"/>
                <w:color w:val="000000"/>
                <w:kern w:val="0"/>
                <w:sz w:val="15"/>
                <w:szCs w:val="15"/>
                <w:vertAlign w:val="baseline"/>
                <w:lang w:val="en-US" w:eastAsia="zh-CN" w:bidi="ar"/>
              </w:rPr>
              <w:br w:type="textWrapping"/>
            </w:r>
            <w:r>
              <w:rPr>
                <w:rFonts w:hint="default" w:ascii="Times New Roman" w:hAnsi="Times New Roman" w:eastAsia="宋体" w:cs="Times New Roman"/>
                <w:b w:val="0"/>
                <w:bCs w:val="0"/>
                <w:i/>
                <w:iCs/>
                <w:color w:val="000000"/>
                <w:kern w:val="0"/>
                <w:sz w:val="11"/>
                <w:szCs w:val="11"/>
                <w:vertAlign w:val="baseline"/>
                <w:lang w:val="en-US" w:eastAsia="zh-CN" w:bidi="ar"/>
              </w:rPr>
              <w:t>(Removed from US Market)</w:t>
            </w:r>
          </w:p>
        </w:tc>
        <w:tc>
          <w:tcPr>
            <w:tcW w:w="2600" w:type="dxa"/>
          </w:tcPr>
          <w:p w14:paraId="56F3F9EF">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Orlaam</w:t>
            </w:r>
          </w:p>
        </w:tc>
        <w:tc>
          <w:tcPr>
            <w:tcW w:w="2192" w:type="dxa"/>
          </w:tcPr>
          <w:p w14:paraId="3824365D">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Opioid agonist</w:t>
            </w:r>
          </w:p>
        </w:tc>
        <w:tc>
          <w:tcPr>
            <w:tcW w:w="2031" w:type="dxa"/>
          </w:tcPr>
          <w:p w14:paraId="7C3D2C58">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Narcotic dependence</w:t>
            </w:r>
          </w:p>
        </w:tc>
      </w:tr>
      <w:tr w14:paraId="29824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05CC262D">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Levosulpiride</w:t>
            </w:r>
            <w:r>
              <w:rPr>
                <w:rFonts w:hint="default" w:ascii="Times New Roman" w:hAnsi="Times New Roman" w:eastAsia="宋体" w:cs="Times New Roman"/>
                <w:b w:val="0"/>
                <w:bCs w:val="0"/>
                <w:i w:val="0"/>
                <w:iCs w:val="0"/>
                <w:color w:val="000000"/>
                <w:kern w:val="0"/>
                <w:sz w:val="15"/>
                <w:szCs w:val="15"/>
                <w:vertAlign w:val="baseline"/>
                <w:lang w:val="en-US" w:eastAsia="zh-CN" w:bidi="ar"/>
              </w:rPr>
              <w:br w:type="textWrapping"/>
            </w:r>
            <w:r>
              <w:rPr>
                <w:rFonts w:hint="default" w:ascii="Times New Roman" w:hAnsi="Times New Roman" w:eastAsia="宋体" w:cs="Times New Roman"/>
                <w:b w:val="0"/>
                <w:bCs w:val="0"/>
                <w:i/>
                <w:iCs/>
                <w:color w:val="000000"/>
                <w:kern w:val="0"/>
                <w:sz w:val="11"/>
                <w:szCs w:val="11"/>
                <w:vertAlign w:val="baseline"/>
                <w:lang w:val="en-US" w:eastAsia="zh-CN" w:bidi="ar"/>
              </w:rPr>
              <w:t>(Only on Non US Market)</w:t>
            </w:r>
          </w:p>
        </w:tc>
        <w:tc>
          <w:tcPr>
            <w:tcW w:w="2600" w:type="dxa"/>
          </w:tcPr>
          <w:p w14:paraId="3C8858F4">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Lesuride, Levazeo, Enliva</w:t>
            </w:r>
          </w:p>
        </w:tc>
        <w:tc>
          <w:tcPr>
            <w:tcW w:w="2192" w:type="dxa"/>
          </w:tcPr>
          <w:p w14:paraId="68DB9D02">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Antipsychotic</w:t>
            </w:r>
          </w:p>
        </w:tc>
        <w:tc>
          <w:tcPr>
            <w:tcW w:w="2031" w:type="dxa"/>
          </w:tcPr>
          <w:p w14:paraId="1FF5655A">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Schizophrenia</w:t>
            </w:r>
          </w:p>
        </w:tc>
      </w:tr>
      <w:tr w14:paraId="09445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7AEB405C">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Meglumine antimoniate</w:t>
            </w:r>
            <w:r>
              <w:rPr>
                <w:rFonts w:hint="default" w:ascii="Times New Roman" w:hAnsi="Times New Roman" w:eastAsia="宋体" w:cs="Times New Roman"/>
                <w:b w:val="0"/>
                <w:bCs w:val="0"/>
                <w:i w:val="0"/>
                <w:iCs w:val="0"/>
                <w:color w:val="000000"/>
                <w:kern w:val="0"/>
                <w:sz w:val="15"/>
                <w:szCs w:val="15"/>
                <w:vertAlign w:val="baseline"/>
                <w:lang w:val="en-US" w:eastAsia="zh-CN" w:bidi="ar"/>
              </w:rPr>
              <w:br w:type="textWrapping"/>
            </w:r>
            <w:r>
              <w:rPr>
                <w:rFonts w:hint="default" w:ascii="Times New Roman" w:hAnsi="Times New Roman" w:eastAsia="宋体" w:cs="Times New Roman"/>
                <w:b w:val="0"/>
                <w:bCs w:val="0"/>
                <w:i/>
                <w:iCs/>
                <w:color w:val="000000"/>
                <w:kern w:val="0"/>
                <w:sz w:val="11"/>
                <w:szCs w:val="11"/>
                <w:vertAlign w:val="baseline"/>
                <w:lang w:val="en-US" w:eastAsia="zh-CN" w:bidi="ar"/>
              </w:rPr>
              <w:t>(Only on Non US Market)</w:t>
            </w:r>
          </w:p>
        </w:tc>
        <w:tc>
          <w:tcPr>
            <w:tcW w:w="2600" w:type="dxa"/>
          </w:tcPr>
          <w:p w14:paraId="3AAAE0E7">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Glucantime</w:t>
            </w:r>
          </w:p>
        </w:tc>
        <w:tc>
          <w:tcPr>
            <w:tcW w:w="2192" w:type="dxa"/>
          </w:tcPr>
          <w:p w14:paraId="0711640E">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Antiparasitic</w:t>
            </w:r>
          </w:p>
        </w:tc>
        <w:tc>
          <w:tcPr>
            <w:tcW w:w="2031" w:type="dxa"/>
          </w:tcPr>
          <w:p w14:paraId="38338ECC">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Leishmaniasis</w:t>
            </w:r>
          </w:p>
        </w:tc>
      </w:tr>
      <w:tr w14:paraId="16048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7CDBBB9F">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Mesoridazine</w:t>
            </w:r>
            <w:r>
              <w:rPr>
                <w:rFonts w:hint="default" w:ascii="Times New Roman" w:hAnsi="Times New Roman" w:eastAsia="宋体" w:cs="Times New Roman"/>
                <w:b w:val="0"/>
                <w:bCs w:val="0"/>
                <w:i w:val="0"/>
                <w:iCs w:val="0"/>
                <w:color w:val="000000"/>
                <w:kern w:val="0"/>
                <w:sz w:val="15"/>
                <w:szCs w:val="15"/>
                <w:vertAlign w:val="baseline"/>
                <w:lang w:val="en-US" w:eastAsia="zh-CN" w:bidi="ar"/>
              </w:rPr>
              <w:br w:type="textWrapping"/>
            </w:r>
            <w:r>
              <w:rPr>
                <w:rFonts w:hint="default" w:ascii="Times New Roman" w:hAnsi="Times New Roman" w:eastAsia="宋体" w:cs="Times New Roman"/>
                <w:b w:val="0"/>
                <w:bCs w:val="0"/>
                <w:i/>
                <w:iCs/>
                <w:color w:val="000000"/>
                <w:kern w:val="0"/>
                <w:sz w:val="11"/>
                <w:szCs w:val="11"/>
                <w:vertAlign w:val="baseline"/>
                <w:lang w:val="en-US" w:eastAsia="zh-CN" w:bidi="ar"/>
              </w:rPr>
              <w:t>(Removed from US Market)</w:t>
            </w:r>
          </w:p>
        </w:tc>
        <w:tc>
          <w:tcPr>
            <w:tcW w:w="2600" w:type="dxa"/>
          </w:tcPr>
          <w:p w14:paraId="7582041F">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Serentil</w:t>
            </w:r>
          </w:p>
        </w:tc>
        <w:tc>
          <w:tcPr>
            <w:tcW w:w="2192" w:type="dxa"/>
          </w:tcPr>
          <w:p w14:paraId="60A23690">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Antipsychotic</w:t>
            </w:r>
          </w:p>
        </w:tc>
        <w:tc>
          <w:tcPr>
            <w:tcW w:w="2031" w:type="dxa"/>
          </w:tcPr>
          <w:p w14:paraId="754F86B4">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Schizophrenia</w:t>
            </w:r>
          </w:p>
        </w:tc>
      </w:tr>
      <w:tr w14:paraId="3E76D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48BAF8F5">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Methadone</w:t>
            </w:r>
          </w:p>
        </w:tc>
        <w:tc>
          <w:tcPr>
            <w:tcW w:w="2600" w:type="dxa"/>
          </w:tcPr>
          <w:p w14:paraId="3A597D2B">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Dolophine, Symoron, Amidone, Methadose, Physeptone, Heptadon</w:t>
            </w:r>
          </w:p>
        </w:tc>
        <w:tc>
          <w:tcPr>
            <w:tcW w:w="2192" w:type="dxa"/>
          </w:tcPr>
          <w:p w14:paraId="6BB19062">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Opioid agonist</w:t>
            </w:r>
          </w:p>
        </w:tc>
        <w:tc>
          <w:tcPr>
            <w:tcW w:w="2031" w:type="dxa"/>
          </w:tcPr>
          <w:p w14:paraId="063F7438">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Narcotic dependence, pain</w:t>
            </w:r>
          </w:p>
        </w:tc>
      </w:tr>
      <w:tr w14:paraId="376B8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71A70E8D">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Moxifloxacin</w:t>
            </w:r>
          </w:p>
        </w:tc>
        <w:tc>
          <w:tcPr>
            <w:tcW w:w="2600" w:type="dxa"/>
          </w:tcPr>
          <w:p w14:paraId="37806E2E">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Avelox, Avalox, Avelon</w:t>
            </w:r>
          </w:p>
        </w:tc>
        <w:tc>
          <w:tcPr>
            <w:tcW w:w="2192" w:type="dxa"/>
          </w:tcPr>
          <w:p w14:paraId="49836AE6">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Antibiotic</w:t>
            </w:r>
          </w:p>
        </w:tc>
        <w:tc>
          <w:tcPr>
            <w:tcW w:w="2031" w:type="dxa"/>
          </w:tcPr>
          <w:p w14:paraId="3F2408DC">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Bacterial infection</w:t>
            </w:r>
          </w:p>
        </w:tc>
      </w:tr>
      <w:tr w14:paraId="298E5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07A6D61D">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Nifekalant</w:t>
            </w:r>
            <w:r>
              <w:rPr>
                <w:rFonts w:hint="default" w:ascii="Times New Roman" w:hAnsi="Times New Roman" w:eastAsia="宋体" w:cs="Times New Roman"/>
                <w:b w:val="0"/>
                <w:bCs w:val="0"/>
                <w:i w:val="0"/>
                <w:iCs w:val="0"/>
                <w:color w:val="000000"/>
                <w:kern w:val="0"/>
                <w:sz w:val="15"/>
                <w:szCs w:val="15"/>
                <w:vertAlign w:val="baseline"/>
                <w:lang w:val="en-US" w:eastAsia="zh-CN" w:bidi="ar"/>
              </w:rPr>
              <w:br w:type="textWrapping"/>
            </w:r>
            <w:r>
              <w:rPr>
                <w:rFonts w:hint="default" w:ascii="Times New Roman" w:hAnsi="Times New Roman" w:eastAsia="宋体" w:cs="Times New Roman"/>
                <w:b w:val="0"/>
                <w:bCs w:val="0"/>
                <w:i/>
                <w:iCs/>
                <w:color w:val="000000"/>
                <w:kern w:val="0"/>
                <w:sz w:val="11"/>
                <w:szCs w:val="11"/>
                <w:vertAlign w:val="baseline"/>
                <w:lang w:val="en-US" w:eastAsia="zh-CN" w:bidi="ar"/>
              </w:rPr>
              <w:t>(Only on Non US Market)</w:t>
            </w:r>
          </w:p>
        </w:tc>
        <w:tc>
          <w:tcPr>
            <w:tcW w:w="2600" w:type="dxa"/>
          </w:tcPr>
          <w:p w14:paraId="769B82D6">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Shinbit</w:t>
            </w:r>
          </w:p>
        </w:tc>
        <w:tc>
          <w:tcPr>
            <w:tcW w:w="2192" w:type="dxa"/>
          </w:tcPr>
          <w:p w14:paraId="0C14439E">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Antiarrhythmic</w:t>
            </w:r>
          </w:p>
        </w:tc>
        <w:tc>
          <w:tcPr>
            <w:tcW w:w="2031" w:type="dxa"/>
          </w:tcPr>
          <w:p w14:paraId="7C43E7A3">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Arrhythmia</w:t>
            </w:r>
          </w:p>
        </w:tc>
      </w:tr>
      <w:tr w14:paraId="24E54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782F4088">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Ondansetron</w:t>
            </w:r>
          </w:p>
        </w:tc>
        <w:tc>
          <w:tcPr>
            <w:tcW w:w="2600" w:type="dxa"/>
          </w:tcPr>
          <w:p w14:paraId="3B5196F5">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Zofran, Anset, Ondemet, Zuplenz, Emetron, Ondavell, Emeset, Ondisolv, Setronax</w:t>
            </w:r>
          </w:p>
        </w:tc>
        <w:tc>
          <w:tcPr>
            <w:tcW w:w="2192" w:type="dxa"/>
          </w:tcPr>
          <w:p w14:paraId="1A12415D">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Antiemetic</w:t>
            </w:r>
          </w:p>
        </w:tc>
        <w:tc>
          <w:tcPr>
            <w:tcW w:w="2031" w:type="dxa"/>
          </w:tcPr>
          <w:p w14:paraId="6AC89AA0">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Nausea, vomiting</w:t>
            </w:r>
          </w:p>
        </w:tc>
      </w:tr>
      <w:tr w14:paraId="66F98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31C0CA8F">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Oxaliplatin</w:t>
            </w:r>
          </w:p>
        </w:tc>
        <w:tc>
          <w:tcPr>
            <w:tcW w:w="2600" w:type="dxa"/>
          </w:tcPr>
          <w:p w14:paraId="6CE2C968">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Oxaliplatin</w:t>
            </w:r>
          </w:p>
        </w:tc>
        <w:tc>
          <w:tcPr>
            <w:tcW w:w="2192" w:type="dxa"/>
          </w:tcPr>
          <w:p w14:paraId="417D02C3">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Anti-cancer</w:t>
            </w:r>
          </w:p>
        </w:tc>
        <w:tc>
          <w:tcPr>
            <w:tcW w:w="2031" w:type="dxa"/>
          </w:tcPr>
          <w:p w14:paraId="6E14874A">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Cancer</w:t>
            </w:r>
          </w:p>
        </w:tc>
      </w:tr>
      <w:tr w14:paraId="70B15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606D5214">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 xml:space="preserve">Papaverine HCl </w:t>
            </w:r>
            <w:r>
              <w:rPr>
                <w:rFonts w:hint="default" w:ascii="Times New Roman" w:hAnsi="Times New Roman" w:eastAsia="宋体" w:cs="Times New Roman"/>
                <w:b w:val="0"/>
                <w:bCs w:val="0"/>
                <w:i/>
                <w:iCs/>
                <w:color w:val="000000"/>
                <w:kern w:val="0"/>
                <w:sz w:val="11"/>
                <w:szCs w:val="11"/>
                <w:vertAlign w:val="baseline"/>
                <w:lang w:val="en-US" w:eastAsia="zh-CN" w:bidi="ar"/>
              </w:rPr>
              <w:t>(Intra-coronary)</w:t>
            </w:r>
          </w:p>
        </w:tc>
        <w:tc>
          <w:tcPr>
            <w:tcW w:w="2600" w:type="dxa"/>
          </w:tcPr>
          <w:p w14:paraId="4D96D136">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p>
        </w:tc>
        <w:tc>
          <w:tcPr>
            <w:tcW w:w="2192" w:type="dxa"/>
          </w:tcPr>
          <w:p w14:paraId="0A1C9B20">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Vasodilator, Coronary</w:t>
            </w:r>
          </w:p>
        </w:tc>
        <w:tc>
          <w:tcPr>
            <w:tcW w:w="2031" w:type="dxa"/>
          </w:tcPr>
          <w:p w14:paraId="22863792">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Diagnostic adjunct</w:t>
            </w:r>
          </w:p>
        </w:tc>
      </w:tr>
      <w:tr w14:paraId="3B7B4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1980E9F8">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Pentamidine</w:t>
            </w:r>
          </w:p>
        </w:tc>
        <w:tc>
          <w:tcPr>
            <w:tcW w:w="2600" w:type="dxa"/>
          </w:tcPr>
          <w:p w14:paraId="7D5AABA0">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Pentam</w:t>
            </w:r>
          </w:p>
        </w:tc>
        <w:tc>
          <w:tcPr>
            <w:tcW w:w="2192" w:type="dxa"/>
          </w:tcPr>
          <w:p w14:paraId="6A43162F">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Antifungal</w:t>
            </w:r>
          </w:p>
        </w:tc>
        <w:tc>
          <w:tcPr>
            <w:tcW w:w="2031" w:type="dxa"/>
          </w:tcPr>
          <w:p w14:paraId="48C8977C">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Fungal infection (Pneumocystis pneumonia)</w:t>
            </w:r>
          </w:p>
        </w:tc>
      </w:tr>
      <w:tr w14:paraId="5D0D2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59D9FDE7">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Pimozide</w:t>
            </w:r>
          </w:p>
        </w:tc>
        <w:tc>
          <w:tcPr>
            <w:tcW w:w="2600" w:type="dxa"/>
          </w:tcPr>
          <w:p w14:paraId="57FE8CDB">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Orap</w:t>
            </w:r>
          </w:p>
        </w:tc>
        <w:tc>
          <w:tcPr>
            <w:tcW w:w="2192" w:type="dxa"/>
          </w:tcPr>
          <w:p w14:paraId="435180A6">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Antipsychotic</w:t>
            </w:r>
          </w:p>
        </w:tc>
        <w:tc>
          <w:tcPr>
            <w:tcW w:w="2031" w:type="dxa"/>
          </w:tcPr>
          <w:p w14:paraId="64CCE108">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Tourette's Disorder</w:t>
            </w:r>
          </w:p>
        </w:tc>
      </w:tr>
      <w:tr w14:paraId="532F9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05C6C819">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Probucol</w:t>
            </w:r>
            <w:r>
              <w:rPr>
                <w:rFonts w:hint="default" w:ascii="Times New Roman" w:hAnsi="Times New Roman" w:eastAsia="宋体" w:cs="Times New Roman"/>
                <w:b w:val="0"/>
                <w:bCs w:val="0"/>
                <w:i w:val="0"/>
                <w:iCs w:val="0"/>
                <w:color w:val="000000"/>
                <w:kern w:val="0"/>
                <w:sz w:val="15"/>
                <w:szCs w:val="15"/>
                <w:vertAlign w:val="baseline"/>
                <w:lang w:val="en-US" w:eastAsia="zh-CN" w:bidi="ar"/>
              </w:rPr>
              <w:br w:type="textWrapping"/>
            </w:r>
            <w:r>
              <w:rPr>
                <w:rFonts w:hint="default" w:ascii="Times New Roman" w:hAnsi="Times New Roman" w:eastAsia="宋体" w:cs="Times New Roman"/>
                <w:b w:val="0"/>
                <w:bCs w:val="0"/>
                <w:i/>
                <w:iCs/>
                <w:color w:val="000000"/>
                <w:kern w:val="0"/>
                <w:sz w:val="11"/>
                <w:szCs w:val="11"/>
                <w:vertAlign w:val="baseline"/>
                <w:lang w:val="en-US" w:eastAsia="zh-CN" w:bidi="ar"/>
              </w:rPr>
              <w:t>(Removed from US Market)</w:t>
            </w:r>
          </w:p>
        </w:tc>
        <w:tc>
          <w:tcPr>
            <w:tcW w:w="2600" w:type="dxa"/>
          </w:tcPr>
          <w:p w14:paraId="34CAB1FF">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Lorelco</w:t>
            </w:r>
          </w:p>
        </w:tc>
        <w:tc>
          <w:tcPr>
            <w:tcW w:w="2192" w:type="dxa"/>
          </w:tcPr>
          <w:p w14:paraId="7FEFC600">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Antilipemic</w:t>
            </w:r>
          </w:p>
        </w:tc>
        <w:tc>
          <w:tcPr>
            <w:tcW w:w="2031" w:type="dxa"/>
          </w:tcPr>
          <w:p w14:paraId="1A997774">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Hypercholesterolemia</w:t>
            </w:r>
          </w:p>
        </w:tc>
      </w:tr>
      <w:tr w14:paraId="67133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512B9BA0">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Procainamide</w:t>
            </w:r>
          </w:p>
        </w:tc>
        <w:tc>
          <w:tcPr>
            <w:tcW w:w="2600" w:type="dxa"/>
          </w:tcPr>
          <w:p w14:paraId="06F61F5E">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Pronestyl, Procan</w:t>
            </w:r>
          </w:p>
        </w:tc>
        <w:tc>
          <w:tcPr>
            <w:tcW w:w="2192" w:type="dxa"/>
          </w:tcPr>
          <w:p w14:paraId="540F04CD">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Antiarrhythmic</w:t>
            </w:r>
          </w:p>
        </w:tc>
        <w:tc>
          <w:tcPr>
            <w:tcW w:w="2031" w:type="dxa"/>
          </w:tcPr>
          <w:p w14:paraId="0F3C5469">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Arrhythmia</w:t>
            </w:r>
          </w:p>
        </w:tc>
      </w:tr>
      <w:tr w14:paraId="3B7F0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105BB639">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Propofol</w:t>
            </w:r>
          </w:p>
        </w:tc>
        <w:tc>
          <w:tcPr>
            <w:tcW w:w="2600" w:type="dxa"/>
          </w:tcPr>
          <w:p w14:paraId="59426F16">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Diprivan, Propoven</w:t>
            </w:r>
          </w:p>
        </w:tc>
        <w:tc>
          <w:tcPr>
            <w:tcW w:w="2192" w:type="dxa"/>
          </w:tcPr>
          <w:p w14:paraId="3587B5B9">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Anesthetic, general</w:t>
            </w:r>
          </w:p>
        </w:tc>
        <w:tc>
          <w:tcPr>
            <w:tcW w:w="2031" w:type="dxa"/>
          </w:tcPr>
          <w:p w14:paraId="79A3FDD5">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Anesthesia</w:t>
            </w:r>
          </w:p>
        </w:tc>
      </w:tr>
      <w:tr w14:paraId="2E183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38DBBCF7">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Quinidine</w:t>
            </w:r>
          </w:p>
        </w:tc>
        <w:tc>
          <w:tcPr>
            <w:tcW w:w="2600" w:type="dxa"/>
          </w:tcPr>
          <w:p w14:paraId="3F16AA78">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Quinaglute, Duraquin, Quinact, Quinidex, Cin-Quin, Quinora</w:t>
            </w:r>
          </w:p>
        </w:tc>
        <w:tc>
          <w:tcPr>
            <w:tcW w:w="2192" w:type="dxa"/>
          </w:tcPr>
          <w:p w14:paraId="1649997D">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Antiarrhythmic</w:t>
            </w:r>
          </w:p>
        </w:tc>
        <w:tc>
          <w:tcPr>
            <w:tcW w:w="2031" w:type="dxa"/>
          </w:tcPr>
          <w:p w14:paraId="3D78623E">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Arrhythmia</w:t>
            </w:r>
          </w:p>
        </w:tc>
      </w:tr>
      <w:tr w14:paraId="7FBF3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298F0831">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Roxithromycin</w:t>
            </w:r>
            <w:r>
              <w:rPr>
                <w:rFonts w:hint="default" w:ascii="Times New Roman" w:hAnsi="Times New Roman" w:eastAsia="宋体" w:cs="Times New Roman"/>
                <w:b w:val="0"/>
                <w:bCs w:val="0"/>
                <w:i w:val="0"/>
                <w:iCs w:val="0"/>
                <w:color w:val="000000"/>
                <w:kern w:val="0"/>
                <w:sz w:val="15"/>
                <w:szCs w:val="15"/>
                <w:vertAlign w:val="baseline"/>
                <w:lang w:val="en-US" w:eastAsia="zh-CN" w:bidi="ar"/>
              </w:rPr>
              <w:br w:type="textWrapping"/>
            </w:r>
            <w:r>
              <w:rPr>
                <w:rFonts w:hint="default" w:ascii="Times New Roman" w:hAnsi="Times New Roman" w:eastAsia="宋体" w:cs="Times New Roman"/>
                <w:b w:val="0"/>
                <w:bCs w:val="0"/>
                <w:i/>
                <w:iCs/>
                <w:color w:val="000000"/>
                <w:kern w:val="0"/>
                <w:sz w:val="11"/>
                <w:szCs w:val="11"/>
                <w:vertAlign w:val="baseline"/>
                <w:lang w:val="en-US" w:eastAsia="zh-CN" w:bidi="ar"/>
              </w:rPr>
              <w:t>(Only on Non US Market)</w:t>
            </w:r>
          </w:p>
        </w:tc>
        <w:tc>
          <w:tcPr>
            <w:tcW w:w="2600" w:type="dxa"/>
          </w:tcPr>
          <w:p w14:paraId="264F3084">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Rulide, Xthrocin, Roxl-150, Roxo, Surlid, Rulide, Biaxsig, Roxar, Roximycinv, Roxomycin, Rulid, Tirabicin, Coroxin</w:t>
            </w:r>
          </w:p>
        </w:tc>
        <w:tc>
          <w:tcPr>
            <w:tcW w:w="2192" w:type="dxa"/>
          </w:tcPr>
          <w:p w14:paraId="3DACA7DA">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Antibiotic</w:t>
            </w:r>
          </w:p>
        </w:tc>
        <w:tc>
          <w:tcPr>
            <w:tcW w:w="2031" w:type="dxa"/>
          </w:tcPr>
          <w:p w14:paraId="4A077DF9">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Bacterial infection</w:t>
            </w:r>
          </w:p>
        </w:tc>
      </w:tr>
      <w:tr w14:paraId="48294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57A40369">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Sertindole</w:t>
            </w:r>
            <w:r>
              <w:rPr>
                <w:rFonts w:hint="default" w:ascii="Times New Roman" w:hAnsi="Times New Roman" w:eastAsia="宋体" w:cs="Times New Roman"/>
                <w:b w:val="0"/>
                <w:bCs w:val="0"/>
                <w:i w:val="0"/>
                <w:iCs w:val="0"/>
                <w:color w:val="000000"/>
                <w:kern w:val="0"/>
                <w:sz w:val="15"/>
                <w:szCs w:val="15"/>
                <w:vertAlign w:val="baseline"/>
                <w:lang w:val="en-US" w:eastAsia="zh-CN" w:bidi="ar"/>
              </w:rPr>
              <w:br w:type="textWrapping"/>
            </w:r>
            <w:r>
              <w:rPr>
                <w:rFonts w:hint="default" w:ascii="Times New Roman" w:hAnsi="Times New Roman" w:eastAsia="宋体" w:cs="Times New Roman"/>
                <w:b w:val="0"/>
                <w:bCs w:val="0"/>
                <w:i/>
                <w:iCs/>
                <w:color w:val="000000"/>
                <w:kern w:val="0"/>
                <w:sz w:val="11"/>
                <w:szCs w:val="11"/>
                <w:vertAlign w:val="baseline"/>
                <w:lang w:val="en-US" w:eastAsia="zh-CN" w:bidi="ar"/>
              </w:rPr>
              <w:t>(Only on Non US Market)</w:t>
            </w:r>
          </w:p>
        </w:tc>
        <w:tc>
          <w:tcPr>
            <w:tcW w:w="2600" w:type="dxa"/>
          </w:tcPr>
          <w:p w14:paraId="3F9E0997">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Serdolect, Serlect</w:t>
            </w:r>
          </w:p>
        </w:tc>
        <w:tc>
          <w:tcPr>
            <w:tcW w:w="2192" w:type="dxa"/>
          </w:tcPr>
          <w:p w14:paraId="1C80B0F6">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Antipsychotic, atypical</w:t>
            </w:r>
          </w:p>
        </w:tc>
        <w:tc>
          <w:tcPr>
            <w:tcW w:w="2031" w:type="dxa"/>
          </w:tcPr>
          <w:p w14:paraId="4AA05A1F">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Schizophrenia, anxiety</w:t>
            </w:r>
          </w:p>
        </w:tc>
      </w:tr>
      <w:tr w14:paraId="5BA91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4182CC2B">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Sevoflurane</w:t>
            </w:r>
          </w:p>
        </w:tc>
        <w:tc>
          <w:tcPr>
            <w:tcW w:w="2600" w:type="dxa"/>
          </w:tcPr>
          <w:p w14:paraId="1F17760E">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Ultane, Sojourn</w:t>
            </w:r>
          </w:p>
        </w:tc>
        <w:tc>
          <w:tcPr>
            <w:tcW w:w="2192" w:type="dxa"/>
          </w:tcPr>
          <w:p w14:paraId="03FD85FB">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Anesthetic, general</w:t>
            </w:r>
          </w:p>
        </w:tc>
        <w:tc>
          <w:tcPr>
            <w:tcW w:w="2031" w:type="dxa"/>
          </w:tcPr>
          <w:p w14:paraId="45CC83DE">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Anesthesia</w:t>
            </w:r>
          </w:p>
        </w:tc>
      </w:tr>
      <w:tr w14:paraId="24DC6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5EE22AE2">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Sotalol</w:t>
            </w:r>
          </w:p>
        </w:tc>
        <w:tc>
          <w:tcPr>
            <w:tcW w:w="2600" w:type="dxa"/>
          </w:tcPr>
          <w:p w14:paraId="4D3E7C09">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Betapace, Sotalex, Sotacor</w:t>
            </w:r>
          </w:p>
        </w:tc>
        <w:tc>
          <w:tcPr>
            <w:tcW w:w="2192" w:type="dxa"/>
          </w:tcPr>
          <w:p w14:paraId="67B72089">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Antiarrhythmic</w:t>
            </w:r>
          </w:p>
        </w:tc>
        <w:tc>
          <w:tcPr>
            <w:tcW w:w="2031" w:type="dxa"/>
          </w:tcPr>
          <w:p w14:paraId="7D00695B">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Arrhythmia</w:t>
            </w:r>
          </w:p>
        </w:tc>
      </w:tr>
      <w:tr w14:paraId="74BD7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7B3A7CCC">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Sparfloxacin</w:t>
            </w:r>
            <w:r>
              <w:rPr>
                <w:rFonts w:hint="default" w:ascii="Times New Roman" w:hAnsi="Times New Roman" w:eastAsia="宋体" w:cs="Times New Roman"/>
                <w:b w:val="0"/>
                <w:bCs w:val="0"/>
                <w:i w:val="0"/>
                <w:iCs w:val="0"/>
                <w:color w:val="000000"/>
                <w:kern w:val="0"/>
                <w:sz w:val="15"/>
                <w:szCs w:val="15"/>
                <w:vertAlign w:val="baseline"/>
                <w:lang w:val="en-US" w:eastAsia="zh-CN" w:bidi="ar"/>
              </w:rPr>
              <w:br w:type="textWrapping"/>
            </w:r>
            <w:r>
              <w:rPr>
                <w:rFonts w:hint="default" w:ascii="Times New Roman" w:hAnsi="Times New Roman" w:eastAsia="宋体" w:cs="Times New Roman"/>
                <w:b w:val="0"/>
                <w:bCs w:val="0"/>
                <w:i/>
                <w:iCs/>
                <w:color w:val="000000"/>
                <w:kern w:val="0"/>
                <w:sz w:val="11"/>
                <w:szCs w:val="11"/>
                <w:vertAlign w:val="baseline"/>
                <w:lang w:val="en-US" w:eastAsia="zh-CN" w:bidi="ar"/>
              </w:rPr>
              <w:t>(Removed from US Market)</w:t>
            </w:r>
          </w:p>
        </w:tc>
        <w:tc>
          <w:tcPr>
            <w:tcW w:w="2600" w:type="dxa"/>
          </w:tcPr>
          <w:p w14:paraId="58878834">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Zagam</w:t>
            </w:r>
          </w:p>
        </w:tc>
        <w:tc>
          <w:tcPr>
            <w:tcW w:w="2192" w:type="dxa"/>
          </w:tcPr>
          <w:p w14:paraId="7349FCD6">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Antibiotic</w:t>
            </w:r>
          </w:p>
        </w:tc>
        <w:tc>
          <w:tcPr>
            <w:tcW w:w="2031" w:type="dxa"/>
          </w:tcPr>
          <w:p w14:paraId="24A9948B">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Bacterial infection</w:t>
            </w:r>
          </w:p>
        </w:tc>
      </w:tr>
      <w:tr w14:paraId="70300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12B78E21">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Sulpiride</w:t>
            </w:r>
            <w:r>
              <w:rPr>
                <w:rFonts w:hint="default" w:ascii="Times New Roman" w:hAnsi="Times New Roman" w:eastAsia="宋体" w:cs="Times New Roman"/>
                <w:b w:val="0"/>
                <w:bCs w:val="0"/>
                <w:i w:val="0"/>
                <w:iCs w:val="0"/>
                <w:color w:val="000000"/>
                <w:kern w:val="0"/>
                <w:sz w:val="15"/>
                <w:szCs w:val="15"/>
                <w:vertAlign w:val="baseline"/>
                <w:lang w:val="en-US" w:eastAsia="zh-CN" w:bidi="ar"/>
              </w:rPr>
              <w:br w:type="textWrapping"/>
            </w:r>
            <w:r>
              <w:rPr>
                <w:rFonts w:hint="default" w:ascii="Times New Roman" w:hAnsi="Times New Roman" w:eastAsia="宋体" w:cs="Times New Roman"/>
                <w:b w:val="0"/>
                <w:bCs w:val="0"/>
                <w:i/>
                <w:iCs/>
                <w:color w:val="000000"/>
                <w:kern w:val="0"/>
                <w:sz w:val="11"/>
                <w:szCs w:val="11"/>
                <w:vertAlign w:val="baseline"/>
                <w:lang w:val="en-US" w:eastAsia="zh-CN" w:bidi="ar"/>
              </w:rPr>
              <w:t>(Only on Non US Market)</w:t>
            </w:r>
          </w:p>
        </w:tc>
        <w:tc>
          <w:tcPr>
            <w:tcW w:w="2600" w:type="dxa"/>
          </w:tcPr>
          <w:p w14:paraId="5E257B6D">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Dogmatil, Dolmatil, Eglonyl, Espiride, Modal, Sulpor</w:t>
            </w:r>
          </w:p>
        </w:tc>
        <w:tc>
          <w:tcPr>
            <w:tcW w:w="2192" w:type="dxa"/>
          </w:tcPr>
          <w:p w14:paraId="51C6D640">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Antipsychotic, atypical</w:t>
            </w:r>
          </w:p>
        </w:tc>
        <w:tc>
          <w:tcPr>
            <w:tcW w:w="2031" w:type="dxa"/>
          </w:tcPr>
          <w:p w14:paraId="7AE83B2A">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Schizophrenia</w:t>
            </w:r>
          </w:p>
        </w:tc>
      </w:tr>
      <w:tr w14:paraId="7D3BC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74FCAD97">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Sultopride</w:t>
            </w:r>
            <w:r>
              <w:rPr>
                <w:rFonts w:hint="default" w:ascii="Times New Roman" w:hAnsi="Times New Roman" w:eastAsia="宋体" w:cs="Times New Roman"/>
                <w:b w:val="0"/>
                <w:bCs w:val="0"/>
                <w:i w:val="0"/>
                <w:iCs w:val="0"/>
                <w:color w:val="000000"/>
                <w:kern w:val="0"/>
                <w:sz w:val="15"/>
                <w:szCs w:val="15"/>
                <w:vertAlign w:val="baseline"/>
                <w:lang w:val="en-US" w:eastAsia="zh-CN" w:bidi="ar"/>
              </w:rPr>
              <w:br w:type="textWrapping"/>
            </w:r>
            <w:r>
              <w:rPr>
                <w:rFonts w:hint="default" w:ascii="Times New Roman" w:hAnsi="Times New Roman" w:eastAsia="宋体" w:cs="Times New Roman"/>
                <w:b w:val="0"/>
                <w:bCs w:val="0"/>
                <w:i/>
                <w:iCs/>
                <w:color w:val="000000"/>
                <w:kern w:val="0"/>
                <w:sz w:val="11"/>
                <w:szCs w:val="11"/>
                <w:vertAlign w:val="baseline"/>
                <w:lang w:val="en-US" w:eastAsia="zh-CN" w:bidi="ar"/>
              </w:rPr>
              <w:t>(Only on Non US Market)</w:t>
            </w:r>
          </w:p>
        </w:tc>
        <w:tc>
          <w:tcPr>
            <w:tcW w:w="2600" w:type="dxa"/>
          </w:tcPr>
          <w:p w14:paraId="09509414">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Barnetil, Barnotil, Topral</w:t>
            </w:r>
          </w:p>
        </w:tc>
        <w:tc>
          <w:tcPr>
            <w:tcW w:w="2192" w:type="dxa"/>
          </w:tcPr>
          <w:p w14:paraId="209BCB5B">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Antipsychotic, atypical</w:t>
            </w:r>
          </w:p>
        </w:tc>
        <w:tc>
          <w:tcPr>
            <w:tcW w:w="2031" w:type="dxa"/>
          </w:tcPr>
          <w:p w14:paraId="687480A2">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Schizophrenia</w:t>
            </w:r>
          </w:p>
        </w:tc>
      </w:tr>
      <w:tr w14:paraId="34A30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6EEE0A3D">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Terfenadine</w:t>
            </w:r>
            <w:r>
              <w:rPr>
                <w:rFonts w:hint="default" w:ascii="Times New Roman" w:hAnsi="Times New Roman" w:eastAsia="宋体" w:cs="Times New Roman"/>
                <w:b w:val="0"/>
                <w:bCs w:val="0"/>
                <w:i w:val="0"/>
                <w:iCs w:val="0"/>
                <w:color w:val="000000"/>
                <w:kern w:val="0"/>
                <w:sz w:val="15"/>
                <w:szCs w:val="15"/>
                <w:vertAlign w:val="baseline"/>
                <w:lang w:val="en-US" w:eastAsia="zh-CN" w:bidi="ar"/>
              </w:rPr>
              <w:br w:type="textWrapping"/>
            </w:r>
            <w:r>
              <w:rPr>
                <w:rFonts w:hint="default" w:ascii="Times New Roman" w:hAnsi="Times New Roman" w:eastAsia="宋体" w:cs="Times New Roman"/>
                <w:b w:val="0"/>
                <w:bCs w:val="0"/>
                <w:i/>
                <w:iCs/>
                <w:color w:val="000000"/>
                <w:kern w:val="0"/>
                <w:sz w:val="11"/>
                <w:szCs w:val="11"/>
                <w:vertAlign w:val="baseline"/>
                <w:lang w:val="en-US" w:eastAsia="zh-CN" w:bidi="ar"/>
              </w:rPr>
              <w:t>(Removed from US Market)</w:t>
            </w:r>
          </w:p>
        </w:tc>
        <w:tc>
          <w:tcPr>
            <w:tcW w:w="2600" w:type="dxa"/>
          </w:tcPr>
          <w:p w14:paraId="057DA528">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Seldane</w:t>
            </w:r>
          </w:p>
        </w:tc>
        <w:tc>
          <w:tcPr>
            <w:tcW w:w="2192" w:type="dxa"/>
          </w:tcPr>
          <w:p w14:paraId="06C3BFDA">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Antihistamine</w:t>
            </w:r>
          </w:p>
        </w:tc>
        <w:tc>
          <w:tcPr>
            <w:tcW w:w="2031" w:type="dxa"/>
          </w:tcPr>
          <w:p w14:paraId="50D552FE">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Allergic rhinitis</w:t>
            </w:r>
          </w:p>
        </w:tc>
      </w:tr>
      <w:tr w14:paraId="62B44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699" w:type="dxa"/>
          </w:tcPr>
          <w:p w14:paraId="12792D03">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Terlipressin</w:t>
            </w:r>
            <w:r>
              <w:rPr>
                <w:rFonts w:hint="default" w:ascii="Times New Roman" w:hAnsi="Times New Roman" w:eastAsia="宋体" w:cs="Times New Roman"/>
                <w:b w:val="0"/>
                <w:bCs w:val="0"/>
                <w:i w:val="0"/>
                <w:iCs w:val="0"/>
                <w:color w:val="000000"/>
                <w:kern w:val="0"/>
                <w:sz w:val="15"/>
                <w:szCs w:val="15"/>
                <w:vertAlign w:val="baseline"/>
                <w:lang w:val="en-US" w:eastAsia="zh-CN" w:bidi="ar"/>
              </w:rPr>
              <w:br w:type="textWrapping"/>
            </w:r>
            <w:r>
              <w:rPr>
                <w:rFonts w:hint="default" w:ascii="Times New Roman" w:hAnsi="Times New Roman" w:eastAsia="宋体" w:cs="Times New Roman"/>
                <w:b w:val="0"/>
                <w:bCs w:val="0"/>
                <w:i/>
                <w:iCs/>
                <w:color w:val="000000"/>
                <w:kern w:val="0"/>
                <w:sz w:val="11"/>
                <w:szCs w:val="11"/>
                <w:vertAlign w:val="baseline"/>
                <w:lang w:val="en-US" w:eastAsia="zh-CN" w:bidi="ar"/>
              </w:rPr>
              <w:t>(Only on Non US Market)</w:t>
            </w:r>
          </w:p>
        </w:tc>
        <w:tc>
          <w:tcPr>
            <w:tcW w:w="2600" w:type="dxa"/>
          </w:tcPr>
          <w:p w14:paraId="10FDC5FA">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Teripress, Glypressin, Terlipin, Remestyp, Tresil, Teriss</w:t>
            </w:r>
          </w:p>
        </w:tc>
        <w:tc>
          <w:tcPr>
            <w:tcW w:w="2192" w:type="dxa"/>
          </w:tcPr>
          <w:p w14:paraId="1C89793E">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Vasoconstrictor</w:t>
            </w:r>
          </w:p>
        </w:tc>
        <w:tc>
          <w:tcPr>
            <w:tcW w:w="2031" w:type="dxa"/>
          </w:tcPr>
          <w:p w14:paraId="490887AB">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Septic shock</w:t>
            </w:r>
          </w:p>
        </w:tc>
      </w:tr>
      <w:tr w14:paraId="2F6D9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61AC566F">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Terodiline</w:t>
            </w:r>
            <w:r>
              <w:rPr>
                <w:rFonts w:hint="default" w:ascii="Times New Roman" w:hAnsi="Times New Roman" w:eastAsia="宋体" w:cs="Times New Roman"/>
                <w:b w:val="0"/>
                <w:bCs w:val="0"/>
                <w:i w:val="0"/>
                <w:iCs w:val="0"/>
                <w:color w:val="000000"/>
                <w:kern w:val="0"/>
                <w:sz w:val="15"/>
                <w:szCs w:val="15"/>
                <w:vertAlign w:val="baseline"/>
                <w:lang w:val="en-US" w:eastAsia="zh-CN" w:bidi="ar"/>
              </w:rPr>
              <w:br w:type="textWrapping"/>
            </w:r>
            <w:r>
              <w:rPr>
                <w:rFonts w:hint="default" w:ascii="Times New Roman" w:hAnsi="Times New Roman" w:eastAsia="宋体" w:cs="Times New Roman"/>
                <w:b w:val="0"/>
                <w:bCs w:val="0"/>
                <w:i/>
                <w:iCs/>
                <w:color w:val="000000"/>
                <w:kern w:val="0"/>
                <w:sz w:val="11"/>
                <w:szCs w:val="11"/>
                <w:vertAlign w:val="baseline"/>
                <w:lang w:val="en-US" w:eastAsia="zh-CN" w:bidi="ar"/>
              </w:rPr>
              <w:t>(Only on Non US Market)</w:t>
            </w:r>
          </w:p>
        </w:tc>
        <w:tc>
          <w:tcPr>
            <w:tcW w:w="2600" w:type="dxa"/>
          </w:tcPr>
          <w:p w14:paraId="0FBD22C5">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Micturin, Mictrol</w:t>
            </w:r>
          </w:p>
        </w:tc>
        <w:tc>
          <w:tcPr>
            <w:tcW w:w="2192" w:type="dxa"/>
          </w:tcPr>
          <w:p w14:paraId="2802BB76">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Muscle relaxant</w:t>
            </w:r>
          </w:p>
        </w:tc>
        <w:tc>
          <w:tcPr>
            <w:tcW w:w="2031" w:type="dxa"/>
          </w:tcPr>
          <w:p w14:paraId="0987CEC5">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Bladder spasm</w:t>
            </w:r>
          </w:p>
        </w:tc>
      </w:tr>
      <w:tr w14:paraId="09B00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00787505">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Thioridazine</w:t>
            </w:r>
          </w:p>
        </w:tc>
        <w:tc>
          <w:tcPr>
            <w:tcW w:w="2600" w:type="dxa"/>
          </w:tcPr>
          <w:p w14:paraId="34E2DD03">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Mellaril, Novoridazine, Thioril</w:t>
            </w:r>
          </w:p>
        </w:tc>
        <w:tc>
          <w:tcPr>
            <w:tcW w:w="2192" w:type="dxa"/>
          </w:tcPr>
          <w:p w14:paraId="4FE232BC">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Antipsychotic</w:t>
            </w:r>
          </w:p>
        </w:tc>
        <w:tc>
          <w:tcPr>
            <w:tcW w:w="2031" w:type="dxa"/>
          </w:tcPr>
          <w:p w14:paraId="7D5C0C85">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Schizophrenia</w:t>
            </w:r>
          </w:p>
        </w:tc>
      </w:tr>
      <w:tr w14:paraId="487E1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9" w:type="dxa"/>
          </w:tcPr>
          <w:p w14:paraId="6564D363">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Vandetanib</w:t>
            </w:r>
          </w:p>
        </w:tc>
        <w:tc>
          <w:tcPr>
            <w:tcW w:w="2600" w:type="dxa"/>
          </w:tcPr>
          <w:p w14:paraId="053C966C">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Caprelsa</w:t>
            </w:r>
          </w:p>
        </w:tc>
        <w:tc>
          <w:tcPr>
            <w:tcW w:w="2192" w:type="dxa"/>
          </w:tcPr>
          <w:p w14:paraId="176FDCCD">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Anti-cancer</w:t>
            </w:r>
          </w:p>
        </w:tc>
        <w:tc>
          <w:tcPr>
            <w:tcW w:w="2031" w:type="dxa"/>
          </w:tcPr>
          <w:p w14:paraId="78BF7601">
            <w:pPr>
              <w:keepNext w:val="0"/>
              <w:keepLines w:val="0"/>
              <w:widowControl/>
              <w:suppressLineNumbers w:val="0"/>
              <w:jc w:val="left"/>
              <w:rPr>
                <w:rFonts w:hint="default" w:ascii="Times New Roman" w:hAnsi="Times New Roman" w:eastAsia="宋体" w:cs="Times New Roman"/>
                <w:b w:val="0"/>
                <w:bCs w:val="0"/>
                <w:i w:val="0"/>
                <w:iCs w:val="0"/>
                <w:color w:val="000000"/>
                <w:kern w:val="0"/>
                <w:sz w:val="15"/>
                <w:szCs w:val="15"/>
                <w:vertAlign w:val="baseline"/>
                <w:lang w:val="en-US" w:eastAsia="zh-CN" w:bidi="ar"/>
              </w:rPr>
            </w:pPr>
            <w:r>
              <w:rPr>
                <w:rFonts w:hint="default" w:ascii="Times New Roman" w:hAnsi="Times New Roman" w:eastAsia="宋体" w:cs="Times New Roman"/>
                <w:b w:val="0"/>
                <w:bCs w:val="0"/>
                <w:i w:val="0"/>
                <w:iCs w:val="0"/>
                <w:color w:val="000000"/>
                <w:kern w:val="0"/>
                <w:sz w:val="15"/>
                <w:szCs w:val="15"/>
                <w:vertAlign w:val="baseline"/>
                <w:lang w:val="en-US" w:eastAsia="zh-CN" w:bidi="ar"/>
              </w:rPr>
              <w:t>Cancer (thyroid)</w:t>
            </w:r>
          </w:p>
        </w:tc>
      </w:tr>
    </w:tbl>
    <w:p w14:paraId="20F0077C">
      <w:pPr>
        <w:keepNext w:val="0"/>
        <w:keepLines w:val="0"/>
        <w:widowControl/>
        <w:suppressLineNumbers w:val="0"/>
        <w:jc w:val="left"/>
        <w:rPr>
          <w:rFonts w:hint="default" w:ascii="Times New Roman" w:hAnsi="Times New Roman" w:eastAsia="宋体" w:cs="Times New Roman"/>
          <w:b/>
          <w:bCs/>
          <w:i w:val="0"/>
          <w:iCs w:val="0"/>
          <w:color w:val="000000"/>
          <w:kern w:val="0"/>
          <w:sz w:val="20"/>
          <w:szCs w:val="20"/>
          <w:lang w:val="en-US" w:eastAsia="zh-CN" w:bidi="ar"/>
        </w:rPr>
      </w:pPr>
    </w:p>
    <w:p w14:paraId="7018FA33">
      <w:pPr>
        <w:rPr>
          <w:rFonts w:hint="default" w:ascii="Times New Roman" w:hAnsi="Times New Roman" w:eastAsia="宋体" w:cs="Times New Roman"/>
          <w:b/>
          <w:bCs/>
          <w:i w:val="0"/>
          <w:iCs w:val="0"/>
          <w:color w:val="000000"/>
          <w:kern w:val="0"/>
          <w:sz w:val="18"/>
          <w:szCs w:val="18"/>
          <w:lang w:val="en-US" w:eastAsia="zh-CN" w:bidi="ar"/>
        </w:rPr>
      </w:pPr>
      <w:r>
        <w:rPr>
          <w:rFonts w:hint="default" w:ascii="Times New Roman" w:hAnsi="Times New Roman" w:eastAsia="宋体" w:cs="Times New Roman"/>
          <w:b/>
          <w:bCs/>
          <w:i w:val="0"/>
          <w:iCs w:val="0"/>
          <w:color w:val="000000"/>
          <w:kern w:val="0"/>
          <w:sz w:val="18"/>
          <w:szCs w:val="18"/>
          <w:lang w:val="en-US" w:eastAsia="zh-CN" w:bidi="ar"/>
        </w:rPr>
        <w:br w:type="page"/>
      </w:r>
    </w:p>
    <w:p w14:paraId="03748675">
      <w:pPr>
        <w:keepNext w:val="0"/>
        <w:keepLines w:val="0"/>
        <w:pageBreakBefore w:val="0"/>
        <w:widowControl w:val="0"/>
        <w:kinsoku/>
        <w:wordWrap/>
        <w:overflowPunct/>
        <w:topLinePunct w:val="0"/>
        <w:autoSpaceDE/>
        <w:autoSpaceDN/>
        <w:bidi w:val="0"/>
        <w:adjustRightInd/>
        <w:snapToGrid/>
        <w:textAlignment w:val="auto"/>
        <w:outlineLvl w:val="0"/>
        <w:rPr>
          <w:rFonts w:hint="default" w:ascii="Times New Roman" w:hAnsi="Times New Roman" w:eastAsia="宋体" w:cs="Times New Roman"/>
          <w:b/>
          <w:bCs/>
          <w:i w:val="0"/>
          <w:iCs w:val="0"/>
          <w:color w:val="000000"/>
          <w:kern w:val="0"/>
          <w:sz w:val="20"/>
          <w:szCs w:val="20"/>
          <w:lang w:val="en-US" w:eastAsia="zh-CN" w:bidi="ar"/>
        </w:rPr>
      </w:pPr>
      <w:bookmarkStart w:id="3" w:name="_Toc13791"/>
      <w:r>
        <w:rPr>
          <w:rFonts w:hint="default" w:ascii="Times New Roman" w:hAnsi="Times New Roman" w:eastAsia="宋体" w:cs="Times New Roman"/>
          <w:b/>
          <w:bCs/>
          <w:i w:val="0"/>
          <w:iCs w:val="0"/>
          <w:color w:val="000000"/>
          <w:kern w:val="0"/>
          <w:sz w:val="18"/>
          <w:szCs w:val="18"/>
          <w:lang w:val="en-US" w:eastAsia="zh-CN" w:bidi="ar"/>
        </w:rPr>
        <w:t>Table S2. List of Baseline and Time-Varying Covariates</w:t>
      </w:r>
      <w:bookmarkEnd w:id="3"/>
    </w:p>
    <w:tbl>
      <w:tblPr>
        <w:tblStyle w:val="4"/>
        <w:tblW w:w="0" w:type="auto"/>
        <w:tblInd w:w="0" w:type="dxa"/>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14:paraId="55EE37C9">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c>
          <w:tcPr>
            <w:tcW w:w="4261" w:type="dxa"/>
            <w:tcBorders>
              <w:bottom w:val="single" w:color="auto" w:sz="8" w:space="0"/>
            </w:tcBorders>
          </w:tcPr>
          <w:p w14:paraId="5567600E">
            <w:pPr>
              <w:keepNext w:val="0"/>
              <w:keepLines w:val="0"/>
              <w:widowControl/>
              <w:suppressLineNumbers w:val="0"/>
              <w:jc w:val="left"/>
              <w:rPr>
                <w:rFonts w:hint="default" w:ascii="Times New Roman" w:hAnsi="Times New Roman" w:cs="Times New Roman"/>
                <w:vertAlign w:val="baseline"/>
              </w:rPr>
            </w:pPr>
            <w:r>
              <w:rPr>
                <w:rFonts w:hint="default" w:ascii="Times New Roman" w:hAnsi="Times New Roman" w:eastAsia="宋体" w:cs="Times New Roman"/>
                <w:b/>
                <w:bCs/>
                <w:i/>
                <w:iCs/>
                <w:color w:val="000000"/>
                <w:kern w:val="0"/>
                <w:sz w:val="18"/>
                <w:szCs w:val="18"/>
                <w:lang w:val="en-US" w:eastAsia="zh-CN" w:bidi="ar"/>
              </w:rPr>
              <w:t>Baseline Covariates</w:t>
            </w:r>
          </w:p>
        </w:tc>
        <w:tc>
          <w:tcPr>
            <w:tcW w:w="4261" w:type="dxa"/>
            <w:tcBorders>
              <w:bottom w:val="single" w:color="auto" w:sz="8" w:space="0"/>
            </w:tcBorders>
          </w:tcPr>
          <w:p w14:paraId="197F6A6B">
            <w:pPr>
              <w:rPr>
                <w:rFonts w:hint="default" w:ascii="Times New Roman" w:hAnsi="Times New Roman" w:cs="Times New Roman"/>
                <w:vertAlign w:val="baseline"/>
              </w:rPr>
            </w:pPr>
          </w:p>
        </w:tc>
      </w:tr>
      <w:tr w14:paraId="55CD515C">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c>
          <w:tcPr>
            <w:tcW w:w="4261" w:type="dxa"/>
            <w:tcBorders>
              <w:top w:val="single" w:color="auto" w:sz="8" w:space="0"/>
              <w:tl2br w:val="nil"/>
              <w:tr2bl w:val="nil"/>
            </w:tcBorders>
            <w:vAlign w:val="top"/>
          </w:tcPr>
          <w:p w14:paraId="321CA94F">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Times New Roman" w:hAnsi="Times New Roman" w:eastAsia="等线" w:cs="Times New Roman"/>
                <w:kern w:val="2"/>
                <w:sz w:val="16"/>
                <w:szCs w:val="18"/>
                <w:vertAlign w:val="baseline"/>
                <w:lang w:val="en-US" w:eastAsia="zh-CN" w:bidi="ar-SA"/>
              </w:rPr>
            </w:pPr>
            <w:r>
              <w:rPr>
                <w:rFonts w:hint="default" w:ascii="Times New Roman" w:hAnsi="Times New Roman" w:cs="Times New Roman"/>
                <w:sz w:val="16"/>
                <w:szCs w:val="18"/>
                <w:vertAlign w:val="baseline"/>
                <w:lang w:val="en-US" w:eastAsia="zh-CN"/>
              </w:rPr>
              <w:t>Age</w:t>
            </w:r>
          </w:p>
        </w:tc>
        <w:tc>
          <w:tcPr>
            <w:tcW w:w="4261" w:type="dxa"/>
            <w:tcBorders>
              <w:top w:val="single" w:color="auto" w:sz="8" w:space="0"/>
              <w:tl2br w:val="nil"/>
              <w:tr2bl w:val="nil"/>
            </w:tcBorders>
            <w:vAlign w:val="top"/>
          </w:tcPr>
          <w:p w14:paraId="5BFE86F1">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Times New Roman" w:hAnsi="Times New Roman" w:cs="Times New Roman"/>
                <w:sz w:val="20"/>
                <w:szCs w:val="22"/>
                <w:vertAlign w:val="baseline"/>
              </w:rPr>
            </w:pPr>
            <w:r>
              <w:rPr>
                <w:rFonts w:hint="default" w:ascii="Times New Roman" w:hAnsi="Times New Roman" w:cs="Times New Roman"/>
                <w:sz w:val="16"/>
                <w:szCs w:val="18"/>
                <w:vertAlign w:val="baseline"/>
                <w:lang w:val="en-US" w:eastAsia="zh-CN"/>
              </w:rPr>
              <w:t>Male</w:t>
            </w:r>
          </w:p>
        </w:tc>
      </w:tr>
      <w:tr w14:paraId="765CEDE6">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vAlign w:val="top"/>
          </w:tcPr>
          <w:p w14:paraId="610DC790">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Times New Roman" w:hAnsi="Times New Roman" w:cs="Times New Roman" w:eastAsiaTheme="minorEastAsia"/>
                <w:kern w:val="2"/>
                <w:sz w:val="16"/>
                <w:szCs w:val="18"/>
                <w:vertAlign w:val="baseline"/>
                <w:lang w:val="en-US" w:eastAsia="zh-CN" w:bidi="ar-SA"/>
              </w:rPr>
            </w:pPr>
            <w:r>
              <w:rPr>
                <w:rFonts w:hint="default" w:ascii="Times New Roman" w:hAnsi="Times New Roman" w:cs="Times New Roman"/>
                <w:sz w:val="16"/>
                <w:szCs w:val="18"/>
                <w:vertAlign w:val="baseline"/>
                <w:lang w:val="en-US" w:eastAsia="zh-CN"/>
              </w:rPr>
              <w:t>T</w:t>
            </w:r>
            <w:r>
              <w:rPr>
                <w:rFonts w:hint="default" w:ascii="Times New Roman" w:hAnsi="Times New Roman" w:cs="Times New Roman"/>
                <w:sz w:val="16"/>
                <w:szCs w:val="18"/>
                <w:vertAlign w:val="baseline"/>
              </w:rPr>
              <w:t>riglyceride</w:t>
            </w:r>
          </w:p>
        </w:tc>
        <w:tc>
          <w:tcPr>
            <w:tcW w:w="4261" w:type="dxa"/>
            <w:tcBorders>
              <w:tl2br w:val="nil"/>
              <w:tr2bl w:val="nil"/>
            </w:tcBorders>
            <w:vAlign w:val="top"/>
          </w:tcPr>
          <w:p w14:paraId="2F43347D">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Times New Roman" w:hAnsi="Times New Roman" w:cs="Times New Roman"/>
                <w:sz w:val="20"/>
                <w:szCs w:val="22"/>
                <w:vertAlign w:val="baseline"/>
              </w:rPr>
            </w:pPr>
            <w:r>
              <w:rPr>
                <w:rFonts w:hint="default" w:ascii="Times New Roman" w:hAnsi="Times New Roman" w:cs="Times New Roman"/>
                <w:sz w:val="16"/>
                <w:szCs w:val="18"/>
                <w:vertAlign w:val="baseline"/>
                <w:lang w:val="en-US" w:eastAsia="zh-CN"/>
              </w:rPr>
              <w:t>H</w:t>
            </w:r>
            <w:r>
              <w:rPr>
                <w:rFonts w:hint="default" w:ascii="Times New Roman" w:hAnsi="Times New Roman" w:eastAsia="等线" w:cs="Times New Roman"/>
                <w:sz w:val="16"/>
                <w:szCs w:val="18"/>
                <w:vertAlign w:val="baseline"/>
                <w:lang w:val="en-US" w:eastAsia="zh-CN"/>
              </w:rPr>
              <w:t>ypertension</w:t>
            </w:r>
          </w:p>
        </w:tc>
      </w:tr>
      <w:tr w14:paraId="1F803E12">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vAlign w:val="top"/>
          </w:tcPr>
          <w:p w14:paraId="1328D2A0">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Times New Roman" w:hAnsi="Times New Roman" w:cs="Times New Roman" w:eastAsiaTheme="minorEastAsia"/>
                <w:kern w:val="2"/>
                <w:sz w:val="16"/>
                <w:szCs w:val="18"/>
                <w:vertAlign w:val="baseline"/>
                <w:lang w:val="en-US" w:eastAsia="zh-CN" w:bidi="ar-SA"/>
              </w:rPr>
            </w:pPr>
            <w:r>
              <w:rPr>
                <w:rFonts w:hint="default" w:ascii="Times New Roman" w:hAnsi="Times New Roman" w:cs="Times New Roman"/>
                <w:sz w:val="16"/>
                <w:szCs w:val="18"/>
                <w:vertAlign w:val="baseline"/>
                <w:lang w:val="en-US" w:eastAsia="zh-CN"/>
              </w:rPr>
              <w:t>C</w:t>
            </w:r>
            <w:r>
              <w:rPr>
                <w:rFonts w:hint="default" w:ascii="Times New Roman" w:hAnsi="Times New Roman" w:cs="Times New Roman"/>
                <w:sz w:val="16"/>
                <w:szCs w:val="18"/>
                <w:vertAlign w:val="baseline"/>
              </w:rPr>
              <w:t>holesterol</w:t>
            </w:r>
          </w:p>
        </w:tc>
        <w:tc>
          <w:tcPr>
            <w:tcW w:w="4261" w:type="dxa"/>
            <w:tcBorders>
              <w:tl2br w:val="nil"/>
              <w:tr2bl w:val="nil"/>
            </w:tcBorders>
            <w:vAlign w:val="top"/>
          </w:tcPr>
          <w:p w14:paraId="6DDED05F">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Times New Roman" w:hAnsi="Times New Roman" w:cs="Times New Roman"/>
                <w:sz w:val="20"/>
                <w:szCs w:val="22"/>
                <w:vertAlign w:val="baseline"/>
              </w:rPr>
            </w:pPr>
            <w:r>
              <w:rPr>
                <w:rFonts w:hint="default" w:ascii="Times New Roman" w:hAnsi="Times New Roman" w:cs="Times New Roman"/>
                <w:sz w:val="16"/>
                <w:szCs w:val="18"/>
                <w:vertAlign w:val="baseline"/>
                <w:lang w:val="en-US" w:eastAsia="zh-CN"/>
              </w:rPr>
              <w:t>Diabetes</w:t>
            </w:r>
          </w:p>
        </w:tc>
      </w:tr>
      <w:tr w14:paraId="145D4E0A">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vAlign w:val="top"/>
          </w:tcPr>
          <w:p w14:paraId="466F6E98">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Times New Roman" w:hAnsi="Times New Roman" w:cs="Times New Roman" w:eastAsiaTheme="minorEastAsia"/>
                <w:kern w:val="2"/>
                <w:sz w:val="16"/>
                <w:szCs w:val="18"/>
                <w:vertAlign w:val="baseline"/>
                <w:lang w:val="en-US" w:eastAsia="zh-CN" w:bidi="ar-SA"/>
              </w:rPr>
            </w:pPr>
            <w:r>
              <w:rPr>
                <w:rFonts w:hint="default" w:ascii="Times New Roman" w:hAnsi="Times New Roman" w:cs="Times New Roman"/>
                <w:sz w:val="16"/>
                <w:szCs w:val="18"/>
                <w:vertAlign w:val="baseline"/>
                <w:lang w:val="en-US" w:eastAsia="zh-CN"/>
              </w:rPr>
              <w:t>L</w:t>
            </w:r>
            <w:r>
              <w:rPr>
                <w:rFonts w:hint="default" w:ascii="Times New Roman" w:hAnsi="Times New Roman" w:cs="Times New Roman"/>
                <w:sz w:val="16"/>
                <w:szCs w:val="18"/>
                <w:vertAlign w:val="baseline"/>
              </w:rPr>
              <w:t>ow density lipoprotein</w:t>
            </w:r>
          </w:p>
        </w:tc>
        <w:tc>
          <w:tcPr>
            <w:tcW w:w="4261" w:type="dxa"/>
            <w:tcBorders>
              <w:tl2br w:val="nil"/>
              <w:tr2bl w:val="nil"/>
            </w:tcBorders>
            <w:vAlign w:val="top"/>
          </w:tcPr>
          <w:p w14:paraId="78B575E7">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Times New Roman" w:hAnsi="Times New Roman" w:cs="Times New Roman"/>
                <w:sz w:val="20"/>
                <w:szCs w:val="22"/>
                <w:vertAlign w:val="baseline"/>
              </w:rPr>
            </w:pPr>
            <w:r>
              <w:rPr>
                <w:rFonts w:hint="default" w:ascii="Times New Roman" w:hAnsi="Times New Roman" w:cs="Times New Roman"/>
                <w:sz w:val="16"/>
                <w:szCs w:val="18"/>
                <w:vertAlign w:val="baseline"/>
                <w:lang w:val="en-US" w:eastAsia="zh-CN"/>
              </w:rPr>
              <w:t>Hypokalemia</w:t>
            </w:r>
          </w:p>
        </w:tc>
      </w:tr>
      <w:tr w14:paraId="5CDDEC9C">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c>
          <w:tcPr>
            <w:tcW w:w="0" w:type="auto"/>
            <w:tcBorders>
              <w:tl2br w:val="nil"/>
              <w:tr2bl w:val="nil"/>
            </w:tcBorders>
            <w:vAlign w:val="top"/>
          </w:tcPr>
          <w:p w14:paraId="3FE8F746">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Times New Roman" w:hAnsi="Times New Roman" w:cs="Times New Roman" w:eastAsiaTheme="minorEastAsia"/>
                <w:kern w:val="2"/>
                <w:sz w:val="16"/>
                <w:szCs w:val="18"/>
                <w:vertAlign w:val="baseline"/>
                <w:lang w:val="en-US" w:eastAsia="zh-CN" w:bidi="ar-SA"/>
              </w:rPr>
            </w:pPr>
            <w:r>
              <w:rPr>
                <w:rFonts w:hint="default" w:ascii="Times New Roman" w:hAnsi="Times New Roman" w:cs="Times New Roman"/>
                <w:sz w:val="16"/>
                <w:szCs w:val="18"/>
                <w:vertAlign w:val="baseline"/>
                <w:lang w:val="en-US" w:eastAsia="zh-CN"/>
              </w:rPr>
              <w:t xml:space="preserve">High </w:t>
            </w:r>
            <w:r>
              <w:rPr>
                <w:rFonts w:hint="default" w:ascii="Times New Roman" w:hAnsi="Times New Roman" w:cs="Times New Roman"/>
                <w:sz w:val="16"/>
                <w:szCs w:val="18"/>
                <w:vertAlign w:val="baseline"/>
              </w:rPr>
              <w:t>density lipoprotein</w:t>
            </w:r>
          </w:p>
        </w:tc>
        <w:tc>
          <w:tcPr>
            <w:tcW w:w="4261" w:type="dxa"/>
            <w:tcBorders>
              <w:tl2br w:val="nil"/>
              <w:tr2bl w:val="nil"/>
            </w:tcBorders>
            <w:vAlign w:val="top"/>
          </w:tcPr>
          <w:p w14:paraId="4FCF1697">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Times New Roman" w:hAnsi="Times New Roman" w:cs="Times New Roman"/>
                <w:sz w:val="20"/>
                <w:szCs w:val="22"/>
                <w:vertAlign w:val="baseline"/>
              </w:rPr>
            </w:pPr>
            <w:r>
              <w:rPr>
                <w:rFonts w:hint="default" w:ascii="Times New Roman" w:hAnsi="Times New Roman" w:cs="Times New Roman"/>
                <w:sz w:val="16"/>
                <w:szCs w:val="18"/>
                <w:vertAlign w:val="baseline"/>
                <w:lang w:val="en-US" w:eastAsia="zh-CN"/>
              </w:rPr>
              <w:t>Drugs that cause prolonged QTc</w:t>
            </w:r>
          </w:p>
        </w:tc>
      </w:tr>
      <w:tr w14:paraId="7D20EED8">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c>
          <w:tcPr>
            <w:tcW w:w="0" w:type="auto"/>
            <w:tcBorders>
              <w:tl2br w:val="nil"/>
              <w:tr2bl w:val="nil"/>
            </w:tcBorders>
            <w:vAlign w:val="top"/>
          </w:tcPr>
          <w:p w14:paraId="1B2848DB">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Times New Roman" w:hAnsi="Times New Roman" w:cs="Times New Roman" w:eastAsiaTheme="minorEastAsia"/>
                <w:kern w:val="2"/>
                <w:sz w:val="16"/>
                <w:szCs w:val="18"/>
                <w:vertAlign w:val="baseline"/>
                <w:lang w:val="en-US" w:eastAsia="zh-CN" w:bidi="ar-SA"/>
              </w:rPr>
            </w:pPr>
            <w:r>
              <w:rPr>
                <w:rFonts w:hint="default" w:ascii="Times New Roman" w:hAnsi="Times New Roman" w:cs="Times New Roman"/>
                <w:sz w:val="16"/>
                <w:szCs w:val="18"/>
                <w:vertAlign w:val="baseline"/>
                <w:lang w:val="en-US" w:eastAsia="zh-CN"/>
              </w:rPr>
              <w:t>E</w:t>
            </w:r>
            <w:r>
              <w:rPr>
                <w:rFonts w:hint="default" w:ascii="Times New Roman" w:hAnsi="Times New Roman" w:cs="Times New Roman"/>
                <w:sz w:val="16"/>
                <w:szCs w:val="18"/>
                <w:vertAlign w:val="baseline"/>
              </w:rPr>
              <w:t>stradiol</w:t>
            </w:r>
          </w:p>
        </w:tc>
        <w:tc>
          <w:tcPr>
            <w:tcW w:w="4261" w:type="dxa"/>
            <w:tcBorders>
              <w:tl2br w:val="nil"/>
              <w:tr2bl w:val="nil"/>
            </w:tcBorders>
            <w:vAlign w:val="top"/>
          </w:tcPr>
          <w:p w14:paraId="56B13F11">
            <w:pPr>
              <w:keepNext w:val="0"/>
              <w:keepLines w:val="0"/>
              <w:pageBreakBefore w:val="0"/>
              <w:widowControl w:val="0"/>
              <w:kinsoku/>
              <w:wordWrap/>
              <w:overflowPunct/>
              <w:topLinePunct w:val="0"/>
              <w:autoSpaceDE/>
              <w:autoSpaceDN/>
              <w:bidi w:val="0"/>
              <w:adjustRightInd/>
              <w:snapToGrid/>
              <w:spacing w:line="288" w:lineRule="auto"/>
              <w:ind w:left="0" w:leftChars="0" w:firstLine="372" w:firstLineChars="233"/>
              <w:textAlignment w:val="auto"/>
              <w:rPr>
                <w:rFonts w:hint="default" w:ascii="Times New Roman" w:hAnsi="Times New Roman" w:cs="Times New Roman"/>
                <w:sz w:val="20"/>
                <w:szCs w:val="22"/>
                <w:vertAlign w:val="baseline"/>
              </w:rPr>
            </w:pPr>
            <w:r>
              <w:rPr>
                <w:rFonts w:hint="default" w:ascii="Times New Roman" w:hAnsi="Times New Roman" w:cs="Times New Roman"/>
                <w:sz w:val="16"/>
                <w:szCs w:val="18"/>
                <w:vertAlign w:val="baseline"/>
                <w:lang w:val="en-US" w:eastAsia="zh-CN"/>
              </w:rPr>
              <w:t>0</w:t>
            </w:r>
          </w:p>
        </w:tc>
      </w:tr>
      <w:tr w14:paraId="7804BECC">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c>
          <w:tcPr>
            <w:tcW w:w="0" w:type="auto"/>
            <w:tcBorders>
              <w:tl2br w:val="nil"/>
              <w:tr2bl w:val="nil"/>
            </w:tcBorders>
            <w:vAlign w:val="top"/>
          </w:tcPr>
          <w:p w14:paraId="0DDF54D1">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Times New Roman" w:hAnsi="Times New Roman" w:cs="Times New Roman" w:eastAsiaTheme="minorEastAsia"/>
                <w:kern w:val="2"/>
                <w:sz w:val="16"/>
                <w:szCs w:val="18"/>
                <w:vertAlign w:val="baseline"/>
                <w:lang w:val="en-US" w:eastAsia="zh-CN" w:bidi="ar-SA"/>
              </w:rPr>
            </w:pPr>
            <w:r>
              <w:rPr>
                <w:rFonts w:hint="default" w:ascii="Times New Roman" w:hAnsi="Times New Roman" w:cs="Times New Roman"/>
                <w:sz w:val="16"/>
                <w:szCs w:val="18"/>
                <w:vertAlign w:val="baseline"/>
                <w:lang w:val="en-US" w:eastAsia="zh-CN"/>
              </w:rPr>
              <w:t>P</w:t>
            </w:r>
            <w:r>
              <w:rPr>
                <w:rFonts w:hint="default" w:ascii="Times New Roman" w:hAnsi="Times New Roman" w:cs="Times New Roman"/>
                <w:sz w:val="16"/>
                <w:szCs w:val="18"/>
                <w:vertAlign w:val="baseline"/>
              </w:rPr>
              <w:t>rogesterone</w:t>
            </w:r>
          </w:p>
        </w:tc>
        <w:tc>
          <w:tcPr>
            <w:tcW w:w="4261" w:type="dxa"/>
            <w:tcBorders>
              <w:tl2br w:val="nil"/>
              <w:tr2bl w:val="nil"/>
            </w:tcBorders>
            <w:vAlign w:val="top"/>
          </w:tcPr>
          <w:p w14:paraId="269F791C">
            <w:pPr>
              <w:keepNext w:val="0"/>
              <w:keepLines w:val="0"/>
              <w:pageBreakBefore w:val="0"/>
              <w:widowControl w:val="0"/>
              <w:kinsoku/>
              <w:wordWrap/>
              <w:overflowPunct/>
              <w:topLinePunct w:val="0"/>
              <w:autoSpaceDE/>
              <w:autoSpaceDN/>
              <w:bidi w:val="0"/>
              <w:adjustRightInd/>
              <w:snapToGrid/>
              <w:spacing w:line="288" w:lineRule="auto"/>
              <w:ind w:left="0" w:leftChars="0" w:firstLine="372" w:firstLineChars="233"/>
              <w:textAlignment w:val="auto"/>
              <w:rPr>
                <w:rFonts w:hint="default" w:ascii="Times New Roman" w:hAnsi="Times New Roman" w:cs="Times New Roman"/>
                <w:sz w:val="20"/>
                <w:szCs w:val="22"/>
                <w:vertAlign w:val="baseline"/>
              </w:rPr>
            </w:pPr>
            <w:r>
              <w:rPr>
                <w:rFonts w:hint="default" w:ascii="Times New Roman" w:hAnsi="Times New Roman" w:cs="Times New Roman"/>
                <w:sz w:val="16"/>
                <w:szCs w:val="18"/>
                <w:vertAlign w:val="baseline"/>
                <w:lang w:val="en-US" w:eastAsia="zh-CN"/>
              </w:rPr>
              <w:t>1</w:t>
            </w:r>
          </w:p>
        </w:tc>
      </w:tr>
      <w:tr w14:paraId="36F0E4E6">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c>
          <w:tcPr>
            <w:tcW w:w="0" w:type="auto"/>
            <w:tcBorders>
              <w:tl2br w:val="nil"/>
              <w:tr2bl w:val="nil"/>
            </w:tcBorders>
            <w:vAlign w:val="top"/>
          </w:tcPr>
          <w:p w14:paraId="4B887A9B">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Times New Roman" w:hAnsi="Times New Roman" w:cs="Times New Roman" w:eastAsiaTheme="minorEastAsia"/>
                <w:kern w:val="2"/>
                <w:sz w:val="16"/>
                <w:szCs w:val="18"/>
                <w:vertAlign w:val="baseline"/>
                <w:lang w:val="en-US" w:eastAsia="zh-CN" w:bidi="ar-SA"/>
              </w:rPr>
            </w:pPr>
            <w:r>
              <w:rPr>
                <w:rFonts w:hint="default" w:ascii="Times New Roman" w:hAnsi="Times New Roman" w:cs="Times New Roman"/>
                <w:sz w:val="16"/>
                <w:szCs w:val="18"/>
                <w:vertAlign w:val="baseline"/>
                <w:lang w:val="en-US" w:eastAsia="zh-CN"/>
              </w:rPr>
              <w:t>T</w:t>
            </w:r>
            <w:r>
              <w:rPr>
                <w:rFonts w:hint="default" w:ascii="Times New Roman" w:hAnsi="Times New Roman" w:cs="Times New Roman"/>
                <w:sz w:val="16"/>
                <w:szCs w:val="18"/>
                <w:vertAlign w:val="baseline"/>
              </w:rPr>
              <w:t>estosterone</w:t>
            </w:r>
          </w:p>
        </w:tc>
        <w:tc>
          <w:tcPr>
            <w:tcW w:w="4261" w:type="dxa"/>
            <w:tcBorders>
              <w:tl2br w:val="nil"/>
              <w:tr2bl w:val="nil"/>
            </w:tcBorders>
            <w:vAlign w:val="top"/>
          </w:tcPr>
          <w:p w14:paraId="516970DF">
            <w:pPr>
              <w:keepNext w:val="0"/>
              <w:keepLines w:val="0"/>
              <w:pageBreakBefore w:val="0"/>
              <w:widowControl w:val="0"/>
              <w:kinsoku/>
              <w:wordWrap/>
              <w:overflowPunct/>
              <w:topLinePunct w:val="0"/>
              <w:autoSpaceDE/>
              <w:autoSpaceDN/>
              <w:bidi w:val="0"/>
              <w:adjustRightInd/>
              <w:snapToGrid/>
              <w:spacing w:line="288" w:lineRule="auto"/>
              <w:ind w:left="0" w:leftChars="0" w:firstLine="372" w:firstLineChars="233"/>
              <w:textAlignment w:val="auto"/>
              <w:rPr>
                <w:rFonts w:hint="default" w:ascii="Times New Roman" w:hAnsi="Times New Roman" w:cs="Times New Roman"/>
                <w:sz w:val="20"/>
                <w:szCs w:val="22"/>
                <w:vertAlign w:val="baseline"/>
              </w:rPr>
            </w:pPr>
            <w:r>
              <w:rPr>
                <w:rFonts w:hint="default" w:ascii="Times New Roman" w:hAnsi="Times New Roman" w:cs="Times New Roman"/>
                <w:sz w:val="16"/>
                <w:szCs w:val="18"/>
                <w:vertAlign w:val="baseline"/>
                <w:lang w:val="en-US" w:eastAsia="zh-CN"/>
              </w:rPr>
              <w:t>≥ 2</w:t>
            </w:r>
          </w:p>
        </w:tc>
      </w:tr>
      <w:tr w14:paraId="4F05D9D0">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PrEx>
        <w:tc>
          <w:tcPr>
            <w:tcW w:w="0" w:type="auto"/>
            <w:tcBorders>
              <w:bottom w:val="single" w:color="auto" w:sz="8" w:space="0"/>
              <w:tl2br w:val="nil"/>
              <w:tr2bl w:val="nil"/>
            </w:tcBorders>
            <w:vAlign w:val="top"/>
          </w:tcPr>
          <w:p w14:paraId="35B6A8E3">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Times New Roman" w:hAnsi="Times New Roman" w:cs="Times New Roman" w:eastAsiaTheme="minorEastAsia"/>
                <w:kern w:val="2"/>
                <w:sz w:val="16"/>
                <w:szCs w:val="18"/>
                <w:vertAlign w:val="baseline"/>
                <w:lang w:val="en-US" w:eastAsia="zh-CN" w:bidi="ar-SA"/>
              </w:rPr>
            </w:pPr>
            <w:r>
              <w:rPr>
                <w:rFonts w:hint="default" w:ascii="Times New Roman" w:hAnsi="Times New Roman" w:cs="Times New Roman"/>
                <w:sz w:val="16"/>
                <w:szCs w:val="18"/>
                <w:vertAlign w:val="baseline"/>
                <w:lang w:val="en-US" w:eastAsia="zh-CN"/>
              </w:rPr>
              <w:t>F</w:t>
            </w:r>
            <w:r>
              <w:rPr>
                <w:rFonts w:hint="default" w:ascii="Times New Roman" w:hAnsi="Times New Roman" w:cs="Times New Roman"/>
                <w:sz w:val="16"/>
                <w:szCs w:val="18"/>
                <w:vertAlign w:val="baseline"/>
              </w:rPr>
              <w:t>ollicle-stimulating hormone</w:t>
            </w:r>
          </w:p>
        </w:tc>
        <w:tc>
          <w:tcPr>
            <w:tcW w:w="4261" w:type="dxa"/>
            <w:tcBorders>
              <w:bottom w:val="single" w:color="auto" w:sz="8" w:space="0"/>
              <w:tl2br w:val="nil"/>
              <w:tr2bl w:val="nil"/>
            </w:tcBorders>
            <w:vAlign w:val="top"/>
          </w:tcPr>
          <w:p w14:paraId="20F77750">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Times New Roman" w:hAnsi="Times New Roman" w:cs="Times New Roman"/>
                <w:sz w:val="20"/>
                <w:szCs w:val="22"/>
                <w:vertAlign w:val="baseline"/>
              </w:rPr>
            </w:pPr>
          </w:p>
        </w:tc>
      </w:tr>
      <w:tr w14:paraId="18F6DCFD">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8" w:space="0"/>
              <w:bottom w:val="single" w:color="auto" w:sz="8" w:space="0"/>
            </w:tcBorders>
            <w:vAlign w:val="top"/>
          </w:tcPr>
          <w:p w14:paraId="651E29CE">
            <w:pPr>
              <w:keepNext w:val="0"/>
              <w:keepLines w:val="0"/>
              <w:widowControl/>
              <w:suppressLineNumbers w:val="0"/>
              <w:jc w:val="left"/>
              <w:rPr>
                <w:rFonts w:hint="default" w:ascii="Times New Roman" w:hAnsi="Times New Roman" w:cs="Times New Roman"/>
                <w:sz w:val="16"/>
                <w:szCs w:val="18"/>
                <w:vertAlign w:val="baseline"/>
                <w:lang w:val="en-US" w:eastAsia="zh-CN"/>
              </w:rPr>
            </w:pPr>
            <w:r>
              <w:rPr>
                <w:rFonts w:hint="default" w:ascii="Times New Roman" w:hAnsi="Times New Roman" w:eastAsia="宋体" w:cs="Times New Roman"/>
                <w:b/>
                <w:bCs/>
                <w:i/>
                <w:iCs/>
                <w:color w:val="000000"/>
                <w:kern w:val="0"/>
                <w:sz w:val="18"/>
                <w:szCs w:val="18"/>
                <w:lang w:val="en-US" w:eastAsia="zh-CN" w:bidi="ar"/>
              </w:rPr>
              <w:t xml:space="preserve">Time-Varying Covariates </w:t>
            </w:r>
          </w:p>
        </w:tc>
        <w:tc>
          <w:tcPr>
            <w:tcW w:w="4261" w:type="dxa"/>
            <w:tcBorders>
              <w:top w:val="single" w:color="auto" w:sz="8" w:space="0"/>
              <w:bottom w:val="single" w:color="auto" w:sz="8" w:space="0"/>
            </w:tcBorders>
            <w:vAlign w:val="top"/>
          </w:tcPr>
          <w:p w14:paraId="6D8BCC8B">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Times New Roman" w:hAnsi="Times New Roman" w:cs="Times New Roman"/>
                <w:sz w:val="20"/>
                <w:szCs w:val="22"/>
                <w:vertAlign w:val="baseline"/>
              </w:rPr>
            </w:pPr>
          </w:p>
        </w:tc>
      </w:tr>
      <w:tr w14:paraId="2A731201">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8" w:space="0"/>
              <w:tl2br w:val="nil"/>
              <w:tr2bl w:val="nil"/>
            </w:tcBorders>
            <w:vAlign w:val="top"/>
          </w:tcPr>
          <w:p w14:paraId="4BC8E1E9">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Times New Roman" w:hAnsi="Times New Roman" w:eastAsia="等线" w:cs="Times New Roman"/>
                <w:kern w:val="2"/>
                <w:sz w:val="16"/>
                <w:szCs w:val="18"/>
                <w:vertAlign w:val="baseline"/>
                <w:lang w:val="en-US" w:eastAsia="zh-CN" w:bidi="ar-SA"/>
              </w:rPr>
            </w:pPr>
            <w:r>
              <w:rPr>
                <w:rFonts w:hint="default" w:ascii="Times New Roman" w:hAnsi="Times New Roman" w:cs="Times New Roman"/>
                <w:sz w:val="16"/>
                <w:szCs w:val="18"/>
                <w:vertAlign w:val="baseline"/>
                <w:lang w:val="en-US" w:eastAsia="zh-CN"/>
              </w:rPr>
              <w:t>Age</w:t>
            </w:r>
          </w:p>
        </w:tc>
        <w:tc>
          <w:tcPr>
            <w:tcW w:w="4261" w:type="dxa"/>
            <w:tcBorders>
              <w:top w:val="single" w:color="auto" w:sz="8" w:space="0"/>
              <w:tl2br w:val="nil"/>
              <w:tr2bl w:val="nil"/>
            </w:tcBorders>
            <w:vAlign w:val="top"/>
          </w:tcPr>
          <w:p w14:paraId="5AD3A984">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Times New Roman" w:hAnsi="Times New Roman" w:cs="Times New Roman" w:eastAsiaTheme="minorEastAsia"/>
                <w:kern w:val="2"/>
                <w:sz w:val="20"/>
                <w:szCs w:val="22"/>
                <w:vertAlign w:val="baseline"/>
                <w:lang w:val="en-US" w:eastAsia="zh-CN" w:bidi="ar-SA"/>
              </w:rPr>
            </w:pPr>
            <w:r>
              <w:rPr>
                <w:rFonts w:hint="default" w:ascii="Times New Roman" w:hAnsi="Times New Roman" w:cs="Times New Roman"/>
                <w:sz w:val="16"/>
                <w:szCs w:val="18"/>
                <w:vertAlign w:val="baseline"/>
                <w:lang w:val="en-US" w:eastAsia="zh-CN"/>
              </w:rPr>
              <w:t>H</w:t>
            </w:r>
            <w:r>
              <w:rPr>
                <w:rFonts w:hint="default" w:ascii="Times New Roman" w:hAnsi="Times New Roman" w:eastAsia="等线" w:cs="Times New Roman"/>
                <w:sz w:val="16"/>
                <w:szCs w:val="18"/>
                <w:vertAlign w:val="baseline"/>
                <w:lang w:val="en-US" w:eastAsia="zh-CN"/>
              </w:rPr>
              <w:t>ypertension</w:t>
            </w:r>
          </w:p>
        </w:tc>
      </w:tr>
      <w:tr w14:paraId="756A06F8">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c>
          <w:tcPr>
            <w:tcW w:w="0" w:type="auto"/>
            <w:tcBorders>
              <w:tl2br w:val="nil"/>
              <w:tr2bl w:val="nil"/>
            </w:tcBorders>
            <w:vAlign w:val="top"/>
          </w:tcPr>
          <w:p w14:paraId="32DAC9BA">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Times New Roman" w:hAnsi="Times New Roman" w:cs="Times New Roman" w:eastAsiaTheme="minorEastAsia"/>
                <w:kern w:val="2"/>
                <w:sz w:val="16"/>
                <w:szCs w:val="18"/>
                <w:vertAlign w:val="baseline"/>
                <w:lang w:val="en-US" w:eastAsia="zh-CN" w:bidi="ar-SA"/>
              </w:rPr>
            </w:pPr>
            <w:r>
              <w:rPr>
                <w:rFonts w:hint="default" w:ascii="Times New Roman" w:hAnsi="Times New Roman" w:cs="Times New Roman"/>
                <w:sz w:val="16"/>
                <w:szCs w:val="18"/>
                <w:vertAlign w:val="baseline"/>
                <w:lang w:val="en-US" w:eastAsia="zh-CN"/>
              </w:rPr>
              <w:t>T</w:t>
            </w:r>
            <w:r>
              <w:rPr>
                <w:rFonts w:hint="default" w:ascii="Times New Roman" w:hAnsi="Times New Roman" w:cs="Times New Roman"/>
                <w:sz w:val="16"/>
                <w:szCs w:val="18"/>
                <w:vertAlign w:val="baseline"/>
              </w:rPr>
              <w:t>riglyceride</w:t>
            </w:r>
          </w:p>
        </w:tc>
        <w:tc>
          <w:tcPr>
            <w:tcW w:w="4261" w:type="dxa"/>
            <w:tcBorders>
              <w:tl2br w:val="nil"/>
              <w:tr2bl w:val="nil"/>
            </w:tcBorders>
            <w:vAlign w:val="top"/>
          </w:tcPr>
          <w:p w14:paraId="39F29535">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Times New Roman" w:hAnsi="Times New Roman" w:cs="Times New Roman" w:eastAsiaTheme="minorEastAsia"/>
                <w:kern w:val="2"/>
                <w:sz w:val="20"/>
                <w:szCs w:val="22"/>
                <w:vertAlign w:val="baseline"/>
                <w:lang w:val="en-US" w:eastAsia="zh-CN" w:bidi="ar-SA"/>
              </w:rPr>
            </w:pPr>
            <w:r>
              <w:rPr>
                <w:rFonts w:hint="default" w:ascii="Times New Roman" w:hAnsi="Times New Roman" w:cs="Times New Roman"/>
                <w:sz w:val="16"/>
                <w:szCs w:val="18"/>
                <w:vertAlign w:val="baseline"/>
                <w:lang w:val="en-US" w:eastAsia="zh-CN"/>
              </w:rPr>
              <w:t>Diabetes</w:t>
            </w:r>
          </w:p>
        </w:tc>
      </w:tr>
      <w:tr w14:paraId="4F7AD09C">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c>
          <w:tcPr>
            <w:tcW w:w="0" w:type="auto"/>
            <w:tcBorders>
              <w:tl2br w:val="nil"/>
              <w:tr2bl w:val="nil"/>
            </w:tcBorders>
            <w:vAlign w:val="top"/>
          </w:tcPr>
          <w:p w14:paraId="571CA9BE">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Times New Roman" w:hAnsi="Times New Roman" w:cs="Times New Roman" w:eastAsiaTheme="minorEastAsia"/>
                <w:kern w:val="2"/>
                <w:sz w:val="16"/>
                <w:szCs w:val="18"/>
                <w:vertAlign w:val="baseline"/>
                <w:lang w:val="en-US" w:eastAsia="zh-CN" w:bidi="ar-SA"/>
              </w:rPr>
            </w:pPr>
            <w:r>
              <w:rPr>
                <w:rFonts w:hint="default" w:ascii="Times New Roman" w:hAnsi="Times New Roman" w:cs="Times New Roman"/>
                <w:sz w:val="16"/>
                <w:szCs w:val="18"/>
                <w:vertAlign w:val="baseline"/>
                <w:lang w:val="en-US" w:eastAsia="zh-CN"/>
              </w:rPr>
              <w:t>C</w:t>
            </w:r>
            <w:r>
              <w:rPr>
                <w:rFonts w:hint="default" w:ascii="Times New Roman" w:hAnsi="Times New Roman" w:cs="Times New Roman"/>
                <w:sz w:val="16"/>
                <w:szCs w:val="18"/>
                <w:vertAlign w:val="baseline"/>
              </w:rPr>
              <w:t>holesterol</w:t>
            </w:r>
          </w:p>
        </w:tc>
        <w:tc>
          <w:tcPr>
            <w:tcW w:w="0" w:type="auto"/>
            <w:tcBorders>
              <w:tl2br w:val="nil"/>
              <w:tr2bl w:val="nil"/>
            </w:tcBorders>
            <w:vAlign w:val="top"/>
          </w:tcPr>
          <w:p w14:paraId="484A19EE">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Times New Roman" w:hAnsi="Times New Roman" w:cs="Times New Roman" w:eastAsiaTheme="minorEastAsia"/>
                <w:kern w:val="2"/>
                <w:sz w:val="20"/>
                <w:szCs w:val="22"/>
                <w:vertAlign w:val="baseline"/>
                <w:lang w:val="en-US" w:eastAsia="zh-CN" w:bidi="ar-SA"/>
              </w:rPr>
            </w:pPr>
            <w:r>
              <w:rPr>
                <w:rFonts w:hint="default" w:ascii="Times New Roman" w:hAnsi="Times New Roman" w:cs="Times New Roman"/>
                <w:sz w:val="16"/>
                <w:szCs w:val="18"/>
                <w:vertAlign w:val="baseline"/>
                <w:lang w:val="en-US" w:eastAsia="zh-CN"/>
              </w:rPr>
              <w:t>Hypokalemia</w:t>
            </w:r>
          </w:p>
        </w:tc>
      </w:tr>
      <w:tr w14:paraId="09C676D0">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c>
          <w:tcPr>
            <w:tcW w:w="0" w:type="auto"/>
            <w:tcBorders>
              <w:tl2br w:val="nil"/>
              <w:tr2bl w:val="nil"/>
            </w:tcBorders>
            <w:vAlign w:val="top"/>
          </w:tcPr>
          <w:p w14:paraId="6F575E35">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Times New Roman" w:hAnsi="Times New Roman" w:cs="Times New Roman" w:eastAsiaTheme="minorEastAsia"/>
                <w:kern w:val="2"/>
                <w:sz w:val="16"/>
                <w:szCs w:val="18"/>
                <w:vertAlign w:val="baseline"/>
                <w:lang w:val="en-US" w:eastAsia="zh-CN" w:bidi="ar-SA"/>
              </w:rPr>
            </w:pPr>
            <w:r>
              <w:rPr>
                <w:rFonts w:hint="default" w:ascii="Times New Roman" w:hAnsi="Times New Roman" w:cs="Times New Roman"/>
                <w:sz w:val="16"/>
                <w:szCs w:val="18"/>
                <w:vertAlign w:val="baseline"/>
                <w:lang w:val="en-US" w:eastAsia="zh-CN"/>
              </w:rPr>
              <w:t>L</w:t>
            </w:r>
            <w:r>
              <w:rPr>
                <w:rFonts w:hint="default" w:ascii="Times New Roman" w:hAnsi="Times New Roman" w:cs="Times New Roman"/>
                <w:sz w:val="16"/>
                <w:szCs w:val="18"/>
                <w:vertAlign w:val="baseline"/>
              </w:rPr>
              <w:t>ow density lipoprotein</w:t>
            </w:r>
          </w:p>
        </w:tc>
        <w:tc>
          <w:tcPr>
            <w:tcW w:w="0" w:type="auto"/>
            <w:tcBorders>
              <w:tl2br w:val="nil"/>
              <w:tr2bl w:val="nil"/>
            </w:tcBorders>
            <w:vAlign w:val="top"/>
          </w:tcPr>
          <w:p w14:paraId="22D911DB">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Times New Roman" w:hAnsi="Times New Roman" w:cs="Times New Roman" w:eastAsiaTheme="minorEastAsia"/>
                <w:kern w:val="2"/>
                <w:sz w:val="20"/>
                <w:szCs w:val="22"/>
                <w:vertAlign w:val="baseline"/>
                <w:lang w:val="en-US" w:eastAsia="zh-CN" w:bidi="ar-SA"/>
              </w:rPr>
            </w:pPr>
            <w:r>
              <w:rPr>
                <w:rFonts w:hint="default" w:ascii="Times New Roman" w:hAnsi="Times New Roman" w:cs="Times New Roman"/>
                <w:sz w:val="16"/>
                <w:szCs w:val="18"/>
                <w:vertAlign w:val="baseline"/>
                <w:lang w:val="en-US" w:eastAsia="zh-CN"/>
              </w:rPr>
              <w:t>Drugs that cause prolonged QTc</w:t>
            </w:r>
          </w:p>
        </w:tc>
      </w:tr>
      <w:tr w14:paraId="4A31AF45">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c>
          <w:tcPr>
            <w:tcW w:w="0" w:type="auto"/>
            <w:tcBorders>
              <w:tl2br w:val="nil"/>
              <w:tr2bl w:val="nil"/>
            </w:tcBorders>
            <w:vAlign w:val="top"/>
          </w:tcPr>
          <w:p w14:paraId="54370D38">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Times New Roman" w:hAnsi="Times New Roman" w:cs="Times New Roman" w:eastAsiaTheme="minorEastAsia"/>
                <w:kern w:val="2"/>
                <w:sz w:val="16"/>
                <w:szCs w:val="18"/>
                <w:vertAlign w:val="baseline"/>
                <w:lang w:val="en-US" w:eastAsia="zh-CN" w:bidi="ar-SA"/>
              </w:rPr>
            </w:pPr>
            <w:r>
              <w:rPr>
                <w:rFonts w:hint="default" w:ascii="Times New Roman" w:hAnsi="Times New Roman" w:cs="Times New Roman"/>
                <w:sz w:val="16"/>
                <w:szCs w:val="18"/>
                <w:vertAlign w:val="baseline"/>
                <w:lang w:val="en-US" w:eastAsia="zh-CN"/>
              </w:rPr>
              <w:t xml:space="preserve">High </w:t>
            </w:r>
            <w:r>
              <w:rPr>
                <w:rFonts w:hint="default" w:ascii="Times New Roman" w:hAnsi="Times New Roman" w:cs="Times New Roman"/>
                <w:sz w:val="16"/>
                <w:szCs w:val="18"/>
                <w:vertAlign w:val="baseline"/>
              </w:rPr>
              <w:t>density lipoprotein</w:t>
            </w:r>
          </w:p>
        </w:tc>
        <w:tc>
          <w:tcPr>
            <w:tcW w:w="0" w:type="auto"/>
            <w:tcBorders>
              <w:tl2br w:val="nil"/>
              <w:tr2bl w:val="nil"/>
            </w:tcBorders>
            <w:vAlign w:val="top"/>
          </w:tcPr>
          <w:p w14:paraId="72DBAE2C">
            <w:pPr>
              <w:keepNext w:val="0"/>
              <w:keepLines w:val="0"/>
              <w:pageBreakBefore w:val="0"/>
              <w:widowControl w:val="0"/>
              <w:kinsoku/>
              <w:wordWrap/>
              <w:overflowPunct/>
              <w:topLinePunct w:val="0"/>
              <w:autoSpaceDE/>
              <w:autoSpaceDN/>
              <w:bidi w:val="0"/>
              <w:adjustRightInd/>
              <w:snapToGrid/>
              <w:spacing w:line="288" w:lineRule="auto"/>
              <w:ind w:left="0" w:leftChars="0" w:firstLine="372" w:firstLineChars="233"/>
              <w:textAlignment w:val="auto"/>
              <w:rPr>
                <w:rFonts w:hint="default" w:ascii="Times New Roman" w:hAnsi="Times New Roman" w:cs="Times New Roman" w:eastAsiaTheme="minorEastAsia"/>
                <w:kern w:val="2"/>
                <w:sz w:val="20"/>
                <w:szCs w:val="22"/>
                <w:vertAlign w:val="baseline"/>
                <w:lang w:val="en-US" w:eastAsia="zh-CN" w:bidi="ar-SA"/>
              </w:rPr>
            </w:pPr>
            <w:r>
              <w:rPr>
                <w:rFonts w:hint="default" w:ascii="Times New Roman" w:hAnsi="Times New Roman" w:cs="Times New Roman"/>
                <w:sz w:val="16"/>
                <w:szCs w:val="18"/>
                <w:vertAlign w:val="baseline"/>
                <w:lang w:val="en-US" w:eastAsia="zh-CN"/>
              </w:rPr>
              <w:t>0</w:t>
            </w:r>
          </w:p>
        </w:tc>
      </w:tr>
      <w:tr w14:paraId="2E85DEA5">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c>
          <w:tcPr>
            <w:tcW w:w="0" w:type="auto"/>
            <w:tcBorders>
              <w:tl2br w:val="nil"/>
              <w:tr2bl w:val="nil"/>
            </w:tcBorders>
            <w:vAlign w:val="top"/>
          </w:tcPr>
          <w:p w14:paraId="4CC41B4F">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Times New Roman" w:hAnsi="Times New Roman" w:cs="Times New Roman" w:eastAsiaTheme="minorEastAsia"/>
                <w:kern w:val="2"/>
                <w:sz w:val="16"/>
                <w:szCs w:val="18"/>
                <w:vertAlign w:val="baseline"/>
                <w:lang w:val="en-US" w:eastAsia="zh-CN" w:bidi="ar-SA"/>
              </w:rPr>
            </w:pPr>
            <w:r>
              <w:rPr>
                <w:rFonts w:hint="default" w:ascii="Times New Roman" w:hAnsi="Times New Roman" w:cs="Times New Roman"/>
                <w:sz w:val="16"/>
                <w:szCs w:val="18"/>
                <w:vertAlign w:val="baseline"/>
                <w:lang w:val="en-US" w:eastAsia="zh-CN"/>
              </w:rPr>
              <w:t>E</w:t>
            </w:r>
            <w:r>
              <w:rPr>
                <w:rFonts w:hint="default" w:ascii="Times New Roman" w:hAnsi="Times New Roman" w:cs="Times New Roman"/>
                <w:sz w:val="16"/>
                <w:szCs w:val="18"/>
                <w:vertAlign w:val="baseline"/>
              </w:rPr>
              <w:t>stradiol</w:t>
            </w:r>
          </w:p>
        </w:tc>
        <w:tc>
          <w:tcPr>
            <w:tcW w:w="0" w:type="auto"/>
            <w:tcBorders>
              <w:tl2br w:val="nil"/>
              <w:tr2bl w:val="nil"/>
            </w:tcBorders>
            <w:vAlign w:val="top"/>
          </w:tcPr>
          <w:p w14:paraId="780EB0FF">
            <w:pPr>
              <w:keepNext w:val="0"/>
              <w:keepLines w:val="0"/>
              <w:pageBreakBefore w:val="0"/>
              <w:widowControl w:val="0"/>
              <w:kinsoku/>
              <w:wordWrap/>
              <w:overflowPunct/>
              <w:topLinePunct w:val="0"/>
              <w:autoSpaceDE/>
              <w:autoSpaceDN/>
              <w:bidi w:val="0"/>
              <w:adjustRightInd/>
              <w:snapToGrid/>
              <w:spacing w:line="288" w:lineRule="auto"/>
              <w:ind w:left="0" w:leftChars="0" w:firstLine="372" w:firstLineChars="233"/>
              <w:textAlignment w:val="auto"/>
              <w:rPr>
                <w:rFonts w:hint="default" w:ascii="Times New Roman" w:hAnsi="Times New Roman" w:cs="Times New Roman" w:eastAsiaTheme="minorEastAsia"/>
                <w:kern w:val="2"/>
                <w:sz w:val="20"/>
                <w:szCs w:val="22"/>
                <w:vertAlign w:val="baseline"/>
                <w:lang w:val="en-US" w:eastAsia="zh-CN" w:bidi="ar-SA"/>
              </w:rPr>
            </w:pPr>
            <w:r>
              <w:rPr>
                <w:rFonts w:hint="default" w:ascii="Times New Roman" w:hAnsi="Times New Roman" w:cs="Times New Roman"/>
                <w:sz w:val="16"/>
                <w:szCs w:val="18"/>
                <w:vertAlign w:val="baseline"/>
                <w:lang w:val="en-US" w:eastAsia="zh-CN"/>
              </w:rPr>
              <w:t>1</w:t>
            </w:r>
          </w:p>
        </w:tc>
      </w:tr>
      <w:tr w14:paraId="2C72DB3D">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c>
          <w:tcPr>
            <w:tcW w:w="0" w:type="auto"/>
            <w:tcBorders>
              <w:tl2br w:val="nil"/>
              <w:tr2bl w:val="nil"/>
            </w:tcBorders>
            <w:vAlign w:val="top"/>
          </w:tcPr>
          <w:p w14:paraId="5957AB43">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Times New Roman" w:hAnsi="Times New Roman" w:cs="Times New Roman" w:eastAsiaTheme="minorEastAsia"/>
                <w:kern w:val="2"/>
                <w:sz w:val="16"/>
                <w:szCs w:val="18"/>
                <w:vertAlign w:val="baseline"/>
                <w:lang w:val="en-US" w:eastAsia="zh-CN" w:bidi="ar-SA"/>
              </w:rPr>
            </w:pPr>
            <w:r>
              <w:rPr>
                <w:rFonts w:hint="default" w:ascii="Times New Roman" w:hAnsi="Times New Roman" w:cs="Times New Roman"/>
                <w:sz w:val="16"/>
                <w:szCs w:val="18"/>
                <w:vertAlign w:val="baseline"/>
                <w:lang w:val="en-US" w:eastAsia="zh-CN"/>
              </w:rPr>
              <w:t>P</w:t>
            </w:r>
            <w:r>
              <w:rPr>
                <w:rFonts w:hint="default" w:ascii="Times New Roman" w:hAnsi="Times New Roman" w:cs="Times New Roman"/>
                <w:sz w:val="16"/>
                <w:szCs w:val="18"/>
                <w:vertAlign w:val="baseline"/>
              </w:rPr>
              <w:t>rogesterone</w:t>
            </w:r>
          </w:p>
        </w:tc>
        <w:tc>
          <w:tcPr>
            <w:tcW w:w="0" w:type="auto"/>
            <w:tcBorders>
              <w:tl2br w:val="nil"/>
              <w:tr2bl w:val="nil"/>
            </w:tcBorders>
            <w:vAlign w:val="top"/>
          </w:tcPr>
          <w:p w14:paraId="69A685F8">
            <w:pPr>
              <w:keepNext w:val="0"/>
              <w:keepLines w:val="0"/>
              <w:pageBreakBefore w:val="0"/>
              <w:widowControl w:val="0"/>
              <w:kinsoku/>
              <w:wordWrap/>
              <w:overflowPunct/>
              <w:topLinePunct w:val="0"/>
              <w:autoSpaceDE/>
              <w:autoSpaceDN/>
              <w:bidi w:val="0"/>
              <w:adjustRightInd/>
              <w:snapToGrid/>
              <w:spacing w:line="288" w:lineRule="auto"/>
              <w:ind w:left="0" w:leftChars="0" w:firstLine="372" w:firstLineChars="233"/>
              <w:textAlignment w:val="auto"/>
              <w:rPr>
                <w:rFonts w:hint="default" w:ascii="Times New Roman" w:hAnsi="Times New Roman" w:cs="Times New Roman" w:eastAsiaTheme="minorEastAsia"/>
                <w:kern w:val="2"/>
                <w:sz w:val="20"/>
                <w:szCs w:val="22"/>
                <w:vertAlign w:val="baseline"/>
                <w:lang w:val="en-US" w:eastAsia="zh-CN" w:bidi="ar-SA"/>
              </w:rPr>
            </w:pPr>
            <w:r>
              <w:rPr>
                <w:rFonts w:hint="default" w:ascii="Times New Roman" w:hAnsi="Times New Roman" w:cs="Times New Roman"/>
                <w:sz w:val="16"/>
                <w:szCs w:val="18"/>
                <w:vertAlign w:val="baseline"/>
                <w:lang w:val="en-US" w:eastAsia="zh-CN"/>
              </w:rPr>
              <w:t>≥ 2</w:t>
            </w:r>
          </w:p>
        </w:tc>
      </w:tr>
      <w:tr w14:paraId="4A9E00B0">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c>
          <w:tcPr>
            <w:tcW w:w="0" w:type="auto"/>
            <w:tcBorders>
              <w:tl2br w:val="nil"/>
              <w:tr2bl w:val="nil"/>
            </w:tcBorders>
            <w:vAlign w:val="top"/>
          </w:tcPr>
          <w:p w14:paraId="341AB708">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Times New Roman" w:hAnsi="Times New Roman" w:cs="Times New Roman" w:eastAsiaTheme="minorEastAsia"/>
                <w:kern w:val="2"/>
                <w:sz w:val="16"/>
                <w:szCs w:val="18"/>
                <w:vertAlign w:val="baseline"/>
                <w:lang w:val="en-US" w:eastAsia="zh-CN" w:bidi="ar-SA"/>
              </w:rPr>
            </w:pPr>
            <w:r>
              <w:rPr>
                <w:rFonts w:hint="default" w:ascii="Times New Roman" w:hAnsi="Times New Roman" w:cs="Times New Roman"/>
                <w:sz w:val="16"/>
                <w:szCs w:val="18"/>
                <w:vertAlign w:val="baseline"/>
                <w:lang w:val="en-US" w:eastAsia="zh-CN"/>
              </w:rPr>
              <w:t>T</w:t>
            </w:r>
            <w:r>
              <w:rPr>
                <w:rFonts w:hint="default" w:ascii="Times New Roman" w:hAnsi="Times New Roman" w:cs="Times New Roman"/>
                <w:sz w:val="16"/>
                <w:szCs w:val="18"/>
                <w:vertAlign w:val="baseline"/>
              </w:rPr>
              <w:t>estosterone</w:t>
            </w:r>
          </w:p>
        </w:tc>
        <w:tc>
          <w:tcPr>
            <w:tcW w:w="0" w:type="auto"/>
            <w:tcBorders>
              <w:tl2br w:val="nil"/>
              <w:tr2bl w:val="nil"/>
            </w:tcBorders>
          </w:tcPr>
          <w:p w14:paraId="330D578B">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Times New Roman" w:hAnsi="Times New Roman" w:cs="Times New Roman"/>
                <w:sz w:val="20"/>
                <w:szCs w:val="22"/>
                <w:vertAlign w:val="baseline"/>
              </w:rPr>
            </w:pPr>
          </w:p>
        </w:tc>
      </w:tr>
      <w:tr w14:paraId="2358B6C1">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c>
          <w:tcPr>
            <w:tcW w:w="0" w:type="auto"/>
            <w:tcBorders>
              <w:tl2br w:val="nil"/>
              <w:tr2bl w:val="nil"/>
            </w:tcBorders>
            <w:vAlign w:val="top"/>
          </w:tcPr>
          <w:p w14:paraId="5AEC007F">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Times New Roman" w:hAnsi="Times New Roman" w:cs="Times New Roman" w:eastAsiaTheme="minorEastAsia"/>
                <w:kern w:val="2"/>
                <w:sz w:val="16"/>
                <w:szCs w:val="18"/>
                <w:vertAlign w:val="baseline"/>
                <w:lang w:val="en-US" w:eastAsia="zh-CN" w:bidi="ar-SA"/>
              </w:rPr>
            </w:pPr>
            <w:r>
              <w:rPr>
                <w:rFonts w:hint="default" w:ascii="Times New Roman" w:hAnsi="Times New Roman" w:cs="Times New Roman"/>
                <w:sz w:val="16"/>
                <w:szCs w:val="18"/>
                <w:vertAlign w:val="baseline"/>
                <w:lang w:val="en-US" w:eastAsia="zh-CN"/>
              </w:rPr>
              <w:t>F</w:t>
            </w:r>
            <w:r>
              <w:rPr>
                <w:rFonts w:hint="default" w:ascii="Times New Roman" w:hAnsi="Times New Roman" w:cs="Times New Roman"/>
                <w:sz w:val="16"/>
                <w:szCs w:val="18"/>
                <w:vertAlign w:val="baseline"/>
              </w:rPr>
              <w:t>ollicle-stimulating hormone</w:t>
            </w:r>
          </w:p>
        </w:tc>
        <w:tc>
          <w:tcPr>
            <w:tcW w:w="0" w:type="auto"/>
            <w:tcBorders>
              <w:tl2br w:val="nil"/>
              <w:tr2bl w:val="nil"/>
            </w:tcBorders>
          </w:tcPr>
          <w:p w14:paraId="39D75EE5">
            <w:pPr>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ascii="Times New Roman" w:hAnsi="Times New Roman" w:cs="Times New Roman"/>
                <w:sz w:val="20"/>
                <w:szCs w:val="22"/>
                <w:vertAlign w:val="baseline"/>
              </w:rPr>
            </w:pPr>
          </w:p>
        </w:tc>
      </w:tr>
    </w:tbl>
    <w:p w14:paraId="0CAB493F">
      <w:pPr>
        <w:rPr>
          <w:rFonts w:hint="default" w:ascii="Times New Roman" w:hAnsi="Times New Roman" w:cs="Times New Roman"/>
        </w:rPr>
      </w:pPr>
      <w:r>
        <w:rPr>
          <w:rFonts w:hint="default" w:ascii="Times New Roman" w:hAnsi="Times New Roman" w:cs="Times New Roman"/>
        </w:rPr>
        <w:br w:type="page"/>
      </w:r>
    </w:p>
    <w:p w14:paraId="3AC1E00B">
      <w:pPr>
        <w:keepNext w:val="0"/>
        <w:keepLines w:val="0"/>
        <w:pageBreakBefore w:val="0"/>
        <w:widowControl w:val="0"/>
        <w:kinsoku/>
        <w:wordWrap/>
        <w:overflowPunct/>
        <w:topLinePunct w:val="0"/>
        <w:autoSpaceDE/>
        <w:autoSpaceDN/>
        <w:bidi w:val="0"/>
        <w:adjustRightInd/>
        <w:snapToGrid/>
        <w:textAlignment w:val="auto"/>
        <w:outlineLvl w:val="0"/>
        <w:rPr>
          <w:rFonts w:hint="default" w:ascii="Times New Roman" w:hAnsi="Times New Roman" w:eastAsia="宋体" w:cs="Times New Roman"/>
          <w:b/>
          <w:bCs/>
          <w:i w:val="0"/>
          <w:iCs w:val="0"/>
          <w:color w:val="000000"/>
          <w:kern w:val="0"/>
          <w:sz w:val="18"/>
          <w:szCs w:val="18"/>
          <w:lang w:val="en-US" w:eastAsia="zh-CN" w:bidi="ar"/>
        </w:rPr>
      </w:pPr>
      <w:bookmarkStart w:id="4" w:name="_Toc13223"/>
      <w:r>
        <w:rPr>
          <w:rFonts w:hint="eastAsia" w:ascii="Times New Roman" w:hAnsi="Times New Roman" w:eastAsia="宋体" w:cs="Times New Roman"/>
          <w:b/>
          <w:bCs/>
          <w:i w:val="0"/>
          <w:iCs w:val="0"/>
          <w:color w:val="000000"/>
          <w:kern w:val="0"/>
          <w:sz w:val="18"/>
          <w:szCs w:val="18"/>
          <w:lang w:val="en-US" w:eastAsia="zh-CN" w:bidi="ar"/>
        </w:rPr>
        <w:t>Table S3. The number of patients who developed their first QTc prolongation over the study period</w:t>
      </w:r>
      <w:bookmarkEnd w:id="4"/>
    </w:p>
    <w:tbl>
      <w:tblPr>
        <w:tblStyle w:val="3"/>
        <w:tblW w:w="8260" w:type="dxa"/>
        <w:tblInd w:w="78"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69"/>
        <w:gridCol w:w="3273"/>
        <w:gridCol w:w="3618"/>
      </w:tblGrid>
      <w:tr w14:paraId="07BCD55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trPr>
        <w:tc>
          <w:tcPr>
            <w:tcW w:w="1369" w:type="dxa"/>
            <w:tcBorders>
              <w:top w:val="single" w:color="auto" w:sz="8" w:space="0"/>
              <w:left w:val="nil"/>
              <w:bottom w:val="single" w:color="auto" w:sz="4" w:space="0"/>
              <w:right w:val="nil"/>
            </w:tcBorders>
            <w:noWrap w:val="0"/>
            <w:vAlign w:val="top"/>
          </w:tcPr>
          <w:p w14:paraId="75CBE94F">
            <w:pPr>
              <w:spacing w:beforeLines="0" w:afterLines="0"/>
              <w:jc w:val="center"/>
              <w:rPr>
                <w:rFonts w:hint="default" w:ascii="Times New Roman" w:hAnsi="Times New Roman" w:eastAsia="等线" w:cs="Times New Roman"/>
                <w:color w:val="000000"/>
                <w:sz w:val="16"/>
                <w:szCs w:val="16"/>
                <w:lang w:val="en-US" w:eastAsia="zh-CN"/>
              </w:rPr>
            </w:pPr>
            <w:r>
              <w:rPr>
                <w:rFonts w:hint="eastAsia" w:ascii="Times New Roman" w:hAnsi="Times New Roman" w:cs="Times New Roman"/>
                <w:color w:val="000000"/>
                <w:sz w:val="16"/>
                <w:szCs w:val="16"/>
                <w:lang w:val="en-US" w:eastAsia="zh-CN"/>
              </w:rPr>
              <w:t>Study period, weeks</w:t>
            </w:r>
          </w:p>
        </w:tc>
        <w:tc>
          <w:tcPr>
            <w:tcW w:w="3273" w:type="dxa"/>
            <w:tcBorders>
              <w:top w:val="single" w:color="auto" w:sz="8" w:space="0"/>
              <w:left w:val="nil"/>
              <w:bottom w:val="single" w:color="auto" w:sz="4" w:space="0"/>
              <w:right w:val="nil"/>
            </w:tcBorders>
            <w:noWrap w:val="0"/>
            <w:vAlign w:val="top"/>
          </w:tcPr>
          <w:p w14:paraId="0FD2CC10">
            <w:pPr>
              <w:spacing w:beforeLines="0" w:afterLines="0"/>
              <w:jc w:val="center"/>
              <w:rPr>
                <w:rFonts w:hint="default" w:ascii="Times New Roman" w:hAnsi="Times New Roman" w:eastAsia="等线" w:cs="Times New Roman"/>
                <w:color w:val="000000"/>
                <w:sz w:val="16"/>
                <w:szCs w:val="16"/>
                <w:lang w:val="en-US" w:eastAsia="zh-CN"/>
              </w:rPr>
            </w:pPr>
            <w:r>
              <w:rPr>
                <w:rFonts w:hint="eastAsia" w:ascii="Times New Roman" w:hAnsi="Times New Roman" w:cs="Times New Roman"/>
                <w:color w:val="000000"/>
                <w:sz w:val="16"/>
                <w:szCs w:val="16"/>
                <w:lang w:val="en-US" w:eastAsia="zh-CN"/>
              </w:rPr>
              <w:t xml:space="preserve">Numbers of </w:t>
            </w:r>
            <w:r>
              <w:rPr>
                <w:rFonts w:hint="default" w:ascii="Times New Roman" w:hAnsi="Times New Roman" w:cs="Times New Roman"/>
                <w:color w:val="000000"/>
                <w:sz w:val="16"/>
                <w:szCs w:val="16"/>
              </w:rPr>
              <w:t>Patients</w:t>
            </w:r>
            <w:r>
              <w:rPr>
                <w:rFonts w:hint="eastAsia" w:ascii="Times New Roman" w:hAnsi="Times New Roman" w:cs="Times New Roman"/>
                <w:color w:val="000000"/>
                <w:sz w:val="16"/>
                <w:szCs w:val="16"/>
                <w:lang w:val="en-US" w:eastAsia="zh-CN"/>
              </w:rPr>
              <w:t xml:space="preserve"> developed QTc prolongation</w:t>
            </w:r>
            <w:bookmarkStart w:id="5" w:name="OLE_LINK35"/>
            <w:r>
              <w:rPr>
                <w:rFonts w:hint="eastAsia" w:ascii="Times New Roman" w:hAnsi="Times New Roman" w:cs="Times New Roman"/>
                <w:color w:val="000000"/>
                <w:sz w:val="16"/>
                <w:szCs w:val="16"/>
                <w:lang w:val="en-US" w:eastAsia="zh-CN"/>
              </w:rPr>
              <w:t>, n(%)</w:t>
            </w:r>
            <w:bookmarkEnd w:id="5"/>
          </w:p>
        </w:tc>
        <w:tc>
          <w:tcPr>
            <w:tcW w:w="3618" w:type="dxa"/>
            <w:tcBorders>
              <w:top w:val="single" w:color="auto" w:sz="8" w:space="0"/>
              <w:left w:val="nil"/>
              <w:bottom w:val="single" w:color="auto" w:sz="4" w:space="0"/>
              <w:right w:val="nil"/>
            </w:tcBorders>
            <w:noWrap w:val="0"/>
            <w:vAlign w:val="top"/>
          </w:tcPr>
          <w:p w14:paraId="055A42E0">
            <w:pPr>
              <w:spacing w:beforeLines="0" w:afterLines="0"/>
              <w:jc w:val="center"/>
              <w:rPr>
                <w:rFonts w:hint="default" w:ascii="Times New Roman" w:hAnsi="Times New Roman" w:cs="Times New Roman"/>
                <w:color w:val="000000"/>
                <w:sz w:val="16"/>
                <w:szCs w:val="16"/>
              </w:rPr>
            </w:pPr>
            <w:r>
              <w:rPr>
                <w:rFonts w:hint="default" w:ascii="Times New Roman" w:hAnsi="Times New Roman" w:cs="Times New Roman"/>
                <w:color w:val="000000"/>
                <w:sz w:val="16"/>
                <w:szCs w:val="16"/>
              </w:rPr>
              <w:t>Cumulative</w:t>
            </w:r>
            <w:r>
              <w:rPr>
                <w:rFonts w:hint="eastAsia" w:ascii="Times New Roman" w:hAnsi="Times New Roman" w:cs="Times New Roman"/>
                <w:color w:val="000000"/>
                <w:sz w:val="16"/>
                <w:szCs w:val="16"/>
                <w:lang w:val="en-US" w:eastAsia="zh-CN"/>
              </w:rPr>
              <w:t xml:space="preserve"> numbers of p</w:t>
            </w:r>
            <w:r>
              <w:rPr>
                <w:rFonts w:hint="default" w:ascii="Times New Roman" w:hAnsi="Times New Roman" w:cs="Times New Roman"/>
                <w:color w:val="000000"/>
                <w:sz w:val="16"/>
                <w:szCs w:val="16"/>
              </w:rPr>
              <w:t>atients</w:t>
            </w:r>
            <w:r>
              <w:rPr>
                <w:rFonts w:hint="eastAsia" w:ascii="Times New Roman" w:hAnsi="Times New Roman" w:cs="Times New Roman"/>
                <w:color w:val="000000"/>
                <w:sz w:val="16"/>
                <w:szCs w:val="16"/>
                <w:lang w:val="en-US" w:eastAsia="zh-CN"/>
              </w:rPr>
              <w:t xml:space="preserve"> developed QTc prolongation, n(%)</w:t>
            </w:r>
          </w:p>
        </w:tc>
      </w:tr>
      <w:tr w14:paraId="0382C31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369" w:type="dxa"/>
            <w:tcBorders>
              <w:top w:val="single" w:color="auto" w:sz="4" w:space="0"/>
              <w:left w:val="nil"/>
              <w:bottom w:val="nil"/>
              <w:right w:val="nil"/>
            </w:tcBorders>
            <w:noWrap w:val="0"/>
            <w:vAlign w:val="top"/>
          </w:tcPr>
          <w:p w14:paraId="7333B281">
            <w:pPr>
              <w:spacing w:beforeLines="0" w:afterLines="0"/>
              <w:jc w:val="center"/>
              <w:rPr>
                <w:rFonts w:hint="default" w:ascii="Times New Roman" w:hAnsi="Times New Roman" w:cs="Times New Roman"/>
                <w:color w:val="000000"/>
                <w:sz w:val="16"/>
                <w:szCs w:val="16"/>
              </w:rPr>
            </w:pPr>
            <w:r>
              <w:rPr>
                <w:rFonts w:hint="eastAsia" w:ascii="宋体" w:hAnsi="宋体" w:eastAsia="宋体" w:cs="宋体"/>
                <w:color w:val="000000"/>
                <w:sz w:val="16"/>
                <w:szCs w:val="16"/>
                <w:lang w:val="en-US" w:eastAsia="zh-CN"/>
              </w:rPr>
              <w:t>≦</w:t>
            </w:r>
            <w:r>
              <w:rPr>
                <w:rFonts w:hint="default" w:ascii="Times New Roman" w:hAnsi="Times New Roman" w:cs="Times New Roman"/>
                <w:color w:val="000000"/>
                <w:sz w:val="16"/>
                <w:szCs w:val="16"/>
              </w:rPr>
              <w:t>4</w:t>
            </w:r>
          </w:p>
        </w:tc>
        <w:tc>
          <w:tcPr>
            <w:tcW w:w="3273" w:type="dxa"/>
            <w:tcBorders>
              <w:top w:val="single" w:color="auto" w:sz="4" w:space="0"/>
              <w:left w:val="nil"/>
              <w:bottom w:val="nil"/>
              <w:right w:val="nil"/>
            </w:tcBorders>
            <w:noWrap w:val="0"/>
            <w:vAlign w:val="top"/>
          </w:tcPr>
          <w:p w14:paraId="628CAF0C">
            <w:pPr>
              <w:wordWrap/>
              <w:spacing w:beforeLines="0" w:afterLines="0"/>
              <w:jc w:val="center"/>
              <w:rPr>
                <w:rFonts w:hint="default" w:ascii="Times New Roman" w:hAnsi="Times New Roman" w:eastAsia="等线" w:cs="Times New Roman"/>
                <w:color w:val="000000"/>
                <w:sz w:val="16"/>
                <w:szCs w:val="16"/>
                <w:lang w:val="en-US" w:eastAsia="zh-CN"/>
              </w:rPr>
            </w:pPr>
            <w:r>
              <w:rPr>
                <w:rFonts w:hint="default" w:ascii="Times New Roman" w:hAnsi="Times New Roman" w:cs="Times New Roman"/>
                <w:color w:val="000000"/>
                <w:sz w:val="16"/>
                <w:szCs w:val="16"/>
              </w:rPr>
              <w:t>72</w:t>
            </w:r>
            <w:bookmarkStart w:id="6" w:name="OLE_LINK34"/>
            <w:r>
              <w:rPr>
                <w:rFonts w:hint="eastAsia" w:ascii="Times New Roman" w:hAnsi="Times New Roman" w:cs="Times New Roman"/>
                <w:color w:val="000000"/>
                <w:sz w:val="16"/>
                <w:szCs w:val="16"/>
                <w:lang w:val="en-US" w:eastAsia="zh-CN"/>
              </w:rPr>
              <w:t>(27.7%)</w:t>
            </w:r>
            <w:bookmarkEnd w:id="6"/>
          </w:p>
        </w:tc>
        <w:tc>
          <w:tcPr>
            <w:tcW w:w="3618" w:type="dxa"/>
            <w:tcBorders>
              <w:top w:val="single" w:color="auto" w:sz="4" w:space="0"/>
              <w:left w:val="nil"/>
              <w:bottom w:val="nil"/>
              <w:right w:val="nil"/>
            </w:tcBorders>
            <w:noWrap w:val="0"/>
            <w:vAlign w:val="top"/>
          </w:tcPr>
          <w:p w14:paraId="4760CDE3">
            <w:pPr>
              <w:spacing w:beforeLines="0" w:afterLines="0"/>
              <w:jc w:val="center"/>
              <w:rPr>
                <w:rFonts w:hint="default" w:ascii="Times New Roman" w:hAnsi="Times New Roman" w:cs="Times New Roman"/>
                <w:color w:val="000000"/>
                <w:sz w:val="16"/>
                <w:szCs w:val="16"/>
              </w:rPr>
            </w:pPr>
            <w:r>
              <w:rPr>
                <w:rFonts w:hint="default" w:ascii="Times New Roman" w:hAnsi="Times New Roman" w:cs="Times New Roman"/>
                <w:color w:val="000000"/>
                <w:sz w:val="16"/>
                <w:szCs w:val="16"/>
              </w:rPr>
              <w:t>72</w:t>
            </w:r>
            <w:r>
              <w:rPr>
                <w:rFonts w:hint="eastAsia" w:ascii="Times New Roman" w:hAnsi="Times New Roman" w:cs="Times New Roman"/>
                <w:color w:val="000000"/>
                <w:sz w:val="16"/>
                <w:szCs w:val="16"/>
                <w:lang w:val="en-US" w:eastAsia="zh-CN"/>
              </w:rPr>
              <w:t>(27.7%)</w:t>
            </w:r>
          </w:p>
        </w:tc>
      </w:tr>
      <w:tr w14:paraId="75DDC05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369" w:type="dxa"/>
            <w:tcBorders>
              <w:top w:val="nil"/>
              <w:left w:val="nil"/>
              <w:bottom w:val="nil"/>
              <w:right w:val="nil"/>
            </w:tcBorders>
            <w:noWrap w:val="0"/>
            <w:vAlign w:val="top"/>
          </w:tcPr>
          <w:p w14:paraId="15E37B15">
            <w:pPr>
              <w:spacing w:beforeLines="0" w:afterLines="0"/>
              <w:jc w:val="center"/>
              <w:rPr>
                <w:rFonts w:hint="default" w:ascii="Times New Roman" w:hAnsi="Times New Roman" w:cs="Times New Roman"/>
                <w:color w:val="000000"/>
                <w:sz w:val="16"/>
                <w:szCs w:val="16"/>
              </w:rPr>
            </w:pPr>
            <w:r>
              <w:rPr>
                <w:rFonts w:hint="eastAsia" w:ascii="Times New Roman" w:hAnsi="Times New Roman" w:cs="Times New Roman"/>
                <w:color w:val="000000"/>
                <w:sz w:val="16"/>
                <w:szCs w:val="16"/>
                <w:lang w:val="en-US" w:eastAsia="zh-CN"/>
              </w:rPr>
              <w:t>4-</w:t>
            </w:r>
            <w:r>
              <w:rPr>
                <w:rFonts w:hint="default" w:ascii="Times New Roman" w:hAnsi="Times New Roman" w:cs="Times New Roman"/>
                <w:color w:val="000000"/>
                <w:sz w:val="16"/>
                <w:szCs w:val="16"/>
              </w:rPr>
              <w:t>8</w:t>
            </w:r>
          </w:p>
        </w:tc>
        <w:tc>
          <w:tcPr>
            <w:tcW w:w="3273" w:type="dxa"/>
            <w:tcBorders>
              <w:top w:val="nil"/>
              <w:left w:val="nil"/>
              <w:bottom w:val="nil"/>
              <w:right w:val="nil"/>
            </w:tcBorders>
            <w:noWrap w:val="0"/>
            <w:vAlign w:val="top"/>
          </w:tcPr>
          <w:p w14:paraId="7BB8BE6A">
            <w:pPr>
              <w:spacing w:beforeLines="0" w:afterLines="0"/>
              <w:jc w:val="center"/>
              <w:rPr>
                <w:rFonts w:hint="default" w:ascii="Times New Roman" w:hAnsi="Times New Roman" w:cs="Times New Roman"/>
                <w:color w:val="000000"/>
                <w:sz w:val="16"/>
                <w:szCs w:val="16"/>
              </w:rPr>
            </w:pPr>
            <w:r>
              <w:rPr>
                <w:rFonts w:hint="default" w:ascii="Times New Roman" w:hAnsi="Times New Roman" w:cs="Times New Roman"/>
                <w:color w:val="000000"/>
                <w:sz w:val="16"/>
                <w:szCs w:val="16"/>
              </w:rPr>
              <w:t>57</w:t>
            </w:r>
            <w:r>
              <w:rPr>
                <w:rFonts w:hint="eastAsia" w:ascii="Times New Roman" w:hAnsi="Times New Roman" w:cs="Times New Roman"/>
                <w:color w:val="000000"/>
                <w:sz w:val="16"/>
                <w:szCs w:val="16"/>
                <w:lang w:val="en-US" w:eastAsia="zh-CN"/>
              </w:rPr>
              <w:t>(21.9%)</w:t>
            </w:r>
          </w:p>
        </w:tc>
        <w:tc>
          <w:tcPr>
            <w:tcW w:w="3618" w:type="dxa"/>
            <w:tcBorders>
              <w:top w:val="nil"/>
              <w:left w:val="nil"/>
              <w:bottom w:val="nil"/>
              <w:right w:val="nil"/>
            </w:tcBorders>
            <w:noWrap w:val="0"/>
            <w:vAlign w:val="top"/>
          </w:tcPr>
          <w:p w14:paraId="434C9F36">
            <w:pPr>
              <w:spacing w:beforeLines="0" w:afterLines="0"/>
              <w:jc w:val="center"/>
              <w:rPr>
                <w:rFonts w:hint="default" w:ascii="Times New Roman" w:hAnsi="Times New Roman" w:cs="Times New Roman"/>
                <w:color w:val="000000"/>
                <w:sz w:val="16"/>
                <w:szCs w:val="16"/>
              </w:rPr>
            </w:pPr>
            <w:r>
              <w:rPr>
                <w:rFonts w:hint="default" w:ascii="Times New Roman" w:hAnsi="Times New Roman" w:cs="Times New Roman"/>
                <w:color w:val="000000"/>
                <w:sz w:val="16"/>
                <w:szCs w:val="16"/>
              </w:rPr>
              <w:t>129</w:t>
            </w:r>
            <w:r>
              <w:rPr>
                <w:rFonts w:hint="eastAsia" w:ascii="Times New Roman" w:hAnsi="Times New Roman" w:cs="Times New Roman"/>
                <w:color w:val="000000"/>
                <w:sz w:val="16"/>
                <w:szCs w:val="16"/>
                <w:lang w:val="en-US" w:eastAsia="zh-CN"/>
              </w:rPr>
              <w:t>(49.6%)</w:t>
            </w:r>
          </w:p>
        </w:tc>
      </w:tr>
      <w:tr w14:paraId="577625F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369" w:type="dxa"/>
            <w:tcBorders>
              <w:top w:val="nil"/>
              <w:left w:val="nil"/>
              <w:bottom w:val="nil"/>
              <w:right w:val="nil"/>
            </w:tcBorders>
            <w:noWrap w:val="0"/>
            <w:vAlign w:val="top"/>
          </w:tcPr>
          <w:p w14:paraId="67755471">
            <w:pPr>
              <w:spacing w:beforeLines="0" w:afterLines="0"/>
              <w:jc w:val="center"/>
              <w:rPr>
                <w:rFonts w:hint="default" w:ascii="Times New Roman" w:hAnsi="Times New Roman" w:cs="Times New Roman"/>
                <w:color w:val="000000"/>
                <w:sz w:val="16"/>
                <w:szCs w:val="16"/>
              </w:rPr>
            </w:pPr>
            <w:r>
              <w:rPr>
                <w:rFonts w:hint="eastAsia" w:ascii="Times New Roman" w:hAnsi="Times New Roman" w:cs="Times New Roman"/>
                <w:color w:val="000000"/>
                <w:sz w:val="16"/>
                <w:szCs w:val="16"/>
                <w:lang w:val="en-US" w:eastAsia="zh-CN"/>
              </w:rPr>
              <w:t>8-</w:t>
            </w:r>
            <w:r>
              <w:rPr>
                <w:rFonts w:hint="default" w:ascii="Times New Roman" w:hAnsi="Times New Roman" w:cs="Times New Roman"/>
                <w:color w:val="000000"/>
                <w:sz w:val="16"/>
                <w:szCs w:val="16"/>
              </w:rPr>
              <w:t>12</w:t>
            </w:r>
          </w:p>
        </w:tc>
        <w:tc>
          <w:tcPr>
            <w:tcW w:w="3273" w:type="dxa"/>
            <w:tcBorders>
              <w:top w:val="nil"/>
              <w:left w:val="nil"/>
              <w:bottom w:val="nil"/>
              <w:right w:val="nil"/>
            </w:tcBorders>
            <w:noWrap w:val="0"/>
            <w:vAlign w:val="top"/>
          </w:tcPr>
          <w:p w14:paraId="63818BBA">
            <w:pPr>
              <w:spacing w:beforeLines="0" w:afterLines="0"/>
              <w:jc w:val="center"/>
              <w:rPr>
                <w:rFonts w:hint="default" w:ascii="Times New Roman" w:hAnsi="Times New Roman" w:cs="Times New Roman"/>
                <w:color w:val="000000"/>
                <w:sz w:val="16"/>
                <w:szCs w:val="16"/>
              </w:rPr>
            </w:pPr>
            <w:r>
              <w:rPr>
                <w:rFonts w:hint="default" w:ascii="Times New Roman" w:hAnsi="Times New Roman" w:cs="Times New Roman"/>
                <w:color w:val="000000"/>
                <w:sz w:val="16"/>
                <w:szCs w:val="16"/>
              </w:rPr>
              <w:t>32</w:t>
            </w:r>
            <w:r>
              <w:rPr>
                <w:rFonts w:hint="eastAsia" w:ascii="Times New Roman" w:hAnsi="Times New Roman" w:cs="Times New Roman"/>
                <w:color w:val="000000"/>
                <w:sz w:val="16"/>
                <w:szCs w:val="16"/>
                <w:lang w:val="en-US" w:eastAsia="zh-CN"/>
              </w:rPr>
              <w:t>(12.3%)</w:t>
            </w:r>
          </w:p>
        </w:tc>
        <w:tc>
          <w:tcPr>
            <w:tcW w:w="3618" w:type="dxa"/>
            <w:tcBorders>
              <w:top w:val="nil"/>
              <w:left w:val="nil"/>
              <w:bottom w:val="nil"/>
              <w:right w:val="nil"/>
            </w:tcBorders>
            <w:noWrap w:val="0"/>
            <w:vAlign w:val="top"/>
          </w:tcPr>
          <w:p w14:paraId="2EE708A9">
            <w:pPr>
              <w:spacing w:beforeLines="0" w:afterLines="0"/>
              <w:jc w:val="center"/>
              <w:rPr>
                <w:rFonts w:hint="default" w:ascii="Times New Roman" w:hAnsi="Times New Roman" w:cs="Times New Roman"/>
                <w:color w:val="000000"/>
                <w:sz w:val="16"/>
                <w:szCs w:val="16"/>
              </w:rPr>
            </w:pPr>
            <w:r>
              <w:rPr>
                <w:rFonts w:hint="default" w:ascii="Times New Roman" w:hAnsi="Times New Roman" w:cs="Times New Roman"/>
                <w:color w:val="000000"/>
                <w:sz w:val="16"/>
                <w:szCs w:val="16"/>
              </w:rPr>
              <w:t>161</w:t>
            </w:r>
            <w:r>
              <w:rPr>
                <w:rFonts w:hint="eastAsia" w:ascii="Times New Roman" w:hAnsi="Times New Roman" w:cs="Times New Roman"/>
                <w:color w:val="000000"/>
                <w:sz w:val="16"/>
                <w:szCs w:val="16"/>
                <w:lang w:val="en-US" w:eastAsia="zh-CN"/>
              </w:rPr>
              <w:t>(61.9%)</w:t>
            </w:r>
          </w:p>
        </w:tc>
      </w:tr>
      <w:tr w14:paraId="37B7E19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369" w:type="dxa"/>
            <w:tcBorders>
              <w:top w:val="nil"/>
              <w:left w:val="nil"/>
              <w:bottom w:val="nil"/>
              <w:right w:val="nil"/>
            </w:tcBorders>
            <w:noWrap w:val="0"/>
            <w:vAlign w:val="top"/>
          </w:tcPr>
          <w:p w14:paraId="62345934">
            <w:pPr>
              <w:spacing w:beforeLines="0" w:afterLines="0"/>
              <w:jc w:val="center"/>
              <w:rPr>
                <w:rFonts w:hint="default" w:ascii="Times New Roman" w:hAnsi="Times New Roman" w:cs="Times New Roman"/>
                <w:color w:val="000000"/>
                <w:sz w:val="16"/>
                <w:szCs w:val="16"/>
              </w:rPr>
            </w:pPr>
            <w:r>
              <w:rPr>
                <w:rFonts w:hint="eastAsia" w:ascii="Times New Roman" w:hAnsi="Times New Roman" w:cs="Times New Roman"/>
                <w:color w:val="000000"/>
                <w:sz w:val="16"/>
                <w:szCs w:val="16"/>
                <w:lang w:val="en-US" w:eastAsia="zh-CN"/>
              </w:rPr>
              <w:t>12-</w:t>
            </w:r>
            <w:r>
              <w:rPr>
                <w:rFonts w:hint="default" w:ascii="Times New Roman" w:hAnsi="Times New Roman" w:cs="Times New Roman"/>
                <w:color w:val="000000"/>
                <w:sz w:val="16"/>
                <w:szCs w:val="16"/>
              </w:rPr>
              <w:t>16</w:t>
            </w:r>
          </w:p>
        </w:tc>
        <w:tc>
          <w:tcPr>
            <w:tcW w:w="3273" w:type="dxa"/>
            <w:tcBorders>
              <w:top w:val="nil"/>
              <w:left w:val="nil"/>
              <w:bottom w:val="nil"/>
              <w:right w:val="nil"/>
            </w:tcBorders>
            <w:noWrap w:val="0"/>
            <w:vAlign w:val="top"/>
          </w:tcPr>
          <w:p w14:paraId="7C75A6E8">
            <w:pPr>
              <w:spacing w:beforeLines="0" w:afterLines="0"/>
              <w:jc w:val="center"/>
              <w:rPr>
                <w:rFonts w:hint="default" w:ascii="Times New Roman" w:hAnsi="Times New Roman" w:cs="Times New Roman"/>
                <w:color w:val="000000"/>
                <w:sz w:val="16"/>
                <w:szCs w:val="16"/>
              </w:rPr>
            </w:pPr>
            <w:r>
              <w:rPr>
                <w:rFonts w:hint="default" w:ascii="Times New Roman" w:hAnsi="Times New Roman" w:cs="Times New Roman"/>
                <w:color w:val="000000"/>
                <w:sz w:val="16"/>
                <w:szCs w:val="16"/>
              </w:rPr>
              <w:t>16</w:t>
            </w:r>
            <w:r>
              <w:rPr>
                <w:rFonts w:hint="eastAsia" w:ascii="Times New Roman" w:hAnsi="Times New Roman" w:cs="Times New Roman"/>
                <w:color w:val="000000"/>
                <w:sz w:val="16"/>
                <w:szCs w:val="16"/>
                <w:lang w:val="en-US" w:eastAsia="zh-CN"/>
              </w:rPr>
              <w:t>(6.2%)</w:t>
            </w:r>
          </w:p>
        </w:tc>
        <w:tc>
          <w:tcPr>
            <w:tcW w:w="3618" w:type="dxa"/>
            <w:tcBorders>
              <w:top w:val="nil"/>
              <w:left w:val="nil"/>
              <w:bottom w:val="nil"/>
              <w:right w:val="nil"/>
            </w:tcBorders>
            <w:noWrap w:val="0"/>
            <w:vAlign w:val="top"/>
          </w:tcPr>
          <w:p w14:paraId="643A464C">
            <w:pPr>
              <w:spacing w:beforeLines="0" w:afterLines="0"/>
              <w:jc w:val="center"/>
              <w:rPr>
                <w:rFonts w:hint="default" w:ascii="Times New Roman" w:hAnsi="Times New Roman" w:cs="Times New Roman"/>
                <w:color w:val="000000"/>
                <w:sz w:val="16"/>
                <w:szCs w:val="16"/>
              </w:rPr>
            </w:pPr>
            <w:r>
              <w:rPr>
                <w:rFonts w:hint="default" w:ascii="Times New Roman" w:hAnsi="Times New Roman" w:cs="Times New Roman"/>
                <w:color w:val="000000"/>
                <w:sz w:val="16"/>
                <w:szCs w:val="16"/>
              </w:rPr>
              <w:t>177</w:t>
            </w:r>
            <w:r>
              <w:rPr>
                <w:rFonts w:hint="eastAsia" w:ascii="Times New Roman" w:hAnsi="Times New Roman" w:cs="Times New Roman"/>
                <w:color w:val="000000"/>
                <w:sz w:val="16"/>
                <w:szCs w:val="16"/>
                <w:lang w:val="en-US" w:eastAsia="zh-CN"/>
              </w:rPr>
              <w:t>(68.1%)</w:t>
            </w:r>
          </w:p>
        </w:tc>
      </w:tr>
      <w:tr w14:paraId="1483978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369" w:type="dxa"/>
            <w:tcBorders>
              <w:top w:val="nil"/>
              <w:left w:val="nil"/>
              <w:bottom w:val="nil"/>
              <w:right w:val="nil"/>
            </w:tcBorders>
            <w:noWrap w:val="0"/>
            <w:vAlign w:val="top"/>
          </w:tcPr>
          <w:p w14:paraId="6EF2B6D5">
            <w:pPr>
              <w:spacing w:beforeLines="0" w:afterLines="0"/>
              <w:jc w:val="center"/>
              <w:rPr>
                <w:rFonts w:hint="default" w:ascii="Times New Roman" w:hAnsi="Times New Roman" w:cs="Times New Roman"/>
                <w:color w:val="000000"/>
                <w:sz w:val="16"/>
                <w:szCs w:val="16"/>
              </w:rPr>
            </w:pPr>
            <w:r>
              <w:rPr>
                <w:rFonts w:hint="eastAsia" w:ascii="Times New Roman" w:hAnsi="Times New Roman" w:cs="Times New Roman"/>
                <w:color w:val="000000"/>
                <w:sz w:val="16"/>
                <w:szCs w:val="16"/>
                <w:lang w:val="en-US" w:eastAsia="zh-CN"/>
              </w:rPr>
              <w:t>16-</w:t>
            </w:r>
            <w:r>
              <w:rPr>
                <w:rFonts w:hint="default" w:ascii="Times New Roman" w:hAnsi="Times New Roman" w:cs="Times New Roman"/>
                <w:color w:val="000000"/>
                <w:sz w:val="16"/>
                <w:szCs w:val="16"/>
              </w:rPr>
              <w:t>20</w:t>
            </w:r>
          </w:p>
        </w:tc>
        <w:tc>
          <w:tcPr>
            <w:tcW w:w="3273" w:type="dxa"/>
            <w:tcBorders>
              <w:top w:val="nil"/>
              <w:left w:val="nil"/>
              <w:bottom w:val="nil"/>
              <w:right w:val="nil"/>
            </w:tcBorders>
            <w:noWrap w:val="0"/>
            <w:vAlign w:val="top"/>
          </w:tcPr>
          <w:p w14:paraId="1AF12627">
            <w:pPr>
              <w:spacing w:beforeLines="0" w:afterLines="0"/>
              <w:jc w:val="center"/>
              <w:rPr>
                <w:rFonts w:hint="default" w:ascii="Times New Roman" w:hAnsi="Times New Roman" w:cs="Times New Roman"/>
                <w:color w:val="000000"/>
                <w:sz w:val="16"/>
                <w:szCs w:val="16"/>
              </w:rPr>
            </w:pPr>
            <w:r>
              <w:rPr>
                <w:rFonts w:hint="default" w:ascii="Times New Roman" w:hAnsi="Times New Roman" w:cs="Times New Roman"/>
                <w:color w:val="000000"/>
                <w:sz w:val="16"/>
                <w:szCs w:val="16"/>
              </w:rPr>
              <w:t>10</w:t>
            </w:r>
            <w:r>
              <w:rPr>
                <w:rFonts w:hint="eastAsia" w:ascii="Times New Roman" w:hAnsi="Times New Roman" w:cs="Times New Roman"/>
                <w:color w:val="000000"/>
                <w:sz w:val="16"/>
                <w:szCs w:val="16"/>
                <w:lang w:val="en-US" w:eastAsia="zh-CN"/>
              </w:rPr>
              <w:t>(3.8%)</w:t>
            </w:r>
          </w:p>
        </w:tc>
        <w:tc>
          <w:tcPr>
            <w:tcW w:w="3618" w:type="dxa"/>
            <w:tcBorders>
              <w:top w:val="nil"/>
              <w:left w:val="nil"/>
              <w:bottom w:val="nil"/>
              <w:right w:val="nil"/>
            </w:tcBorders>
            <w:noWrap w:val="0"/>
            <w:vAlign w:val="top"/>
          </w:tcPr>
          <w:p w14:paraId="15BB34FA">
            <w:pPr>
              <w:spacing w:beforeLines="0" w:afterLines="0"/>
              <w:jc w:val="center"/>
              <w:rPr>
                <w:rFonts w:hint="default" w:ascii="Times New Roman" w:hAnsi="Times New Roman" w:cs="Times New Roman"/>
                <w:color w:val="000000"/>
                <w:sz w:val="16"/>
                <w:szCs w:val="16"/>
              </w:rPr>
            </w:pPr>
            <w:r>
              <w:rPr>
                <w:rFonts w:hint="default" w:ascii="Times New Roman" w:hAnsi="Times New Roman" w:cs="Times New Roman"/>
                <w:color w:val="000000"/>
                <w:sz w:val="16"/>
                <w:szCs w:val="16"/>
              </w:rPr>
              <w:t>187</w:t>
            </w:r>
            <w:r>
              <w:rPr>
                <w:rFonts w:hint="eastAsia" w:ascii="Times New Roman" w:hAnsi="Times New Roman" w:cs="Times New Roman"/>
                <w:color w:val="000000"/>
                <w:sz w:val="16"/>
                <w:szCs w:val="16"/>
                <w:lang w:val="en-US" w:eastAsia="zh-CN"/>
              </w:rPr>
              <w:t>(71.9%)</w:t>
            </w:r>
          </w:p>
        </w:tc>
      </w:tr>
      <w:tr w14:paraId="229686F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369" w:type="dxa"/>
            <w:tcBorders>
              <w:top w:val="nil"/>
              <w:left w:val="nil"/>
              <w:bottom w:val="nil"/>
              <w:right w:val="nil"/>
            </w:tcBorders>
            <w:noWrap w:val="0"/>
            <w:vAlign w:val="top"/>
          </w:tcPr>
          <w:p w14:paraId="6DC79BA0">
            <w:pPr>
              <w:spacing w:beforeLines="0" w:afterLines="0"/>
              <w:jc w:val="center"/>
              <w:rPr>
                <w:rFonts w:hint="default" w:ascii="Times New Roman" w:hAnsi="Times New Roman" w:cs="Times New Roman"/>
                <w:color w:val="000000"/>
                <w:sz w:val="16"/>
                <w:szCs w:val="16"/>
              </w:rPr>
            </w:pPr>
            <w:r>
              <w:rPr>
                <w:rFonts w:hint="eastAsia" w:ascii="Times New Roman" w:hAnsi="Times New Roman" w:cs="Times New Roman"/>
                <w:color w:val="000000"/>
                <w:sz w:val="16"/>
                <w:szCs w:val="16"/>
                <w:lang w:val="en-US" w:eastAsia="zh-CN"/>
              </w:rPr>
              <w:t>20-</w:t>
            </w:r>
            <w:r>
              <w:rPr>
                <w:rFonts w:hint="default" w:ascii="Times New Roman" w:hAnsi="Times New Roman" w:cs="Times New Roman"/>
                <w:color w:val="000000"/>
                <w:sz w:val="16"/>
                <w:szCs w:val="16"/>
              </w:rPr>
              <w:t>24</w:t>
            </w:r>
          </w:p>
        </w:tc>
        <w:tc>
          <w:tcPr>
            <w:tcW w:w="3273" w:type="dxa"/>
            <w:tcBorders>
              <w:top w:val="nil"/>
              <w:left w:val="nil"/>
              <w:bottom w:val="nil"/>
              <w:right w:val="nil"/>
            </w:tcBorders>
            <w:noWrap w:val="0"/>
            <w:vAlign w:val="top"/>
          </w:tcPr>
          <w:p w14:paraId="6A948BA4">
            <w:pPr>
              <w:spacing w:beforeLines="0" w:afterLines="0"/>
              <w:jc w:val="center"/>
              <w:rPr>
                <w:rFonts w:hint="default" w:ascii="Times New Roman" w:hAnsi="Times New Roman" w:cs="Times New Roman"/>
                <w:color w:val="000000"/>
                <w:sz w:val="16"/>
                <w:szCs w:val="16"/>
              </w:rPr>
            </w:pPr>
            <w:r>
              <w:rPr>
                <w:rFonts w:hint="default" w:ascii="Times New Roman" w:hAnsi="Times New Roman" w:cs="Times New Roman"/>
                <w:color w:val="000000"/>
                <w:sz w:val="16"/>
                <w:szCs w:val="16"/>
              </w:rPr>
              <w:t>4</w:t>
            </w:r>
            <w:r>
              <w:rPr>
                <w:rFonts w:hint="eastAsia" w:ascii="Times New Roman" w:hAnsi="Times New Roman" w:cs="Times New Roman"/>
                <w:color w:val="000000"/>
                <w:sz w:val="16"/>
                <w:szCs w:val="16"/>
                <w:lang w:val="en-US" w:eastAsia="zh-CN"/>
              </w:rPr>
              <w:t>(1.5%)</w:t>
            </w:r>
          </w:p>
        </w:tc>
        <w:tc>
          <w:tcPr>
            <w:tcW w:w="3618" w:type="dxa"/>
            <w:tcBorders>
              <w:top w:val="nil"/>
              <w:left w:val="nil"/>
              <w:bottom w:val="nil"/>
              <w:right w:val="nil"/>
            </w:tcBorders>
            <w:noWrap w:val="0"/>
            <w:vAlign w:val="top"/>
          </w:tcPr>
          <w:p w14:paraId="35F92571">
            <w:pPr>
              <w:spacing w:beforeLines="0" w:afterLines="0"/>
              <w:jc w:val="center"/>
              <w:rPr>
                <w:rFonts w:hint="default" w:ascii="Times New Roman" w:hAnsi="Times New Roman" w:cs="Times New Roman"/>
                <w:color w:val="000000"/>
                <w:sz w:val="16"/>
                <w:szCs w:val="16"/>
              </w:rPr>
            </w:pPr>
            <w:r>
              <w:rPr>
                <w:rFonts w:hint="default" w:ascii="Times New Roman" w:hAnsi="Times New Roman" w:cs="Times New Roman"/>
                <w:color w:val="000000"/>
                <w:sz w:val="16"/>
                <w:szCs w:val="16"/>
              </w:rPr>
              <w:t>191</w:t>
            </w:r>
            <w:r>
              <w:rPr>
                <w:rFonts w:hint="eastAsia" w:ascii="Times New Roman" w:hAnsi="Times New Roman" w:cs="Times New Roman"/>
                <w:color w:val="000000"/>
                <w:sz w:val="16"/>
                <w:szCs w:val="16"/>
                <w:lang w:val="en-US" w:eastAsia="zh-CN"/>
              </w:rPr>
              <w:t>(73.5%)</w:t>
            </w:r>
          </w:p>
        </w:tc>
      </w:tr>
      <w:tr w14:paraId="73553E2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369" w:type="dxa"/>
            <w:tcBorders>
              <w:top w:val="nil"/>
              <w:left w:val="nil"/>
              <w:bottom w:val="nil"/>
              <w:right w:val="nil"/>
            </w:tcBorders>
            <w:noWrap w:val="0"/>
            <w:vAlign w:val="top"/>
          </w:tcPr>
          <w:p w14:paraId="2B85A139">
            <w:pPr>
              <w:spacing w:beforeLines="0" w:afterLines="0"/>
              <w:jc w:val="center"/>
              <w:rPr>
                <w:rFonts w:hint="default" w:ascii="Times New Roman" w:hAnsi="Times New Roman" w:cs="Times New Roman"/>
                <w:color w:val="000000"/>
                <w:sz w:val="16"/>
                <w:szCs w:val="16"/>
              </w:rPr>
            </w:pPr>
            <w:r>
              <w:rPr>
                <w:rFonts w:hint="eastAsia" w:ascii="Times New Roman" w:hAnsi="Times New Roman" w:cs="Times New Roman"/>
                <w:color w:val="000000"/>
                <w:sz w:val="16"/>
                <w:szCs w:val="16"/>
                <w:lang w:val="en-US" w:eastAsia="zh-CN"/>
              </w:rPr>
              <w:t>24-</w:t>
            </w:r>
            <w:r>
              <w:rPr>
                <w:rFonts w:hint="default" w:ascii="Times New Roman" w:hAnsi="Times New Roman" w:cs="Times New Roman"/>
                <w:color w:val="000000"/>
                <w:sz w:val="16"/>
                <w:szCs w:val="16"/>
              </w:rPr>
              <w:t>28</w:t>
            </w:r>
          </w:p>
        </w:tc>
        <w:tc>
          <w:tcPr>
            <w:tcW w:w="3273" w:type="dxa"/>
            <w:tcBorders>
              <w:top w:val="nil"/>
              <w:left w:val="nil"/>
              <w:bottom w:val="nil"/>
              <w:right w:val="nil"/>
            </w:tcBorders>
            <w:noWrap w:val="0"/>
            <w:vAlign w:val="top"/>
          </w:tcPr>
          <w:p w14:paraId="3219994D">
            <w:pPr>
              <w:spacing w:beforeLines="0" w:afterLines="0"/>
              <w:jc w:val="center"/>
              <w:rPr>
                <w:rFonts w:hint="default" w:ascii="Times New Roman" w:hAnsi="Times New Roman" w:cs="Times New Roman"/>
                <w:color w:val="000000"/>
                <w:sz w:val="16"/>
                <w:szCs w:val="16"/>
              </w:rPr>
            </w:pPr>
            <w:r>
              <w:rPr>
                <w:rFonts w:hint="default" w:ascii="Times New Roman" w:hAnsi="Times New Roman" w:cs="Times New Roman"/>
                <w:color w:val="000000"/>
                <w:sz w:val="16"/>
                <w:szCs w:val="16"/>
              </w:rPr>
              <w:t>3</w:t>
            </w:r>
            <w:r>
              <w:rPr>
                <w:rFonts w:hint="eastAsia" w:ascii="Times New Roman" w:hAnsi="Times New Roman" w:cs="Times New Roman"/>
                <w:color w:val="000000"/>
                <w:sz w:val="16"/>
                <w:szCs w:val="16"/>
                <w:lang w:val="en-US" w:eastAsia="zh-CN"/>
              </w:rPr>
              <w:t>(1.2%)</w:t>
            </w:r>
          </w:p>
        </w:tc>
        <w:tc>
          <w:tcPr>
            <w:tcW w:w="3618" w:type="dxa"/>
            <w:tcBorders>
              <w:top w:val="nil"/>
              <w:left w:val="nil"/>
              <w:bottom w:val="nil"/>
              <w:right w:val="nil"/>
            </w:tcBorders>
            <w:noWrap w:val="0"/>
            <w:vAlign w:val="top"/>
          </w:tcPr>
          <w:p w14:paraId="730E5676">
            <w:pPr>
              <w:spacing w:beforeLines="0" w:afterLines="0"/>
              <w:jc w:val="center"/>
              <w:rPr>
                <w:rFonts w:hint="default" w:ascii="Times New Roman" w:hAnsi="Times New Roman" w:cs="Times New Roman"/>
                <w:color w:val="000000"/>
                <w:sz w:val="16"/>
                <w:szCs w:val="16"/>
              </w:rPr>
            </w:pPr>
            <w:r>
              <w:rPr>
                <w:rFonts w:hint="default" w:ascii="Times New Roman" w:hAnsi="Times New Roman" w:cs="Times New Roman"/>
                <w:color w:val="000000"/>
                <w:sz w:val="16"/>
                <w:szCs w:val="16"/>
              </w:rPr>
              <w:t>194</w:t>
            </w:r>
            <w:r>
              <w:rPr>
                <w:rFonts w:hint="eastAsia" w:ascii="Times New Roman" w:hAnsi="Times New Roman" w:cs="Times New Roman"/>
                <w:color w:val="000000"/>
                <w:sz w:val="16"/>
                <w:szCs w:val="16"/>
                <w:lang w:val="en-US" w:eastAsia="zh-CN"/>
              </w:rPr>
              <w:t>(74.6%)</w:t>
            </w:r>
          </w:p>
        </w:tc>
      </w:tr>
      <w:tr w14:paraId="6AA2E7D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369" w:type="dxa"/>
            <w:tcBorders>
              <w:top w:val="nil"/>
              <w:left w:val="nil"/>
              <w:bottom w:val="nil"/>
              <w:right w:val="nil"/>
            </w:tcBorders>
            <w:noWrap w:val="0"/>
            <w:vAlign w:val="top"/>
          </w:tcPr>
          <w:p w14:paraId="549028DA">
            <w:pPr>
              <w:spacing w:beforeLines="0" w:afterLines="0"/>
              <w:jc w:val="center"/>
              <w:rPr>
                <w:rFonts w:hint="default" w:ascii="Times New Roman" w:hAnsi="Times New Roman" w:cs="Times New Roman"/>
                <w:color w:val="000000"/>
                <w:sz w:val="16"/>
                <w:szCs w:val="16"/>
              </w:rPr>
            </w:pPr>
            <w:r>
              <w:rPr>
                <w:rFonts w:hint="eastAsia" w:ascii="Times New Roman" w:hAnsi="Times New Roman" w:cs="Times New Roman"/>
                <w:color w:val="000000"/>
                <w:sz w:val="16"/>
                <w:szCs w:val="16"/>
                <w:lang w:val="en-US" w:eastAsia="zh-CN"/>
              </w:rPr>
              <w:t>28-</w:t>
            </w:r>
            <w:r>
              <w:rPr>
                <w:rFonts w:hint="default" w:ascii="Times New Roman" w:hAnsi="Times New Roman" w:cs="Times New Roman"/>
                <w:color w:val="000000"/>
                <w:sz w:val="16"/>
                <w:szCs w:val="16"/>
              </w:rPr>
              <w:t>32</w:t>
            </w:r>
          </w:p>
        </w:tc>
        <w:tc>
          <w:tcPr>
            <w:tcW w:w="3273" w:type="dxa"/>
            <w:tcBorders>
              <w:top w:val="nil"/>
              <w:left w:val="nil"/>
              <w:bottom w:val="nil"/>
              <w:right w:val="nil"/>
            </w:tcBorders>
            <w:noWrap w:val="0"/>
            <w:vAlign w:val="top"/>
          </w:tcPr>
          <w:p w14:paraId="2E96BD51">
            <w:pPr>
              <w:spacing w:beforeLines="0" w:afterLines="0"/>
              <w:jc w:val="center"/>
              <w:rPr>
                <w:rFonts w:hint="default" w:ascii="Times New Roman" w:hAnsi="Times New Roman" w:cs="Times New Roman"/>
                <w:color w:val="000000"/>
                <w:sz w:val="16"/>
                <w:szCs w:val="16"/>
              </w:rPr>
            </w:pPr>
            <w:r>
              <w:rPr>
                <w:rFonts w:hint="default" w:ascii="Times New Roman" w:hAnsi="Times New Roman" w:cs="Times New Roman"/>
                <w:color w:val="000000"/>
                <w:sz w:val="16"/>
                <w:szCs w:val="16"/>
              </w:rPr>
              <w:t>2</w:t>
            </w:r>
            <w:r>
              <w:rPr>
                <w:rFonts w:hint="eastAsia" w:ascii="Times New Roman" w:hAnsi="Times New Roman" w:cs="Times New Roman"/>
                <w:color w:val="000000"/>
                <w:sz w:val="16"/>
                <w:szCs w:val="16"/>
                <w:lang w:val="en-US" w:eastAsia="zh-CN"/>
              </w:rPr>
              <w:t>(0.8%)</w:t>
            </w:r>
          </w:p>
        </w:tc>
        <w:tc>
          <w:tcPr>
            <w:tcW w:w="3618" w:type="dxa"/>
            <w:tcBorders>
              <w:top w:val="nil"/>
              <w:left w:val="nil"/>
              <w:bottom w:val="nil"/>
              <w:right w:val="nil"/>
            </w:tcBorders>
            <w:noWrap w:val="0"/>
            <w:vAlign w:val="top"/>
          </w:tcPr>
          <w:p w14:paraId="5ADF0F32">
            <w:pPr>
              <w:spacing w:beforeLines="0" w:afterLines="0"/>
              <w:jc w:val="center"/>
              <w:rPr>
                <w:rFonts w:hint="default" w:ascii="Times New Roman" w:hAnsi="Times New Roman" w:cs="Times New Roman"/>
                <w:color w:val="000000"/>
                <w:sz w:val="16"/>
                <w:szCs w:val="16"/>
              </w:rPr>
            </w:pPr>
            <w:r>
              <w:rPr>
                <w:rFonts w:hint="default" w:ascii="Times New Roman" w:hAnsi="Times New Roman" w:cs="Times New Roman"/>
                <w:color w:val="000000"/>
                <w:sz w:val="16"/>
                <w:szCs w:val="16"/>
              </w:rPr>
              <w:t>196</w:t>
            </w:r>
            <w:r>
              <w:rPr>
                <w:rFonts w:hint="eastAsia" w:ascii="Times New Roman" w:hAnsi="Times New Roman" w:cs="Times New Roman"/>
                <w:color w:val="000000"/>
                <w:sz w:val="16"/>
                <w:szCs w:val="16"/>
                <w:lang w:val="en-US" w:eastAsia="zh-CN"/>
              </w:rPr>
              <w:t>(75.4%)</w:t>
            </w:r>
          </w:p>
        </w:tc>
      </w:tr>
      <w:tr w14:paraId="13BAD30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369" w:type="dxa"/>
            <w:tcBorders>
              <w:top w:val="nil"/>
              <w:left w:val="nil"/>
              <w:bottom w:val="nil"/>
              <w:right w:val="nil"/>
            </w:tcBorders>
            <w:noWrap w:val="0"/>
            <w:vAlign w:val="top"/>
          </w:tcPr>
          <w:p w14:paraId="685F75E0">
            <w:pPr>
              <w:spacing w:beforeLines="0" w:afterLines="0"/>
              <w:jc w:val="center"/>
              <w:rPr>
                <w:rFonts w:hint="default" w:ascii="Times New Roman" w:hAnsi="Times New Roman" w:cs="Times New Roman"/>
                <w:color w:val="000000"/>
                <w:sz w:val="16"/>
                <w:szCs w:val="16"/>
              </w:rPr>
            </w:pPr>
            <w:r>
              <w:rPr>
                <w:rFonts w:hint="eastAsia" w:ascii="Times New Roman" w:hAnsi="Times New Roman" w:cs="Times New Roman"/>
                <w:color w:val="000000"/>
                <w:sz w:val="16"/>
                <w:szCs w:val="16"/>
                <w:lang w:val="en-US" w:eastAsia="zh-CN"/>
              </w:rPr>
              <w:t>32-</w:t>
            </w:r>
            <w:r>
              <w:rPr>
                <w:rFonts w:hint="default" w:ascii="Times New Roman" w:hAnsi="Times New Roman" w:cs="Times New Roman"/>
                <w:color w:val="000000"/>
                <w:sz w:val="16"/>
                <w:szCs w:val="16"/>
              </w:rPr>
              <w:t>36</w:t>
            </w:r>
          </w:p>
        </w:tc>
        <w:tc>
          <w:tcPr>
            <w:tcW w:w="3273" w:type="dxa"/>
            <w:tcBorders>
              <w:top w:val="nil"/>
              <w:left w:val="nil"/>
              <w:bottom w:val="nil"/>
              <w:right w:val="nil"/>
            </w:tcBorders>
            <w:noWrap w:val="0"/>
            <w:vAlign w:val="top"/>
          </w:tcPr>
          <w:p w14:paraId="4B8E7D87">
            <w:pPr>
              <w:spacing w:beforeLines="0" w:afterLines="0"/>
              <w:jc w:val="center"/>
              <w:rPr>
                <w:rFonts w:hint="default" w:ascii="Times New Roman" w:hAnsi="Times New Roman" w:cs="Times New Roman"/>
                <w:color w:val="000000"/>
                <w:sz w:val="16"/>
                <w:szCs w:val="16"/>
              </w:rPr>
            </w:pPr>
            <w:r>
              <w:rPr>
                <w:rFonts w:hint="default" w:ascii="Times New Roman" w:hAnsi="Times New Roman" w:cs="Times New Roman"/>
                <w:color w:val="000000"/>
                <w:sz w:val="16"/>
                <w:szCs w:val="16"/>
              </w:rPr>
              <w:t>3</w:t>
            </w:r>
            <w:r>
              <w:rPr>
                <w:rFonts w:hint="eastAsia" w:ascii="Times New Roman" w:hAnsi="Times New Roman" w:cs="Times New Roman"/>
                <w:color w:val="000000"/>
                <w:sz w:val="16"/>
                <w:szCs w:val="16"/>
                <w:lang w:val="en-US" w:eastAsia="zh-CN"/>
              </w:rPr>
              <w:t>(1.2%)</w:t>
            </w:r>
          </w:p>
        </w:tc>
        <w:tc>
          <w:tcPr>
            <w:tcW w:w="3618" w:type="dxa"/>
            <w:tcBorders>
              <w:top w:val="nil"/>
              <w:left w:val="nil"/>
              <w:bottom w:val="nil"/>
              <w:right w:val="nil"/>
            </w:tcBorders>
            <w:noWrap w:val="0"/>
            <w:vAlign w:val="top"/>
          </w:tcPr>
          <w:p w14:paraId="39A35AC5">
            <w:pPr>
              <w:spacing w:beforeLines="0" w:afterLines="0"/>
              <w:jc w:val="center"/>
              <w:rPr>
                <w:rFonts w:hint="default" w:ascii="Times New Roman" w:hAnsi="Times New Roman" w:cs="Times New Roman"/>
                <w:color w:val="000000"/>
                <w:sz w:val="16"/>
                <w:szCs w:val="16"/>
              </w:rPr>
            </w:pPr>
            <w:r>
              <w:rPr>
                <w:rFonts w:hint="default" w:ascii="Times New Roman" w:hAnsi="Times New Roman" w:cs="Times New Roman"/>
                <w:color w:val="000000"/>
                <w:sz w:val="16"/>
                <w:szCs w:val="16"/>
              </w:rPr>
              <w:t>199</w:t>
            </w:r>
            <w:r>
              <w:rPr>
                <w:rFonts w:hint="eastAsia" w:ascii="Times New Roman" w:hAnsi="Times New Roman" w:cs="Times New Roman"/>
                <w:color w:val="000000"/>
                <w:sz w:val="16"/>
                <w:szCs w:val="16"/>
                <w:lang w:val="en-US" w:eastAsia="zh-CN"/>
              </w:rPr>
              <w:t>(76.5%)</w:t>
            </w:r>
          </w:p>
        </w:tc>
      </w:tr>
      <w:tr w14:paraId="6D9EE44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369" w:type="dxa"/>
            <w:tcBorders>
              <w:top w:val="nil"/>
              <w:left w:val="nil"/>
              <w:bottom w:val="nil"/>
              <w:right w:val="nil"/>
            </w:tcBorders>
            <w:noWrap w:val="0"/>
            <w:vAlign w:val="top"/>
          </w:tcPr>
          <w:p w14:paraId="476380F6">
            <w:pPr>
              <w:spacing w:beforeLines="0" w:afterLines="0"/>
              <w:jc w:val="center"/>
              <w:rPr>
                <w:rFonts w:hint="default" w:ascii="Times New Roman" w:hAnsi="Times New Roman" w:cs="Times New Roman"/>
                <w:color w:val="000000"/>
                <w:sz w:val="16"/>
                <w:szCs w:val="16"/>
              </w:rPr>
            </w:pPr>
            <w:r>
              <w:rPr>
                <w:rFonts w:hint="eastAsia" w:ascii="Times New Roman" w:hAnsi="Times New Roman" w:cs="Times New Roman"/>
                <w:color w:val="000000"/>
                <w:sz w:val="16"/>
                <w:szCs w:val="16"/>
                <w:lang w:val="en-US" w:eastAsia="zh-CN"/>
              </w:rPr>
              <w:t>36-</w:t>
            </w:r>
            <w:r>
              <w:rPr>
                <w:rFonts w:hint="default" w:ascii="Times New Roman" w:hAnsi="Times New Roman" w:cs="Times New Roman"/>
                <w:color w:val="000000"/>
                <w:sz w:val="16"/>
                <w:szCs w:val="16"/>
              </w:rPr>
              <w:t>40</w:t>
            </w:r>
          </w:p>
        </w:tc>
        <w:tc>
          <w:tcPr>
            <w:tcW w:w="3273" w:type="dxa"/>
            <w:tcBorders>
              <w:top w:val="nil"/>
              <w:left w:val="nil"/>
              <w:bottom w:val="nil"/>
              <w:right w:val="nil"/>
            </w:tcBorders>
            <w:noWrap w:val="0"/>
            <w:vAlign w:val="top"/>
          </w:tcPr>
          <w:p w14:paraId="3AEDE3AA">
            <w:pPr>
              <w:spacing w:beforeLines="0" w:afterLines="0"/>
              <w:jc w:val="center"/>
              <w:rPr>
                <w:rFonts w:hint="default" w:ascii="Times New Roman" w:hAnsi="Times New Roman" w:cs="Times New Roman"/>
                <w:color w:val="000000"/>
                <w:sz w:val="16"/>
                <w:szCs w:val="16"/>
              </w:rPr>
            </w:pPr>
            <w:r>
              <w:rPr>
                <w:rFonts w:hint="default" w:ascii="Times New Roman" w:hAnsi="Times New Roman" w:cs="Times New Roman"/>
                <w:color w:val="000000"/>
                <w:sz w:val="16"/>
                <w:szCs w:val="16"/>
              </w:rPr>
              <w:t>4</w:t>
            </w:r>
            <w:r>
              <w:rPr>
                <w:rFonts w:hint="eastAsia" w:ascii="Times New Roman" w:hAnsi="Times New Roman" w:cs="Times New Roman"/>
                <w:color w:val="000000"/>
                <w:sz w:val="16"/>
                <w:szCs w:val="16"/>
                <w:lang w:val="en-US" w:eastAsia="zh-CN"/>
              </w:rPr>
              <w:t>(1.5%)</w:t>
            </w:r>
          </w:p>
        </w:tc>
        <w:tc>
          <w:tcPr>
            <w:tcW w:w="3618" w:type="dxa"/>
            <w:tcBorders>
              <w:top w:val="nil"/>
              <w:left w:val="nil"/>
              <w:bottom w:val="nil"/>
              <w:right w:val="nil"/>
            </w:tcBorders>
            <w:noWrap w:val="0"/>
            <w:vAlign w:val="top"/>
          </w:tcPr>
          <w:p w14:paraId="7BA6E141">
            <w:pPr>
              <w:spacing w:beforeLines="0" w:afterLines="0"/>
              <w:jc w:val="center"/>
              <w:rPr>
                <w:rFonts w:hint="default" w:ascii="Times New Roman" w:hAnsi="Times New Roman" w:cs="Times New Roman"/>
                <w:color w:val="000000"/>
                <w:sz w:val="16"/>
                <w:szCs w:val="16"/>
              </w:rPr>
            </w:pPr>
            <w:r>
              <w:rPr>
                <w:rFonts w:hint="default" w:ascii="Times New Roman" w:hAnsi="Times New Roman" w:cs="Times New Roman"/>
                <w:color w:val="000000"/>
                <w:sz w:val="16"/>
                <w:szCs w:val="16"/>
              </w:rPr>
              <w:t>203</w:t>
            </w:r>
            <w:r>
              <w:rPr>
                <w:rFonts w:hint="eastAsia" w:ascii="Times New Roman" w:hAnsi="Times New Roman" w:cs="Times New Roman"/>
                <w:color w:val="000000"/>
                <w:sz w:val="16"/>
                <w:szCs w:val="16"/>
                <w:lang w:val="en-US" w:eastAsia="zh-CN"/>
              </w:rPr>
              <w:t>(78.1%)</w:t>
            </w:r>
          </w:p>
        </w:tc>
      </w:tr>
      <w:tr w14:paraId="24F2C89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369" w:type="dxa"/>
            <w:tcBorders>
              <w:top w:val="nil"/>
              <w:left w:val="nil"/>
              <w:bottom w:val="nil"/>
              <w:right w:val="nil"/>
            </w:tcBorders>
            <w:noWrap w:val="0"/>
            <w:vAlign w:val="top"/>
          </w:tcPr>
          <w:p w14:paraId="770FC507">
            <w:pPr>
              <w:spacing w:beforeLines="0" w:afterLines="0"/>
              <w:jc w:val="center"/>
              <w:rPr>
                <w:rFonts w:hint="default" w:ascii="Times New Roman" w:hAnsi="Times New Roman" w:cs="Times New Roman"/>
                <w:color w:val="000000"/>
                <w:sz w:val="16"/>
                <w:szCs w:val="16"/>
              </w:rPr>
            </w:pPr>
            <w:r>
              <w:rPr>
                <w:rFonts w:hint="eastAsia" w:ascii="Times New Roman" w:hAnsi="Times New Roman" w:cs="Times New Roman"/>
                <w:color w:val="000000"/>
                <w:sz w:val="16"/>
                <w:szCs w:val="16"/>
                <w:lang w:val="en-US" w:eastAsia="zh-CN"/>
              </w:rPr>
              <w:t>40-</w:t>
            </w:r>
            <w:r>
              <w:rPr>
                <w:rFonts w:hint="default" w:ascii="Times New Roman" w:hAnsi="Times New Roman" w:cs="Times New Roman"/>
                <w:color w:val="000000"/>
                <w:sz w:val="16"/>
                <w:szCs w:val="16"/>
              </w:rPr>
              <w:t>44</w:t>
            </w:r>
          </w:p>
        </w:tc>
        <w:tc>
          <w:tcPr>
            <w:tcW w:w="3273" w:type="dxa"/>
            <w:tcBorders>
              <w:top w:val="nil"/>
              <w:left w:val="nil"/>
              <w:bottom w:val="nil"/>
              <w:right w:val="nil"/>
            </w:tcBorders>
            <w:noWrap w:val="0"/>
            <w:vAlign w:val="top"/>
          </w:tcPr>
          <w:p w14:paraId="728505D1">
            <w:pPr>
              <w:spacing w:beforeLines="0" w:afterLines="0"/>
              <w:jc w:val="center"/>
              <w:rPr>
                <w:rFonts w:hint="default" w:ascii="Times New Roman" w:hAnsi="Times New Roman" w:cs="Times New Roman"/>
                <w:color w:val="000000"/>
                <w:sz w:val="16"/>
                <w:szCs w:val="16"/>
              </w:rPr>
            </w:pPr>
            <w:r>
              <w:rPr>
                <w:rFonts w:hint="default" w:ascii="Times New Roman" w:hAnsi="Times New Roman" w:cs="Times New Roman"/>
                <w:color w:val="000000"/>
                <w:sz w:val="16"/>
                <w:szCs w:val="16"/>
              </w:rPr>
              <w:t>1</w:t>
            </w:r>
            <w:r>
              <w:rPr>
                <w:rFonts w:hint="eastAsia" w:ascii="Times New Roman" w:hAnsi="Times New Roman" w:cs="Times New Roman"/>
                <w:color w:val="000000"/>
                <w:sz w:val="16"/>
                <w:szCs w:val="16"/>
                <w:lang w:val="en-US" w:eastAsia="zh-CN"/>
              </w:rPr>
              <w:t>(0.4%)</w:t>
            </w:r>
          </w:p>
        </w:tc>
        <w:tc>
          <w:tcPr>
            <w:tcW w:w="3618" w:type="dxa"/>
            <w:tcBorders>
              <w:top w:val="nil"/>
              <w:left w:val="nil"/>
              <w:bottom w:val="nil"/>
              <w:right w:val="nil"/>
            </w:tcBorders>
            <w:noWrap w:val="0"/>
            <w:vAlign w:val="top"/>
          </w:tcPr>
          <w:p w14:paraId="1134B468">
            <w:pPr>
              <w:spacing w:beforeLines="0" w:afterLines="0"/>
              <w:jc w:val="center"/>
              <w:rPr>
                <w:rFonts w:hint="default" w:ascii="Times New Roman" w:hAnsi="Times New Roman" w:cs="Times New Roman"/>
                <w:color w:val="000000"/>
                <w:sz w:val="16"/>
                <w:szCs w:val="16"/>
              </w:rPr>
            </w:pPr>
            <w:r>
              <w:rPr>
                <w:rFonts w:hint="default" w:ascii="Times New Roman" w:hAnsi="Times New Roman" w:cs="Times New Roman"/>
                <w:color w:val="000000"/>
                <w:sz w:val="16"/>
                <w:szCs w:val="16"/>
              </w:rPr>
              <w:t>204</w:t>
            </w:r>
            <w:r>
              <w:rPr>
                <w:rFonts w:hint="eastAsia" w:ascii="Times New Roman" w:hAnsi="Times New Roman" w:cs="Times New Roman"/>
                <w:color w:val="000000"/>
                <w:sz w:val="16"/>
                <w:szCs w:val="16"/>
                <w:lang w:val="en-US" w:eastAsia="zh-CN"/>
              </w:rPr>
              <w:t>(78.5%)</w:t>
            </w:r>
          </w:p>
        </w:tc>
      </w:tr>
      <w:tr w14:paraId="5ECE4F8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369" w:type="dxa"/>
            <w:tcBorders>
              <w:top w:val="nil"/>
              <w:left w:val="nil"/>
              <w:bottom w:val="nil"/>
              <w:right w:val="nil"/>
            </w:tcBorders>
            <w:noWrap w:val="0"/>
            <w:vAlign w:val="top"/>
          </w:tcPr>
          <w:p w14:paraId="16568D92">
            <w:pPr>
              <w:spacing w:beforeLines="0" w:afterLines="0"/>
              <w:jc w:val="center"/>
              <w:rPr>
                <w:rFonts w:hint="default" w:ascii="Times New Roman" w:hAnsi="Times New Roman" w:cs="Times New Roman"/>
                <w:color w:val="000000"/>
                <w:sz w:val="16"/>
                <w:szCs w:val="16"/>
              </w:rPr>
            </w:pPr>
            <w:r>
              <w:rPr>
                <w:rFonts w:hint="eastAsia" w:ascii="Times New Roman" w:hAnsi="Times New Roman" w:cs="Times New Roman"/>
                <w:color w:val="000000"/>
                <w:sz w:val="16"/>
                <w:szCs w:val="16"/>
                <w:lang w:val="en-US" w:eastAsia="zh-CN"/>
              </w:rPr>
              <w:t>44-</w:t>
            </w:r>
            <w:r>
              <w:rPr>
                <w:rFonts w:hint="default" w:ascii="Times New Roman" w:hAnsi="Times New Roman" w:cs="Times New Roman"/>
                <w:color w:val="000000"/>
                <w:sz w:val="16"/>
                <w:szCs w:val="16"/>
              </w:rPr>
              <w:t>48</w:t>
            </w:r>
          </w:p>
        </w:tc>
        <w:tc>
          <w:tcPr>
            <w:tcW w:w="3273" w:type="dxa"/>
            <w:tcBorders>
              <w:top w:val="nil"/>
              <w:left w:val="nil"/>
              <w:bottom w:val="nil"/>
              <w:right w:val="nil"/>
            </w:tcBorders>
            <w:noWrap w:val="0"/>
            <w:vAlign w:val="top"/>
          </w:tcPr>
          <w:p w14:paraId="2318BABF">
            <w:pPr>
              <w:spacing w:beforeLines="0" w:afterLines="0"/>
              <w:jc w:val="center"/>
              <w:rPr>
                <w:rFonts w:hint="default" w:ascii="Times New Roman" w:hAnsi="Times New Roman" w:cs="Times New Roman"/>
                <w:color w:val="000000"/>
                <w:sz w:val="16"/>
                <w:szCs w:val="16"/>
              </w:rPr>
            </w:pPr>
            <w:r>
              <w:rPr>
                <w:rFonts w:hint="default" w:ascii="Times New Roman" w:hAnsi="Times New Roman" w:cs="Times New Roman"/>
                <w:color w:val="000000"/>
                <w:sz w:val="16"/>
                <w:szCs w:val="16"/>
              </w:rPr>
              <w:t>6</w:t>
            </w:r>
            <w:r>
              <w:rPr>
                <w:rFonts w:hint="eastAsia" w:ascii="Times New Roman" w:hAnsi="Times New Roman" w:cs="Times New Roman"/>
                <w:color w:val="000000"/>
                <w:sz w:val="16"/>
                <w:szCs w:val="16"/>
                <w:lang w:val="en-US" w:eastAsia="zh-CN"/>
              </w:rPr>
              <w:t>(2.3%)</w:t>
            </w:r>
          </w:p>
        </w:tc>
        <w:tc>
          <w:tcPr>
            <w:tcW w:w="3618" w:type="dxa"/>
            <w:tcBorders>
              <w:top w:val="nil"/>
              <w:left w:val="nil"/>
              <w:bottom w:val="nil"/>
              <w:right w:val="nil"/>
            </w:tcBorders>
            <w:noWrap w:val="0"/>
            <w:vAlign w:val="top"/>
          </w:tcPr>
          <w:p w14:paraId="6099925D">
            <w:pPr>
              <w:spacing w:beforeLines="0" w:afterLines="0"/>
              <w:jc w:val="center"/>
              <w:rPr>
                <w:rFonts w:hint="default" w:ascii="Times New Roman" w:hAnsi="Times New Roman" w:cs="Times New Roman"/>
                <w:color w:val="000000"/>
                <w:sz w:val="16"/>
                <w:szCs w:val="16"/>
              </w:rPr>
            </w:pPr>
            <w:r>
              <w:rPr>
                <w:rFonts w:hint="default" w:ascii="Times New Roman" w:hAnsi="Times New Roman" w:cs="Times New Roman"/>
                <w:color w:val="000000"/>
                <w:sz w:val="16"/>
                <w:szCs w:val="16"/>
              </w:rPr>
              <w:t>210</w:t>
            </w:r>
            <w:r>
              <w:rPr>
                <w:rFonts w:hint="eastAsia" w:ascii="Times New Roman" w:hAnsi="Times New Roman" w:cs="Times New Roman"/>
                <w:color w:val="000000"/>
                <w:sz w:val="16"/>
                <w:szCs w:val="16"/>
                <w:lang w:val="en-US" w:eastAsia="zh-CN"/>
              </w:rPr>
              <w:t>(80.8%)</w:t>
            </w:r>
          </w:p>
        </w:tc>
      </w:tr>
      <w:tr w14:paraId="1FF8DD5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369" w:type="dxa"/>
            <w:tcBorders>
              <w:top w:val="nil"/>
              <w:left w:val="nil"/>
              <w:bottom w:val="nil"/>
              <w:right w:val="nil"/>
            </w:tcBorders>
            <w:noWrap w:val="0"/>
            <w:vAlign w:val="top"/>
          </w:tcPr>
          <w:p w14:paraId="616C4E47">
            <w:pPr>
              <w:spacing w:beforeLines="0" w:afterLines="0"/>
              <w:jc w:val="center"/>
              <w:rPr>
                <w:rFonts w:hint="default" w:ascii="Times New Roman" w:hAnsi="Times New Roman" w:cs="Times New Roman"/>
                <w:color w:val="000000"/>
                <w:sz w:val="16"/>
                <w:szCs w:val="16"/>
              </w:rPr>
            </w:pPr>
            <w:r>
              <w:rPr>
                <w:rFonts w:hint="eastAsia" w:ascii="Times New Roman" w:hAnsi="Times New Roman" w:cs="Times New Roman"/>
                <w:color w:val="000000"/>
                <w:sz w:val="16"/>
                <w:szCs w:val="16"/>
                <w:lang w:val="en-US" w:eastAsia="zh-CN"/>
              </w:rPr>
              <w:t>48-</w:t>
            </w:r>
            <w:r>
              <w:rPr>
                <w:rFonts w:hint="default" w:ascii="Times New Roman" w:hAnsi="Times New Roman" w:cs="Times New Roman"/>
                <w:color w:val="000000"/>
                <w:sz w:val="16"/>
                <w:szCs w:val="16"/>
              </w:rPr>
              <w:t>52</w:t>
            </w:r>
          </w:p>
        </w:tc>
        <w:tc>
          <w:tcPr>
            <w:tcW w:w="3273" w:type="dxa"/>
            <w:tcBorders>
              <w:top w:val="nil"/>
              <w:left w:val="nil"/>
              <w:bottom w:val="nil"/>
              <w:right w:val="nil"/>
            </w:tcBorders>
            <w:noWrap w:val="0"/>
            <w:vAlign w:val="top"/>
          </w:tcPr>
          <w:p w14:paraId="33BCCBF8">
            <w:pPr>
              <w:spacing w:beforeLines="0" w:afterLines="0"/>
              <w:jc w:val="center"/>
              <w:rPr>
                <w:rFonts w:hint="default" w:ascii="Times New Roman" w:hAnsi="Times New Roman" w:cs="Times New Roman"/>
                <w:color w:val="000000"/>
                <w:sz w:val="16"/>
                <w:szCs w:val="16"/>
              </w:rPr>
            </w:pPr>
            <w:r>
              <w:rPr>
                <w:rFonts w:hint="default" w:ascii="Times New Roman" w:hAnsi="Times New Roman" w:cs="Times New Roman"/>
                <w:color w:val="000000"/>
                <w:sz w:val="16"/>
                <w:szCs w:val="16"/>
              </w:rPr>
              <w:t>3</w:t>
            </w:r>
            <w:r>
              <w:rPr>
                <w:rFonts w:hint="eastAsia" w:ascii="Times New Roman" w:hAnsi="Times New Roman" w:cs="Times New Roman"/>
                <w:color w:val="000000"/>
                <w:sz w:val="16"/>
                <w:szCs w:val="16"/>
                <w:lang w:val="en-US" w:eastAsia="zh-CN"/>
              </w:rPr>
              <w:t>(1.2%)</w:t>
            </w:r>
          </w:p>
        </w:tc>
        <w:tc>
          <w:tcPr>
            <w:tcW w:w="3618" w:type="dxa"/>
            <w:tcBorders>
              <w:top w:val="nil"/>
              <w:left w:val="nil"/>
              <w:bottom w:val="nil"/>
              <w:right w:val="nil"/>
            </w:tcBorders>
            <w:noWrap w:val="0"/>
            <w:vAlign w:val="top"/>
          </w:tcPr>
          <w:p w14:paraId="44EAF384">
            <w:pPr>
              <w:spacing w:beforeLines="0" w:afterLines="0"/>
              <w:jc w:val="center"/>
              <w:rPr>
                <w:rFonts w:hint="default" w:ascii="Times New Roman" w:hAnsi="Times New Roman" w:cs="Times New Roman"/>
                <w:color w:val="000000"/>
                <w:sz w:val="16"/>
                <w:szCs w:val="16"/>
              </w:rPr>
            </w:pPr>
            <w:r>
              <w:rPr>
                <w:rFonts w:hint="default" w:ascii="Times New Roman" w:hAnsi="Times New Roman" w:cs="Times New Roman"/>
                <w:color w:val="000000"/>
                <w:sz w:val="16"/>
                <w:szCs w:val="16"/>
              </w:rPr>
              <w:t>213</w:t>
            </w:r>
            <w:r>
              <w:rPr>
                <w:rFonts w:hint="eastAsia" w:ascii="Times New Roman" w:hAnsi="Times New Roman" w:cs="Times New Roman"/>
                <w:color w:val="000000"/>
                <w:sz w:val="16"/>
                <w:szCs w:val="16"/>
                <w:lang w:val="en-US" w:eastAsia="zh-CN"/>
              </w:rPr>
              <w:t>(81.9%)</w:t>
            </w:r>
          </w:p>
        </w:tc>
      </w:tr>
      <w:tr w14:paraId="782AEB5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369" w:type="dxa"/>
            <w:tcBorders>
              <w:top w:val="nil"/>
              <w:left w:val="nil"/>
              <w:bottom w:val="single" w:color="auto" w:sz="8" w:space="0"/>
              <w:right w:val="nil"/>
            </w:tcBorders>
            <w:noWrap w:val="0"/>
            <w:vAlign w:val="top"/>
          </w:tcPr>
          <w:p w14:paraId="37306E65">
            <w:pPr>
              <w:spacing w:beforeLines="0" w:afterLines="0"/>
              <w:jc w:val="center"/>
              <w:rPr>
                <w:rFonts w:hint="default" w:ascii="Times New Roman" w:hAnsi="Times New Roman" w:cs="Times New Roman"/>
                <w:color w:val="000000"/>
                <w:sz w:val="16"/>
                <w:szCs w:val="16"/>
              </w:rPr>
            </w:pPr>
            <w:r>
              <w:rPr>
                <w:rFonts w:hint="default" w:ascii="Times New Roman" w:hAnsi="Times New Roman" w:cs="Times New Roman"/>
                <w:color w:val="000000"/>
                <w:sz w:val="16"/>
                <w:szCs w:val="16"/>
                <w:lang w:val="en-US" w:eastAsia="zh-CN"/>
              </w:rPr>
              <w:t>&gt;</w:t>
            </w:r>
            <w:r>
              <w:rPr>
                <w:rFonts w:hint="eastAsia" w:ascii="Times New Roman" w:hAnsi="Times New Roman" w:cs="Times New Roman"/>
                <w:color w:val="000000"/>
                <w:sz w:val="16"/>
                <w:szCs w:val="16"/>
                <w:lang w:val="en-US" w:eastAsia="zh-CN"/>
              </w:rPr>
              <w:t>52</w:t>
            </w:r>
          </w:p>
        </w:tc>
        <w:tc>
          <w:tcPr>
            <w:tcW w:w="3273" w:type="dxa"/>
            <w:tcBorders>
              <w:top w:val="nil"/>
              <w:left w:val="nil"/>
              <w:bottom w:val="single" w:color="auto" w:sz="8" w:space="0"/>
              <w:right w:val="nil"/>
            </w:tcBorders>
            <w:noWrap w:val="0"/>
            <w:vAlign w:val="top"/>
          </w:tcPr>
          <w:p w14:paraId="3D68EDE1">
            <w:pPr>
              <w:spacing w:beforeLines="0" w:afterLines="0"/>
              <w:jc w:val="center"/>
              <w:rPr>
                <w:rFonts w:hint="default" w:ascii="Times New Roman" w:hAnsi="Times New Roman" w:cs="Times New Roman"/>
                <w:color w:val="000000"/>
                <w:sz w:val="16"/>
                <w:szCs w:val="16"/>
              </w:rPr>
            </w:pPr>
            <w:r>
              <w:rPr>
                <w:rFonts w:hint="default" w:ascii="Times New Roman" w:hAnsi="Times New Roman" w:cs="Times New Roman"/>
                <w:color w:val="000000"/>
                <w:sz w:val="16"/>
                <w:szCs w:val="16"/>
              </w:rPr>
              <w:t>47</w:t>
            </w:r>
            <w:r>
              <w:rPr>
                <w:rFonts w:hint="eastAsia" w:ascii="Times New Roman" w:hAnsi="Times New Roman" w:cs="Times New Roman"/>
                <w:color w:val="000000"/>
                <w:sz w:val="16"/>
                <w:szCs w:val="16"/>
                <w:lang w:val="en-US" w:eastAsia="zh-CN"/>
              </w:rPr>
              <w:t>(18.1%)</w:t>
            </w:r>
          </w:p>
        </w:tc>
        <w:tc>
          <w:tcPr>
            <w:tcW w:w="3618" w:type="dxa"/>
            <w:tcBorders>
              <w:top w:val="nil"/>
              <w:left w:val="nil"/>
              <w:bottom w:val="single" w:color="auto" w:sz="8" w:space="0"/>
              <w:right w:val="nil"/>
            </w:tcBorders>
            <w:noWrap w:val="0"/>
            <w:vAlign w:val="top"/>
          </w:tcPr>
          <w:p w14:paraId="0B00E185">
            <w:pPr>
              <w:spacing w:beforeLines="0" w:afterLines="0"/>
              <w:jc w:val="center"/>
              <w:rPr>
                <w:rFonts w:hint="default" w:ascii="Times New Roman" w:hAnsi="Times New Roman" w:cs="Times New Roman"/>
                <w:color w:val="000000"/>
                <w:sz w:val="16"/>
                <w:szCs w:val="16"/>
              </w:rPr>
            </w:pPr>
            <w:r>
              <w:rPr>
                <w:rFonts w:hint="default" w:ascii="Times New Roman" w:hAnsi="Times New Roman" w:cs="Times New Roman"/>
                <w:color w:val="000000"/>
                <w:sz w:val="16"/>
                <w:szCs w:val="16"/>
              </w:rPr>
              <w:t>260</w:t>
            </w:r>
            <w:r>
              <w:rPr>
                <w:rFonts w:hint="eastAsia" w:ascii="Times New Roman" w:hAnsi="Times New Roman" w:cs="Times New Roman"/>
                <w:color w:val="000000"/>
                <w:sz w:val="16"/>
                <w:szCs w:val="16"/>
                <w:lang w:val="en-US" w:eastAsia="zh-CN"/>
              </w:rPr>
              <w:t>(100.0%)</w:t>
            </w:r>
          </w:p>
        </w:tc>
      </w:tr>
    </w:tbl>
    <w:p w14:paraId="418D312F">
      <w:pPr>
        <w:rPr>
          <w:rFonts w:hint="default" w:ascii="Times New Roman" w:hAnsi="Times New Roman" w:cs="Times New Roman"/>
        </w:rPr>
      </w:pPr>
      <w:r>
        <w:rPr>
          <w:rFonts w:hint="default" w:ascii="Times New Roman" w:hAnsi="Times New Roman" w:cs="Times New Roman"/>
          <w:sz w:val="18"/>
          <w:szCs w:val="18"/>
        </w:rPr>
        <w:br w:type="page"/>
      </w:r>
    </w:p>
    <w:p w14:paraId="74B6804E">
      <w:pPr>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drawing>
          <wp:inline distT="0" distB="0" distL="114300" distR="114300">
            <wp:extent cx="5266690" cy="3040380"/>
            <wp:effectExtent l="0" t="0" r="3810" b="7620"/>
            <wp:docPr id="1" name="图片 1" descr="sw_boxplot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w_boxplot_00"/>
                    <pic:cNvPicPr>
                      <a:picLocks noChangeAspect="1"/>
                    </pic:cNvPicPr>
                  </pic:nvPicPr>
                  <pic:blipFill>
                    <a:blip r:embed="rId4"/>
                    <a:stretch>
                      <a:fillRect/>
                    </a:stretch>
                  </pic:blipFill>
                  <pic:spPr>
                    <a:xfrm>
                      <a:off x="0" y="0"/>
                      <a:ext cx="5266690" cy="3040380"/>
                    </a:xfrm>
                    <a:prstGeom prst="rect">
                      <a:avLst/>
                    </a:prstGeom>
                  </pic:spPr>
                </pic:pic>
              </a:graphicData>
            </a:graphic>
          </wp:inline>
        </w:drawing>
      </w:r>
    </w:p>
    <w:p w14:paraId="1C3767B3">
      <w:pPr>
        <w:keepNext w:val="0"/>
        <w:keepLines w:val="0"/>
        <w:pageBreakBefore w:val="0"/>
        <w:widowControl/>
        <w:suppressLineNumbers w:val="0"/>
        <w:kinsoku/>
        <w:wordWrap/>
        <w:overflowPunct/>
        <w:topLinePunct w:val="0"/>
        <w:autoSpaceDE/>
        <w:autoSpaceDN/>
        <w:bidi w:val="0"/>
        <w:adjustRightInd/>
        <w:snapToGrid/>
        <w:jc w:val="left"/>
        <w:textAlignment w:val="auto"/>
        <w:outlineLvl w:val="0"/>
        <w:rPr>
          <w:rFonts w:hint="default" w:ascii="Times New Roman" w:hAnsi="Times New Roman" w:eastAsia="宋体" w:cs="Times New Roman"/>
          <w:b w:val="0"/>
          <w:bCs w:val="0"/>
          <w:i w:val="0"/>
          <w:iCs w:val="0"/>
          <w:color w:val="000000"/>
          <w:kern w:val="0"/>
          <w:sz w:val="18"/>
          <w:szCs w:val="18"/>
          <w:lang w:val="en-US" w:eastAsia="zh-CN" w:bidi="ar"/>
        </w:rPr>
      </w:pPr>
      <w:bookmarkStart w:id="7" w:name="OLE_LINK1"/>
      <w:bookmarkStart w:id="8" w:name="_Toc18485"/>
      <w:r>
        <w:rPr>
          <w:rFonts w:hint="default" w:ascii="Times New Roman" w:hAnsi="Times New Roman" w:eastAsia="宋体" w:cs="Times New Roman"/>
          <w:b/>
          <w:bCs/>
          <w:i w:val="0"/>
          <w:iCs w:val="0"/>
          <w:color w:val="000000"/>
          <w:kern w:val="0"/>
          <w:sz w:val="18"/>
          <w:szCs w:val="18"/>
          <w:lang w:val="en-US" w:eastAsia="zh-CN" w:bidi="ar"/>
        </w:rPr>
        <w:t xml:space="preserve">Figure S1. Distribution of stabilized weights at any point in the study period. </w:t>
      </w:r>
      <w:bookmarkEnd w:id="7"/>
      <w:r>
        <w:rPr>
          <w:rFonts w:hint="default" w:ascii="Times New Roman" w:hAnsi="Times New Roman" w:eastAsia="宋体" w:cs="Times New Roman"/>
          <w:b w:val="0"/>
          <w:bCs w:val="0"/>
          <w:i w:val="0"/>
          <w:iCs w:val="0"/>
          <w:color w:val="000000"/>
          <w:kern w:val="0"/>
          <w:sz w:val="18"/>
          <w:szCs w:val="18"/>
          <w:lang w:val="en-US" w:eastAsia="zh-CN" w:bidi="ar"/>
        </w:rPr>
        <w:t>The box displays the summary statistics of the data, including the mean (+), median (horizontal line inside the box), interquartile range (length of the box), and outliers (circles). The whiskers extend to the minimum and maximum values.</w:t>
      </w:r>
      <w:bookmarkEnd w:id="8"/>
      <w:r>
        <w:rPr>
          <w:rFonts w:hint="default" w:ascii="Times New Roman" w:hAnsi="Times New Roman" w:eastAsia="宋体" w:cs="Times New Roman"/>
          <w:b w:val="0"/>
          <w:bCs w:val="0"/>
          <w:i w:val="0"/>
          <w:iCs w:val="0"/>
          <w:color w:val="000000"/>
          <w:kern w:val="0"/>
          <w:sz w:val="18"/>
          <w:szCs w:val="18"/>
          <w:lang w:val="en-US" w:eastAsia="zh-CN" w:bidi="ar"/>
        </w:rPr>
        <w:t xml:space="preserve"> </w:t>
      </w:r>
    </w:p>
    <w:p w14:paraId="04DD88DD">
      <w:pPr>
        <w:keepNext w:val="0"/>
        <w:keepLines w:val="0"/>
        <w:pageBreakBefore w:val="0"/>
        <w:widowControl/>
        <w:suppressLineNumbers w:val="0"/>
        <w:kinsoku/>
        <w:wordWrap/>
        <w:overflowPunct/>
        <w:topLinePunct w:val="0"/>
        <w:autoSpaceDE/>
        <w:autoSpaceDN/>
        <w:bidi w:val="0"/>
        <w:adjustRightInd/>
        <w:snapToGrid/>
        <w:jc w:val="left"/>
        <w:textAlignment w:val="auto"/>
        <w:outlineLvl w:val="0"/>
        <w:rPr>
          <w:rFonts w:hint="default" w:ascii="Times New Roman" w:hAnsi="Times New Roman" w:eastAsia="宋体" w:cs="Times New Roman"/>
          <w:b w:val="0"/>
          <w:bCs w:val="0"/>
          <w:i w:val="0"/>
          <w:iCs w:val="0"/>
          <w:color w:val="000000"/>
          <w:kern w:val="0"/>
          <w:sz w:val="18"/>
          <w:szCs w:val="18"/>
          <w:lang w:val="en-US" w:eastAsia="zh-CN" w:bidi="ar"/>
        </w:rPr>
      </w:pPr>
    </w:p>
    <w:p w14:paraId="104FF7CC">
      <w:pPr>
        <w:keepNext w:val="0"/>
        <w:keepLines w:val="0"/>
        <w:pageBreakBefore w:val="0"/>
        <w:widowControl/>
        <w:suppressLineNumbers w:val="0"/>
        <w:kinsoku/>
        <w:wordWrap/>
        <w:overflowPunct/>
        <w:topLinePunct w:val="0"/>
        <w:autoSpaceDE/>
        <w:autoSpaceDN/>
        <w:bidi w:val="0"/>
        <w:adjustRightInd/>
        <w:snapToGrid/>
        <w:jc w:val="left"/>
        <w:textAlignment w:val="auto"/>
        <w:outlineLvl w:val="0"/>
        <w:rPr>
          <w:rFonts w:hint="default" w:ascii="Times New Roman" w:hAnsi="Times New Roman" w:eastAsia="宋体" w:cs="Times New Roman"/>
          <w:b w:val="0"/>
          <w:bCs w:val="0"/>
          <w:i w:val="0"/>
          <w:iCs w:val="0"/>
          <w:color w:val="000000"/>
          <w:kern w:val="0"/>
          <w:sz w:val="18"/>
          <w:szCs w:val="18"/>
          <w:lang w:val="en-US" w:eastAsia="zh-CN" w:bidi="ar"/>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54B61504">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default" w:ascii="Times New Roman" w:hAnsi="Times New Roman" w:eastAsia="宋体" w:cs="Times New Roman"/>
          <w:b w:val="0"/>
          <w:bCs w:val="0"/>
          <w:i w:val="0"/>
          <w:iCs w:val="0"/>
          <w:color w:val="000000"/>
          <w:kern w:val="0"/>
          <w:sz w:val="18"/>
          <w:szCs w:val="18"/>
          <w:lang w:val="en-US" w:eastAsia="zh-CN" w:bidi="ar"/>
        </w:rPr>
      </w:pPr>
      <w:r>
        <w:rPr>
          <w:rFonts w:hint="default" w:ascii="Times New Roman" w:hAnsi="Times New Roman" w:eastAsia="宋体" w:cs="Times New Roman"/>
          <w:b w:val="0"/>
          <w:bCs w:val="0"/>
          <w:i w:val="0"/>
          <w:iCs w:val="0"/>
          <w:color w:val="000000"/>
          <w:kern w:val="0"/>
          <w:sz w:val="18"/>
          <w:szCs w:val="18"/>
          <w:lang w:val="en-US" w:eastAsia="zh-CN" w:bidi="ar"/>
        </w:rPr>
        <w:drawing>
          <wp:inline distT="0" distB="0" distL="114300" distR="114300">
            <wp:extent cx="5266690" cy="2962910"/>
            <wp:effectExtent l="0" t="0" r="3810" b="8890"/>
            <wp:docPr id="2" name="图片 2" descr="生存曲线拼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生存曲线拼图_01"/>
                    <pic:cNvPicPr>
                      <a:picLocks noChangeAspect="1"/>
                    </pic:cNvPicPr>
                  </pic:nvPicPr>
                  <pic:blipFill>
                    <a:blip r:embed="rId5"/>
                    <a:stretch>
                      <a:fillRect/>
                    </a:stretch>
                  </pic:blipFill>
                  <pic:spPr>
                    <a:xfrm>
                      <a:off x="0" y="0"/>
                      <a:ext cx="5266690" cy="2962910"/>
                    </a:xfrm>
                    <a:prstGeom prst="rect">
                      <a:avLst/>
                    </a:prstGeom>
                  </pic:spPr>
                </pic:pic>
              </a:graphicData>
            </a:graphic>
          </wp:inline>
        </w:drawing>
      </w:r>
    </w:p>
    <w:p w14:paraId="747FDE0E">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default" w:ascii="Times New Roman" w:hAnsi="Times New Roman" w:eastAsia="宋体" w:cs="Times New Roman"/>
          <w:b w:val="0"/>
          <w:bCs w:val="0"/>
          <w:i w:val="0"/>
          <w:iCs w:val="0"/>
          <w:color w:val="000000"/>
          <w:kern w:val="0"/>
          <w:sz w:val="18"/>
          <w:szCs w:val="18"/>
          <w:lang w:val="en-US" w:eastAsia="zh-CN" w:bidi="ar"/>
        </w:rPr>
      </w:pPr>
    </w:p>
    <w:p w14:paraId="15DD5872">
      <w:pPr>
        <w:keepNext w:val="0"/>
        <w:keepLines w:val="0"/>
        <w:pageBreakBefore w:val="0"/>
        <w:widowControl/>
        <w:suppressLineNumbers w:val="0"/>
        <w:kinsoku/>
        <w:wordWrap/>
        <w:overflowPunct/>
        <w:topLinePunct w:val="0"/>
        <w:autoSpaceDE/>
        <w:autoSpaceDN/>
        <w:bidi w:val="0"/>
        <w:adjustRightInd/>
        <w:snapToGrid/>
        <w:jc w:val="left"/>
        <w:textAlignment w:val="auto"/>
        <w:outlineLvl w:val="0"/>
        <w:rPr>
          <w:rFonts w:hint="default" w:ascii="Times New Roman" w:hAnsi="Times New Roman" w:eastAsia="宋体" w:cs="Times New Roman"/>
          <w:b w:val="0"/>
          <w:bCs w:val="0"/>
          <w:i w:val="0"/>
          <w:iCs w:val="0"/>
          <w:color w:val="000000"/>
          <w:kern w:val="0"/>
          <w:sz w:val="18"/>
          <w:szCs w:val="18"/>
          <w:lang w:val="en-US" w:eastAsia="zh-CN" w:bidi="ar"/>
        </w:rPr>
      </w:pPr>
      <w:bookmarkStart w:id="9" w:name="_Toc31566"/>
      <w:r>
        <w:rPr>
          <w:rFonts w:hint="eastAsia" w:ascii="Times New Roman" w:hAnsi="Times New Roman" w:eastAsia="宋体" w:cs="Times New Roman"/>
          <w:b/>
          <w:bCs/>
          <w:i w:val="0"/>
          <w:iCs w:val="0"/>
          <w:color w:val="000000"/>
          <w:kern w:val="0"/>
          <w:sz w:val="18"/>
          <w:szCs w:val="18"/>
          <w:lang w:val="en-US" w:eastAsia="zh-CN" w:bidi="ar"/>
        </w:rPr>
        <w:t xml:space="preserve">Figure S2. The survival curves for the eight medications. </w:t>
      </w:r>
      <w:r>
        <w:rPr>
          <w:rFonts w:hint="eastAsia" w:ascii="Times New Roman" w:hAnsi="Times New Roman" w:eastAsia="宋体" w:cs="Times New Roman"/>
          <w:b w:val="0"/>
          <w:bCs w:val="0"/>
          <w:i w:val="0"/>
          <w:iCs w:val="0"/>
          <w:color w:val="000000"/>
          <w:kern w:val="0"/>
          <w:sz w:val="18"/>
          <w:szCs w:val="18"/>
          <w:lang w:val="en-US" w:eastAsia="zh-CN" w:bidi="ar"/>
        </w:rPr>
        <w:t>The survival curves illustrate the time to reach prolonged QTc for each of the eight antipsychotic medications analyzed in the study. Each curve reflects the proportion of patients remaining free of prolonged QTc over time, providing insights into the duration and risk associated with each medication.</w:t>
      </w:r>
      <w:bookmarkEnd w:id="9"/>
      <w:r>
        <w:rPr>
          <w:rFonts w:hint="eastAsia" w:ascii="Times New Roman" w:hAnsi="Times New Roman" w:eastAsia="宋体" w:cs="Times New Roman"/>
          <w:b w:val="0"/>
          <w:bCs w:val="0"/>
          <w:i w:val="0"/>
          <w:iCs w:val="0"/>
          <w:color w:val="000000"/>
          <w:kern w:val="0"/>
          <w:sz w:val="18"/>
          <w:szCs w:val="18"/>
          <w:lang w:val="en-US" w:eastAsia="zh-CN" w:bidi="ar"/>
        </w:rPr>
        <w:t xml:space="preserve"> </w:t>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ZmMzNkMWE5YTljYjRhYzVmYjVmZGY4NmExZWQ2Y2QifQ=="/>
  </w:docVars>
  <w:rsids>
    <w:rsidRoot w:val="4EDA3A3C"/>
    <w:rsid w:val="025314B1"/>
    <w:rsid w:val="09213210"/>
    <w:rsid w:val="0C2F4EA0"/>
    <w:rsid w:val="12B0214C"/>
    <w:rsid w:val="1EDC059C"/>
    <w:rsid w:val="1F2E7B73"/>
    <w:rsid w:val="2519729F"/>
    <w:rsid w:val="2C8E75EB"/>
    <w:rsid w:val="2CAD7045"/>
    <w:rsid w:val="2FB57E43"/>
    <w:rsid w:val="309E3CF7"/>
    <w:rsid w:val="34455FD0"/>
    <w:rsid w:val="37AA05D2"/>
    <w:rsid w:val="3D0D513B"/>
    <w:rsid w:val="44D3100B"/>
    <w:rsid w:val="4D3B2BA3"/>
    <w:rsid w:val="4E0A3647"/>
    <w:rsid w:val="4EDA3A3C"/>
    <w:rsid w:val="4F6911AA"/>
    <w:rsid w:val="4FA25A10"/>
    <w:rsid w:val="5D99669E"/>
    <w:rsid w:val="5FC71C27"/>
    <w:rsid w:val="6119480C"/>
    <w:rsid w:val="624201FE"/>
    <w:rsid w:val="658630FD"/>
    <w:rsid w:val="6D141E43"/>
    <w:rsid w:val="79366A61"/>
    <w:rsid w:val="7CCD11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toc 1"/>
    <w:basedOn w:val="1"/>
    <w:next w:val="1"/>
    <w:autoRedefine/>
    <w:qFormat/>
    <w:uiPriority w:val="0"/>
  </w:style>
  <w:style w:type="table" w:styleId="4">
    <w:name w:val="Table Grid"/>
    <w:basedOn w:val="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Emphasis"/>
    <w:basedOn w:val="5"/>
    <w:autoRedefine/>
    <w:qFormat/>
    <w:uiPriority w:val="0"/>
    <w:rPr>
      <w:i/>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121</Words>
  <Characters>652</Characters>
  <Lines>0</Lines>
  <Paragraphs>0</Paragraphs>
  <TotalTime>4</TotalTime>
  <ScaleCrop>false</ScaleCrop>
  <LinksUpToDate>false</LinksUpToDate>
  <CharactersWithSpaces>765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2023-11-02T09:16:00Z</dcterms:created>
  <dc:creator>liz、﹏</dc:creator>
  <cp:lastModifiedBy>liz、﹏</cp:lastModifiedBy>
  <dcterms:modified xsi:type="dcterms:W3CDTF">2024-12-21T08:51:01Z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85EDFBE0221746A48F218365B1F786BD_13</vt:lpwstr>
  </property>
</Properties>
</file>