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4628E" w14:textId="2C7E2C28" w:rsidR="00F63F1B" w:rsidRDefault="00AA0BAD" w:rsidP="00DF72F6">
      <w:pPr>
        <w:ind w:firstLine="0"/>
        <w:jc w:val="center"/>
      </w:pPr>
      <w:r>
        <w:rPr>
          <w:noProof/>
        </w:rPr>
        <w:drawing>
          <wp:inline distT="0" distB="0" distL="0" distR="0" wp14:anchorId="7F70D87D" wp14:editId="4BD61563">
            <wp:extent cx="5760720" cy="3355975"/>
            <wp:effectExtent l="19050" t="19050" r="11430" b="1587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559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BEFBB17" w14:textId="7BCB3364" w:rsidR="0076730D" w:rsidRPr="003F0A7F" w:rsidRDefault="006302BA" w:rsidP="0076730D">
      <w:pPr>
        <w:spacing w:after="0" w:line="480" w:lineRule="auto"/>
        <w:ind w:firstLine="0"/>
        <w:rPr>
          <w:rFonts w:ascii="Times New Roman" w:eastAsia="Arial Unicode MS" w:hAnsi="Times New Roman" w:cs="Times New Roman"/>
          <w:color w:val="000000" w:themeColor="text1"/>
          <w:sz w:val="16"/>
          <w:szCs w:val="20"/>
          <w:lang w:val="en-GB"/>
        </w:rPr>
      </w:pPr>
      <w:r w:rsidRPr="006302BA">
        <w:rPr>
          <w:rFonts w:eastAsia="MS Mincho" w:cs="Times New Roman"/>
          <w:b/>
          <w:bCs/>
          <w:color w:val="000000"/>
          <w:lang w:val="en-GB"/>
        </w:rPr>
        <w:t>Supplementary</w:t>
      </w:r>
      <w:r>
        <w:rPr>
          <w:rFonts w:eastAsia="MS Mincho" w:cs="Times New Roman"/>
          <w:b/>
          <w:bCs/>
          <w:i/>
          <w:iCs/>
          <w:color w:val="000000"/>
          <w:lang w:val="en-GB"/>
        </w:rPr>
        <w:t xml:space="preserve"> </w:t>
      </w:r>
      <w:r w:rsidR="00BB7838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F</w:t>
      </w:r>
      <w:r w:rsidR="0076730D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ig</w:t>
      </w:r>
      <w:r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. </w:t>
      </w:r>
      <w:r w:rsidR="0076730D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2</w:t>
      </w:r>
      <w:r w:rsidR="0076730D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Dutch COVID Government Response Index over time. Based on the Oxford COVID-19 Government Response Tracker (OxCGRT) data from Hale et al., 2021.</w:t>
      </w:r>
      <w:r w:rsidR="0076730D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</w:t>
      </w:r>
      <w:r w:rsidR="0076730D" w:rsidRPr="009F7600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This is a longitudinal global panel database of pandemic policies, numerically expressed as an aggregated value based on nine policy indicators (e.g. workplace/school closures). Data were extracted from the database as a continuous scale from 0 (least strict response) to 100 (strictest response). The weighted average stringency index for vaccinated and non-vaccinated individuals was used from September 25th 2021 onwards. </w:t>
      </w:r>
      <w:r w:rsidR="0076730D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Time periods indicated in grey depict the three periods of elevated COVID government response in the Netherlands</w:t>
      </w:r>
      <w:r w:rsidR="0076730D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referred to as “lockdowns” in this study</w:t>
      </w:r>
      <w:r w:rsidR="0076730D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. The grey dotted line indicates the cut-off score of 50 used in this study to determine “periods of elevated COVID government response”. There was a one-week period in the second EGCR period where the score was &lt;50, however since this </w:t>
      </w:r>
      <w:r w:rsidR="0076730D" w:rsidRPr="003F0A7F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period was less than 4 weeks it was incorporated in the second EGCR period. </w:t>
      </w:r>
    </w:p>
    <w:p w14:paraId="41E79298" w14:textId="77777777" w:rsidR="0076730D" w:rsidRPr="00DF72F6" w:rsidRDefault="0076730D" w:rsidP="00DF72F6">
      <w:pPr>
        <w:ind w:firstLine="0"/>
        <w:jc w:val="center"/>
      </w:pPr>
    </w:p>
    <w:sectPr w:rsidR="0076730D" w:rsidRPr="00DF72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2F6"/>
    <w:rsid w:val="006302BA"/>
    <w:rsid w:val="0064766A"/>
    <w:rsid w:val="0076730D"/>
    <w:rsid w:val="0093075F"/>
    <w:rsid w:val="00AA0BAD"/>
    <w:rsid w:val="00BB7838"/>
    <w:rsid w:val="00DF72F6"/>
    <w:rsid w:val="00F6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C1A4C"/>
  <w15:chartTrackingRefBased/>
  <w15:docId w15:val="{A9046A0C-8620-4238-A402-901E7EBD6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F72F6"/>
    <w:pPr>
      <w:spacing w:after="240" w:line="240" w:lineRule="auto"/>
      <w:ind w:firstLine="360"/>
      <w:jc w:val="both"/>
    </w:pPr>
    <w:rPr>
      <w:rFonts w:ascii="Times" w:eastAsiaTheme="minorEastAsia" w:hAnsi="Times"/>
      <w:sz w:val="20"/>
      <w:lang w:val="en-US" w:bidi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163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Visser, Damian</dc:creator>
  <cp:keywords/>
  <dc:description/>
  <cp:lastModifiedBy>Damian Visser</cp:lastModifiedBy>
  <cp:revision>6</cp:revision>
  <dcterms:created xsi:type="dcterms:W3CDTF">2023-10-30T15:19:00Z</dcterms:created>
  <dcterms:modified xsi:type="dcterms:W3CDTF">2024-03-25T10:16:00Z</dcterms:modified>
</cp:coreProperties>
</file>