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8FD9" w14:textId="7D2B7FA6" w:rsidR="00AF552B" w:rsidRPr="00005D0F" w:rsidRDefault="00322A90">
      <w:pPr>
        <w:rPr>
          <w:b/>
          <w:bCs/>
        </w:rPr>
      </w:pPr>
      <w:r w:rsidRPr="00005D0F">
        <w:rPr>
          <w:b/>
          <w:bCs/>
        </w:rPr>
        <w:t>Supplementary material</w:t>
      </w:r>
    </w:p>
    <w:p w14:paraId="454FB213" w14:textId="77777777" w:rsidR="00322A90" w:rsidRPr="00005D0F" w:rsidRDefault="00322A90" w:rsidP="00322A90">
      <w:pPr>
        <w:rPr>
          <w:rStyle w:val="normaltextrun"/>
          <w:b/>
          <w:bCs/>
          <w:color w:val="000000"/>
          <w:shd w:val="clear" w:color="auto" w:fill="FFFFFF"/>
        </w:rPr>
      </w:pPr>
    </w:p>
    <w:p w14:paraId="3640C2E7" w14:textId="13B045CB" w:rsidR="00322A90" w:rsidRPr="00005D0F" w:rsidRDefault="007E4654" w:rsidP="00322A90">
      <w:pPr>
        <w:rPr>
          <w:rStyle w:val="eop"/>
          <w:color w:val="000000"/>
          <w:shd w:val="clear" w:color="auto" w:fill="FFFFFF"/>
        </w:rPr>
      </w:pPr>
      <w:r w:rsidRPr="00005D0F">
        <w:rPr>
          <w:rStyle w:val="normaltextrun"/>
          <w:b/>
          <w:bCs/>
          <w:color w:val="000000"/>
          <w:shd w:val="clear" w:color="auto" w:fill="FFFFFF"/>
        </w:rPr>
        <w:t xml:space="preserve">Supplementary </w:t>
      </w:r>
      <w:r w:rsidR="00B40CD5" w:rsidRPr="00005D0F">
        <w:rPr>
          <w:rStyle w:val="normaltextrun"/>
          <w:b/>
          <w:bCs/>
          <w:color w:val="000000"/>
          <w:shd w:val="clear" w:color="auto" w:fill="FFFFFF"/>
        </w:rPr>
        <w:t>T</w:t>
      </w:r>
      <w:r w:rsidR="00322A90" w:rsidRPr="00005D0F">
        <w:rPr>
          <w:rStyle w:val="normaltextrun"/>
          <w:b/>
          <w:bCs/>
          <w:color w:val="000000"/>
          <w:shd w:val="clear" w:color="auto" w:fill="FFFFFF"/>
        </w:rPr>
        <w:t>able 1</w:t>
      </w:r>
      <w:r w:rsidR="00322A90" w:rsidRPr="00005D0F">
        <w:rPr>
          <w:rStyle w:val="normaltextrun"/>
          <w:color w:val="000000"/>
          <w:shd w:val="clear" w:color="auto" w:fill="FFFFFF"/>
        </w:rPr>
        <w:t>: Demographic characteristics of individuals admitted to the STEP clinic between February 1, 2019, and March 21, 2022, split into COVID-19 epochs</w:t>
      </w:r>
      <w:r w:rsidR="00322A90" w:rsidRPr="00005D0F">
        <w:rPr>
          <w:rStyle w:val="normaltextrun"/>
          <w:color w:val="000000"/>
          <w:u w:val="single"/>
          <w:shd w:val="clear" w:color="auto" w:fill="FFFFFF"/>
          <w:vertAlign w:val="superscript"/>
        </w:rPr>
        <w:t xml:space="preserve"> ¥</w:t>
      </w:r>
      <w:r w:rsidR="00322A90" w:rsidRPr="00005D0F">
        <w:rPr>
          <w:rStyle w:val="eop"/>
          <w:color w:val="000000"/>
          <w:shd w:val="clear" w:color="auto" w:fill="FFFFFF"/>
        </w:rPr>
        <w:t> </w:t>
      </w:r>
    </w:p>
    <w:p w14:paraId="43A5447A" w14:textId="77777777" w:rsidR="00322A90" w:rsidRPr="00005D0F" w:rsidRDefault="00322A90"/>
    <w:p w14:paraId="3B4EAC82" w14:textId="77777777" w:rsidR="00322A90" w:rsidRPr="00005D0F" w:rsidRDefault="00322A90"/>
    <w:tbl>
      <w:tblPr>
        <w:tblStyle w:val="TableGrid"/>
        <w:tblW w:w="4518" w:type="pct"/>
        <w:tblLook w:val="04A0" w:firstRow="1" w:lastRow="0" w:firstColumn="1" w:lastColumn="0" w:noHBand="0" w:noVBand="1"/>
      </w:tblPr>
      <w:tblGrid>
        <w:gridCol w:w="1777"/>
        <w:gridCol w:w="1405"/>
        <w:gridCol w:w="1881"/>
        <w:gridCol w:w="1508"/>
        <w:gridCol w:w="783"/>
        <w:gridCol w:w="793"/>
      </w:tblGrid>
      <w:tr w:rsidR="00322A90" w:rsidRPr="00005D0F" w14:paraId="2DA42552" w14:textId="77777777" w:rsidTr="00917BD1">
        <w:trPr>
          <w:trHeight w:val="300"/>
        </w:trPr>
        <w:tc>
          <w:tcPr>
            <w:tcW w:w="1779" w:type="dxa"/>
          </w:tcPr>
          <w:p w14:paraId="31CC8F23" w14:textId="77777777" w:rsidR="00322A90" w:rsidRPr="00005D0F" w:rsidRDefault="00322A90" w:rsidP="00917BD1">
            <w:pPr>
              <w:pStyle w:val="paragraph"/>
              <w:rPr>
                <w:rStyle w:val="eop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gridSpan w:val="3"/>
          </w:tcPr>
          <w:p w14:paraId="0F9BF9CD" w14:textId="77777777" w:rsidR="00322A90" w:rsidRPr="00005D0F" w:rsidRDefault="00322A90" w:rsidP="00917BD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  <w:t>COVID-19 Epoch  </w:t>
            </w:r>
          </w:p>
        </w:tc>
        <w:tc>
          <w:tcPr>
            <w:tcW w:w="785" w:type="dxa"/>
          </w:tcPr>
          <w:p w14:paraId="6DCAD6E8" w14:textId="77777777" w:rsidR="00322A90" w:rsidRPr="00005D0F" w:rsidRDefault="00322A90" w:rsidP="00917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19A36D48" w14:textId="77777777" w:rsidR="00322A90" w:rsidRPr="00005D0F" w:rsidRDefault="00322A90" w:rsidP="00917BD1">
            <w:pPr>
              <w:pStyle w:val="paragraph"/>
              <w:jc w:val="center"/>
              <w:rPr>
                <w:rStyle w:val="eop"/>
                <w:color w:val="000000" w:themeColor="text1"/>
                <w:sz w:val="20"/>
                <w:szCs w:val="20"/>
              </w:rPr>
            </w:pPr>
          </w:p>
        </w:tc>
      </w:tr>
      <w:tr w:rsidR="00322A90" w:rsidRPr="00005D0F" w14:paraId="17EF5E5C" w14:textId="77777777" w:rsidTr="00917BD1">
        <w:trPr>
          <w:trHeight w:val="534"/>
        </w:trPr>
        <w:tc>
          <w:tcPr>
            <w:tcW w:w="1779" w:type="dxa"/>
          </w:tcPr>
          <w:p w14:paraId="0D387D2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B26FEA4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Pre-pandemic </w:t>
            </w:r>
          </w:p>
          <w:p w14:paraId="3203A482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0CADB47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Early pandemic </w:t>
            </w:r>
          </w:p>
          <w:p w14:paraId="114B1AA6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</w:tcPr>
          <w:p w14:paraId="0949FC58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Late pandemic </w:t>
            </w:r>
          </w:p>
          <w:p w14:paraId="76626B9F" w14:textId="77777777" w:rsidR="00322A90" w:rsidRPr="00005D0F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5D0F">
              <w:rPr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5" w:type="dxa"/>
          </w:tcPr>
          <w:p w14:paraId="38C7A0AF" w14:textId="77777777" w:rsidR="00322A90" w:rsidRPr="00005D0F" w:rsidRDefault="00322A90" w:rsidP="00917BD1">
            <w:pPr>
              <w:jc w:val="center"/>
              <w:rPr>
                <w:sz w:val="20"/>
                <w:szCs w:val="20"/>
              </w:rPr>
            </w:pPr>
            <w:r w:rsidRPr="00005D0F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6" w:type="dxa"/>
          </w:tcPr>
          <w:p w14:paraId="5D6C1F0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color w:val="000000"/>
                <w:sz w:val="20"/>
                <w:szCs w:val="20"/>
              </w:rPr>
            </w:pPr>
            <w:r w:rsidRPr="00005D0F">
              <w:rPr>
                <w:rStyle w:val="eop"/>
                <w:b/>
                <w:bCs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322A90" w:rsidRPr="00005D0F" w14:paraId="4D9E6114" w14:textId="77777777" w:rsidTr="00917BD1">
        <w:trPr>
          <w:trHeight w:val="290"/>
        </w:trPr>
        <w:tc>
          <w:tcPr>
            <w:tcW w:w="1779" w:type="dxa"/>
            <w:hideMark/>
          </w:tcPr>
          <w:p w14:paraId="5503AAD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8BDD58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i/>
                <w:iCs/>
                <w:color w:val="000000" w:themeColor="text1"/>
                <w:sz w:val="20"/>
                <w:szCs w:val="20"/>
              </w:rPr>
              <w:t>N=29</w:t>
            </w:r>
            <w:r w:rsidRPr="00005D0F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5B519D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bCs/>
                <w:i/>
                <w:iCs/>
                <w:color w:val="000000"/>
                <w:sz w:val="20"/>
                <w:szCs w:val="20"/>
              </w:rPr>
              <w:t>N=14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FAE4F9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bCs/>
                <w:i/>
                <w:iCs/>
                <w:color w:val="000000"/>
                <w:sz w:val="20"/>
                <w:szCs w:val="20"/>
              </w:rPr>
              <w:t>N=58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D300396" w14:textId="77777777" w:rsidR="00322A90" w:rsidRPr="00005D0F" w:rsidRDefault="00322A90" w:rsidP="00917BD1">
            <w:pPr>
              <w:rPr>
                <w:i/>
                <w:sz w:val="20"/>
                <w:szCs w:val="20"/>
              </w:rPr>
            </w:pPr>
            <w:r w:rsidRPr="00005D0F">
              <w:rPr>
                <w:i/>
                <w:sz w:val="20"/>
                <w:szCs w:val="20"/>
              </w:rPr>
              <w:t>N=101</w:t>
            </w:r>
          </w:p>
        </w:tc>
        <w:tc>
          <w:tcPr>
            <w:tcW w:w="796" w:type="dxa"/>
            <w:hideMark/>
          </w:tcPr>
          <w:p w14:paraId="5606600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005D0F">
              <w:rPr>
                <w:rStyle w:val="eop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09336DA5" w14:textId="77777777" w:rsidTr="00917BD1">
        <w:trPr>
          <w:trHeight w:val="110"/>
        </w:trPr>
        <w:tc>
          <w:tcPr>
            <w:tcW w:w="8355" w:type="dxa"/>
            <w:gridSpan w:val="6"/>
          </w:tcPr>
          <w:p w14:paraId="4FFF1E1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Age at Admission</w:t>
            </w:r>
            <w:r w:rsidRPr="00005D0F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1B557FC6" w14:textId="77777777" w:rsidTr="00917BD1">
        <w:trPr>
          <w:trHeight w:val="238"/>
        </w:trPr>
        <w:tc>
          <w:tcPr>
            <w:tcW w:w="1779" w:type="dxa"/>
            <w:hideMark/>
          </w:tcPr>
          <w:p w14:paraId="1502196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 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C9447D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F943C3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4D736F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F65716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1BC996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0E5DDEBC" w14:textId="77777777" w:rsidTr="00917BD1">
        <w:trPr>
          <w:trHeight w:val="238"/>
        </w:trPr>
        <w:tc>
          <w:tcPr>
            <w:tcW w:w="1779" w:type="dxa"/>
            <w:hideMark/>
          </w:tcPr>
          <w:p w14:paraId="3A139EB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Mean (SD)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1DBD309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21 (4)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DFD133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23 (4)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0D6744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22 (4)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E379F1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22 (4)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6DED9F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0.31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64F1DB55" w14:textId="77777777" w:rsidTr="00917BD1">
        <w:trPr>
          <w:trHeight w:val="95"/>
        </w:trPr>
        <w:tc>
          <w:tcPr>
            <w:tcW w:w="1779" w:type="dxa"/>
            <w:hideMark/>
          </w:tcPr>
          <w:p w14:paraId="423696A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Median (Range)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33D918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20 (16– 35)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C03D4B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22(18 – 35)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2A0506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22 (15 – 32)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DC7795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21 (15 – 35)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0888034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0.25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78AFEE75" w14:textId="77777777" w:rsidTr="00917BD1">
        <w:trPr>
          <w:trHeight w:val="192"/>
        </w:trPr>
        <w:tc>
          <w:tcPr>
            <w:tcW w:w="8355" w:type="dxa"/>
            <w:gridSpan w:val="6"/>
          </w:tcPr>
          <w:p w14:paraId="2D783C5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Years of education completed</w:t>
            </w:r>
          </w:p>
        </w:tc>
      </w:tr>
      <w:tr w:rsidR="00322A90" w:rsidRPr="00005D0F" w14:paraId="516316FE" w14:textId="77777777" w:rsidTr="00917BD1">
        <w:trPr>
          <w:trHeight w:val="238"/>
        </w:trPr>
        <w:tc>
          <w:tcPr>
            <w:tcW w:w="1779" w:type="dxa"/>
            <w:hideMark/>
          </w:tcPr>
          <w:p w14:paraId="105BED5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 (N Missing)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1AC558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B59133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34357F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993361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0F8DE3A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4E5EE247" w14:textId="77777777" w:rsidTr="00917BD1">
        <w:trPr>
          <w:trHeight w:val="238"/>
        </w:trPr>
        <w:tc>
          <w:tcPr>
            <w:tcW w:w="1779" w:type="dxa"/>
            <w:hideMark/>
          </w:tcPr>
          <w:p w14:paraId="6175F73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Mean (SD)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59B181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12(2)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9F7C28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(1)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20EFB52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(2)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70469E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(2)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F5FEEF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0.19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040B82CF" w14:textId="77777777" w:rsidTr="00917BD1">
        <w:trPr>
          <w:trHeight w:val="238"/>
        </w:trPr>
        <w:tc>
          <w:tcPr>
            <w:tcW w:w="1779" w:type="dxa"/>
            <w:hideMark/>
          </w:tcPr>
          <w:p w14:paraId="291B9D5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Median (Range)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36F69B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(9 – 16)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0436A4C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12(11 – 16)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F5B912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(9 – 20)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36DD380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(9 – 20)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5FBA2AD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0.23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213C09F2" w14:textId="77777777" w:rsidTr="00917BD1">
        <w:trPr>
          <w:trHeight w:val="238"/>
        </w:trPr>
        <w:tc>
          <w:tcPr>
            <w:tcW w:w="8355" w:type="dxa"/>
            <w:gridSpan w:val="6"/>
          </w:tcPr>
          <w:p w14:paraId="48A5F1D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First language </w:t>
            </w:r>
            <w:r w:rsidRPr="00005D0F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68517B72" w14:textId="77777777" w:rsidTr="00917BD1">
        <w:trPr>
          <w:trHeight w:val="238"/>
        </w:trPr>
        <w:tc>
          <w:tcPr>
            <w:tcW w:w="1779" w:type="dxa"/>
            <w:hideMark/>
          </w:tcPr>
          <w:p w14:paraId="175642E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351AEB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4FA9C7E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3F65CB3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3F31097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57440A7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772C2906" w14:textId="77777777" w:rsidTr="00917BD1">
        <w:trPr>
          <w:trHeight w:val="238"/>
        </w:trPr>
        <w:tc>
          <w:tcPr>
            <w:tcW w:w="1779" w:type="dxa"/>
            <w:hideMark/>
          </w:tcPr>
          <w:p w14:paraId="18F9C1E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All Others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09137B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E13AED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4283B6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467B1C6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7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7BFD9AB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B2575FC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0.22 </w:t>
            </w:r>
          </w:p>
        </w:tc>
      </w:tr>
      <w:tr w:rsidR="00322A90" w:rsidRPr="00005D0F" w14:paraId="73C1FAF9" w14:textId="77777777" w:rsidTr="00917BD1">
        <w:trPr>
          <w:trHeight w:val="238"/>
        </w:trPr>
        <w:tc>
          <w:tcPr>
            <w:tcW w:w="1779" w:type="dxa"/>
            <w:hideMark/>
          </w:tcPr>
          <w:p w14:paraId="742EBB4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English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FD33C1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25 (86%)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5B4A86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(93%)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1EAD48C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54 (96%)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78CE514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92 (93%)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1E10560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13351EAE" w14:textId="77777777" w:rsidTr="00917BD1">
        <w:trPr>
          <w:trHeight w:val="184"/>
        </w:trPr>
        <w:tc>
          <w:tcPr>
            <w:tcW w:w="8355" w:type="dxa"/>
            <w:gridSpan w:val="6"/>
          </w:tcPr>
          <w:p w14:paraId="73C622E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Born in USA</w:t>
            </w:r>
            <w:r w:rsidRPr="00005D0F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361DEA76" w14:textId="77777777" w:rsidTr="00917BD1">
        <w:trPr>
          <w:trHeight w:val="238"/>
        </w:trPr>
        <w:tc>
          <w:tcPr>
            <w:tcW w:w="1779" w:type="dxa"/>
            <w:hideMark/>
          </w:tcPr>
          <w:p w14:paraId="77E6C64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B52C16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60D189A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619B407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005D0F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C04B27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7B3EDFD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7C75A18B" w14:textId="77777777" w:rsidTr="00917BD1">
        <w:trPr>
          <w:trHeight w:val="238"/>
        </w:trPr>
        <w:tc>
          <w:tcPr>
            <w:tcW w:w="1779" w:type="dxa"/>
            <w:hideMark/>
          </w:tcPr>
          <w:p w14:paraId="34B882E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No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58320E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5 (17%)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291115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253C40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294E1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11 (11%)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048C1C4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26AADD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0.26</w:t>
            </w:r>
          </w:p>
        </w:tc>
      </w:tr>
      <w:tr w:rsidR="00322A90" w:rsidRPr="00005D0F" w14:paraId="563C0D03" w14:textId="77777777" w:rsidTr="00917BD1">
        <w:trPr>
          <w:trHeight w:val="238"/>
        </w:trPr>
        <w:tc>
          <w:tcPr>
            <w:tcW w:w="1779" w:type="dxa"/>
            <w:hideMark/>
          </w:tcPr>
          <w:p w14:paraId="47C359B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Yes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C55A3D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24 (83%)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C7C1BB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(86%)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04031C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53 (93%)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9C30B6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89 (89%)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A98E2A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29CC61F1" w14:textId="77777777" w:rsidTr="00917BD1">
        <w:trPr>
          <w:trHeight w:val="238"/>
        </w:trPr>
        <w:tc>
          <w:tcPr>
            <w:tcW w:w="8355" w:type="dxa"/>
            <w:gridSpan w:val="6"/>
          </w:tcPr>
          <w:p w14:paraId="58CC1EF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Household income before taxes, from all sources</w:t>
            </w:r>
          </w:p>
        </w:tc>
      </w:tr>
      <w:tr w:rsidR="00322A90" w:rsidRPr="00005D0F" w14:paraId="164D1F95" w14:textId="77777777" w:rsidTr="00917BD1">
        <w:trPr>
          <w:trHeight w:val="238"/>
        </w:trPr>
        <w:tc>
          <w:tcPr>
            <w:tcW w:w="1779" w:type="dxa"/>
            <w:hideMark/>
          </w:tcPr>
          <w:p w14:paraId="20D6123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F85ECF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FE0E53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51C785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6E49B01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19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005D0F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1BF4B84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6FD52D87" w14:textId="77777777" w:rsidTr="00917BD1">
        <w:trPr>
          <w:trHeight w:val="238"/>
        </w:trPr>
        <w:tc>
          <w:tcPr>
            <w:tcW w:w="1779" w:type="dxa"/>
            <w:hideMark/>
          </w:tcPr>
          <w:p w14:paraId="27C150A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Less than $40K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E40C38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10 (48%)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559910B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3 (38%)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C23290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15 (28%)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BEAB92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28 (34%)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16CD05E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690DE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46D7E5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0</w:t>
            </w:r>
            <w:r w:rsidRPr="00005D0F">
              <w:rPr>
                <w:rStyle w:val="eop"/>
                <w:sz w:val="20"/>
                <w:szCs w:val="20"/>
              </w:rPr>
              <w:t>.31</w:t>
            </w:r>
          </w:p>
        </w:tc>
      </w:tr>
      <w:tr w:rsidR="00322A90" w:rsidRPr="00005D0F" w14:paraId="0A6BC51E" w14:textId="77777777" w:rsidTr="00917BD1">
        <w:trPr>
          <w:trHeight w:val="238"/>
        </w:trPr>
        <w:tc>
          <w:tcPr>
            <w:tcW w:w="1779" w:type="dxa"/>
            <w:hideMark/>
          </w:tcPr>
          <w:p w14:paraId="60407CD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On/above $40K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5032EF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10 (48%)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062E475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3 (38%)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873037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29 (55%)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F58843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42 (51%)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1D4C3E3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74A4A594" w14:textId="77777777" w:rsidTr="00917BD1">
        <w:trPr>
          <w:trHeight w:val="238"/>
        </w:trPr>
        <w:tc>
          <w:tcPr>
            <w:tcW w:w="1779" w:type="dxa"/>
            <w:hideMark/>
          </w:tcPr>
          <w:p w14:paraId="6375C7B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Unknown/Refused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87BC40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(5%)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F1CD0E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(25%)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F87383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9 (17%)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1853B7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(15%)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F477D7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69629404" w14:textId="77777777" w:rsidTr="00917BD1">
        <w:trPr>
          <w:trHeight w:val="238"/>
        </w:trPr>
        <w:tc>
          <w:tcPr>
            <w:tcW w:w="8355" w:type="dxa"/>
            <w:gridSpan w:val="6"/>
          </w:tcPr>
          <w:p w14:paraId="6B7101E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Total personal income before taxes, from all sources</w:t>
            </w:r>
          </w:p>
        </w:tc>
      </w:tr>
      <w:tr w:rsidR="00322A90" w:rsidRPr="00005D0F" w14:paraId="17E0A1EA" w14:textId="77777777" w:rsidTr="00917BD1">
        <w:trPr>
          <w:trHeight w:val="238"/>
        </w:trPr>
        <w:tc>
          <w:tcPr>
            <w:tcW w:w="1779" w:type="dxa"/>
            <w:hideMark/>
          </w:tcPr>
          <w:p w14:paraId="05D557F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49C518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BF0AE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005D0F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B53807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0D746CD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467F2CA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1D829475" w14:textId="77777777" w:rsidTr="00917BD1">
        <w:trPr>
          <w:trHeight w:val="238"/>
        </w:trPr>
        <w:tc>
          <w:tcPr>
            <w:tcW w:w="1779" w:type="dxa"/>
            <w:hideMark/>
          </w:tcPr>
          <w:p w14:paraId="1FB05E0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Less than $40K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C14327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28 (100%)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DE01B9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13 (100%)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598EC04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48 (86%)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473308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89 (92%)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6219382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8C283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7EF2C48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sz w:val="20"/>
                <w:szCs w:val="20"/>
              </w:rPr>
              <w:t>.22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4418F82A" w14:textId="77777777" w:rsidTr="00917BD1">
        <w:trPr>
          <w:trHeight w:val="238"/>
        </w:trPr>
        <w:tc>
          <w:tcPr>
            <w:tcW w:w="1779" w:type="dxa"/>
            <w:hideMark/>
          </w:tcPr>
          <w:p w14:paraId="35861F3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On/above $40K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7568BBE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DFE545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0F6F80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6 (11%)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D97187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6 (6%)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893405C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48B1F473" w14:textId="77777777" w:rsidTr="00917BD1">
        <w:trPr>
          <w:trHeight w:val="238"/>
        </w:trPr>
        <w:tc>
          <w:tcPr>
            <w:tcW w:w="1779" w:type="dxa"/>
            <w:hideMark/>
          </w:tcPr>
          <w:p w14:paraId="0CF54EE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Unknown/Refused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9E1DAF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89A6C7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740855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14878E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45414E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6AE1ED07" w14:textId="77777777" w:rsidTr="00917BD1">
        <w:trPr>
          <w:trHeight w:val="238"/>
        </w:trPr>
        <w:tc>
          <w:tcPr>
            <w:tcW w:w="8355" w:type="dxa"/>
            <w:gridSpan w:val="6"/>
          </w:tcPr>
          <w:p w14:paraId="6DFBAB2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Racial background (self-report)</w:t>
            </w:r>
          </w:p>
        </w:tc>
      </w:tr>
      <w:tr w:rsidR="00322A90" w:rsidRPr="00005D0F" w14:paraId="13F86C3E" w14:textId="77777777" w:rsidTr="00917BD1">
        <w:trPr>
          <w:trHeight w:val="238"/>
        </w:trPr>
        <w:tc>
          <w:tcPr>
            <w:tcW w:w="1779" w:type="dxa"/>
            <w:hideMark/>
          </w:tcPr>
          <w:p w14:paraId="784F1B1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DCFB48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44C564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2F97FD4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74DD3C5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666035A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1AEE7ECE" w14:textId="77777777" w:rsidTr="00917BD1">
        <w:trPr>
          <w:trHeight w:val="238"/>
        </w:trPr>
        <w:tc>
          <w:tcPr>
            <w:tcW w:w="1779" w:type="dxa"/>
            <w:hideMark/>
          </w:tcPr>
          <w:p w14:paraId="3C5D4F0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White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2AE9F5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 (28%)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023522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613669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19 (33%)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71530F6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28 (28%)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1A8217B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D49DB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6B39EA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DAE58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sz w:val="20"/>
                <w:szCs w:val="20"/>
              </w:rPr>
              <w:t>.05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FA3688B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322A90" w:rsidRPr="00005D0F" w14:paraId="38EFCC46" w14:textId="77777777" w:rsidTr="00917BD1">
        <w:trPr>
          <w:trHeight w:val="238"/>
        </w:trPr>
        <w:tc>
          <w:tcPr>
            <w:tcW w:w="1779" w:type="dxa"/>
            <w:hideMark/>
          </w:tcPr>
          <w:p w14:paraId="4A83644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Black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DABB20B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(41%)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EDA223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11 (79%)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15E959C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29 (50%)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49E330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52 (51%)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64194819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2D750AB2" w14:textId="77777777" w:rsidTr="00917BD1">
        <w:trPr>
          <w:trHeight w:val="238"/>
        </w:trPr>
        <w:tc>
          <w:tcPr>
            <w:tcW w:w="1779" w:type="dxa"/>
            <w:hideMark/>
          </w:tcPr>
          <w:p w14:paraId="627C6BD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lastRenderedPageBreak/>
              <w:t>Asian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5A425C8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EE50BE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4055FD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D3BE38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4D937825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56AAF57E" w14:textId="77777777" w:rsidTr="00917BD1">
        <w:trPr>
          <w:trHeight w:val="238"/>
        </w:trPr>
        <w:tc>
          <w:tcPr>
            <w:tcW w:w="1779" w:type="dxa"/>
            <w:hideMark/>
          </w:tcPr>
          <w:p w14:paraId="7E280DA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Interracial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1A19CD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00A824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E35A58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B1C18E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(12%)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FF4A000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18A68EBF" w14:textId="77777777" w:rsidTr="00917BD1">
        <w:trPr>
          <w:trHeight w:val="238"/>
        </w:trPr>
        <w:tc>
          <w:tcPr>
            <w:tcW w:w="1779" w:type="dxa"/>
            <w:hideMark/>
          </w:tcPr>
          <w:p w14:paraId="7798C64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Others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AFB740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5B9EE91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A61DCB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75C665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7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4ECFE58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5F03B770" w14:textId="77777777" w:rsidTr="00917BD1">
        <w:trPr>
          <w:trHeight w:val="238"/>
        </w:trPr>
        <w:tc>
          <w:tcPr>
            <w:tcW w:w="8355" w:type="dxa"/>
            <w:gridSpan w:val="6"/>
          </w:tcPr>
          <w:p w14:paraId="48BEE92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Ethnicity</w:t>
            </w:r>
            <w:r w:rsidRPr="00005D0F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5BE12679" w14:textId="77777777" w:rsidTr="00917BD1">
        <w:trPr>
          <w:trHeight w:val="238"/>
        </w:trPr>
        <w:tc>
          <w:tcPr>
            <w:tcW w:w="1779" w:type="dxa"/>
            <w:hideMark/>
          </w:tcPr>
          <w:p w14:paraId="2CA132F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F2CB0B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3084B39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6DEAE13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66CF567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3B342E4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0A237D15" w14:textId="77777777" w:rsidTr="00917BD1">
        <w:trPr>
          <w:trHeight w:val="238"/>
        </w:trPr>
        <w:tc>
          <w:tcPr>
            <w:tcW w:w="1779" w:type="dxa"/>
            <w:hideMark/>
          </w:tcPr>
          <w:p w14:paraId="678DDC60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Non-Hispanic White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84C48B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6 (21%)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18E2EE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6AB3ED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15 (26%)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297C5C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22 (22%)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738A67A9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B7A37A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07342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0</w:t>
            </w:r>
            <w:r w:rsidRPr="00005D0F">
              <w:rPr>
                <w:rStyle w:val="eop"/>
                <w:sz w:val="20"/>
                <w:szCs w:val="20"/>
              </w:rPr>
              <w:t>.32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6684B75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005D0F" w14:paraId="0803A2D9" w14:textId="77777777" w:rsidTr="00917BD1">
        <w:trPr>
          <w:trHeight w:val="238"/>
        </w:trPr>
        <w:tc>
          <w:tcPr>
            <w:tcW w:w="1779" w:type="dxa"/>
            <w:hideMark/>
          </w:tcPr>
          <w:p w14:paraId="0E823D3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Non-Hispanic Black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573FFE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12 (41%)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E2C802E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11 (79%)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C3E40F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25 (43%)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B4E74C2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48 (48%)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5BE1FF15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0CADE9DE" w14:textId="77777777" w:rsidTr="00917BD1">
        <w:trPr>
          <w:trHeight w:val="238"/>
        </w:trPr>
        <w:tc>
          <w:tcPr>
            <w:tcW w:w="1779" w:type="dxa"/>
            <w:hideMark/>
          </w:tcPr>
          <w:p w14:paraId="0E8B069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Hispanic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689C68D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E92B8F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DCE6F8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10 (17%)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4398CCA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15 (15%)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57EF26BC" w14:textId="77777777" w:rsidR="00322A90" w:rsidRPr="00005D0F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5C253321" w14:textId="77777777" w:rsidTr="00917BD1">
        <w:trPr>
          <w:trHeight w:val="238"/>
        </w:trPr>
        <w:tc>
          <w:tcPr>
            <w:tcW w:w="1779" w:type="dxa"/>
            <w:hideMark/>
          </w:tcPr>
          <w:p w14:paraId="06F1AEE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Non-Hispanic Others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0CEE7A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7 (24%)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C9993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AAC8D48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8 (14%)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8B4E3C6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05D0F">
              <w:rPr>
                <w:rStyle w:val="normaltextrun"/>
                <w:color w:val="000000"/>
                <w:sz w:val="20"/>
                <w:szCs w:val="20"/>
              </w:rPr>
              <w:t>16 (16%)</w:t>
            </w:r>
            <w:r w:rsidRPr="00005D0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E9318A5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005D0F" w14:paraId="71C99EE0" w14:textId="77777777" w:rsidTr="00917BD1">
        <w:trPr>
          <w:trHeight w:val="238"/>
        </w:trPr>
        <w:tc>
          <w:tcPr>
            <w:tcW w:w="8355" w:type="dxa"/>
            <w:gridSpan w:val="6"/>
          </w:tcPr>
          <w:p w14:paraId="1A2753E1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z w:val="20"/>
                <w:szCs w:val="20"/>
                <w:lang w:val="en-US"/>
              </w:rPr>
            </w:pPr>
            <w:r w:rsidRPr="00005D0F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Citizenship status</w:t>
            </w:r>
            <w:r w:rsidRPr="00005D0F">
              <w:rPr>
                <w:rStyle w:val="normaltextru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22A90" w:rsidRPr="00005D0F" w14:paraId="23D78FD5" w14:textId="77777777" w:rsidTr="00917BD1">
        <w:trPr>
          <w:trHeight w:val="238"/>
        </w:trPr>
        <w:tc>
          <w:tcPr>
            <w:tcW w:w="1779" w:type="dxa"/>
          </w:tcPr>
          <w:p w14:paraId="5EE0E3CB" w14:textId="77777777" w:rsidR="00322A90" w:rsidRPr="00005D0F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005D0F">
              <w:rPr>
                <w:rStyle w:val="normaltextrun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448" w:type="dxa"/>
          </w:tcPr>
          <w:p w14:paraId="748FDCA7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0</w:t>
            </w:r>
            <w:r w:rsidRPr="00005D0F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E10E0D0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0</w:t>
            </w:r>
            <w:r w:rsidRPr="00005D0F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14:paraId="788D65D9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14:paraId="63893150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2135B117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  <w:lang w:val="en-US"/>
              </w:rPr>
            </w:pPr>
          </w:p>
        </w:tc>
      </w:tr>
      <w:tr w:rsidR="00322A90" w:rsidRPr="00005D0F" w14:paraId="4CEA1824" w14:textId="77777777" w:rsidTr="00917BD1">
        <w:trPr>
          <w:trHeight w:val="238"/>
        </w:trPr>
        <w:tc>
          <w:tcPr>
            <w:tcW w:w="1779" w:type="dxa"/>
          </w:tcPr>
          <w:p w14:paraId="1FB59501" w14:textId="77777777" w:rsidR="00322A90" w:rsidRPr="00005D0F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005D0F">
              <w:rPr>
                <w:rStyle w:val="normaltextrun"/>
                <w:sz w:val="20"/>
                <w:szCs w:val="20"/>
                <w:lang w:eastAsia="en-GB"/>
              </w:rPr>
              <w:t>Permanent Resident</w:t>
            </w:r>
          </w:p>
        </w:tc>
        <w:tc>
          <w:tcPr>
            <w:tcW w:w="1448" w:type="dxa"/>
          </w:tcPr>
          <w:p w14:paraId="14220ACD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3 (10%)</w:t>
            </w:r>
          </w:p>
        </w:tc>
        <w:tc>
          <w:tcPr>
            <w:tcW w:w="1984" w:type="dxa"/>
          </w:tcPr>
          <w:p w14:paraId="7905203A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1563" w:type="dxa"/>
          </w:tcPr>
          <w:p w14:paraId="54B25565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85" w:type="dxa"/>
          </w:tcPr>
          <w:p w14:paraId="5882D4FD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3 (3%)</w:t>
            </w:r>
          </w:p>
        </w:tc>
        <w:tc>
          <w:tcPr>
            <w:tcW w:w="796" w:type="dxa"/>
            <w:vMerge w:val="restart"/>
          </w:tcPr>
          <w:p w14:paraId="2E31CAD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  <w:p w14:paraId="473EBD1F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005D0F">
              <w:rPr>
                <w:rStyle w:val="eop"/>
                <w:color w:val="000000"/>
                <w:sz w:val="20"/>
                <w:szCs w:val="20"/>
              </w:rPr>
              <w:t>**0.01</w:t>
            </w:r>
          </w:p>
        </w:tc>
      </w:tr>
      <w:tr w:rsidR="00322A90" w:rsidRPr="00005D0F" w14:paraId="2E7A9CEB" w14:textId="77777777" w:rsidTr="00917BD1">
        <w:trPr>
          <w:trHeight w:val="238"/>
        </w:trPr>
        <w:tc>
          <w:tcPr>
            <w:tcW w:w="1779" w:type="dxa"/>
          </w:tcPr>
          <w:p w14:paraId="4BACFAAA" w14:textId="77777777" w:rsidR="00322A90" w:rsidRPr="00005D0F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005D0F">
              <w:rPr>
                <w:rStyle w:val="normaltextrun"/>
                <w:sz w:val="20"/>
                <w:szCs w:val="20"/>
                <w:lang w:eastAsia="en-GB"/>
              </w:rPr>
              <w:t>Refugee</w:t>
            </w:r>
          </w:p>
        </w:tc>
        <w:tc>
          <w:tcPr>
            <w:tcW w:w="1448" w:type="dxa"/>
          </w:tcPr>
          <w:p w14:paraId="46192094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1 (3%)</w:t>
            </w:r>
          </w:p>
        </w:tc>
        <w:tc>
          <w:tcPr>
            <w:tcW w:w="1984" w:type="dxa"/>
          </w:tcPr>
          <w:p w14:paraId="4D0398EB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1 (7%)</w:t>
            </w:r>
          </w:p>
        </w:tc>
        <w:tc>
          <w:tcPr>
            <w:tcW w:w="1563" w:type="dxa"/>
          </w:tcPr>
          <w:p w14:paraId="1E0E5055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85" w:type="dxa"/>
          </w:tcPr>
          <w:p w14:paraId="262C8201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2 (2%)</w:t>
            </w:r>
          </w:p>
        </w:tc>
        <w:tc>
          <w:tcPr>
            <w:tcW w:w="796" w:type="dxa"/>
            <w:vMerge/>
          </w:tcPr>
          <w:p w14:paraId="148431E3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</w:tr>
      <w:tr w:rsidR="00322A90" w:rsidRPr="00005D0F" w14:paraId="4C620575" w14:textId="77777777" w:rsidTr="00917BD1">
        <w:trPr>
          <w:trHeight w:val="48"/>
        </w:trPr>
        <w:tc>
          <w:tcPr>
            <w:tcW w:w="1779" w:type="dxa"/>
          </w:tcPr>
          <w:p w14:paraId="30E2B9D7" w14:textId="77777777" w:rsidR="00322A90" w:rsidRPr="00005D0F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005D0F">
              <w:rPr>
                <w:rStyle w:val="normaltextrun"/>
                <w:sz w:val="20"/>
                <w:szCs w:val="20"/>
                <w:lang w:eastAsia="en-GB"/>
              </w:rPr>
              <w:t>US citizen</w:t>
            </w:r>
          </w:p>
        </w:tc>
        <w:tc>
          <w:tcPr>
            <w:tcW w:w="1448" w:type="dxa"/>
          </w:tcPr>
          <w:p w14:paraId="0500381D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25 (86%)</w:t>
            </w:r>
          </w:p>
        </w:tc>
        <w:tc>
          <w:tcPr>
            <w:tcW w:w="1984" w:type="dxa"/>
          </w:tcPr>
          <w:p w14:paraId="74755D31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13 (93%)</w:t>
            </w:r>
          </w:p>
        </w:tc>
        <w:tc>
          <w:tcPr>
            <w:tcW w:w="1563" w:type="dxa"/>
          </w:tcPr>
          <w:p w14:paraId="55850488" w14:textId="77777777" w:rsidR="00322A90" w:rsidRPr="00005D0F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57 (100%)</w:t>
            </w:r>
          </w:p>
        </w:tc>
        <w:tc>
          <w:tcPr>
            <w:tcW w:w="785" w:type="dxa"/>
          </w:tcPr>
          <w:p w14:paraId="6B0BA640" w14:textId="77777777" w:rsidR="00322A90" w:rsidRPr="00005D0F" w:rsidRDefault="00322A90" w:rsidP="00917BD1">
            <w:pPr>
              <w:adjustRightInd w:val="0"/>
              <w:rPr>
                <w:color w:val="000000"/>
                <w:sz w:val="20"/>
                <w:szCs w:val="20"/>
              </w:rPr>
            </w:pPr>
            <w:r w:rsidRPr="00005D0F">
              <w:rPr>
                <w:color w:val="000000"/>
                <w:sz w:val="20"/>
                <w:szCs w:val="20"/>
              </w:rPr>
              <w:t>9</w:t>
            </w:r>
            <w:r w:rsidRPr="00005D0F">
              <w:rPr>
                <w:sz w:val="20"/>
                <w:szCs w:val="20"/>
              </w:rPr>
              <w:t>5 (95%)</w:t>
            </w:r>
          </w:p>
        </w:tc>
        <w:tc>
          <w:tcPr>
            <w:tcW w:w="796" w:type="dxa"/>
            <w:vMerge/>
          </w:tcPr>
          <w:p w14:paraId="38F5E514" w14:textId="77777777" w:rsidR="00322A90" w:rsidRPr="00005D0F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</w:tr>
    </w:tbl>
    <w:p w14:paraId="3DAB99A6" w14:textId="77777777" w:rsidR="00322A90" w:rsidRPr="00005D0F" w:rsidRDefault="00322A90"/>
    <w:p w14:paraId="10BD6826" w14:textId="44954C90" w:rsidR="00322A90" w:rsidRPr="00005D0F" w:rsidRDefault="00322A90" w:rsidP="00322A90">
      <w:pPr>
        <w:pStyle w:val="BodyText"/>
        <w:spacing w:before="158" w:line="480" w:lineRule="auto"/>
        <w:ind w:left="0" w:right="842"/>
        <w:rPr>
          <w:i/>
          <w:iCs/>
        </w:rPr>
      </w:pPr>
      <w:r w:rsidRPr="00005D0F">
        <w:rPr>
          <w:u w:val="single"/>
          <w:vertAlign w:val="superscript"/>
        </w:rPr>
        <w:t>¥</w:t>
      </w:r>
      <w:r w:rsidRPr="00005D0F">
        <w:t>rounded to whole numbers</w:t>
      </w:r>
      <w:r w:rsidRPr="00005D0F">
        <w:rPr>
          <w:i/>
          <w:iCs/>
        </w:rPr>
        <w:t>.</w:t>
      </w:r>
    </w:p>
    <w:p w14:paraId="14A79CA5" w14:textId="77777777" w:rsidR="00B40CD5" w:rsidRPr="00005D0F" w:rsidRDefault="00B40CD5" w:rsidP="00322A90">
      <w:pPr>
        <w:pStyle w:val="BodyText"/>
        <w:spacing w:before="158" w:line="480" w:lineRule="auto"/>
        <w:ind w:left="0" w:right="842"/>
        <w:rPr>
          <w:i/>
          <w:iCs/>
        </w:rPr>
      </w:pPr>
    </w:p>
    <w:p w14:paraId="54144C43" w14:textId="10C9788B" w:rsidR="00B40CD5" w:rsidRPr="00005D0F" w:rsidRDefault="00B40CD5" w:rsidP="00B40CD5">
      <w:pPr>
        <w:spacing w:line="480" w:lineRule="auto"/>
        <w:rPr>
          <w:b/>
          <w:bCs/>
        </w:rPr>
      </w:pPr>
      <w:r w:rsidRPr="00005D0F">
        <w:rPr>
          <w:b/>
          <w:bCs/>
        </w:rPr>
        <w:t>Supplementary table 2:</w:t>
      </w:r>
      <w:r w:rsidRPr="00005D0F">
        <w:t xml:space="preserve"> </w:t>
      </w:r>
      <w:r w:rsidR="006E56B8" w:rsidRPr="00005D0F">
        <w:t>Number</w:t>
      </w:r>
      <w:r w:rsidRPr="00005D0F">
        <w:t>, percentage and rate of individuals recruited to the STEP clinic between February 1, 2014 and March 21, 2022, divided into epochs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63"/>
        <w:gridCol w:w="1358"/>
        <w:gridCol w:w="913"/>
        <w:gridCol w:w="1194"/>
        <w:gridCol w:w="1350"/>
        <w:gridCol w:w="1902"/>
      </w:tblGrid>
      <w:tr w:rsidR="00B40CD5" w:rsidRPr="00005D0F" w14:paraId="0786AEC0" w14:textId="77777777" w:rsidTr="00CF4DED">
        <w:trPr>
          <w:trHeight w:val="300"/>
        </w:trPr>
        <w:tc>
          <w:tcPr>
            <w:tcW w:w="2463" w:type="dxa"/>
            <w:hideMark/>
          </w:tcPr>
          <w:p w14:paraId="29BE8128" w14:textId="77777777" w:rsidR="00B40CD5" w:rsidRPr="00005D0F" w:rsidRDefault="00B40CD5" w:rsidP="00917BD1">
            <w:pPr>
              <w:widowControl w:val="0"/>
              <w:autoSpaceDE w:val="0"/>
              <w:autoSpaceDN w:val="0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Epoch (date range) </w:t>
            </w:r>
          </w:p>
        </w:tc>
        <w:tc>
          <w:tcPr>
            <w:tcW w:w="1358" w:type="dxa"/>
            <w:hideMark/>
          </w:tcPr>
          <w:p w14:paraId="0C6D94B4" w14:textId="647C21C4" w:rsidR="00B40CD5" w:rsidRPr="00005D0F" w:rsidRDefault="006E56B8" w:rsidP="00917BD1">
            <w:pPr>
              <w:widowControl w:val="0"/>
              <w:autoSpaceDE w:val="0"/>
              <w:autoSpaceDN w:val="0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Number </w:t>
            </w:r>
            <w:r w:rsidR="00CF4DED"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(</w:t>
            </w:r>
            <w:r w:rsidR="00D646E0"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N</w:t>
            </w:r>
            <w:r w:rsidR="00CF4DED"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13" w:type="dxa"/>
            <w:hideMark/>
          </w:tcPr>
          <w:p w14:paraId="62EE8791" w14:textId="77777777" w:rsidR="00B40CD5" w:rsidRPr="00005D0F" w:rsidRDefault="00B40CD5" w:rsidP="00917BD1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Percent </w:t>
            </w:r>
          </w:p>
        </w:tc>
        <w:tc>
          <w:tcPr>
            <w:tcW w:w="1194" w:type="dxa"/>
            <w:hideMark/>
          </w:tcPr>
          <w:p w14:paraId="73D3BF22" w14:textId="09283D8A" w:rsidR="00B40CD5" w:rsidRPr="00005D0F" w:rsidRDefault="00B40CD5" w:rsidP="00917BD1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Cumulative</w:t>
            </w:r>
            <w:r w:rsidR="00D646E0"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 xml:space="preserve"> (N)</w:t>
            </w: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hideMark/>
          </w:tcPr>
          <w:p w14:paraId="1D58660D" w14:textId="77777777" w:rsidR="00B40CD5" w:rsidRPr="00005D0F" w:rsidRDefault="00B40CD5" w:rsidP="00917BD1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Cumulative Percent </w:t>
            </w:r>
          </w:p>
        </w:tc>
        <w:tc>
          <w:tcPr>
            <w:tcW w:w="1902" w:type="dxa"/>
          </w:tcPr>
          <w:p w14:paraId="634FCD5F" w14:textId="77777777" w:rsidR="00B40CD5" w:rsidRPr="00005D0F" w:rsidRDefault="00B40CD5" w:rsidP="00917BD1">
            <w:pPr>
              <w:rPr>
                <w:b/>
                <w:bCs/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353535"/>
                <w:sz w:val="20"/>
                <w:szCs w:val="20"/>
                <w:lang w:eastAsia="en-GB"/>
              </w:rPr>
              <w:t>Rate (admissions/month)</w:t>
            </w:r>
          </w:p>
        </w:tc>
      </w:tr>
      <w:tr w:rsidR="00B40CD5" w:rsidRPr="00005D0F" w14:paraId="4EF4F951" w14:textId="77777777" w:rsidTr="00CF4DED">
        <w:trPr>
          <w:trHeight w:val="300"/>
        </w:trPr>
        <w:tc>
          <w:tcPr>
            <w:tcW w:w="2463" w:type="dxa"/>
            <w:hideMark/>
          </w:tcPr>
          <w:p w14:paraId="54EAAB2E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Pre-campaign </w:t>
            </w:r>
          </w:p>
          <w:p w14:paraId="49B5DCBA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(Feb 1, 2014–Jan 31, 2015) </w:t>
            </w:r>
          </w:p>
        </w:tc>
        <w:tc>
          <w:tcPr>
            <w:tcW w:w="1358" w:type="dxa"/>
            <w:hideMark/>
          </w:tcPr>
          <w:p w14:paraId="60E19D51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23 </w:t>
            </w:r>
          </w:p>
        </w:tc>
        <w:tc>
          <w:tcPr>
            <w:tcW w:w="913" w:type="dxa"/>
            <w:hideMark/>
          </w:tcPr>
          <w:p w14:paraId="4A5D0CC9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8.46 </w:t>
            </w:r>
          </w:p>
        </w:tc>
        <w:tc>
          <w:tcPr>
            <w:tcW w:w="1194" w:type="dxa"/>
            <w:hideMark/>
          </w:tcPr>
          <w:p w14:paraId="6EC0451F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23 </w:t>
            </w:r>
          </w:p>
        </w:tc>
        <w:tc>
          <w:tcPr>
            <w:tcW w:w="1350" w:type="dxa"/>
            <w:hideMark/>
          </w:tcPr>
          <w:p w14:paraId="6128A8C0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8.46 </w:t>
            </w:r>
          </w:p>
        </w:tc>
        <w:tc>
          <w:tcPr>
            <w:tcW w:w="1902" w:type="dxa"/>
          </w:tcPr>
          <w:p w14:paraId="6FDEBC91" w14:textId="77777777" w:rsidR="00B40CD5" w:rsidRPr="00005D0F" w:rsidRDefault="00B40CD5" w:rsidP="00917BD1">
            <w:pPr>
              <w:jc w:val="right"/>
              <w:rPr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1.9</w:t>
            </w:r>
          </w:p>
        </w:tc>
      </w:tr>
      <w:tr w:rsidR="00B40CD5" w:rsidRPr="00005D0F" w14:paraId="3D7C7686" w14:textId="77777777" w:rsidTr="00CF4DED">
        <w:trPr>
          <w:trHeight w:val="300"/>
        </w:trPr>
        <w:tc>
          <w:tcPr>
            <w:tcW w:w="2463" w:type="dxa"/>
            <w:hideMark/>
          </w:tcPr>
          <w:p w14:paraId="270D6ED2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proofErr w:type="spellStart"/>
            <w:r w:rsidRPr="00005D0F">
              <w:rPr>
                <w:color w:val="353535"/>
                <w:sz w:val="20"/>
                <w:szCs w:val="20"/>
                <w:lang w:eastAsia="en-GB"/>
              </w:rPr>
              <w:t>Mindmap</w:t>
            </w:r>
            <w:proofErr w:type="spellEnd"/>
            <w:r w:rsidRPr="00005D0F">
              <w:rPr>
                <w:color w:val="353535"/>
                <w:sz w:val="20"/>
                <w:szCs w:val="20"/>
                <w:lang w:eastAsia="en-GB"/>
              </w:rPr>
              <w:t xml:space="preserve"> campaign </w:t>
            </w:r>
          </w:p>
          <w:p w14:paraId="49613253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(Feb 1, 2015–Jan 31, 2019) </w:t>
            </w:r>
          </w:p>
        </w:tc>
        <w:tc>
          <w:tcPr>
            <w:tcW w:w="1358" w:type="dxa"/>
            <w:hideMark/>
          </w:tcPr>
          <w:p w14:paraId="30D4714C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148 </w:t>
            </w:r>
          </w:p>
        </w:tc>
        <w:tc>
          <w:tcPr>
            <w:tcW w:w="913" w:type="dxa"/>
            <w:hideMark/>
          </w:tcPr>
          <w:p w14:paraId="610B2D99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54.41 </w:t>
            </w:r>
          </w:p>
        </w:tc>
        <w:tc>
          <w:tcPr>
            <w:tcW w:w="1194" w:type="dxa"/>
            <w:hideMark/>
          </w:tcPr>
          <w:p w14:paraId="04E1413E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171 </w:t>
            </w:r>
          </w:p>
        </w:tc>
        <w:tc>
          <w:tcPr>
            <w:tcW w:w="1350" w:type="dxa"/>
            <w:hideMark/>
          </w:tcPr>
          <w:p w14:paraId="5090A843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62.87 </w:t>
            </w:r>
          </w:p>
        </w:tc>
        <w:tc>
          <w:tcPr>
            <w:tcW w:w="1902" w:type="dxa"/>
          </w:tcPr>
          <w:p w14:paraId="5893E9C8" w14:textId="77777777" w:rsidR="00B40CD5" w:rsidRPr="00005D0F" w:rsidRDefault="00B40CD5" w:rsidP="00917BD1">
            <w:pPr>
              <w:jc w:val="right"/>
              <w:rPr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3.1</w:t>
            </w:r>
          </w:p>
        </w:tc>
      </w:tr>
      <w:tr w:rsidR="00B40CD5" w:rsidRPr="00005D0F" w14:paraId="4D9467EC" w14:textId="77777777" w:rsidTr="00CF4DED">
        <w:trPr>
          <w:trHeight w:val="300"/>
        </w:trPr>
        <w:tc>
          <w:tcPr>
            <w:tcW w:w="2463" w:type="dxa"/>
            <w:hideMark/>
          </w:tcPr>
          <w:p w14:paraId="6ADBB67D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Post campaign, pre pandemic  </w:t>
            </w:r>
          </w:p>
          <w:p w14:paraId="09F4C204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(Feb 1, 2019–Mar 14, 2020) </w:t>
            </w:r>
          </w:p>
        </w:tc>
        <w:tc>
          <w:tcPr>
            <w:tcW w:w="1358" w:type="dxa"/>
            <w:hideMark/>
          </w:tcPr>
          <w:p w14:paraId="0DC3B673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29 </w:t>
            </w:r>
          </w:p>
        </w:tc>
        <w:tc>
          <w:tcPr>
            <w:tcW w:w="913" w:type="dxa"/>
            <w:hideMark/>
          </w:tcPr>
          <w:p w14:paraId="283B0696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10.66 </w:t>
            </w:r>
          </w:p>
        </w:tc>
        <w:tc>
          <w:tcPr>
            <w:tcW w:w="1194" w:type="dxa"/>
            <w:hideMark/>
          </w:tcPr>
          <w:p w14:paraId="7B7873CB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200 </w:t>
            </w:r>
          </w:p>
        </w:tc>
        <w:tc>
          <w:tcPr>
            <w:tcW w:w="1350" w:type="dxa"/>
            <w:hideMark/>
          </w:tcPr>
          <w:p w14:paraId="56FF21A4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73.53 </w:t>
            </w:r>
          </w:p>
        </w:tc>
        <w:tc>
          <w:tcPr>
            <w:tcW w:w="1902" w:type="dxa"/>
          </w:tcPr>
          <w:p w14:paraId="14BA63D4" w14:textId="77777777" w:rsidR="00B40CD5" w:rsidRPr="00005D0F" w:rsidRDefault="00B40CD5" w:rsidP="00917BD1">
            <w:pPr>
              <w:jc w:val="right"/>
              <w:rPr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2.1</w:t>
            </w:r>
          </w:p>
        </w:tc>
      </w:tr>
      <w:tr w:rsidR="00B40CD5" w:rsidRPr="00005D0F" w14:paraId="653F6074" w14:textId="77777777" w:rsidTr="00CF4DED">
        <w:trPr>
          <w:trHeight w:val="300"/>
        </w:trPr>
        <w:tc>
          <w:tcPr>
            <w:tcW w:w="2463" w:type="dxa"/>
            <w:hideMark/>
          </w:tcPr>
          <w:p w14:paraId="5163B382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Early pandemic </w:t>
            </w:r>
          </w:p>
          <w:p w14:paraId="78EA55D8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(Mar 15, 2020-Sept 14, 2020) </w:t>
            </w:r>
          </w:p>
        </w:tc>
        <w:tc>
          <w:tcPr>
            <w:tcW w:w="1358" w:type="dxa"/>
            <w:hideMark/>
          </w:tcPr>
          <w:p w14:paraId="50EC3495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sz w:val="20"/>
                <w:szCs w:val="20"/>
                <w:lang w:eastAsia="en-GB"/>
              </w:rPr>
              <w:t>14 </w:t>
            </w:r>
          </w:p>
        </w:tc>
        <w:tc>
          <w:tcPr>
            <w:tcW w:w="913" w:type="dxa"/>
            <w:hideMark/>
          </w:tcPr>
          <w:p w14:paraId="10AA0E60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000000"/>
                <w:sz w:val="20"/>
                <w:szCs w:val="20"/>
                <w:lang w:eastAsia="en-GB"/>
              </w:rPr>
              <w:t>5.15 </w:t>
            </w:r>
          </w:p>
        </w:tc>
        <w:tc>
          <w:tcPr>
            <w:tcW w:w="1194" w:type="dxa"/>
            <w:hideMark/>
          </w:tcPr>
          <w:p w14:paraId="66F62EF9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000000"/>
                <w:sz w:val="20"/>
                <w:szCs w:val="20"/>
                <w:lang w:eastAsia="en-GB"/>
              </w:rPr>
              <w:t>214 </w:t>
            </w:r>
          </w:p>
        </w:tc>
        <w:tc>
          <w:tcPr>
            <w:tcW w:w="1350" w:type="dxa"/>
            <w:hideMark/>
          </w:tcPr>
          <w:p w14:paraId="0D74E5D8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78.67 </w:t>
            </w:r>
          </w:p>
        </w:tc>
        <w:tc>
          <w:tcPr>
            <w:tcW w:w="1902" w:type="dxa"/>
          </w:tcPr>
          <w:p w14:paraId="58A24BB6" w14:textId="77777777" w:rsidR="00B40CD5" w:rsidRPr="00005D0F" w:rsidRDefault="00B40CD5" w:rsidP="00917BD1">
            <w:pPr>
              <w:jc w:val="right"/>
              <w:rPr>
                <w:sz w:val="20"/>
                <w:szCs w:val="20"/>
                <w:lang w:eastAsia="en-GB"/>
              </w:rPr>
            </w:pPr>
            <w:r w:rsidRPr="00005D0F">
              <w:rPr>
                <w:sz w:val="20"/>
                <w:szCs w:val="20"/>
                <w:lang w:eastAsia="en-GB"/>
              </w:rPr>
              <w:t>2.3</w:t>
            </w:r>
          </w:p>
        </w:tc>
      </w:tr>
      <w:tr w:rsidR="00B40CD5" w:rsidRPr="00005D0F" w14:paraId="28732877" w14:textId="77777777" w:rsidTr="00CF4DED">
        <w:trPr>
          <w:trHeight w:val="300"/>
        </w:trPr>
        <w:tc>
          <w:tcPr>
            <w:tcW w:w="2463" w:type="dxa"/>
            <w:hideMark/>
          </w:tcPr>
          <w:p w14:paraId="4B642C17" w14:textId="77777777" w:rsidR="00B40CD5" w:rsidRPr="00005D0F" w:rsidRDefault="00B40CD5" w:rsidP="00917BD1">
            <w:pPr>
              <w:textAlignment w:val="baseline"/>
              <w:rPr>
                <w:bCs/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Late pandemic</w:t>
            </w:r>
          </w:p>
          <w:p w14:paraId="5CFC420D" w14:textId="77777777" w:rsidR="00B40CD5" w:rsidRPr="00005D0F" w:rsidRDefault="00B40CD5" w:rsidP="00917BD1">
            <w:pPr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(Sept 15, 2020–March 21, 2022) </w:t>
            </w:r>
          </w:p>
        </w:tc>
        <w:tc>
          <w:tcPr>
            <w:tcW w:w="1358" w:type="dxa"/>
            <w:hideMark/>
          </w:tcPr>
          <w:p w14:paraId="547EC271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58 </w:t>
            </w:r>
          </w:p>
        </w:tc>
        <w:tc>
          <w:tcPr>
            <w:tcW w:w="913" w:type="dxa"/>
            <w:hideMark/>
          </w:tcPr>
          <w:p w14:paraId="1DF63B1A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21.3 </w:t>
            </w:r>
          </w:p>
        </w:tc>
        <w:tc>
          <w:tcPr>
            <w:tcW w:w="1194" w:type="dxa"/>
            <w:hideMark/>
          </w:tcPr>
          <w:p w14:paraId="0A4603F4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272 </w:t>
            </w:r>
          </w:p>
        </w:tc>
        <w:tc>
          <w:tcPr>
            <w:tcW w:w="1350" w:type="dxa"/>
            <w:hideMark/>
          </w:tcPr>
          <w:p w14:paraId="3B126143" w14:textId="77777777" w:rsidR="00B40CD5" w:rsidRPr="00005D0F" w:rsidRDefault="00B40CD5" w:rsidP="00917BD1">
            <w:pPr>
              <w:jc w:val="right"/>
              <w:textAlignment w:val="baseline"/>
              <w:rPr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100 </w:t>
            </w:r>
          </w:p>
        </w:tc>
        <w:tc>
          <w:tcPr>
            <w:tcW w:w="1902" w:type="dxa"/>
          </w:tcPr>
          <w:p w14:paraId="4B2A14F7" w14:textId="77777777" w:rsidR="00B40CD5" w:rsidRPr="00005D0F" w:rsidRDefault="00B40CD5" w:rsidP="00917BD1">
            <w:pPr>
              <w:jc w:val="right"/>
              <w:rPr>
                <w:color w:val="353535"/>
                <w:sz w:val="20"/>
                <w:szCs w:val="20"/>
                <w:lang w:eastAsia="en-GB"/>
              </w:rPr>
            </w:pPr>
            <w:r w:rsidRPr="00005D0F">
              <w:rPr>
                <w:color w:val="353535"/>
                <w:sz w:val="20"/>
                <w:szCs w:val="20"/>
                <w:lang w:eastAsia="en-GB"/>
              </w:rPr>
              <w:t>3.2</w:t>
            </w:r>
          </w:p>
        </w:tc>
      </w:tr>
    </w:tbl>
    <w:p w14:paraId="1EC3F80F" w14:textId="77777777" w:rsidR="00322A90" w:rsidRPr="00005D0F" w:rsidRDefault="00322A90" w:rsidP="00322A90">
      <w:pPr>
        <w:spacing w:line="480" w:lineRule="auto"/>
        <w:rPr>
          <w:b/>
          <w:bCs/>
        </w:rPr>
      </w:pPr>
    </w:p>
    <w:p w14:paraId="3D9614B8" w14:textId="77777777" w:rsidR="00B40CD5" w:rsidRPr="00005D0F" w:rsidRDefault="00B40CD5" w:rsidP="00322A90">
      <w:pPr>
        <w:spacing w:line="480" w:lineRule="auto"/>
        <w:rPr>
          <w:b/>
          <w:bCs/>
        </w:rPr>
      </w:pPr>
    </w:p>
    <w:p w14:paraId="0CE81635" w14:textId="77777777" w:rsidR="00B40CD5" w:rsidRPr="00005D0F" w:rsidRDefault="00B40CD5" w:rsidP="00322A90">
      <w:pPr>
        <w:spacing w:line="480" w:lineRule="auto"/>
        <w:rPr>
          <w:b/>
          <w:bCs/>
        </w:rPr>
      </w:pPr>
    </w:p>
    <w:p w14:paraId="40DDD6D3" w14:textId="4C80DFAA" w:rsidR="00322A90" w:rsidRPr="00005D0F" w:rsidRDefault="007E4654" w:rsidP="00322A90">
      <w:pPr>
        <w:spacing w:line="480" w:lineRule="auto"/>
      </w:pPr>
      <w:r w:rsidRPr="00005D0F">
        <w:rPr>
          <w:b/>
          <w:bCs/>
        </w:rPr>
        <w:lastRenderedPageBreak/>
        <w:t>Supplementary t</w:t>
      </w:r>
      <w:r w:rsidR="00322A90" w:rsidRPr="00005D0F">
        <w:rPr>
          <w:b/>
          <w:bCs/>
        </w:rPr>
        <w:t xml:space="preserve">able </w:t>
      </w:r>
      <w:r w:rsidR="00B40CD5" w:rsidRPr="00005D0F">
        <w:rPr>
          <w:b/>
          <w:bCs/>
        </w:rPr>
        <w:t>3</w:t>
      </w:r>
      <w:r w:rsidR="00322A90" w:rsidRPr="00005D0F">
        <w:rPr>
          <w:b/>
          <w:bCs/>
        </w:rPr>
        <w:t>:</w:t>
      </w:r>
      <w:r w:rsidR="00322A90" w:rsidRPr="00005D0F">
        <w:t xml:space="preserve"> Mean and median of </w:t>
      </w:r>
      <w:r w:rsidR="00322A90" w:rsidRPr="00005D0F">
        <w:rPr>
          <w:i/>
          <w:iCs/>
        </w:rPr>
        <w:t>DUP</w:t>
      </w:r>
      <w:r w:rsidR="00322A90" w:rsidRPr="00005D0F">
        <w:t>-</w:t>
      </w:r>
      <w:r w:rsidR="00322A90" w:rsidRPr="00005D0F">
        <w:rPr>
          <w:i/>
        </w:rPr>
        <w:t>Total</w:t>
      </w:r>
      <w:r w:rsidR="00322A90" w:rsidRPr="00005D0F">
        <w:t xml:space="preserve">, </w:t>
      </w:r>
      <w:r w:rsidR="00322A90" w:rsidRPr="00005D0F">
        <w:rPr>
          <w:i/>
          <w:iCs/>
        </w:rPr>
        <w:t>DUP</w:t>
      </w:r>
      <w:r w:rsidR="00322A90" w:rsidRPr="00005D0F">
        <w:t>-</w:t>
      </w:r>
      <w:r w:rsidR="00322A90" w:rsidRPr="00005D0F">
        <w:rPr>
          <w:i/>
        </w:rPr>
        <w:t>Demand,</w:t>
      </w:r>
      <w:r w:rsidR="00322A90" w:rsidRPr="00005D0F">
        <w:t xml:space="preserve"> and </w:t>
      </w:r>
      <w:r w:rsidR="00322A90" w:rsidRPr="00005D0F">
        <w:rPr>
          <w:i/>
          <w:iCs/>
        </w:rPr>
        <w:t>DUP</w:t>
      </w:r>
      <w:r w:rsidR="00322A90" w:rsidRPr="00005D0F">
        <w:t>-</w:t>
      </w:r>
      <w:r w:rsidR="00322A90" w:rsidRPr="00005D0F">
        <w:rPr>
          <w:i/>
        </w:rPr>
        <w:t>Supply</w:t>
      </w:r>
      <w:r w:rsidR="00322A90" w:rsidRPr="00005D0F">
        <w:t xml:space="preserve"> during the pre-, early, and late pandemic epochs</w:t>
      </w:r>
      <w:r w:rsidR="00322A90" w:rsidRPr="00005D0F">
        <w:rPr>
          <w:vertAlign w:val="superscript"/>
        </w:rPr>
        <w:t>¥</w:t>
      </w:r>
      <w:r w:rsidR="00322A90" w:rsidRPr="00005D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701"/>
        <w:gridCol w:w="1559"/>
      </w:tblGrid>
      <w:tr w:rsidR="00322A90" w:rsidRPr="00005D0F" w14:paraId="20A19EA9" w14:textId="77777777" w:rsidTr="00917BD1">
        <w:trPr>
          <w:trHeight w:val="249"/>
        </w:trPr>
        <w:tc>
          <w:tcPr>
            <w:tcW w:w="1985" w:type="dxa"/>
            <w:vMerge w:val="restart"/>
            <w:hideMark/>
          </w:tcPr>
          <w:p w14:paraId="529912DF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gridSpan w:val="3"/>
            <w:hideMark/>
          </w:tcPr>
          <w:p w14:paraId="5575E45B" w14:textId="77777777" w:rsidR="00322A90" w:rsidRPr="00005D0F" w:rsidRDefault="00322A90" w:rsidP="00917B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COVID-19 Epoch  </w:t>
            </w:r>
          </w:p>
        </w:tc>
        <w:tc>
          <w:tcPr>
            <w:tcW w:w="1559" w:type="dxa"/>
            <w:vMerge w:val="restart"/>
            <w:hideMark/>
          </w:tcPr>
          <w:p w14:paraId="26C64DC1" w14:textId="77777777" w:rsidR="00322A90" w:rsidRPr="00005D0F" w:rsidRDefault="00322A90" w:rsidP="00917B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Total</w:t>
            </w:r>
          </w:p>
        </w:tc>
      </w:tr>
      <w:tr w:rsidR="00322A90" w:rsidRPr="00005D0F" w14:paraId="4F4E73D2" w14:textId="77777777" w:rsidTr="00917BD1">
        <w:trPr>
          <w:trHeight w:val="540"/>
        </w:trPr>
        <w:tc>
          <w:tcPr>
            <w:tcW w:w="1985" w:type="dxa"/>
            <w:vMerge/>
            <w:hideMark/>
          </w:tcPr>
          <w:p w14:paraId="7350800D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hideMark/>
          </w:tcPr>
          <w:p w14:paraId="724D5793" w14:textId="77777777" w:rsidR="00322A90" w:rsidRPr="00005D0F" w:rsidRDefault="00322A90" w:rsidP="00917B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Pre-pandemic </w:t>
            </w:r>
          </w:p>
          <w:p w14:paraId="1C258EFA" w14:textId="77777777" w:rsidR="00322A90" w:rsidRPr="00005D0F" w:rsidRDefault="00322A90" w:rsidP="00917BD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67EAC7F0" w14:textId="77777777" w:rsidR="00322A90" w:rsidRPr="00005D0F" w:rsidRDefault="00322A90" w:rsidP="00917B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Early pandemic </w:t>
            </w:r>
          </w:p>
          <w:p w14:paraId="35052817" w14:textId="77777777" w:rsidR="00322A90" w:rsidRPr="00005D0F" w:rsidRDefault="00322A90" w:rsidP="00917BD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1DFD565" w14:textId="77777777" w:rsidR="00322A90" w:rsidRPr="00005D0F" w:rsidRDefault="00322A90" w:rsidP="00917BD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Late pandemic </w:t>
            </w:r>
          </w:p>
          <w:p w14:paraId="230A51C5" w14:textId="77777777" w:rsidR="00322A90" w:rsidRPr="00005D0F" w:rsidRDefault="00322A90" w:rsidP="00917BD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59" w:type="dxa"/>
            <w:vMerge/>
            <w:hideMark/>
          </w:tcPr>
          <w:p w14:paraId="5DEFB061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322A90" w:rsidRPr="00005D0F" w14:paraId="0BC84DCD" w14:textId="77777777" w:rsidTr="00917BD1">
        <w:trPr>
          <w:trHeight w:val="249"/>
        </w:trPr>
        <w:tc>
          <w:tcPr>
            <w:tcW w:w="8505" w:type="dxa"/>
            <w:gridSpan w:val="5"/>
            <w:hideMark/>
          </w:tcPr>
          <w:p w14:paraId="0FBE1F6D" w14:textId="77777777" w:rsidR="00322A90" w:rsidRPr="00005D0F" w:rsidRDefault="00322A90" w:rsidP="00917BD1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005D0F">
              <w:rPr>
                <w:rFonts w:cstheme="minorHAnsi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Total 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(days) </w:t>
            </w:r>
          </w:p>
        </w:tc>
      </w:tr>
      <w:tr w:rsidR="00322A90" w:rsidRPr="00005D0F" w14:paraId="3737736A" w14:textId="77777777" w:rsidTr="00917BD1">
        <w:trPr>
          <w:trHeight w:val="260"/>
        </w:trPr>
        <w:tc>
          <w:tcPr>
            <w:tcW w:w="1985" w:type="dxa"/>
            <w:hideMark/>
          </w:tcPr>
          <w:p w14:paraId="1E5D639A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7FC2D246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7009C4A2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41C968C6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66C53963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005D0F" w14:paraId="59F79E7B" w14:textId="77777777" w:rsidTr="00917BD1">
        <w:trPr>
          <w:trHeight w:val="300"/>
        </w:trPr>
        <w:tc>
          <w:tcPr>
            <w:tcW w:w="0" w:type="dxa"/>
            <w:hideMark/>
          </w:tcPr>
          <w:p w14:paraId="65538B4A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0" w:type="dxa"/>
            <w:hideMark/>
          </w:tcPr>
          <w:p w14:paraId="5113714B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312 (282) </w:t>
            </w:r>
          </w:p>
        </w:tc>
        <w:tc>
          <w:tcPr>
            <w:tcW w:w="0" w:type="dxa"/>
            <w:hideMark/>
          </w:tcPr>
          <w:p w14:paraId="71EE3B29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112 (153) </w:t>
            </w:r>
          </w:p>
        </w:tc>
        <w:tc>
          <w:tcPr>
            <w:tcW w:w="0" w:type="dxa"/>
            <w:hideMark/>
          </w:tcPr>
          <w:p w14:paraId="5B6089D5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260 (262) </w:t>
            </w:r>
          </w:p>
        </w:tc>
        <w:tc>
          <w:tcPr>
            <w:tcW w:w="0" w:type="dxa"/>
            <w:hideMark/>
          </w:tcPr>
          <w:p w14:paraId="21948679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254 (261) </w:t>
            </w:r>
          </w:p>
        </w:tc>
      </w:tr>
      <w:tr w:rsidR="00322A90" w:rsidRPr="00005D0F" w14:paraId="4AFD6FBC" w14:textId="77777777" w:rsidTr="00917BD1">
        <w:trPr>
          <w:trHeight w:val="294"/>
        </w:trPr>
        <w:tc>
          <w:tcPr>
            <w:tcW w:w="1985" w:type="dxa"/>
            <w:hideMark/>
          </w:tcPr>
          <w:p w14:paraId="0B87BC50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7150048E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208 (24-1020) </w:t>
            </w:r>
          </w:p>
        </w:tc>
        <w:tc>
          <w:tcPr>
            <w:tcW w:w="1701" w:type="dxa"/>
            <w:hideMark/>
          </w:tcPr>
          <w:p w14:paraId="25CB9DF8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(8-560) </w:t>
            </w:r>
          </w:p>
        </w:tc>
        <w:tc>
          <w:tcPr>
            <w:tcW w:w="1701" w:type="dxa"/>
            <w:hideMark/>
          </w:tcPr>
          <w:p w14:paraId="0F77F99B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154 (1-885) </w:t>
            </w:r>
          </w:p>
        </w:tc>
        <w:tc>
          <w:tcPr>
            <w:tcW w:w="1559" w:type="dxa"/>
            <w:hideMark/>
          </w:tcPr>
          <w:p w14:paraId="08AF5FDE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154 (1-1020) </w:t>
            </w:r>
          </w:p>
        </w:tc>
      </w:tr>
      <w:tr w:rsidR="00322A90" w:rsidRPr="00005D0F" w14:paraId="5DD1F99E" w14:textId="77777777" w:rsidTr="00917BD1">
        <w:trPr>
          <w:trHeight w:val="249"/>
        </w:trPr>
        <w:tc>
          <w:tcPr>
            <w:tcW w:w="8505" w:type="dxa"/>
            <w:gridSpan w:val="5"/>
            <w:hideMark/>
          </w:tcPr>
          <w:p w14:paraId="77B45FF4" w14:textId="77777777" w:rsidR="00322A90" w:rsidRPr="00005D0F" w:rsidRDefault="00322A90" w:rsidP="00917BD1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005D0F">
              <w:rPr>
                <w:rFonts w:cstheme="minorHAnsi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Demand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(days) </w:t>
            </w:r>
          </w:p>
        </w:tc>
      </w:tr>
      <w:tr w:rsidR="00322A90" w:rsidRPr="00005D0F" w14:paraId="76B6052F" w14:textId="77777777" w:rsidTr="00917BD1">
        <w:trPr>
          <w:trHeight w:val="249"/>
        </w:trPr>
        <w:tc>
          <w:tcPr>
            <w:tcW w:w="1985" w:type="dxa"/>
            <w:hideMark/>
          </w:tcPr>
          <w:p w14:paraId="5B62047A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5A52B39B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31C121BE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59384718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5F0C5216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005D0F" w14:paraId="78D8476F" w14:textId="77777777" w:rsidTr="00917BD1">
        <w:trPr>
          <w:trHeight w:val="253"/>
        </w:trPr>
        <w:tc>
          <w:tcPr>
            <w:tcW w:w="1985" w:type="dxa"/>
            <w:hideMark/>
          </w:tcPr>
          <w:p w14:paraId="3FF1CB31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1559" w:type="dxa"/>
            <w:hideMark/>
          </w:tcPr>
          <w:p w14:paraId="3A0CFF07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175 (191) </w:t>
            </w:r>
          </w:p>
        </w:tc>
        <w:tc>
          <w:tcPr>
            <w:tcW w:w="1701" w:type="dxa"/>
            <w:hideMark/>
          </w:tcPr>
          <w:p w14:paraId="1FA07C6C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97 (153) </w:t>
            </w:r>
          </w:p>
        </w:tc>
        <w:tc>
          <w:tcPr>
            <w:tcW w:w="1701" w:type="dxa"/>
            <w:hideMark/>
          </w:tcPr>
          <w:p w14:paraId="6AD1FCA5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92 (154) </w:t>
            </w:r>
          </w:p>
        </w:tc>
        <w:tc>
          <w:tcPr>
            <w:tcW w:w="1559" w:type="dxa"/>
            <w:hideMark/>
          </w:tcPr>
          <w:p w14:paraId="14D635BD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117 (168) </w:t>
            </w:r>
          </w:p>
        </w:tc>
      </w:tr>
      <w:tr w:rsidR="00322A90" w:rsidRPr="00005D0F" w14:paraId="78434B26" w14:textId="77777777" w:rsidTr="00917BD1">
        <w:trPr>
          <w:trHeight w:val="289"/>
        </w:trPr>
        <w:tc>
          <w:tcPr>
            <w:tcW w:w="1985" w:type="dxa"/>
            <w:hideMark/>
          </w:tcPr>
          <w:p w14:paraId="1C395ADF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5F5FE5EA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117 (17-714) </w:t>
            </w:r>
          </w:p>
        </w:tc>
        <w:tc>
          <w:tcPr>
            <w:tcW w:w="1701" w:type="dxa"/>
            <w:hideMark/>
          </w:tcPr>
          <w:p w14:paraId="7D043817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35 (2-541) </w:t>
            </w:r>
          </w:p>
        </w:tc>
        <w:tc>
          <w:tcPr>
            <w:tcW w:w="1701" w:type="dxa"/>
            <w:hideMark/>
          </w:tcPr>
          <w:p w14:paraId="25E8D4C0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28 (0-690) </w:t>
            </w:r>
          </w:p>
        </w:tc>
        <w:tc>
          <w:tcPr>
            <w:tcW w:w="1559" w:type="dxa"/>
            <w:hideMark/>
          </w:tcPr>
          <w:p w14:paraId="7036901B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48 (0-714) </w:t>
            </w:r>
          </w:p>
        </w:tc>
      </w:tr>
      <w:tr w:rsidR="00322A90" w:rsidRPr="00005D0F" w14:paraId="46FFF0E8" w14:textId="77777777" w:rsidTr="00917BD1">
        <w:trPr>
          <w:trHeight w:val="260"/>
        </w:trPr>
        <w:tc>
          <w:tcPr>
            <w:tcW w:w="8505" w:type="dxa"/>
            <w:gridSpan w:val="5"/>
            <w:hideMark/>
          </w:tcPr>
          <w:p w14:paraId="48A6EDDC" w14:textId="77777777" w:rsidR="00322A90" w:rsidRPr="00005D0F" w:rsidRDefault="00322A90" w:rsidP="00917BD1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005D0F">
              <w:rPr>
                <w:rFonts w:cstheme="minorHAnsi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Supply</w:t>
            </w:r>
            <w:r w:rsidRPr="00005D0F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(days)                                  </w:t>
            </w:r>
          </w:p>
        </w:tc>
      </w:tr>
      <w:tr w:rsidR="00322A90" w:rsidRPr="00005D0F" w14:paraId="5183F1F4" w14:textId="77777777" w:rsidTr="00917BD1">
        <w:trPr>
          <w:trHeight w:val="249"/>
        </w:trPr>
        <w:tc>
          <w:tcPr>
            <w:tcW w:w="1985" w:type="dxa"/>
            <w:hideMark/>
          </w:tcPr>
          <w:p w14:paraId="63C9C1E8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4E20C203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59BFDA09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301C6928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4CFAEDDC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005D0F" w14:paraId="538A741E" w14:textId="77777777" w:rsidTr="00917BD1">
        <w:trPr>
          <w:trHeight w:val="278"/>
        </w:trPr>
        <w:tc>
          <w:tcPr>
            <w:tcW w:w="1985" w:type="dxa"/>
            <w:hideMark/>
          </w:tcPr>
          <w:p w14:paraId="4DE60019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1559" w:type="dxa"/>
            <w:hideMark/>
          </w:tcPr>
          <w:p w14:paraId="0B9E8C7D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138 (215) </w:t>
            </w:r>
          </w:p>
        </w:tc>
        <w:tc>
          <w:tcPr>
            <w:tcW w:w="1701" w:type="dxa"/>
            <w:hideMark/>
          </w:tcPr>
          <w:p w14:paraId="5C803CDF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 (10) </w:t>
            </w:r>
          </w:p>
        </w:tc>
        <w:tc>
          <w:tcPr>
            <w:tcW w:w="1701" w:type="dxa"/>
            <w:hideMark/>
          </w:tcPr>
          <w:p w14:paraId="3EAC3052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167 (246) </w:t>
            </w:r>
          </w:p>
        </w:tc>
        <w:tc>
          <w:tcPr>
            <w:tcW w:w="1559" w:type="dxa"/>
            <w:hideMark/>
          </w:tcPr>
          <w:p w14:paraId="6EC6968C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137 (223) </w:t>
            </w:r>
          </w:p>
        </w:tc>
      </w:tr>
      <w:tr w:rsidR="00322A90" w:rsidRPr="00005D0F" w14:paraId="7127DCCB" w14:textId="77777777" w:rsidTr="00917BD1">
        <w:trPr>
          <w:trHeight w:val="342"/>
        </w:trPr>
        <w:tc>
          <w:tcPr>
            <w:tcW w:w="1985" w:type="dxa"/>
            <w:hideMark/>
          </w:tcPr>
          <w:p w14:paraId="01957519" w14:textId="77777777" w:rsidR="00322A90" w:rsidRPr="00005D0F" w:rsidRDefault="00322A90" w:rsidP="00917BD1">
            <w:pPr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5DB9FD86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31 (0-994) </w:t>
            </w:r>
          </w:p>
        </w:tc>
        <w:tc>
          <w:tcPr>
            <w:tcW w:w="1701" w:type="dxa"/>
            <w:hideMark/>
          </w:tcPr>
          <w:p w14:paraId="433FD56C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 (0-38) </w:t>
            </w:r>
          </w:p>
        </w:tc>
        <w:tc>
          <w:tcPr>
            <w:tcW w:w="1701" w:type="dxa"/>
            <w:hideMark/>
          </w:tcPr>
          <w:p w14:paraId="02EB6A14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(0-868) </w:t>
            </w:r>
          </w:p>
        </w:tc>
        <w:tc>
          <w:tcPr>
            <w:tcW w:w="1559" w:type="dxa"/>
            <w:hideMark/>
          </w:tcPr>
          <w:p w14:paraId="1C512C94" w14:textId="77777777" w:rsidR="00322A90" w:rsidRPr="00005D0F" w:rsidRDefault="00322A90" w:rsidP="00917BD1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005D0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 (0-994) </w:t>
            </w:r>
          </w:p>
        </w:tc>
      </w:tr>
    </w:tbl>
    <w:p w14:paraId="7FED13C7" w14:textId="77777777" w:rsidR="00322A90" w:rsidRPr="00005D0F" w:rsidRDefault="00322A90"/>
    <w:p w14:paraId="666F2749" w14:textId="77777777" w:rsidR="00322A90" w:rsidRPr="00150FF2" w:rsidRDefault="00322A90" w:rsidP="00322A90">
      <w:pPr>
        <w:spacing w:line="480" w:lineRule="auto"/>
      </w:pPr>
      <w:r w:rsidRPr="00005D0F">
        <w:rPr>
          <w:vertAlign w:val="superscript"/>
        </w:rPr>
        <w:t>¥</w:t>
      </w:r>
      <w:r w:rsidRPr="00005D0F">
        <w:t>rounded to whole numbers.</w:t>
      </w:r>
    </w:p>
    <w:p w14:paraId="39D97520" w14:textId="77777777" w:rsidR="00322A90" w:rsidRDefault="00322A90"/>
    <w:p w14:paraId="4DCD4850" w14:textId="77777777" w:rsidR="00322A90" w:rsidRDefault="00322A90"/>
    <w:sectPr w:rsidR="00322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90"/>
    <w:rsid w:val="00005D0F"/>
    <w:rsid w:val="00322A90"/>
    <w:rsid w:val="006E56B8"/>
    <w:rsid w:val="007E4654"/>
    <w:rsid w:val="008A72D1"/>
    <w:rsid w:val="009001CE"/>
    <w:rsid w:val="0091438B"/>
    <w:rsid w:val="00940946"/>
    <w:rsid w:val="00AF552B"/>
    <w:rsid w:val="00B40CD5"/>
    <w:rsid w:val="00CF4DED"/>
    <w:rsid w:val="00D646E0"/>
    <w:rsid w:val="00E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68A5"/>
  <w15:chartTrackingRefBased/>
  <w15:docId w15:val="{E30145AA-5053-9541-9D72-01E9F8C7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A90"/>
    <w:rPr>
      <w:rFonts w:eastAsiaTheme="minorEastAsia"/>
      <w:kern w:val="0"/>
      <w:sz w:val="22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2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normaltextrun">
    <w:name w:val="normaltextrun"/>
    <w:basedOn w:val="DefaultParagraphFont"/>
    <w:rsid w:val="00322A90"/>
  </w:style>
  <w:style w:type="character" w:customStyle="1" w:styleId="eop">
    <w:name w:val="eop"/>
    <w:basedOn w:val="DefaultParagraphFont"/>
    <w:rsid w:val="00322A90"/>
  </w:style>
  <w:style w:type="paragraph" w:styleId="BodyText">
    <w:name w:val="Body Text"/>
    <w:basedOn w:val="Normal"/>
    <w:link w:val="BodyTextChar"/>
    <w:uiPriority w:val="1"/>
    <w:qFormat/>
    <w:rsid w:val="00322A90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22A9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6E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Nicholls-Mindlin</dc:creator>
  <cp:keywords/>
  <dc:description/>
  <cp:lastModifiedBy>Annette Butler</cp:lastModifiedBy>
  <cp:revision>2</cp:revision>
  <dcterms:created xsi:type="dcterms:W3CDTF">2024-10-03T10:38:00Z</dcterms:created>
  <dcterms:modified xsi:type="dcterms:W3CDTF">2024-10-03T10:38:00Z</dcterms:modified>
</cp:coreProperties>
</file>